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D64" w:rsidRDefault="006F0D93">
      <w:pPr>
        <w:pStyle w:val="BodyText"/>
        <w:ind w:left="5255"/>
        <w:rPr>
          <w:sz w:val="20"/>
        </w:rPr>
      </w:pPr>
      <w:r>
        <w:rPr>
          <w:noProof/>
          <w:sz w:val="20"/>
        </w:rPr>
        <mc:AlternateContent>
          <mc:Choice Requires="wpg">
            <w:drawing>
              <wp:inline distT="0" distB="0" distL="0" distR="0">
                <wp:extent cx="371475" cy="39052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 cy="390525"/>
                          <a:chOff x="0" y="0"/>
                          <a:chExt cx="371475" cy="390525"/>
                        </a:xfrm>
                      </wpg:grpSpPr>
                      <wps:wsp>
                        <wps:cNvPr id="2" name="Graphic 2"/>
                        <wps:cNvSpPr/>
                        <wps:spPr>
                          <a:xfrm>
                            <a:off x="0" y="0"/>
                            <a:ext cx="371475" cy="390525"/>
                          </a:xfrm>
                          <a:custGeom>
                            <a:avLst/>
                            <a:gdLst/>
                            <a:ahLst/>
                            <a:cxnLst/>
                            <a:rect l="l" t="t" r="r" b="b"/>
                            <a:pathLst>
                              <a:path w="371475" h="390525">
                                <a:moveTo>
                                  <a:pt x="371475" y="0"/>
                                </a:moveTo>
                                <a:lnTo>
                                  <a:pt x="0" y="0"/>
                                </a:lnTo>
                                <a:lnTo>
                                  <a:pt x="0" y="390525"/>
                                </a:lnTo>
                                <a:lnTo>
                                  <a:pt x="371475" y="390525"/>
                                </a:lnTo>
                                <a:lnTo>
                                  <a:pt x="37147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C8DDEDE" id="Group 1" o:spid="_x0000_s1026" style="width:29.25pt;height:30.75pt;mso-position-horizontal-relative:char;mso-position-vertical-relative:line" coordsize="3714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">
                <v:shape id="Graphic 2" o:spid="_x0000_s1027" style="position:absolute;width:371475;height:390525;visibility:visible;mso-wrap-style:square;v-text-anchor:top" coordsize="37147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" path="m371475,l,,,390525r371475,l371475,xe" stroked="f">
                  <v:path arrowok="t"/>
                </v:shape>
                <w10:anchorlock/>
              </v:group>
            </w:pict>
          </mc:Fallback>
        </mc:AlternateContent>
      </w: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18"/>
      </w:pPr>
    </w:p>
    <w:p w:rsidR="00487D64" w:rsidRDefault="006F0D93">
      <w:pPr>
        <w:spacing w:line="374" w:lineRule="auto"/>
        <w:ind w:left="2067" w:right="1510" w:firstLine="9"/>
        <w:jc w:val="center"/>
        <w:rPr>
          <w:b/>
          <w:sz w:val="23"/>
        </w:rPr>
      </w:pPr>
      <w:r>
        <w:rPr>
          <w:b/>
          <w:noProof/>
          <w:sz w:val="23"/>
        </w:rPr>
        <mc:AlternateContent>
          <mc:Choice Requires="wps">
            <w:drawing>
              <wp:anchor distT="0" distB="0" distL="0" distR="0" simplePos="0" relativeHeight="481337856" behindDoc="1" locked="0" layoutInCell="1" allowOverlap="1">
                <wp:simplePos x="0" y="0"/>
                <wp:positionH relativeFrom="page">
                  <wp:posOffset>4030345</wp:posOffset>
                </wp:positionH>
                <wp:positionV relativeFrom="paragraph">
                  <wp:posOffset>-985544</wp:posOffset>
                </wp:positionV>
                <wp:extent cx="42545"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67640"/>
                        </a:xfrm>
                        <a:prstGeom prst="rect">
                          <a:avLst/>
                        </a:prstGeom>
                      </wps:spPr>
                      <wps:txbx>
                        <w:txbxContent>
                          <w:p w:rsidR="00487D64" w:rsidRDefault="006F0D93">
                            <w:pPr>
                              <w:pStyle w:val="BodyText"/>
                              <w:spacing w:line="261" w:lineRule="exact"/>
                            </w:pPr>
                            <w:r>
                              <w:rPr>
                                <w:spacing w:val="-10"/>
                              </w:rPr>
                              <w:t>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317.35pt;margin-top:-77.6pt;width:3.35pt;height:13.2pt;z-index:-2197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" filled="f" stroked="f">
                <v:path arrowok="t"/>
                <v:textbox inset="0,0,0,0">
                  <w:txbxContent>
                    <w:p w:rsidR="00487D64" w:rsidRDefault="006F0D93">
                      <w:pPr>
                        <w:pStyle w:val="BodyText"/>
                        <w:spacing w:line="261" w:lineRule="exact"/>
                      </w:pPr>
                      <w:r>
                        <w:rPr>
                          <w:spacing w:val="-10"/>
                        </w:rPr>
                        <w:t>i</w:t>
                      </w:r>
                    </w:p>
                  </w:txbxContent>
                </v:textbox>
                <w10:wrap anchorx="page"/>
              </v:shape>
            </w:pict>
          </mc:Fallback>
        </mc:AlternateContent>
      </w:r>
      <w:r>
        <w:rPr>
          <w:b/>
          <w:w w:val="105"/>
          <w:sz w:val="23"/>
        </w:rPr>
        <w:t xml:space="preserve">IMPACT OF MARKET ORIENTATION ON SUSTAINABLE COMPETITIVENESS OF SPECIAL GROUP SMEs IN PUBLIC </w:t>
      </w:r>
      <w:r>
        <w:rPr>
          <w:b/>
          <w:sz w:val="23"/>
        </w:rPr>
        <w:t>PROCUREMENT: THE MODERATING ROLE OF STRATEGIC</w:t>
      </w:r>
      <w:r>
        <w:rPr>
          <w:b/>
          <w:spacing w:val="40"/>
          <w:w w:val="105"/>
          <w:sz w:val="23"/>
        </w:rPr>
        <w:t xml:space="preserve"> </w:t>
      </w:r>
      <w:r>
        <w:rPr>
          <w:b/>
          <w:spacing w:val="-2"/>
          <w:w w:val="105"/>
          <w:sz w:val="23"/>
        </w:rPr>
        <w:t>FLEXIBILITY</w:t>
      </w: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8"/>
        <w:rPr>
          <w:b/>
        </w:rPr>
      </w:pPr>
    </w:p>
    <w:p w:rsidR="00487D64" w:rsidRDefault="006F0D93">
      <w:pPr>
        <w:ind w:left="3066" w:right="2505"/>
        <w:jc w:val="center"/>
        <w:rPr>
          <w:b/>
          <w:sz w:val="23"/>
        </w:rPr>
      </w:pPr>
      <w:r>
        <w:rPr>
          <w:b/>
          <w:sz w:val="23"/>
        </w:rPr>
        <w:t>DENIS</w:t>
      </w:r>
      <w:r>
        <w:rPr>
          <w:b/>
          <w:spacing w:val="30"/>
          <w:sz w:val="23"/>
        </w:rPr>
        <w:t xml:space="preserve"> </w:t>
      </w:r>
      <w:r>
        <w:rPr>
          <w:b/>
          <w:sz w:val="23"/>
        </w:rPr>
        <w:t>CLEMENT</w:t>
      </w:r>
      <w:r>
        <w:rPr>
          <w:b/>
          <w:spacing w:val="35"/>
          <w:sz w:val="23"/>
        </w:rPr>
        <w:t xml:space="preserve"> </w:t>
      </w:r>
      <w:r>
        <w:rPr>
          <w:b/>
          <w:spacing w:val="-2"/>
          <w:sz w:val="23"/>
        </w:rPr>
        <w:t>KAWISHE</w:t>
      </w: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198"/>
        <w:rPr>
          <w:b/>
        </w:rPr>
      </w:pPr>
    </w:p>
    <w:p w:rsidR="00487D64" w:rsidRDefault="006F0D93">
      <w:pPr>
        <w:spacing w:line="501" w:lineRule="auto"/>
        <w:ind w:left="1657" w:right="1090" w:firstLine="6"/>
        <w:jc w:val="center"/>
        <w:rPr>
          <w:b/>
          <w:sz w:val="23"/>
        </w:rPr>
      </w:pPr>
      <w:r>
        <w:rPr>
          <w:b/>
          <w:w w:val="105"/>
          <w:sz w:val="23"/>
        </w:rPr>
        <w:t>A THESIS SUBMITTED IN PARTIAL FULFILMENT OF THE REQUIREMENTS</w:t>
      </w:r>
      <w:r>
        <w:rPr>
          <w:b/>
          <w:spacing w:val="-12"/>
          <w:w w:val="105"/>
          <w:sz w:val="23"/>
        </w:rPr>
        <w:t xml:space="preserve"> </w:t>
      </w:r>
      <w:r>
        <w:rPr>
          <w:b/>
          <w:w w:val="105"/>
          <w:sz w:val="23"/>
        </w:rPr>
        <w:t>FOR</w:t>
      </w:r>
      <w:r>
        <w:rPr>
          <w:b/>
          <w:spacing w:val="-12"/>
          <w:w w:val="105"/>
          <w:sz w:val="23"/>
        </w:rPr>
        <w:t xml:space="preserve"> </w:t>
      </w:r>
      <w:r>
        <w:rPr>
          <w:b/>
          <w:w w:val="105"/>
          <w:sz w:val="23"/>
        </w:rPr>
        <w:t>THE</w:t>
      </w:r>
      <w:r>
        <w:rPr>
          <w:b/>
          <w:spacing w:val="-10"/>
          <w:w w:val="105"/>
          <w:sz w:val="23"/>
        </w:rPr>
        <w:t xml:space="preserve"> </w:t>
      </w:r>
      <w:r>
        <w:rPr>
          <w:b/>
          <w:w w:val="105"/>
          <w:sz w:val="23"/>
        </w:rPr>
        <w:t>DEGREE</w:t>
      </w:r>
      <w:r>
        <w:rPr>
          <w:b/>
          <w:spacing w:val="-15"/>
          <w:w w:val="105"/>
          <w:sz w:val="23"/>
        </w:rPr>
        <w:t xml:space="preserve"> </w:t>
      </w:r>
      <w:r>
        <w:rPr>
          <w:b/>
          <w:w w:val="105"/>
          <w:sz w:val="23"/>
        </w:rPr>
        <w:t>OF</w:t>
      </w:r>
      <w:r>
        <w:rPr>
          <w:b/>
          <w:spacing w:val="-11"/>
          <w:w w:val="105"/>
          <w:sz w:val="23"/>
        </w:rPr>
        <w:t xml:space="preserve"> </w:t>
      </w:r>
      <w:r>
        <w:rPr>
          <w:b/>
          <w:w w:val="105"/>
          <w:sz w:val="23"/>
        </w:rPr>
        <w:t>DOCTOR</w:t>
      </w:r>
      <w:r>
        <w:rPr>
          <w:b/>
          <w:spacing w:val="-15"/>
          <w:w w:val="105"/>
          <w:sz w:val="23"/>
        </w:rPr>
        <w:t xml:space="preserve"> </w:t>
      </w:r>
      <w:r>
        <w:rPr>
          <w:b/>
          <w:w w:val="105"/>
          <w:sz w:val="23"/>
        </w:rPr>
        <w:t>OF</w:t>
      </w:r>
      <w:r>
        <w:rPr>
          <w:b/>
          <w:spacing w:val="-11"/>
          <w:w w:val="105"/>
          <w:sz w:val="23"/>
        </w:rPr>
        <w:t xml:space="preserve"> </w:t>
      </w:r>
      <w:r>
        <w:rPr>
          <w:b/>
          <w:w w:val="105"/>
          <w:sz w:val="23"/>
        </w:rPr>
        <w:t xml:space="preserve">PHILOSOPHY DEPARTMENT OF MARKETING, ENTREPRENEURSHIP AND </w:t>
      </w:r>
      <w:r>
        <w:rPr>
          <w:b/>
          <w:spacing w:val="-2"/>
          <w:w w:val="105"/>
          <w:sz w:val="23"/>
        </w:rPr>
        <w:t>MANAGEMENT</w:t>
      </w:r>
    </w:p>
    <w:p w:rsidR="00487D64" w:rsidRDefault="006F0D93">
      <w:pPr>
        <w:spacing w:line="504" w:lineRule="auto"/>
        <w:ind w:left="3066" w:right="2499"/>
        <w:jc w:val="center"/>
        <w:rPr>
          <w:b/>
          <w:sz w:val="23"/>
        </w:rPr>
      </w:pPr>
      <w:r>
        <w:rPr>
          <w:b/>
          <w:w w:val="105"/>
          <w:sz w:val="23"/>
        </w:rPr>
        <w:t>THE</w:t>
      </w:r>
      <w:r>
        <w:rPr>
          <w:b/>
          <w:spacing w:val="-16"/>
          <w:w w:val="105"/>
          <w:sz w:val="23"/>
        </w:rPr>
        <w:t xml:space="preserve"> </w:t>
      </w:r>
      <w:r>
        <w:rPr>
          <w:b/>
          <w:w w:val="105"/>
          <w:sz w:val="23"/>
        </w:rPr>
        <w:t>OPEN</w:t>
      </w:r>
      <w:r>
        <w:rPr>
          <w:b/>
          <w:spacing w:val="-15"/>
          <w:w w:val="105"/>
          <w:sz w:val="23"/>
        </w:rPr>
        <w:t xml:space="preserve"> </w:t>
      </w:r>
      <w:r>
        <w:rPr>
          <w:b/>
          <w:w w:val="105"/>
          <w:sz w:val="23"/>
        </w:rPr>
        <w:t>UNIVERSITY</w:t>
      </w:r>
      <w:r>
        <w:rPr>
          <w:b/>
          <w:spacing w:val="-15"/>
          <w:w w:val="105"/>
          <w:sz w:val="23"/>
        </w:rPr>
        <w:t xml:space="preserve"> </w:t>
      </w:r>
      <w:r>
        <w:rPr>
          <w:b/>
          <w:w w:val="105"/>
          <w:sz w:val="23"/>
        </w:rPr>
        <w:t>OF</w:t>
      </w:r>
      <w:r>
        <w:rPr>
          <w:b/>
          <w:spacing w:val="-15"/>
          <w:w w:val="105"/>
          <w:sz w:val="23"/>
        </w:rPr>
        <w:t xml:space="preserve"> </w:t>
      </w:r>
      <w:r>
        <w:rPr>
          <w:b/>
          <w:w w:val="105"/>
          <w:sz w:val="23"/>
        </w:rPr>
        <w:t xml:space="preserve">TANZANIA </w:t>
      </w:r>
      <w:r>
        <w:rPr>
          <w:b/>
          <w:spacing w:val="-4"/>
          <w:w w:val="105"/>
          <w:sz w:val="23"/>
        </w:rPr>
        <w:t>2025</w:t>
      </w:r>
    </w:p>
    <w:p w:rsidR="00487D64" w:rsidRDefault="00487D64">
      <w:pPr>
        <w:spacing w:line="504" w:lineRule="auto"/>
        <w:jc w:val="center"/>
        <w:rPr>
          <w:b/>
          <w:sz w:val="23"/>
        </w:rPr>
        <w:sectPr w:rsidR="00487D64">
          <w:type w:val="continuous"/>
          <w:pgSz w:w="11910" w:h="16850"/>
          <w:pgMar w:top="560" w:right="566" w:bottom="280" w:left="850" w:header="720" w:footer="72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spacing w:before="1"/>
        <w:ind w:left="3066" w:right="2504"/>
        <w:jc w:val="center"/>
        <w:rPr>
          <w:b/>
          <w:sz w:val="23"/>
        </w:rPr>
      </w:pPr>
      <w:bookmarkStart w:id="0" w:name="CERTIFICATION"/>
      <w:bookmarkStart w:id="1" w:name="_bookmark0"/>
      <w:bookmarkEnd w:id="0"/>
      <w:bookmarkEnd w:id="1"/>
      <w:r>
        <w:rPr>
          <w:b/>
          <w:spacing w:val="-2"/>
          <w:w w:val="105"/>
          <w:sz w:val="23"/>
        </w:rPr>
        <w:t>CERTIFICATION</w:t>
      </w:r>
    </w:p>
    <w:p w:rsidR="00487D64" w:rsidRDefault="00487D64">
      <w:pPr>
        <w:pStyle w:val="BodyText"/>
        <w:spacing w:before="18"/>
        <w:rPr>
          <w:b/>
        </w:rPr>
      </w:pPr>
    </w:p>
    <w:p w:rsidR="00487D64" w:rsidRDefault="006F0D93">
      <w:pPr>
        <w:spacing w:line="501" w:lineRule="auto"/>
        <w:ind w:left="1419" w:right="847"/>
        <w:jc w:val="both"/>
        <w:rPr>
          <w:sz w:val="23"/>
        </w:rPr>
      </w:pPr>
      <w:r>
        <w:rPr>
          <w:w w:val="105"/>
          <w:sz w:val="23"/>
        </w:rPr>
        <w:t xml:space="preserve">The undersigned certify that they have read and hereby recommend for acceptance by the Open University of Tanzania (OUT) a thesis titled </w:t>
      </w:r>
      <w:r>
        <w:rPr>
          <w:b/>
          <w:i/>
          <w:w w:val="105"/>
          <w:sz w:val="23"/>
        </w:rPr>
        <w:t>Impact of Market Orientation on Sustainable Competitiveness of Special Group SMEs in Public Procurement:</w:t>
      </w:r>
      <w:r>
        <w:rPr>
          <w:b/>
          <w:i/>
          <w:spacing w:val="-6"/>
          <w:w w:val="105"/>
          <w:sz w:val="23"/>
        </w:rPr>
        <w:t xml:space="preserve"> </w:t>
      </w:r>
      <w:r>
        <w:rPr>
          <w:b/>
          <w:i/>
          <w:w w:val="105"/>
          <w:sz w:val="23"/>
        </w:rPr>
        <w:t>The Moderating</w:t>
      </w:r>
      <w:r>
        <w:rPr>
          <w:b/>
          <w:i/>
          <w:spacing w:val="-3"/>
          <w:w w:val="105"/>
          <w:sz w:val="23"/>
        </w:rPr>
        <w:t xml:space="preserve"> </w:t>
      </w:r>
      <w:r>
        <w:rPr>
          <w:b/>
          <w:i/>
          <w:w w:val="105"/>
          <w:sz w:val="23"/>
        </w:rPr>
        <w:t>Role</w:t>
      </w:r>
      <w:r>
        <w:rPr>
          <w:b/>
          <w:i/>
          <w:spacing w:val="-4"/>
          <w:w w:val="105"/>
          <w:sz w:val="23"/>
        </w:rPr>
        <w:t xml:space="preserve"> </w:t>
      </w:r>
      <w:r>
        <w:rPr>
          <w:b/>
          <w:i/>
          <w:w w:val="105"/>
          <w:sz w:val="23"/>
        </w:rPr>
        <w:t>of</w:t>
      </w:r>
      <w:r>
        <w:rPr>
          <w:b/>
          <w:i/>
          <w:spacing w:val="-6"/>
          <w:w w:val="105"/>
          <w:sz w:val="23"/>
        </w:rPr>
        <w:t xml:space="preserve"> </w:t>
      </w:r>
      <w:r>
        <w:rPr>
          <w:b/>
          <w:i/>
          <w:w w:val="105"/>
          <w:sz w:val="23"/>
        </w:rPr>
        <w:t>Strategic Flexibility,</w:t>
      </w:r>
      <w:r>
        <w:rPr>
          <w:b/>
          <w:i/>
          <w:spacing w:val="-2"/>
          <w:w w:val="105"/>
          <w:sz w:val="23"/>
        </w:rPr>
        <w:t xml:space="preserve"> </w:t>
      </w:r>
      <w:r>
        <w:rPr>
          <w:w w:val="105"/>
          <w:sz w:val="23"/>
        </w:rPr>
        <w:t>in</w:t>
      </w:r>
      <w:r>
        <w:rPr>
          <w:spacing w:val="-3"/>
          <w:w w:val="105"/>
          <w:sz w:val="23"/>
        </w:rPr>
        <w:t xml:space="preserve"> </w:t>
      </w:r>
      <w:r>
        <w:rPr>
          <w:w w:val="105"/>
          <w:sz w:val="23"/>
        </w:rPr>
        <w:t>partial fulfillment of the requirements for the award of the Degree of Doctor of Philosophy of the Open University of Tanzania.</w:t>
      </w:r>
    </w:p>
    <w:p w:rsidR="00487D64" w:rsidRDefault="00487D64">
      <w:pPr>
        <w:pStyle w:val="BodyText"/>
      </w:pPr>
    </w:p>
    <w:p w:rsidR="00487D64" w:rsidRDefault="00487D64">
      <w:pPr>
        <w:pStyle w:val="BodyText"/>
      </w:pPr>
    </w:p>
    <w:p w:rsidR="00487D64" w:rsidRDefault="00487D64">
      <w:pPr>
        <w:pStyle w:val="BodyText"/>
        <w:spacing w:before="68"/>
      </w:pPr>
    </w:p>
    <w:p w:rsidR="00487D64" w:rsidRDefault="006F0D93">
      <w:pPr>
        <w:pStyle w:val="BodyText"/>
        <w:spacing w:line="504" w:lineRule="auto"/>
        <w:ind w:left="3962" w:right="3402"/>
        <w:jc w:val="center"/>
      </w:pPr>
      <w:r>
        <w:rPr>
          <w:spacing w:val="-2"/>
        </w:rPr>
        <w:t xml:space="preserve">………………………………… </w:t>
      </w:r>
      <w:r>
        <w:rPr>
          <w:w w:val="105"/>
        </w:rPr>
        <w:t>Dr. France Shayo</w:t>
      </w:r>
    </w:p>
    <w:p w:rsidR="00487D64" w:rsidRDefault="006F0D93">
      <w:pPr>
        <w:pStyle w:val="BodyText"/>
        <w:spacing w:line="263" w:lineRule="exact"/>
        <w:ind w:left="3066" w:right="2510"/>
        <w:jc w:val="center"/>
      </w:pPr>
      <w:r>
        <w:rPr>
          <w:spacing w:val="-2"/>
          <w:w w:val="105"/>
        </w:rPr>
        <w:t>(Supervisor)</w:t>
      </w:r>
    </w:p>
    <w:p w:rsidR="00487D64" w:rsidRDefault="00487D64">
      <w:pPr>
        <w:pStyle w:val="BodyText"/>
      </w:pPr>
    </w:p>
    <w:p w:rsidR="00487D64" w:rsidRDefault="00487D64">
      <w:pPr>
        <w:pStyle w:val="BodyText"/>
      </w:pPr>
    </w:p>
    <w:p w:rsidR="00487D64" w:rsidRDefault="00487D64">
      <w:pPr>
        <w:pStyle w:val="BodyText"/>
        <w:spacing w:before="44"/>
      </w:pPr>
    </w:p>
    <w:p w:rsidR="00487D64" w:rsidRDefault="006F0D93">
      <w:pPr>
        <w:pStyle w:val="BodyText"/>
        <w:spacing w:line="504" w:lineRule="auto"/>
        <w:ind w:left="3962" w:right="3395"/>
        <w:jc w:val="center"/>
      </w:pPr>
      <w:r>
        <w:rPr>
          <w:spacing w:val="-2"/>
        </w:rPr>
        <w:t xml:space="preserve">……………………………… </w:t>
      </w:r>
      <w:r>
        <w:rPr>
          <w:spacing w:val="-4"/>
          <w:w w:val="105"/>
        </w:rPr>
        <w:t>Date</w:t>
      </w:r>
    </w:p>
    <w:p w:rsidR="00487D64" w:rsidRDefault="00487D64">
      <w:pPr>
        <w:pStyle w:val="BodyText"/>
      </w:pPr>
    </w:p>
    <w:p w:rsidR="00487D64" w:rsidRDefault="00487D64">
      <w:pPr>
        <w:pStyle w:val="BodyText"/>
      </w:pPr>
    </w:p>
    <w:p w:rsidR="00487D64" w:rsidRDefault="00487D64">
      <w:pPr>
        <w:pStyle w:val="BodyText"/>
        <w:spacing w:before="19"/>
      </w:pPr>
    </w:p>
    <w:p w:rsidR="00487D64" w:rsidRDefault="006F0D93">
      <w:pPr>
        <w:pStyle w:val="BodyText"/>
        <w:spacing w:line="254" w:lineRule="auto"/>
        <w:ind w:left="3962" w:right="3402"/>
        <w:jc w:val="center"/>
      </w:pPr>
      <w:r>
        <w:rPr>
          <w:spacing w:val="-2"/>
        </w:rPr>
        <w:t xml:space="preserve">………………………………… </w:t>
      </w:r>
      <w:r>
        <w:rPr>
          <w:w w:val="105"/>
        </w:rPr>
        <w:t>Prof Alban Mchopa</w:t>
      </w:r>
    </w:p>
    <w:p w:rsidR="00487D64" w:rsidRDefault="006F0D93">
      <w:pPr>
        <w:pStyle w:val="BodyText"/>
        <w:spacing w:before="131"/>
        <w:ind w:left="3066" w:right="2510"/>
        <w:jc w:val="center"/>
      </w:pPr>
      <w:r>
        <w:rPr>
          <w:spacing w:val="-2"/>
          <w:w w:val="105"/>
        </w:rPr>
        <w:t>(Supervisor)</w:t>
      </w: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04"/>
      </w:pPr>
    </w:p>
    <w:p w:rsidR="00487D64" w:rsidRDefault="006F0D93">
      <w:pPr>
        <w:pStyle w:val="BodyText"/>
        <w:spacing w:before="1" w:line="504" w:lineRule="auto"/>
        <w:ind w:left="3962" w:right="3403"/>
        <w:jc w:val="center"/>
      </w:pPr>
      <w:r>
        <w:rPr>
          <w:spacing w:val="-2"/>
        </w:rPr>
        <w:t xml:space="preserve">………………………………… </w:t>
      </w:r>
      <w:r>
        <w:rPr>
          <w:spacing w:val="-4"/>
          <w:w w:val="105"/>
        </w:rPr>
        <w:t>Date</w:t>
      </w:r>
    </w:p>
    <w:p w:rsidR="00487D64" w:rsidRDefault="00487D64">
      <w:pPr>
        <w:pStyle w:val="BodyText"/>
        <w:spacing w:line="504" w:lineRule="auto"/>
        <w:jc w:val="center"/>
        <w:sectPr w:rsidR="00487D64">
          <w:headerReference w:type="default" r:id="rId7"/>
          <w:pgSz w:w="11910" w:h="16850"/>
          <w:pgMar w:top="980" w:right="566" w:bottom="280" w:left="850" w:header="725" w:footer="0" w:gutter="0"/>
          <w:pgNumType w:start="2"/>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6F0D93">
      <w:pPr>
        <w:ind w:left="3066" w:right="2503"/>
        <w:jc w:val="center"/>
        <w:rPr>
          <w:b/>
          <w:sz w:val="23"/>
        </w:rPr>
      </w:pPr>
      <w:bookmarkStart w:id="2" w:name="COPYRIGHT"/>
      <w:bookmarkStart w:id="3" w:name="_bookmark1"/>
      <w:bookmarkEnd w:id="2"/>
      <w:bookmarkEnd w:id="3"/>
      <w:r>
        <w:rPr>
          <w:b/>
          <w:spacing w:val="-2"/>
          <w:w w:val="105"/>
          <w:sz w:val="23"/>
        </w:rPr>
        <w:t>COPYRIGHT</w:t>
      </w:r>
    </w:p>
    <w:p w:rsidR="00487D64" w:rsidRDefault="00487D64">
      <w:pPr>
        <w:pStyle w:val="BodyText"/>
        <w:spacing w:before="11"/>
        <w:rPr>
          <w:b/>
        </w:rPr>
      </w:pPr>
    </w:p>
    <w:p w:rsidR="00487D64" w:rsidRDefault="006F0D93">
      <w:pPr>
        <w:pStyle w:val="BodyText"/>
        <w:spacing w:line="501" w:lineRule="auto"/>
        <w:ind w:left="1419" w:right="848"/>
        <w:jc w:val="both"/>
      </w:pPr>
      <w:r>
        <w:rPr>
          <w:w w:val="105"/>
        </w:rPr>
        <w:t>This thesis is the property of the Open University of Tanzania. No part of it may be reproduced, stored</w:t>
      </w:r>
      <w:r>
        <w:rPr>
          <w:spacing w:val="-6"/>
          <w:w w:val="105"/>
        </w:rPr>
        <w:t xml:space="preserve"> </w:t>
      </w:r>
      <w:r>
        <w:rPr>
          <w:w w:val="105"/>
        </w:rPr>
        <w:t>in</w:t>
      </w:r>
      <w:r>
        <w:rPr>
          <w:spacing w:val="-6"/>
          <w:w w:val="105"/>
        </w:rPr>
        <w:t xml:space="preserve"> </w:t>
      </w:r>
      <w:r>
        <w:rPr>
          <w:w w:val="105"/>
        </w:rPr>
        <w:t>a retrieval system, or</w:t>
      </w:r>
      <w:r>
        <w:rPr>
          <w:spacing w:val="-2"/>
          <w:w w:val="105"/>
        </w:rPr>
        <w:t xml:space="preserve"> </w:t>
      </w:r>
      <w:r>
        <w:rPr>
          <w:w w:val="105"/>
        </w:rPr>
        <w:t>transmitted in</w:t>
      </w:r>
      <w:r>
        <w:rPr>
          <w:spacing w:val="-6"/>
          <w:w w:val="105"/>
        </w:rPr>
        <w:t xml:space="preserve"> </w:t>
      </w:r>
      <w:r>
        <w:rPr>
          <w:w w:val="105"/>
        </w:rPr>
        <w:t xml:space="preserve">any form or by any means, electronic, mechanical, photocopying, recording, or otherwise, without prior written </w:t>
      </w:r>
      <w:r>
        <w:rPr>
          <w:w w:val="105"/>
        </w:rPr>
        <w:t>permission of the author and the Open University of Tanzania. However, short extracts may be used for purposes of research, private study, or scholarly criticism, provided that due acknowledgment of the source is made.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3066" w:right="2504"/>
        <w:jc w:val="center"/>
        <w:rPr>
          <w:b/>
          <w:sz w:val="23"/>
        </w:rPr>
      </w:pPr>
      <w:bookmarkStart w:id="4" w:name="_bookmark3"/>
      <w:bookmarkStart w:id="5" w:name="DECLARATION"/>
      <w:bookmarkStart w:id="6" w:name="_bookmark2"/>
      <w:bookmarkEnd w:id="4"/>
      <w:bookmarkEnd w:id="5"/>
      <w:bookmarkEnd w:id="6"/>
      <w:r>
        <w:rPr>
          <w:b/>
          <w:spacing w:val="-2"/>
          <w:w w:val="105"/>
          <w:sz w:val="23"/>
        </w:rPr>
        <w:t>DECLARATION</w:t>
      </w:r>
    </w:p>
    <w:p w:rsidR="00487D64" w:rsidRDefault="00487D64">
      <w:pPr>
        <w:pStyle w:val="BodyText"/>
        <w:spacing w:before="18"/>
        <w:rPr>
          <w:b/>
        </w:rPr>
      </w:pPr>
    </w:p>
    <w:p w:rsidR="00487D64" w:rsidRDefault="006F0D93">
      <w:pPr>
        <w:spacing w:line="499" w:lineRule="auto"/>
        <w:ind w:left="1419" w:right="853"/>
        <w:jc w:val="both"/>
        <w:rPr>
          <w:sz w:val="23"/>
        </w:rPr>
      </w:pPr>
      <w:r>
        <w:rPr>
          <w:w w:val="105"/>
          <w:sz w:val="23"/>
        </w:rPr>
        <w:t>I,</w:t>
      </w:r>
      <w:r>
        <w:rPr>
          <w:w w:val="105"/>
          <w:sz w:val="23"/>
        </w:rPr>
        <w:t xml:space="preserve"> </w:t>
      </w:r>
      <w:r>
        <w:rPr>
          <w:b/>
          <w:w w:val="105"/>
          <w:sz w:val="23"/>
        </w:rPr>
        <w:t xml:space="preserve">Denis Clement Kawishe, </w:t>
      </w:r>
      <w:r>
        <w:rPr>
          <w:w w:val="105"/>
          <w:sz w:val="23"/>
        </w:rPr>
        <w:t xml:space="preserve">declare that this thesis titled </w:t>
      </w:r>
      <w:r>
        <w:rPr>
          <w:b/>
          <w:w w:val="105"/>
          <w:sz w:val="23"/>
        </w:rPr>
        <w:t>“</w:t>
      </w:r>
      <w:r>
        <w:rPr>
          <w:b/>
          <w:i/>
          <w:w w:val="105"/>
          <w:sz w:val="23"/>
        </w:rPr>
        <w:t xml:space="preserve">Impact of Market Orientation on Sustainable Competitiveness of Special Group SMEs in Public Procurement: The Moderating Role of Strategic Flexibility” </w:t>
      </w:r>
      <w:r>
        <w:rPr>
          <w:w w:val="105"/>
          <w:sz w:val="23"/>
        </w:rPr>
        <w:t>is my original work and that it has not been pre</w:t>
      </w:r>
      <w:r>
        <w:rPr>
          <w:w w:val="105"/>
          <w:sz w:val="23"/>
        </w:rPr>
        <w:t>sented and will not be presented anywhere or will not be presented to any other institution for any award.</w:t>
      </w: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71"/>
      </w:pPr>
    </w:p>
    <w:p w:rsidR="00487D64" w:rsidRDefault="006F0D93">
      <w:pPr>
        <w:ind w:left="3066" w:right="2508"/>
        <w:jc w:val="center"/>
        <w:rPr>
          <w:sz w:val="23"/>
        </w:rPr>
      </w:pPr>
      <w:r>
        <w:rPr>
          <w:spacing w:val="-2"/>
          <w:w w:val="105"/>
          <w:sz w:val="23"/>
        </w:rPr>
        <w:t>………………………….....</w:t>
      </w:r>
    </w:p>
    <w:p w:rsidR="00487D64" w:rsidRDefault="006F0D93">
      <w:pPr>
        <w:pStyle w:val="BodyText"/>
        <w:spacing w:before="146"/>
        <w:ind w:left="3068" w:right="2499"/>
        <w:jc w:val="center"/>
      </w:pPr>
      <w:r>
        <w:rPr>
          <w:spacing w:val="-2"/>
          <w:w w:val="105"/>
        </w:rPr>
        <w:t>Signature</w:t>
      </w: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197"/>
      </w:pPr>
    </w:p>
    <w:p w:rsidR="00487D64" w:rsidRDefault="006F0D93">
      <w:pPr>
        <w:ind w:left="3066" w:right="2500"/>
        <w:jc w:val="center"/>
        <w:rPr>
          <w:sz w:val="23"/>
        </w:rPr>
      </w:pPr>
      <w:r>
        <w:rPr>
          <w:spacing w:val="-2"/>
          <w:w w:val="105"/>
          <w:sz w:val="23"/>
        </w:rPr>
        <w:t>…………….…………….</w:t>
      </w:r>
    </w:p>
    <w:p w:rsidR="00487D64" w:rsidRDefault="006F0D93">
      <w:pPr>
        <w:pStyle w:val="BodyText"/>
        <w:spacing w:before="154"/>
        <w:ind w:left="3066" w:right="2503"/>
        <w:jc w:val="center"/>
      </w:pPr>
      <w:r>
        <w:rPr>
          <w:spacing w:val="-4"/>
          <w:w w:val="105"/>
        </w:rPr>
        <w:t>Date</w:t>
      </w:r>
    </w:p>
    <w:p w:rsidR="00487D64" w:rsidRDefault="00487D64">
      <w:pPr>
        <w:pStyle w:val="BodyText"/>
        <w:jc w:val="cente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3066" w:right="2511"/>
        <w:jc w:val="center"/>
        <w:rPr>
          <w:b/>
          <w:sz w:val="23"/>
        </w:rPr>
      </w:pPr>
      <w:bookmarkStart w:id="7" w:name="DEDICATION"/>
      <w:bookmarkEnd w:id="7"/>
      <w:r>
        <w:rPr>
          <w:b/>
          <w:spacing w:val="-2"/>
          <w:w w:val="105"/>
          <w:sz w:val="23"/>
        </w:rPr>
        <w:t>DEDICATION</w:t>
      </w:r>
    </w:p>
    <w:p w:rsidR="00487D64" w:rsidRDefault="00487D64">
      <w:pPr>
        <w:pStyle w:val="BodyText"/>
        <w:spacing w:before="18"/>
        <w:rPr>
          <w:b/>
        </w:rPr>
      </w:pPr>
    </w:p>
    <w:p w:rsidR="00487D64" w:rsidRDefault="006F0D93">
      <w:pPr>
        <w:pStyle w:val="BodyText"/>
        <w:spacing w:line="496" w:lineRule="auto"/>
        <w:ind w:left="1419" w:right="851"/>
      </w:pPr>
      <w:r>
        <w:rPr>
          <w:w w:val="105"/>
        </w:rPr>
        <w:t>I dedicate this work to my beloved sons</w:t>
      </w:r>
      <w:r>
        <w:rPr>
          <w:spacing w:val="-1"/>
          <w:w w:val="105"/>
        </w:rPr>
        <w:t xml:space="preserve"> </w:t>
      </w:r>
      <w:r>
        <w:rPr>
          <w:w w:val="105"/>
        </w:rPr>
        <w:t>and daughters, whose presence continues</w:t>
      </w:r>
      <w:r>
        <w:rPr>
          <w:spacing w:val="-1"/>
          <w:w w:val="105"/>
        </w:rPr>
        <w:t xml:space="preserve"> </w:t>
      </w:r>
      <w:r>
        <w:rPr>
          <w:w w:val="105"/>
        </w:rPr>
        <w:t>to give my life purpose and joy.</w:t>
      </w:r>
    </w:p>
    <w:p w:rsidR="00487D64" w:rsidRDefault="00487D64">
      <w:pPr>
        <w:pStyle w:val="BodyText"/>
        <w:spacing w:before="24"/>
      </w:pPr>
    </w:p>
    <w:p w:rsidR="00487D64" w:rsidRDefault="006F0D93">
      <w:pPr>
        <w:pStyle w:val="BodyText"/>
        <w:spacing w:line="504" w:lineRule="auto"/>
        <w:ind w:left="1419" w:right="851"/>
      </w:pPr>
      <w:r>
        <w:rPr>
          <w:w w:val="105"/>
        </w:rPr>
        <w:t>To my loving Wife,</w:t>
      </w:r>
      <w:r>
        <w:rPr>
          <w:spacing w:val="29"/>
          <w:w w:val="105"/>
        </w:rPr>
        <w:t xml:space="preserve"> </w:t>
      </w:r>
      <w:r>
        <w:rPr>
          <w:w w:val="105"/>
        </w:rPr>
        <w:t>for her</w:t>
      </w:r>
      <w:r>
        <w:rPr>
          <w:spacing w:val="31"/>
          <w:w w:val="105"/>
        </w:rPr>
        <w:t xml:space="preserve"> </w:t>
      </w:r>
      <w:r>
        <w:rPr>
          <w:w w:val="105"/>
        </w:rPr>
        <w:t>boundless</w:t>
      </w:r>
      <w:r>
        <w:rPr>
          <w:spacing w:val="25"/>
          <w:w w:val="105"/>
        </w:rPr>
        <w:t xml:space="preserve"> </w:t>
      </w:r>
      <w:r>
        <w:rPr>
          <w:w w:val="105"/>
        </w:rPr>
        <w:t>support, encouragement, and understanding throughout this academic journey.</w:t>
      </w:r>
    </w:p>
    <w:p w:rsidR="00487D64" w:rsidRDefault="00487D64">
      <w:pPr>
        <w:pStyle w:val="BodyText"/>
        <w:spacing w:before="7"/>
      </w:pPr>
    </w:p>
    <w:p w:rsidR="00487D64" w:rsidRDefault="006F0D93">
      <w:pPr>
        <w:pStyle w:val="BodyText"/>
        <w:spacing w:line="504" w:lineRule="auto"/>
        <w:ind w:left="1419" w:right="851"/>
      </w:pPr>
      <w:r>
        <w:rPr>
          <w:w w:val="105"/>
        </w:rPr>
        <w:t>To</w:t>
      </w:r>
      <w:r>
        <w:rPr>
          <w:spacing w:val="-1"/>
          <w:w w:val="105"/>
        </w:rPr>
        <w:t xml:space="preserve"> </w:t>
      </w:r>
      <w:r>
        <w:rPr>
          <w:w w:val="105"/>
        </w:rPr>
        <w:t>my dear parents, Mr. and</w:t>
      </w:r>
      <w:r>
        <w:rPr>
          <w:spacing w:val="-2"/>
          <w:w w:val="105"/>
        </w:rPr>
        <w:t xml:space="preserve"> </w:t>
      </w:r>
      <w:r>
        <w:rPr>
          <w:w w:val="105"/>
        </w:rPr>
        <w:t>Mrs.</w:t>
      </w:r>
      <w:r>
        <w:rPr>
          <w:spacing w:val="-6"/>
          <w:w w:val="105"/>
        </w:rPr>
        <w:t xml:space="preserve"> </w:t>
      </w:r>
      <w:r>
        <w:rPr>
          <w:w w:val="105"/>
        </w:rPr>
        <w:t>Clement Elias Kawishe, for the</w:t>
      </w:r>
      <w:r>
        <w:rPr>
          <w:spacing w:val="-3"/>
          <w:w w:val="105"/>
        </w:rPr>
        <w:t xml:space="preserve"> </w:t>
      </w:r>
      <w:r>
        <w:rPr>
          <w:w w:val="105"/>
        </w:rPr>
        <w:t>values, discipline, and foundation they instilled in me.</w:t>
      </w:r>
    </w:p>
    <w:p w:rsidR="00487D64" w:rsidRDefault="00487D64">
      <w:pPr>
        <w:pStyle w:val="BodyText"/>
        <w:spacing w:before="8"/>
      </w:pPr>
    </w:p>
    <w:p w:rsidR="00487D64" w:rsidRDefault="006F0D93">
      <w:pPr>
        <w:pStyle w:val="BodyText"/>
        <w:spacing w:line="504" w:lineRule="auto"/>
        <w:ind w:left="1419" w:right="851"/>
      </w:pPr>
      <w:r>
        <w:rPr>
          <w:w w:val="105"/>
        </w:rPr>
        <w:t>And to my cherished siblings, whose faith in me and steadfast patience have been a source of strength and motivation every step of the way.</w:t>
      </w:r>
    </w:p>
    <w:p w:rsidR="00487D64" w:rsidRDefault="00487D64">
      <w:pPr>
        <w:pStyle w:val="BodyText"/>
        <w:spacing w:before="8"/>
      </w:pPr>
    </w:p>
    <w:p w:rsidR="00487D64" w:rsidRDefault="006F0D93">
      <w:pPr>
        <w:pStyle w:val="BodyText"/>
        <w:spacing w:line="504" w:lineRule="auto"/>
        <w:ind w:left="1419" w:right="851"/>
      </w:pPr>
      <w:r>
        <w:rPr>
          <w:w w:val="105"/>
        </w:rPr>
        <w:t>Your love and sacrifice made this achievement possible. T</w:t>
      </w:r>
      <w:r>
        <w:rPr>
          <w:w w:val="105"/>
        </w:rPr>
        <w:t>his accomplishment is as much yours as it is mine.</w:t>
      </w:r>
    </w:p>
    <w:p w:rsidR="00487D64" w:rsidRDefault="00487D64">
      <w:pPr>
        <w:pStyle w:val="BodyText"/>
        <w:spacing w:line="504" w:lineRule="auto"/>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3066" w:right="2509"/>
        <w:jc w:val="center"/>
        <w:rPr>
          <w:b/>
          <w:sz w:val="23"/>
        </w:rPr>
      </w:pPr>
      <w:bookmarkStart w:id="8" w:name="ACKNOWLEDGEMENTS"/>
      <w:bookmarkStart w:id="9" w:name="_bookmark4"/>
      <w:bookmarkEnd w:id="8"/>
      <w:bookmarkEnd w:id="9"/>
      <w:r>
        <w:rPr>
          <w:b/>
          <w:spacing w:val="-2"/>
          <w:w w:val="105"/>
          <w:sz w:val="23"/>
        </w:rPr>
        <w:t>ACKNOWLEDGEMENTS</w:t>
      </w:r>
    </w:p>
    <w:p w:rsidR="00487D64" w:rsidRDefault="00487D64">
      <w:pPr>
        <w:pStyle w:val="BodyText"/>
        <w:spacing w:before="18"/>
        <w:rPr>
          <w:b/>
        </w:rPr>
      </w:pPr>
    </w:p>
    <w:p w:rsidR="00487D64" w:rsidRDefault="006F0D93">
      <w:pPr>
        <w:pStyle w:val="BodyText"/>
        <w:spacing w:line="499" w:lineRule="auto"/>
        <w:ind w:left="1419" w:right="850"/>
        <w:jc w:val="both"/>
      </w:pPr>
      <w:r>
        <w:rPr>
          <w:w w:val="105"/>
        </w:rPr>
        <w:t>First</w:t>
      </w:r>
      <w:r>
        <w:rPr>
          <w:spacing w:val="-4"/>
          <w:w w:val="105"/>
        </w:rPr>
        <w:t xml:space="preserve"> </w:t>
      </w:r>
      <w:r>
        <w:rPr>
          <w:w w:val="105"/>
        </w:rPr>
        <w:t>and</w:t>
      </w:r>
      <w:r>
        <w:rPr>
          <w:spacing w:val="-6"/>
          <w:w w:val="105"/>
        </w:rPr>
        <w:t xml:space="preserve"> </w:t>
      </w:r>
      <w:r>
        <w:rPr>
          <w:w w:val="105"/>
        </w:rPr>
        <w:t>foremost,</w:t>
      </w:r>
      <w:r>
        <w:rPr>
          <w:spacing w:val="-11"/>
          <w:w w:val="105"/>
        </w:rPr>
        <w:t xml:space="preserve"> </w:t>
      </w:r>
      <w:r>
        <w:rPr>
          <w:w w:val="105"/>
        </w:rPr>
        <w:t>I express</w:t>
      </w:r>
      <w:r>
        <w:rPr>
          <w:spacing w:val="-8"/>
          <w:w w:val="105"/>
        </w:rPr>
        <w:t xml:space="preserve"> </w:t>
      </w:r>
      <w:r>
        <w:rPr>
          <w:w w:val="105"/>
        </w:rPr>
        <w:t>my</w:t>
      </w:r>
      <w:r>
        <w:rPr>
          <w:spacing w:val="-6"/>
          <w:w w:val="105"/>
        </w:rPr>
        <w:t xml:space="preserve"> </w:t>
      </w:r>
      <w:r>
        <w:rPr>
          <w:w w:val="105"/>
        </w:rPr>
        <w:t>profound</w:t>
      </w:r>
      <w:r>
        <w:rPr>
          <w:spacing w:val="-6"/>
          <w:w w:val="105"/>
        </w:rPr>
        <w:t xml:space="preserve"> </w:t>
      </w:r>
      <w:r>
        <w:rPr>
          <w:w w:val="105"/>
        </w:rPr>
        <w:t>gratitude</w:t>
      </w:r>
      <w:r>
        <w:rPr>
          <w:spacing w:val="-7"/>
          <w:w w:val="105"/>
        </w:rPr>
        <w:t xml:space="preserve"> </w:t>
      </w:r>
      <w:r>
        <w:rPr>
          <w:w w:val="105"/>
        </w:rPr>
        <w:t>to</w:t>
      </w:r>
      <w:r>
        <w:rPr>
          <w:spacing w:val="-12"/>
          <w:w w:val="105"/>
        </w:rPr>
        <w:t xml:space="preserve"> </w:t>
      </w:r>
      <w:r>
        <w:rPr>
          <w:w w:val="105"/>
        </w:rPr>
        <w:t>the</w:t>
      </w:r>
      <w:r>
        <w:rPr>
          <w:spacing w:val="-7"/>
          <w:w w:val="105"/>
        </w:rPr>
        <w:t xml:space="preserve"> </w:t>
      </w:r>
      <w:r>
        <w:rPr>
          <w:w w:val="105"/>
        </w:rPr>
        <w:t>Almighty</w:t>
      </w:r>
      <w:r>
        <w:rPr>
          <w:spacing w:val="-12"/>
          <w:w w:val="105"/>
        </w:rPr>
        <w:t xml:space="preserve"> </w:t>
      </w:r>
      <w:r>
        <w:rPr>
          <w:w w:val="105"/>
        </w:rPr>
        <w:t>God</w:t>
      </w:r>
      <w:r>
        <w:rPr>
          <w:spacing w:val="-6"/>
          <w:w w:val="105"/>
        </w:rPr>
        <w:t xml:space="preserve"> </w:t>
      </w:r>
      <w:r>
        <w:rPr>
          <w:w w:val="105"/>
        </w:rPr>
        <w:t>for</w:t>
      </w:r>
      <w:r>
        <w:rPr>
          <w:spacing w:val="-2"/>
          <w:w w:val="105"/>
        </w:rPr>
        <w:t xml:space="preserve"> </w:t>
      </w:r>
      <w:r>
        <w:rPr>
          <w:w w:val="105"/>
        </w:rPr>
        <w:t>granting me the strength, perseverance, and intellectual stamina throughout this academic</w:t>
      </w:r>
      <w:r>
        <w:rPr>
          <w:w w:val="105"/>
        </w:rPr>
        <w:t xml:space="preserve"> </w:t>
      </w:r>
      <w:r>
        <w:rPr>
          <w:spacing w:val="-2"/>
          <w:w w:val="105"/>
        </w:rPr>
        <w:t>pursuit.</w:t>
      </w:r>
    </w:p>
    <w:p w:rsidR="00487D64" w:rsidRDefault="00487D64">
      <w:pPr>
        <w:pStyle w:val="BodyText"/>
        <w:spacing w:before="23"/>
      </w:pPr>
    </w:p>
    <w:p w:rsidR="00487D64" w:rsidRDefault="006F0D93">
      <w:pPr>
        <w:pStyle w:val="BodyText"/>
        <w:spacing w:line="499" w:lineRule="auto"/>
        <w:ind w:left="1419" w:right="848"/>
        <w:jc w:val="both"/>
      </w:pPr>
      <w:r>
        <w:rPr>
          <w:w w:val="105"/>
        </w:rPr>
        <w:t>I am sincerely indebted to my supervisors, Prof. Alban Mchopa and Dr. France Shayo, whose invaluable guidance, constructive feedback, and unwavering support have shaped the quality of this work. Their scholarly insights and mentorship have not</w:t>
      </w:r>
      <w:r>
        <w:rPr>
          <w:w w:val="105"/>
        </w:rPr>
        <w:t xml:space="preserve"> only enriched this research but also significantly contributed to my academic </w:t>
      </w:r>
      <w:r>
        <w:rPr>
          <w:spacing w:val="-2"/>
          <w:w w:val="105"/>
        </w:rPr>
        <w:t>growth.</w:t>
      </w:r>
    </w:p>
    <w:p w:rsidR="00487D64" w:rsidRDefault="00487D64">
      <w:pPr>
        <w:pStyle w:val="BodyText"/>
        <w:spacing w:before="24"/>
      </w:pPr>
    </w:p>
    <w:p w:rsidR="00487D64" w:rsidRDefault="006F0D93">
      <w:pPr>
        <w:pStyle w:val="BodyText"/>
        <w:spacing w:before="1" w:line="499" w:lineRule="auto"/>
        <w:ind w:left="1419" w:right="849"/>
        <w:jc w:val="both"/>
      </w:pPr>
      <w:r>
        <w:rPr>
          <w:w w:val="105"/>
        </w:rPr>
        <w:t>My appreciation also extends to the members of the Faculty of Business Management for their intellectual contributions and administrative support, which made this resea</w:t>
      </w:r>
      <w:r>
        <w:rPr>
          <w:w w:val="105"/>
        </w:rPr>
        <w:t>rch experience both meaningful and manageable.</w:t>
      </w:r>
    </w:p>
    <w:p w:rsidR="00487D64" w:rsidRDefault="00487D64">
      <w:pPr>
        <w:pStyle w:val="BodyText"/>
        <w:spacing w:before="22"/>
      </w:pPr>
    </w:p>
    <w:p w:rsidR="00487D64" w:rsidRDefault="006F0D93">
      <w:pPr>
        <w:pStyle w:val="BodyText"/>
        <w:spacing w:before="1" w:line="499" w:lineRule="auto"/>
        <w:ind w:left="1419" w:right="850"/>
        <w:jc w:val="both"/>
      </w:pPr>
      <w:r>
        <w:rPr>
          <w:w w:val="105"/>
        </w:rPr>
        <w:t>Special thanks go to the Special Group SMEs who willingly participated in this study. Their openness, time, and cooperation were indispensable in making this research possible.</w:t>
      </w:r>
    </w:p>
    <w:p w:rsidR="00487D64" w:rsidRDefault="00487D64">
      <w:pPr>
        <w:pStyle w:val="BodyText"/>
        <w:spacing w:before="15"/>
      </w:pPr>
    </w:p>
    <w:p w:rsidR="00487D64" w:rsidRDefault="006F0D93">
      <w:pPr>
        <w:pStyle w:val="BodyText"/>
        <w:spacing w:line="504" w:lineRule="auto"/>
        <w:ind w:left="1419" w:right="859"/>
        <w:jc w:val="both"/>
      </w:pPr>
      <w:r>
        <w:rPr>
          <w:w w:val="105"/>
        </w:rPr>
        <w:t xml:space="preserve">I also wish to acknowledge my </w:t>
      </w:r>
      <w:r>
        <w:rPr>
          <w:w w:val="105"/>
        </w:rPr>
        <w:t xml:space="preserve">fellow researchers, colleagues, and friends who offered encouragement, shared insights, and supported me along this academic </w:t>
      </w:r>
      <w:r>
        <w:rPr>
          <w:spacing w:val="-2"/>
          <w:w w:val="105"/>
        </w:rPr>
        <w:t>journey.</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3066" w:right="2509"/>
        <w:jc w:val="center"/>
        <w:rPr>
          <w:b/>
          <w:sz w:val="23"/>
        </w:rPr>
      </w:pPr>
      <w:bookmarkStart w:id="10" w:name="ABSTRACT"/>
      <w:bookmarkStart w:id="11" w:name="_bookmark5"/>
      <w:bookmarkEnd w:id="10"/>
      <w:bookmarkEnd w:id="11"/>
      <w:r>
        <w:rPr>
          <w:b/>
          <w:spacing w:val="-2"/>
          <w:w w:val="105"/>
          <w:sz w:val="23"/>
        </w:rPr>
        <w:t>ABSTRACT</w:t>
      </w:r>
    </w:p>
    <w:p w:rsidR="00487D64" w:rsidRDefault="00487D64">
      <w:pPr>
        <w:pStyle w:val="BodyText"/>
        <w:spacing w:before="18"/>
        <w:rPr>
          <w:b/>
        </w:rPr>
      </w:pPr>
    </w:p>
    <w:p w:rsidR="00487D64" w:rsidRDefault="006F0D93">
      <w:pPr>
        <w:pStyle w:val="BodyText"/>
        <w:spacing w:line="501" w:lineRule="auto"/>
        <w:ind w:left="1419" w:right="850"/>
        <w:jc w:val="both"/>
      </w:pPr>
      <w:r>
        <w:rPr>
          <w:w w:val="105"/>
        </w:rPr>
        <w:t>This study investigated the impact of market orientation on the</w:t>
      </w:r>
      <w:r>
        <w:rPr>
          <w:w w:val="105"/>
        </w:rPr>
        <w:t xml:space="preserve"> sustainable competitiveness of special group Small and Medium Enterprises (SMEs) in public procurement,</w:t>
      </w:r>
      <w:r>
        <w:rPr>
          <w:spacing w:val="-6"/>
          <w:w w:val="105"/>
        </w:rPr>
        <w:t xml:space="preserve"> </w:t>
      </w:r>
      <w:r>
        <w:rPr>
          <w:w w:val="105"/>
        </w:rPr>
        <w:t>focusing</w:t>
      </w:r>
      <w:r>
        <w:rPr>
          <w:spacing w:val="-7"/>
          <w:w w:val="105"/>
        </w:rPr>
        <w:t xml:space="preserve"> </w:t>
      </w:r>
      <w:r>
        <w:rPr>
          <w:w w:val="105"/>
        </w:rPr>
        <w:t>on</w:t>
      </w:r>
      <w:r>
        <w:rPr>
          <w:spacing w:val="-14"/>
          <w:w w:val="105"/>
        </w:rPr>
        <w:t xml:space="preserve"> </w:t>
      </w:r>
      <w:r>
        <w:rPr>
          <w:w w:val="105"/>
        </w:rPr>
        <w:t>the</w:t>
      </w:r>
      <w:r>
        <w:rPr>
          <w:spacing w:val="-8"/>
          <w:w w:val="105"/>
        </w:rPr>
        <w:t xml:space="preserve"> </w:t>
      </w:r>
      <w:r>
        <w:rPr>
          <w:w w:val="105"/>
        </w:rPr>
        <w:t>moderating</w:t>
      </w:r>
      <w:r>
        <w:rPr>
          <w:spacing w:val="-14"/>
          <w:w w:val="105"/>
        </w:rPr>
        <w:t xml:space="preserve"> </w:t>
      </w:r>
      <w:r>
        <w:rPr>
          <w:w w:val="105"/>
        </w:rPr>
        <w:t>role</w:t>
      </w:r>
      <w:r>
        <w:rPr>
          <w:spacing w:val="-8"/>
          <w:w w:val="105"/>
        </w:rPr>
        <w:t xml:space="preserve"> </w:t>
      </w:r>
      <w:r>
        <w:rPr>
          <w:w w:val="105"/>
        </w:rPr>
        <w:t>of</w:t>
      </w:r>
      <w:r>
        <w:rPr>
          <w:spacing w:val="-10"/>
          <w:w w:val="105"/>
        </w:rPr>
        <w:t xml:space="preserve"> </w:t>
      </w:r>
      <w:r>
        <w:rPr>
          <w:w w:val="105"/>
        </w:rPr>
        <w:t>strategic</w:t>
      </w:r>
      <w:r>
        <w:rPr>
          <w:spacing w:val="-2"/>
          <w:w w:val="105"/>
        </w:rPr>
        <w:t xml:space="preserve"> </w:t>
      </w:r>
      <w:r>
        <w:rPr>
          <w:w w:val="105"/>
        </w:rPr>
        <w:t>flexibility.</w:t>
      </w:r>
      <w:r>
        <w:rPr>
          <w:spacing w:val="-6"/>
          <w:w w:val="105"/>
        </w:rPr>
        <w:t xml:space="preserve"> </w:t>
      </w:r>
      <w:r>
        <w:rPr>
          <w:w w:val="105"/>
        </w:rPr>
        <w:t>Grounded</w:t>
      </w:r>
      <w:r>
        <w:rPr>
          <w:spacing w:val="-7"/>
          <w:w w:val="105"/>
        </w:rPr>
        <w:t xml:space="preserve"> </w:t>
      </w:r>
      <w:r>
        <w:rPr>
          <w:w w:val="105"/>
        </w:rPr>
        <w:t>in</w:t>
      </w:r>
      <w:r>
        <w:rPr>
          <w:spacing w:val="-7"/>
          <w:w w:val="105"/>
        </w:rPr>
        <w:t xml:space="preserve"> </w:t>
      </w:r>
      <w:r>
        <w:rPr>
          <w:w w:val="105"/>
        </w:rPr>
        <w:t>the Market</w:t>
      </w:r>
      <w:r>
        <w:rPr>
          <w:spacing w:val="-3"/>
          <w:w w:val="105"/>
        </w:rPr>
        <w:t xml:space="preserve"> </w:t>
      </w:r>
      <w:r>
        <w:rPr>
          <w:w w:val="105"/>
        </w:rPr>
        <w:t>Orientation</w:t>
      </w:r>
      <w:r>
        <w:rPr>
          <w:spacing w:val="-11"/>
          <w:w w:val="105"/>
        </w:rPr>
        <w:t xml:space="preserve"> </w:t>
      </w:r>
      <w:r>
        <w:rPr>
          <w:w w:val="105"/>
        </w:rPr>
        <w:t>Theory</w:t>
      </w:r>
      <w:r>
        <w:rPr>
          <w:spacing w:val="-11"/>
          <w:w w:val="105"/>
        </w:rPr>
        <w:t xml:space="preserve"> </w:t>
      </w:r>
      <w:r>
        <w:rPr>
          <w:w w:val="105"/>
        </w:rPr>
        <w:t>and</w:t>
      </w:r>
      <w:r>
        <w:rPr>
          <w:spacing w:val="-11"/>
          <w:w w:val="105"/>
        </w:rPr>
        <w:t xml:space="preserve"> </w:t>
      </w:r>
      <w:r>
        <w:rPr>
          <w:w w:val="105"/>
        </w:rPr>
        <w:t>Dynamic</w:t>
      </w:r>
      <w:r>
        <w:rPr>
          <w:spacing w:val="-12"/>
          <w:w w:val="105"/>
        </w:rPr>
        <w:t xml:space="preserve"> </w:t>
      </w:r>
      <w:r>
        <w:rPr>
          <w:w w:val="105"/>
        </w:rPr>
        <w:t>Capability</w:t>
      </w:r>
      <w:r>
        <w:rPr>
          <w:spacing w:val="-5"/>
          <w:w w:val="105"/>
        </w:rPr>
        <w:t xml:space="preserve"> </w:t>
      </w:r>
      <w:r>
        <w:rPr>
          <w:w w:val="105"/>
        </w:rPr>
        <w:t>Theory,</w:t>
      </w:r>
      <w:r>
        <w:rPr>
          <w:spacing w:val="-3"/>
          <w:w w:val="105"/>
        </w:rPr>
        <w:t xml:space="preserve"> </w:t>
      </w:r>
      <w:r>
        <w:rPr>
          <w:w w:val="105"/>
        </w:rPr>
        <w:t>it</w:t>
      </w:r>
      <w:r>
        <w:rPr>
          <w:spacing w:val="-3"/>
          <w:w w:val="105"/>
        </w:rPr>
        <w:t xml:space="preserve"> </w:t>
      </w:r>
      <w:r>
        <w:rPr>
          <w:w w:val="105"/>
        </w:rPr>
        <w:t>explored</w:t>
      </w:r>
      <w:r>
        <w:rPr>
          <w:spacing w:val="-5"/>
          <w:w w:val="105"/>
        </w:rPr>
        <w:t xml:space="preserve"> </w:t>
      </w:r>
      <w:r>
        <w:rPr>
          <w:w w:val="105"/>
        </w:rPr>
        <w:t>how market- driven behaviors</w:t>
      </w:r>
      <w:r>
        <w:rPr>
          <w:spacing w:val="-5"/>
          <w:w w:val="105"/>
        </w:rPr>
        <w:t xml:space="preserve"> </w:t>
      </w:r>
      <w:r>
        <w:rPr>
          <w:w w:val="105"/>
        </w:rPr>
        <w:t>and</w:t>
      </w:r>
      <w:r>
        <w:rPr>
          <w:spacing w:val="-3"/>
          <w:w w:val="105"/>
        </w:rPr>
        <w:t xml:space="preserve"> </w:t>
      </w:r>
      <w:r>
        <w:rPr>
          <w:w w:val="105"/>
        </w:rPr>
        <w:t>adaptive capabilities enhance competitiveness within regulated procurement systems. An explanatory</w:t>
      </w:r>
      <w:r>
        <w:rPr>
          <w:spacing w:val="-3"/>
          <w:w w:val="105"/>
        </w:rPr>
        <w:t xml:space="preserve"> </w:t>
      </w:r>
      <w:r>
        <w:rPr>
          <w:w w:val="105"/>
        </w:rPr>
        <w:t>and quantitative</w:t>
      </w:r>
      <w:r>
        <w:rPr>
          <w:spacing w:val="-4"/>
          <w:w w:val="105"/>
        </w:rPr>
        <w:t xml:space="preserve"> </w:t>
      </w:r>
      <w:r>
        <w:rPr>
          <w:w w:val="105"/>
        </w:rPr>
        <w:t xml:space="preserve">research design was adopted, using a census sampling technique targeting all special group SMEs registered </w:t>
      </w:r>
      <w:r>
        <w:rPr>
          <w:w w:val="105"/>
        </w:rPr>
        <w:t>with the Public Procurement Regulatory Authority (PPRA). Data were collected through structured questionnaires from 503 firms, with 393 valid responses. Analysis was conducted using Partial Least Squares Structural Equation Modeling (PLS-SEM) through Smart</w:t>
      </w:r>
      <w:r>
        <w:rPr>
          <w:w w:val="105"/>
        </w:rPr>
        <w:t xml:space="preserve">PLS 4 software. Findings showed that customer orientation and competitor orientation significantly enhance sustainable competitiveness, while functional coordination had no significant effect. Strategic flexibility significantly moderated the relationship </w:t>
      </w:r>
      <w:r>
        <w:rPr>
          <w:w w:val="105"/>
        </w:rPr>
        <w:t>between competitor orientation and sustainable competitiveness and strengthened the interaction between customer orientation and competitiveness. The study concludes that market orientation is a key driver of sustainable</w:t>
      </w:r>
      <w:r>
        <w:rPr>
          <w:spacing w:val="-11"/>
          <w:w w:val="105"/>
        </w:rPr>
        <w:t xml:space="preserve"> </w:t>
      </w:r>
      <w:r>
        <w:rPr>
          <w:w w:val="105"/>
        </w:rPr>
        <w:t>competitiveness</w:t>
      </w:r>
      <w:r>
        <w:rPr>
          <w:spacing w:val="-12"/>
          <w:w w:val="105"/>
        </w:rPr>
        <w:t xml:space="preserve"> </w:t>
      </w:r>
      <w:r>
        <w:rPr>
          <w:w w:val="105"/>
        </w:rPr>
        <w:t>among</w:t>
      </w:r>
      <w:r>
        <w:rPr>
          <w:spacing w:val="-4"/>
          <w:w w:val="105"/>
        </w:rPr>
        <w:t xml:space="preserve"> </w:t>
      </w:r>
      <w:r>
        <w:rPr>
          <w:w w:val="105"/>
        </w:rPr>
        <w:t>special</w:t>
      </w:r>
      <w:r>
        <w:rPr>
          <w:spacing w:val="-8"/>
          <w:w w:val="105"/>
        </w:rPr>
        <w:t xml:space="preserve"> </w:t>
      </w:r>
      <w:r>
        <w:rPr>
          <w:w w:val="105"/>
        </w:rPr>
        <w:t>group</w:t>
      </w:r>
      <w:r>
        <w:rPr>
          <w:spacing w:val="-10"/>
          <w:w w:val="105"/>
        </w:rPr>
        <w:t xml:space="preserve"> </w:t>
      </w:r>
      <w:r>
        <w:rPr>
          <w:w w:val="105"/>
        </w:rPr>
        <w:t>SMEs,</w:t>
      </w:r>
      <w:r>
        <w:rPr>
          <w:spacing w:val="-8"/>
          <w:w w:val="105"/>
        </w:rPr>
        <w:t xml:space="preserve"> </w:t>
      </w:r>
      <w:r>
        <w:rPr>
          <w:w w:val="105"/>
        </w:rPr>
        <w:t>depending</w:t>
      </w:r>
      <w:r>
        <w:rPr>
          <w:spacing w:val="-10"/>
          <w:w w:val="105"/>
        </w:rPr>
        <w:t xml:space="preserve"> </w:t>
      </w:r>
      <w:r>
        <w:rPr>
          <w:w w:val="105"/>
        </w:rPr>
        <w:t>on</w:t>
      </w:r>
      <w:r>
        <w:rPr>
          <w:spacing w:val="-10"/>
          <w:w w:val="105"/>
        </w:rPr>
        <w:t xml:space="preserve"> </w:t>
      </w:r>
      <w:r>
        <w:rPr>
          <w:w w:val="105"/>
        </w:rPr>
        <w:t>their</w:t>
      </w:r>
      <w:r>
        <w:rPr>
          <w:spacing w:val="-7"/>
          <w:w w:val="105"/>
        </w:rPr>
        <w:t xml:space="preserve"> </w:t>
      </w:r>
      <w:r>
        <w:rPr>
          <w:w w:val="105"/>
        </w:rPr>
        <w:t>ability</w:t>
      </w:r>
      <w:r>
        <w:rPr>
          <w:spacing w:val="-10"/>
          <w:w w:val="105"/>
        </w:rPr>
        <w:t xml:space="preserve"> </w:t>
      </w:r>
      <w:r>
        <w:rPr>
          <w:w w:val="105"/>
        </w:rPr>
        <w:t>to adapt strategies and resources through strategic flexibility. It recommends strengthening customer and competitor-oriented practices and enhancing capacity- building on flexibility, resource management, and inter-functi</w:t>
      </w:r>
      <w:r>
        <w:rPr>
          <w:w w:val="105"/>
        </w:rPr>
        <w:t>onal collaboration.</w:t>
      </w:r>
    </w:p>
    <w:p w:rsidR="00487D64" w:rsidRDefault="006F0D93">
      <w:pPr>
        <w:spacing w:before="225" w:line="504" w:lineRule="auto"/>
        <w:ind w:left="1419" w:right="859"/>
        <w:jc w:val="both"/>
        <w:rPr>
          <w:i/>
          <w:sz w:val="23"/>
        </w:rPr>
      </w:pPr>
      <w:r>
        <w:rPr>
          <w:b/>
          <w:w w:val="105"/>
          <w:sz w:val="23"/>
        </w:rPr>
        <w:t xml:space="preserve">Keywords: </w:t>
      </w:r>
      <w:r>
        <w:rPr>
          <w:i/>
          <w:w w:val="105"/>
          <w:sz w:val="23"/>
        </w:rPr>
        <w:t>Market Orientation, Strategic Flexibility, Sustainable Competitiveness, Special Group SMEs, Public Procurement.</w:t>
      </w:r>
    </w:p>
    <w:p w:rsidR="00487D64" w:rsidRDefault="00487D64">
      <w:pPr>
        <w:spacing w:line="504" w:lineRule="auto"/>
        <w:jc w:val="both"/>
        <w:rPr>
          <w:i/>
          <w:sz w:val="23"/>
        </w:rPr>
        <w:sectPr w:rsidR="00487D64">
          <w:pgSz w:w="11910" w:h="16850"/>
          <w:pgMar w:top="980" w:right="566" w:bottom="280" w:left="850" w:header="725" w:footer="0" w:gutter="0"/>
          <w:cols w:space="720"/>
        </w:sectPr>
      </w:pPr>
    </w:p>
    <w:p w:rsidR="00487D64" w:rsidRDefault="00487D64">
      <w:pPr>
        <w:pStyle w:val="BodyText"/>
        <w:rPr>
          <w:i/>
        </w:rPr>
      </w:pPr>
    </w:p>
    <w:p w:rsidR="00487D64" w:rsidRDefault="00487D64">
      <w:pPr>
        <w:pStyle w:val="BodyText"/>
        <w:rPr>
          <w:i/>
        </w:rPr>
      </w:pPr>
    </w:p>
    <w:p w:rsidR="00487D64" w:rsidRDefault="00487D64">
      <w:pPr>
        <w:pStyle w:val="BodyText"/>
        <w:rPr>
          <w:i/>
        </w:rPr>
      </w:pPr>
    </w:p>
    <w:p w:rsidR="00487D64" w:rsidRDefault="00487D64">
      <w:pPr>
        <w:pStyle w:val="BodyText"/>
        <w:spacing w:before="238"/>
        <w:rPr>
          <w:i/>
        </w:rPr>
      </w:pPr>
    </w:p>
    <w:p w:rsidR="00487D64" w:rsidRDefault="006F0D93">
      <w:pPr>
        <w:spacing w:before="1"/>
        <w:ind w:left="3066" w:right="2509"/>
        <w:jc w:val="center"/>
        <w:rPr>
          <w:b/>
          <w:sz w:val="23"/>
        </w:rPr>
      </w:pPr>
      <w:bookmarkStart w:id="12" w:name="TABLE_OF_CONTENTS"/>
      <w:bookmarkStart w:id="13" w:name="_bookmark6"/>
      <w:bookmarkEnd w:id="12"/>
      <w:bookmarkEnd w:id="13"/>
      <w:r>
        <w:rPr>
          <w:b/>
          <w:sz w:val="23"/>
        </w:rPr>
        <w:t>TABLE</w:t>
      </w:r>
      <w:r>
        <w:rPr>
          <w:b/>
          <w:spacing w:val="20"/>
          <w:sz w:val="23"/>
        </w:rPr>
        <w:t xml:space="preserve"> </w:t>
      </w:r>
      <w:r>
        <w:rPr>
          <w:b/>
          <w:sz w:val="23"/>
        </w:rPr>
        <w:t>OF</w:t>
      </w:r>
      <w:r>
        <w:rPr>
          <w:b/>
          <w:spacing w:val="18"/>
          <w:sz w:val="23"/>
        </w:rPr>
        <w:t xml:space="preserve"> </w:t>
      </w:r>
      <w:r>
        <w:rPr>
          <w:b/>
          <w:spacing w:val="-2"/>
          <w:sz w:val="23"/>
        </w:rPr>
        <w:t>CONTENTS</w:t>
      </w:r>
    </w:p>
    <w:p w:rsidR="00487D64" w:rsidRDefault="006F0D93">
      <w:pPr>
        <w:pStyle w:val="Heading1"/>
        <w:tabs>
          <w:tab w:val="right" w:leader="dot" w:pos="9624"/>
        </w:tabs>
        <w:spacing w:before="405"/>
        <w:ind w:left="1419" w:firstLine="0"/>
      </w:pPr>
      <w:hyperlink w:anchor="_bookmark0" w:history="1">
        <w:r>
          <w:rPr>
            <w:spacing w:val="-2"/>
          </w:rPr>
          <w:t>CERTIFICATION</w:t>
        </w:r>
        <w:r>
          <w:tab/>
        </w:r>
        <w:r>
          <w:rPr>
            <w:spacing w:val="-5"/>
          </w:rPr>
          <w:t>ii</w:t>
        </w:r>
      </w:hyperlink>
    </w:p>
    <w:p w:rsidR="00487D64" w:rsidRDefault="006F0D93">
      <w:pPr>
        <w:pStyle w:val="Heading1"/>
        <w:tabs>
          <w:tab w:val="right" w:leader="dot" w:pos="9624"/>
        </w:tabs>
        <w:spacing w:before="405"/>
        <w:ind w:left="1419" w:firstLine="0"/>
      </w:pPr>
      <w:hyperlink w:anchor="_bookmark1" w:history="1">
        <w:r>
          <w:rPr>
            <w:spacing w:val="-2"/>
          </w:rPr>
          <w:t>COPYRIGHT</w:t>
        </w:r>
        <w:r>
          <w:tab/>
        </w:r>
        <w:r>
          <w:rPr>
            <w:spacing w:val="-5"/>
          </w:rPr>
          <w:t>iii</w:t>
        </w:r>
      </w:hyperlink>
    </w:p>
    <w:p w:rsidR="00487D64" w:rsidRDefault="006F0D93">
      <w:pPr>
        <w:pStyle w:val="Heading1"/>
        <w:tabs>
          <w:tab w:val="right" w:leader="dot" w:pos="9627"/>
        </w:tabs>
        <w:spacing w:before="406"/>
        <w:ind w:left="1419" w:firstLine="0"/>
      </w:pPr>
      <w:hyperlink w:anchor="_bookmark2" w:history="1">
        <w:r>
          <w:rPr>
            <w:spacing w:val="-2"/>
          </w:rPr>
          <w:t>DECLARATION</w:t>
        </w:r>
        <w:r>
          <w:tab/>
        </w:r>
        <w:r>
          <w:rPr>
            <w:spacing w:val="-5"/>
          </w:rPr>
          <w:t>iv</w:t>
        </w:r>
      </w:hyperlink>
    </w:p>
    <w:p w:rsidR="00487D64" w:rsidRDefault="006F0D93">
      <w:pPr>
        <w:pStyle w:val="Heading1"/>
        <w:tabs>
          <w:tab w:val="right" w:leader="dot" w:pos="9628"/>
        </w:tabs>
        <w:spacing w:before="413"/>
        <w:ind w:left="1419" w:firstLine="0"/>
      </w:pPr>
      <w:hyperlink w:anchor="_bookmark3" w:history="1">
        <w:r>
          <w:rPr>
            <w:spacing w:val="-2"/>
          </w:rPr>
          <w:t>DEDICATION</w:t>
        </w:r>
        <w:r>
          <w:tab/>
        </w:r>
        <w:r>
          <w:rPr>
            <w:spacing w:val="-10"/>
          </w:rPr>
          <w:t>v</w:t>
        </w:r>
      </w:hyperlink>
    </w:p>
    <w:p w:rsidR="00487D64" w:rsidRDefault="006F0D93">
      <w:pPr>
        <w:pStyle w:val="Heading1"/>
        <w:tabs>
          <w:tab w:val="right" w:leader="dot" w:pos="9636"/>
        </w:tabs>
        <w:spacing w:before="405"/>
        <w:ind w:left="1419" w:firstLine="0"/>
      </w:pPr>
      <w:hyperlink w:anchor="_bookmark4" w:history="1">
        <w:r>
          <w:rPr>
            <w:spacing w:val="-2"/>
          </w:rPr>
          <w:t>ACKNOWLEDGEMENTS</w:t>
        </w:r>
        <w:r>
          <w:tab/>
        </w:r>
        <w:r>
          <w:rPr>
            <w:spacing w:val="-5"/>
          </w:rPr>
          <w:t>vi</w:t>
        </w:r>
      </w:hyperlink>
    </w:p>
    <w:p w:rsidR="00487D64" w:rsidRDefault="006F0D93">
      <w:pPr>
        <w:pStyle w:val="Heading1"/>
        <w:tabs>
          <w:tab w:val="right" w:leader="dot" w:pos="9633"/>
        </w:tabs>
        <w:spacing w:before="290"/>
        <w:ind w:left="1419" w:firstLine="0"/>
      </w:pPr>
      <w:hyperlink w:anchor="_bookmark5" w:history="1">
        <w:r>
          <w:rPr>
            <w:spacing w:val="-2"/>
          </w:rPr>
          <w:t>ABSTRACT</w:t>
        </w:r>
        <w:r>
          <w:tab/>
        </w:r>
        <w:r>
          <w:rPr>
            <w:spacing w:val="-5"/>
          </w:rPr>
          <w:t>vii</w:t>
        </w:r>
      </w:hyperlink>
    </w:p>
    <w:p w:rsidR="00487D64" w:rsidRDefault="006F0D93">
      <w:pPr>
        <w:pStyle w:val="Heading1"/>
        <w:tabs>
          <w:tab w:val="right" w:leader="dot" w:pos="9633"/>
        </w:tabs>
        <w:spacing w:before="405"/>
        <w:ind w:left="1419" w:firstLine="0"/>
      </w:pPr>
      <w:hyperlink w:anchor="_bookmark6" w:history="1">
        <w:r>
          <w:t>TABLE</w:t>
        </w:r>
        <w:r>
          <w:rPr>
            <w:spacing w:val="20"/>
          </w:rPr>
          <w:t xml:space="preserve"> </w:t>
        </w:r>
        <w:r>
          <w:t>OF</w:t>
        </w:r>
        <w:r>
          <w:rPr>
            <w:spacing w:val="18"/>
          </w:rPr>
          <w:t xml:space="preserve"> </w:t>
        </w:r>
        <w:r>
          <w:rPr>
            <w:spacing w:val="-2"/>
          </w:rPr>
          <w:t>CONTENTS</w:t>
        </w:r>
        <w:r>
          <w:tab/>
        </w:r>
        <w:r>
          <w:rPr>
            <w:spacing w:val="-4"/>
          </w:rPr>
          <w:t>viii</w:t>
        </w:r>
      </w:hyperlink>
    </w:p>
    <w:p w:rsidR="00487D64" w:rsidRDefault="006F0D93">
      <w:pPr>
        <w:pStyle w:val="Heading1"/>
        <w:tabs>
          <w:tab w:val="right" w:leader="dot" w:pos="9624"/>
        </w:tabs>
        <w:spacing w:before="406"/>
        <w:ind w:left="1419" w:firstLine="0"/>
      </w:pPr>
      <w:hyperlink w:anchor="_bookmark7" w:history="1">
        <w:r>
          <w:t>LIST</w:t>
        </w:r>
        <w:r>
          <w:rPr>
            <w:spacing w:val="15"/>
          </w:rPr>
          <w:t xml:space="preserve"> </w:t>
        </w:r>
        <w:r>
          <w:t>OF</w:t>
        </w:r>
        <w:r>
          <w:rPr>
            <w:spacing w:val="14"/>
          </w:rPr>
          <w:t xml:space="preserve"> </w:t>
        </w:r>
        <w:r>
          <w:rPr>
            <w:spacing w:val="-2"/>
          </w:rPr>
          <w:t>TABLES</w:t>
        </w:r>
        <w:r>
          <w:tab/>
        </w:r>
        <w:r>
          <w:rPr>
            <w:spacing w:val="-5"/>
          </w:rPr>
          <w:t>xv</w:t>
        </w:r>
      </w:hyperlink>
    </w:p>
    <w:bookmarkStart w:id="14" w:name="_GoBack"/>
    <w:bookmarkEnd w:id="14"/>
    <w:p w:rsidR="00487D64" w:rsidRDefault="006F0D93">
      <w:pPr>
        <w:pStyle w:val="Heading1"/>
        <w:tabs>
          <w:tab w:val="right" w:leader="dot" w:pos="9625"/>
        </w:tabs>
        <w:spacing w:before="412"/>
        <w:ind w:left="1419" w:firstLine="0"/>
      </w:pPr>
      <w:r>
        <w:fldChar w:fldCharType="begin"/>
      </w:r>
      <w:r>
        <w:instrText xml:space="preserve"> HYPERLINK \l "_bookmark8" </w:instrText>
      </w:r>
      <w:r>
        <w:fldChar w:fldCharType="separate"/>
      </w:r>
      <w:r>
        <w:t>LIST</w:t>
      </w:r>
      <w:r>
        <w:rPr>
          <w:spacing w:val="15"/>
        </w:rPr>
        <w:t xml:space="preserve"> </w:t>
      </w:r>
      <w:r>
        <w:t>OF</w:t>
      </w:r>
      <w:r>
        <w:rPr>
          <w:spacing w:val="21"/>
        </w:rPr>
        <w:t xml:space="preserve"> </w:t>
      </w:r>
      <w:r>
        <w:rPr>
          <w:spacing w:val="-2"/>
        </w:rPr>
        <w:t>ABBREVIATIONS</w:t>
      </w:r>
      <w:r>
        <w:tab/>
      </w:r>
      <w:r>
        <w:rPr>
          <w:spacing w:val="-2"/>
        </w:rPr>
        <w:t>xviii</w:t>
      </w:r>
      <w:r>
        <w:rPr>
          <w:spacing w:val="-2"/>
        </w:rPr>
        <w:fldChar w:fldCharType="end"/>
      </w:r>
    </w:p>
    <w:p w:rsidR="00487D64" w:rsidRDefault="006F0D93">
      <w:pPr>
        <w:tabs>
          <w:tab w:val="right" w:leader="dot" w:pos="9628"/>
        </w:tabs>
        <w:spacing w:before="406"/>
        <w:ind w:left="1419"/>
        <w:rPr>
          <w:b/>
          <w:sz w:val="23"/>
        </w:rPr>
      </w:pPr>
      <w:hyperlink w:anchor="_bookmark9" w:history="1">
        <w:r>
          <w:rPr>
            <w:b/>
            <w:spacing w:val="-2"/>
            <w:sz w:val="23"/>
          </w:rPr>
          <w:t>INTRODUCTION</w:t>
        </w:r>
        <w:r>
          <w:rPr>
            <w:b/>
            <w:sz w:val="23"/>
          </w:rPr>
          <w:tab/>
        </w:r>
        <w:r>
          <w:rPr>
            <w:b/>
            <w:spacing w:val="-10"/>
            <w:sz w:val="23"/>
          </w:rPr>
          <w:t>1</w:t>
        </w:r>
      </w:hyperlink>
    </w:p>
    <w:p w:rsidR="00487D64" w:rsidRDefault="006F0D93">
      <w:pPr>
        <w:pStyle w:val="ListParagraph"/>
        <w:numPr>
          <w:ilvl w:val="1"/>
          <w:numId w:val="30"/>
        </w:numPr>
        <w:tabs>
          <w:tab w:val="left" w:pos="2492"/>
          <w:tab w:val="right" w:leader="dot" w:pos="9628"/>
        </w:tabs>
        <w:spacing w:before="405"/>
        <w:ind w:hanging="1073"/>
        <w:rPr>
          <w:sz w:val="23"/>
        </w:rPr>
      </w:pPr>
      <w:hyperlink w:anchor="_bookmark10" w:history="1">
        <w:r>
          <w:rPr>
            <w:sz w:val="23"/>
          </w:rPr>
          <w:t>Chapter</w:t>
        </w:r>
        <w:r>
          <w:rPr>
            <w:spacing w:val="28"/>
            <w:sz w:val="23"/>
          </w:rPr>
          <w:t xml:space="preserve"> </w:t>
        </w:r>
        <w:r>
          <w:rPr>
            <w:spacing w:val="-2"/>
            <w:sz w:val="23"/>
          </w:rPr>
          <w:t>Overview</w:t>
        </w:r>
        <w:r>
          <w:rPr>
            <w:sz w:val="23"/>
          </w:rPr>
          <w:tab/>
        </w:r>
        <w:r>
          <w:rPr>
            <w:spacing w:val="-10"/>
            <w:sz w:val="23"/>
          </w:rPr>
          <w:t>1</w:t>
        </w:r>
      </w:hyperlink>
    </w:p>
    <w:p w:rsidR="00487D64" w:rsidRDefault="006F0D93">
      <w:pPr>
        <w:pStyle w:val="ListParagraph"/>
        <w:numPr>
          <w:ilvl w:val="1"/>
          <w:numId w:val="30"/>
        </w:numPr>
        <w:tabs>
          <w:tab w:val="left" w:pos="2492"/>
          <w:tab w:val="right" w:leader="dot" w:pos="9628"/>
        </w:tabs>
        <w:spacing w:before="405"/>
        <w:ind w:hanging="1073"/>
        <w:rPr>
          <w:sz w:val="23"/>
        </w:rPr>
      </w:pPr>
      <w:hyperlink w:anchor="_bookmark11" w:history="1">
        <w:r>
          <w:rPr>
            <w:sz w:val="23"/>
          </w:rPr>
          <w:t>Background</w:t>
        </w:r>
        <w:r>
          <w:rPr>
            <w:spacing w:val="28"/>
            <w:sz w:val="23"/>
          </w:rPr>
          <w:t xml:space="preserve"> </w:t>
        </w:r>
        <w:r>
          <w:rPr>
            <w:sz w:val="23"/>
          </w:rPr>
          <w:t>of</w:t>
        </w:r>
        <w:r>
          <w:rPr>
            <w:spacing w:val="13"/>
            <w:sz w:val="23"/>
          </w:rPr>
          <w:t xml:space="preserve"> </w:t>
        </w:r>
        <w:r>
          <w:rPr>
            <w:sz w:val="23"/>
          </w:rPr>
          <w:t>the</w:t>
        </w:r>
        <w:r>
          <w:rPr>
            <w:spacing w:val="26"/>
            <w:sz w:val="23"/>
          </w:rPr>
          <w:t xml:space="preserve"> </w:t>
        </w:r>
        <w:r>
          <w:rPr>
            <w:spacing w:val="-4"/>
            <w:sz w:val="23"/>
          </w:rPr>
          <w:t>Study</w:t>
        </w:r>
        <w:r>
          <w:rPr>
            <w:sz w:val="23"/>
          </w:rPr>
          <w:tab/>
        </w:r>
        <w:r>
          <w:rPr>
            <w:spacing w:val="-10"/>
            <w:sz w:val="23"/>
          </w:rPr>
          <w:t>1</w:t>
        </w:r>
      </w:hyperlink>
    </w:p>
    <w:p w:rsidR="00487D64" w:rsidRDefault="006F0D93">
      <w:pPr>
        <w:pStyle w:val="ListParagraph"/>
        <w:numPr>
          <w:ilvl w:val="1"/>
          <w:numId w:val="30"/>
        </w:numPr>
        <w:tabs>
          <w:tab w:val="left" w:pos="2492"/>
          <w:tab w:val="right" w:leader="dot" w:pos="9628"/>
        </w:tabs>
        <w:spacing w:before="406"/>
        <w:ind w:hanging="1073"/>
        <w:rPr>
          <w:sz w:val="23"/>
        </w:rPr>
      </w:pPr>
      <w:hyperlink w:anchor="_bookmark12" w:history="1">
        <w:r>
          <w:rPr>
            <w:sz w:val="23"/>
          </w:rPr>
          <w:t>Statement</w:t>
        </w:r>
        <w:r>
          <w:rPr>
            <w:spacing w:val="22"/>
            <w:sz w:val="23"/>
          </w:rPr>
          <w:t xml:space="preserve"> </w:t>
        </w:r>
        <w:r>
          <w:rPr>
            <w:sz w:val="23"/>
          </w:rPr>
          <w:t>of</w:t>
        </w:r>
        <w:r>
          <w:rPr>
            <w:spacing w:val="16"/>
            <w:sz w:val="23"/>
          </w:rPr>
          <w:t xml:space="preserve"> </w:t>
        </w:r>
        <w:r>
          <w:rPr>
            <w:sz w:val="23"/>
          </w:rPr>
          <w:t>the</w:t>
        </w:r>
        <w:r>
          <w:rPr>
            <w:spacing w:val="18"/>
            <w:sz w:val="23"/>
          </w:rPr>
          <w:t xml:space="preserve"> </w:t>
        </w:r>
        <w:r>
          <w:rPr>
            <w:spacing w:val="-2"/>
            <w:sz w:val="23"/>
          </w:rPr>
          <w:t>Problem</w:t>
        </w:r>
        <w:r>
          <w:rPr>
            <w:sz w:val="23"/>
          </w:rPr>
          <w:tab/>
        </w:r>
        <w:r>
          <w:rPr>
            <w:spacing w:val="-10"/>
            <w:sz w:val="23"/>
          </w:rPr>
          <w:t>4</w:t>
        </w:r>
      </w:hyperlink>
    </w:p>
    <w:p w:rsidR="00487D64" w:rsidRDefault="006F0D93">
      <w:pPr>
        <w:pStyle w:val="ListParagraph"/>
        <w:numPr>
          <w:ilvl w:val="1"/>
          <w:numId w:val="30"/>
        </w:numPr>
        <w:tabs>
          <w:tab w:val="left" w:pos="2492"/>
          <w:tab w:val="right" w:leader="dot" w:pos="9628"/>
        </w:tabs>
        <w:spacing w:before="412"/>
        <w:ind w:hanging="1073"/>
        <w:rPr>
          <w:sz w:val="23"/>
        </w:rPr>
      </w:pPr>
      <w:hyperlink w:anchor="_bookmark13" w:history="1">
        <w:r>
          <w:rPr>
            <w:sz w:val="23"/>
          </w:rPr>
          <w:t>Objectives</w:t>
        </w:r>
        <w:r>
          <w:rPr>
            <w:spacing w:val="17"/>
            <w:sz w:val="23"/>
          </w:rPr>
          <w:t xml:space="preserve"> </w:t>
        </w:r>
        <w:r>
          <w:rPr>
            <w:sz w:val="23"/>
          </w:rPr>
          <w:t>of</w:t>
        </w:r>
        <w:r>
          <w:rPr>
            <w:spacing w:val="18"/>
            <w:sz w:val="23"/>
          </w:rPr>
          <w:t xml:space="preserve"> </w:t>
        </w:r>
        <w:r>
          <w:rPr>
            <w:sz w:val="23"/>
          </w:rPr>
          <w:t>the</w:t>
        </w:r>
        <w:r>
          <w:rPr>
            <w:spacing w:val="20"/>
            <w:sz w:val="23"/>
          </w:rPr>
          <w:t xml:space="preserve"> </w:t>
        </w:r>
        <w:r>
          <w:rPr>
            <w:spacing w:val="-4"/>
            <w:sz w:val="23"/>
          </w:rPr>
          <w:t>Study</w:t>
        </w:r>
        <w:r>
          <w:rPr>
            <w:sz w:val="23"/>
          </w:rPr>
          <w:tab/>
        </w:r>
        <w:r>
          <w:rPr>
            <w:spacing w:val="-10"/>
            <w:sz w:val="23"/>
          </w:rPr>
          <w:t>5</w:t>
        </w:r>
      </w:hyperlink>
    </w:p>
    <w:p w:rsidR="00487D64" w:rsidRDefault="006F0D93">
      <w:pPr>
        <w:pStyle w:val="ListParagraph"/>
        <w:numPr>
          <w:ilvl w:val="2"/>
          <w:numId w:val="30"/>
        </w:numPr>
        <w:tabs>
          <w:tab w:val="left" w:pos="2492"/>
          <w:tab w:val="right" w:leader="dot" w:pos="9628"/>
        </w:tabs>
        <w:spacing w:before="291"/>
        <w:ind w:hanging="1073"/>
        <w:rPr>
          <w:sz w:val="23"/>
        </w:rPr>
      </w:pPr>
      <w:hyperlink w:anchor="_bookmark14" w:history="1">
        <w:r>
          <w:rPr>
            <w:sz w:val="23"/>
          </w:rPr>
          <w:t>General</w:t>
        </w:r>
        <w:r>
          <w:rPr>
            <w:spacing w:val="29"/>
            <w:sz w:val="23"/>
          </w:rPr>
          <w:t xml:space="preserve"> </w:t>
        </w:r>
        <w:r>
          <w:rPr>
            <w:spacing w:val="-2"/>
            <w:sz w:val="23"/>
          </w:rPr>
          <w:t>Objective</w:t>
        </w:r>
        <w:r>
          <w:rPr>
            <w:sz w:val="23"/>
          </w:rPr>
          <w:tab/>
        </w:r>
        <w:r>
          <w:rPr>
            <w:spacing w:val="-10"/>
            <w:sz w:val="23"/>
          </w:rPr>
          <w:t>5</w:t>
        </w:r>
      </w:hyperlink>
    </w:p>
    <w:p w:rsidR="00487D64" w:rsidRDefault="006F0D93">
      <w:pPr>
        <w:pStyle w:val="ListParagraph"/>
        <w:numPr>
          <w:ilvl w:val="2"/>
          <w:numId w:val="30"/>
        </w:numPr>
        <w:tabs>
          <w:tab w:val="left" w:pos="2497"/>
          <w:tab w:val="right" w:leader="dot" w:pos="9628"/>
        </w:tabs>
        <w:spacing w:before="290"/>
        <w:ind w:left="2497" w:hanging="1078"/>
        <w:rPr>
          <w:sz w:val="23"/>
        </w:rPr>
      </w:pPr>
      <w:hyperlink w:anchor="_bookmark15" w:history="1">
        <w:r>
          <w:rPr>
            <w:sz w:val="23"/>
          </w:rPr>
          <w:t>Specific</w:t>
        </w:r>
        <w:r>
          <w:rPr>
            <w:spacing w:val="23"/>
            <w:sz w:val="23"/>
          </w:rPr>
          <w:t xml:space="preserve"> </w:t>
        </w:r>
        <w:r>
          <w:rPr>
            <w:spacing w:val="-2"/>
            <w:sz w:val="23"/>
          </w:rPr>
          <w:t>Objectives</w:t>
        </w:r>
        <w:r>
          <w:rPr>
            <w:sz w:val="23"/>
          </w:rPr>
          <w:tab/>
        </w:r>
        <w:r>
          <w:rPr>
            <w:spacing w:val="-10"/>
            <w:sz w:val="23"/>
          </w:rPr>
          <w:t>5</w:t>
        </w:r>
      </w:hyperlink>
    </w:p>
    <w:p w:rsidR="00487D64" w:rsidRDefault="006F0D93">
      <w:pPr>
        <w:pStyle w:val="ListParagraph"/>
        <w:numPr>
          <w:ilvl w:val="1"/>
          <w:numId w:val="30"/>
        </w:numPr>
        <w:tabs>
          <w:tab w:val="left" w:pos="2492"/>
          <w:tab w:val="right" w:leader="dot" w:pos="9628"/>
        </w:tabs>
        <w:spacing w:before="398"/>
        <w:ind w:hanging="1073"/>
        <w:rPr>
          <w:sz w:val="23"/>
        </w:rPr>
      </w:pPr>
      <w:hyperlink w:anchor="_bookmark16" w:history="1">
        <w:r>
          <w:rPr>
            <w:sz w:val="23"/>
          </w:rPr>
          <w:t>Significance</w:t>
        </w:r>
        <w:r>
          <w:rPr>
            <w:spacing w:val="21"/>
            <w:sz w:val="23"/>
          </w:rPr>
          <w:t xml:space="preserve"> </w:t>
        </w:r>
        <w:r>
          <w:rPr>
            <w:sz w:val="23"/>
          </w:rPr>
          <w:t>of</w:t>
        </w:r>
        <w:r>
          <w:rPr>
            <w:spacing w:val="19"/>
            <w:sz w:val="23"/>
          </w:rPr>
          <w:t xml:space="preserve"> </w:t>
        </w:r>
        <w:r>
          <w:rPr>
            <w:sz w:val="23"/>
          </w:rPr>
          <w:t>the</w:t>
        </w:r>
        <w:r>
          <w:rPr>
            <w:spacing w:val="21"/>
            <w:sz w:val="23"/>
          </w:rPr>
          <w:t xml:space="preserve"> </w:t>
        </w:r>
        <w:r>
          <w:rPr>
            <w:spacing w:val="-4"/>
            <w:sz w:val="23"/>
          </w:rPr>
          <w:t>Study</w:t>
        </w:r>
        <w:r>
          <w:rPr>
            <w:sz w:val="23"/>
          </w:rPr>
          <w:tab/>
        </w:r>
        <w:r>
          <w:rPr>
            <w:spacing w:val="-10"/>
            <w:sz w:val="23"/>
          </w:rPr>
          <w:t>6</w:t>
        </w:r>
      </w:hyperlink>
    </w:p>
    <w:p w:rsidR="00487D64" w:rsidRDefault="006F0D93">
      <w:pPr>
        <w:pStyle w:val="ListParagraph"/>
        <w:numPr>
          <w:ilvl w:val="1"/>
          <w:numId w:val="30"/>
        </w:numPr>
        <w:tabs>
          <w:tab w:val="left" w:pos="2492"/>
          <w:tab w:val="right" w:leader="dot" w:pos="9628"/>
        </w:tabs>
        <w:spacing w:before="412"/>
        <w:ind w:hanging="1073"/>
        <w:rPr>
          <w:sz w:val="23"/>
        </w:rPr>
      </w:pPr>
      <w:hyperlink w:anchor="_bookmark17" w:history="1">
        <w:r>
          <w:rPr>
            <w:sz w:val="23"/>
          </w:rPr>
          <w:t>Organization</w:t>
        </w:r>
        <w:r>
          <w:rPr>
            <w:spacing w:val="28"/>
            <w:sz w:val="23"/>
          </w:rPr>
          <w:t xml:space="preserve"> </w:t>
        </w:r>
        <w:r>
          <w:rPr>
            <w:sz w:val="23"/>
          </w:rPr>
          <w:t>of</w:t>
        </w:r>
        <w:r>
          <w:rPr>
            <w:spacing w:val="13"/>
            <w:sz w:val="23"/>
          </w:rPr>
          <w:t xml:space="preserve"> </w:t>
        </w:r>
        <w:r>
          <w:rPr>
            <w:sz w:val="23"/>
          </w:rPr>
          <w:t>the</w:t>
        </w:r>
        <w:r>
          <w:rPr>
            <w:spacing w:val="28"/>
            <w:sz w:val="23"/>
          </w:rPr>
          <w:t xml:space="preserve"> </w:t>
        </w:r>
        <w:r>
          <w:rPr>
            <w:spacing w:val="-4"/>
            <w:sz w:val="23"/>
          </w:rPr>
          <w:t>Study</w:t>
        </w:r>
        <w:r>
          <w:rPr>
            <w:sz w:val="23"/>
          </w:rPr>
          <w:tab/>
        </w:r>
        <w:r>
          <w:rPr>
            <w:spacing w:val="-10"/>
            <w:sz w:val="23"/>
          </w:rPr>
          <w:t>7</w:t>
        </w:r>
      </w:hyperlink>
    </w:p>
    <w:p w:rsidR="00487D64" w:rsidRDefault="00487D64">
      <w:pPr>
        <w:pStyle w:val="ListParagrap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ListParagraph"/>
        <w:numPr>
          <w:ilvl w:val="2"/>
          <w:numId w:val="29"/>
        </w:numPr>
        <w:tabs>
          <w:tab w:val="left" w:pos="2499"/>
          <w:tab w:val="left" w:leader="dot" w:pos="9394"/>
        </w:tabs>
        <w:ind w:left="2499" w:hanging="1080"/>
        <w:rPr>
          <w:sz w:val="23"/>
        </w:rPr>
      </w:pPr>
      <w:hyperlink w:anchor="_bookmark18" w:history="1">
        <w:r>
          <w:rPr>
            <w:sz w:val="23"/>
          </w:rPr>
          <w:t>Sustainable</w:t>
        </w:r>
        <w:r>
          <w:rPr>
            <w:spacing w:val="39"/>
            <w:sz w:val="23"/>
          </w:rPr>
          <w:t xml:space="preserve"> </w:t>
        </w:r>
        <w:r>
          <w:rPr>
            <w:sz w:val="23"/>
          </w:rPr>
          <w:t>Competitiveness</w:t>
        </w:r>
        <w:r>
          <w:rPr>
            <w:spacing w:val="50"/>
            <w:sz w:val="23"/>
          </w:rPr>
          <w:t xml:space="preserve"> </w:t>
        </w:r>
        <w:r>
          <w:rPr>
            <w:spacing w:val="-4"/>
            <w:sz w:val="23"/>
          </w:rPr>
          <w:t>(SC)</w:t>
        </w:r>
        <w:r>
          <w:rPr>
            <w:sz w:val="23"/>
          </w:rPr>
          <w:tab/>
        </w:r>
        <w:r>
          <w:rPr>
            <w:spacing w:val="-5"/>
            <w:sz w:val="23"/>
          </w:rPr>
          <w:t>11</w:t>
        </w:r>
      </w:hyperlink>
    </w:p>
    <w:p w:rsidR="00487D64" w:rsidRDefault="006F0D93">
      <w:pPr>
        <w:pStyle w:val="ListParagraph"/>
        <w:numPr>
          <w:ilvl w:val="2"/>
          <w:numId w:val="29"/>
        </w:numPr>
        <w:tabs>
          <w:tab w:val="left" w:pos="2499"/>
          <w:tab w:val="left" w:leader="dot" w:pos="9394"/>
        </w:tabs>
        <w:spacing w:before="291"/>
        <w:ind w:left="2499" w:hanging="1080"/>
        <w:rPr>
          <w:sz w:val="23"/>
        </w:rPr>
      </w:pPr>
      <w:hyperlink w:anchor="_bookmark19" w:history="1">
        <w:r>
          <w:rPr>
            <w:sz w:val="23"/>
          </w:rPr>
          <w:t>Public</w:t>
        </w:r>
        <w:r>
          <w:rPr>
            <w:spacing w:val="32"/>
            <w:sz w:val="23"/>
          </w:rPr>
          <w:t xml:space="preserve"> </w:t>
        </w:r>
        <w:r>
          <w:rPr>
            <w:sz w:val="23"/>
          </w:rPr>
          <w:t>Procurement</w:t>
        </w:r>
        <w:r>
          <w:rPr>
            <w:spacing w:val="26"/>
            <w:sz w:val="23"/>
          </w:rPr>
          <w:t xml:space="preserve"> </w:t>
        </w:r>
        <w:r>
          <w:rPr>
            <w:spacing w:val="-4"/>
            <w:sz w:val="23"/>
          </w:rPr>
          <w:t>(PP)</w:t>
        </w:r>
        <w:r>
          <w:rPr>
            <w:sz w:val="23"/>
          </w:rPr>
          <w:tab/>
        </w:r>
        <w:r>
          <w:rPr>
            <w:spacing w:val="-5"/>
            <w:sz w:val="23"/>
          </w:rPr>
          <w:t>11</w:t>
        </w:r>
      </w:hyperlink>
    </w:p>
    <w:p w:rsidR="00487D64" w:rsidRDefault="006F0D93">
      <w:pPr>
        <w:pStyle w:val="ListParagraph"/>
        <w:numPr>
          <w:ilvl w:val="2"/>
          <w:numId w:val="29"/>
        </w:numPr>
        <w:tabs>
          <w:tab w:val="left" w:pos="2499"/>
          <w:tab w:val="left" w:leader="dot" w:pos="9394"/>
        </w:tabs>
        <w:spacing w:before="283"/>
        <w:ind w:left="2499" w:hanging="1080"/>
        <w:rPr>
          <w:sz w:val="23"/>
        </w:rPr>
      </w:pPr>
      <w:hyperlink w:anchor="_bookmark20" w:history="1">
        <w:r>
          <w:rPr>
            <w:sz w:val="23"/>
          </w:rPr>
          <w:t>Strategic</w:t>
        </w:r>
        <w:r>
          <w:rPr>
            <w:spacing w:val="24"/>
            <w:sz w:val="23"/>
          </w:rPr>
          <w:t xml:space="preserve"> </w:t>
        </w:r>
        <w:r>
          <w:rPr>
            <w:spacing w:val="-2"/>
            <w:sz w:val="23"/>
          </w:rPr>
          <w:t>Flexibility</w:t>
        </w:r>
        <w:r>
          <w:rPr>
            <w:sz w:val="23"/>
          </w:rPr>
          <w:tab/>
        </w:r>
        <w:r>
          <w:rPr>
            <w:spacing w:val="-5"/>
            <w:sz w:val="23"/>
          </w:rPr>
          <w:t>12</w:t>
        </w:r>
      </w:hyperlink>
    </w:p>
    <w:p w:rsidR="00487D64" w:rsidRDefault="006F0D93">
      <w:pPr>
        <w:pStyle w:val="ListParagraph"/>
        <w:numPr>
          <w:ilvl w:val="1"/>
          <w:numId w:val="28"/>
        </w:numPr>
        <w:tabs>
          <w:tab w:val="left" w:pos="2492"/>
          <w:tab w:val="left" w:leader="dot" w:pos="9394"/>
        </w:tabs>
        <w:spacing w:before="405"/>
        <w:ind w:hanging="1073"/>
        <w:rPr>
          <w:sz w:val="23"/>
        </w:rPr>
      </w:pPr>
      <w:hyperlink w:anchor="_bookmark21" w:history="1">
        <w:r>
          <w:rPr>
            <w:sz w:val="23"/>
          </w:rPr>
          <w:t>Theoretical</w:t>
        </w:r>
        <w:r>
          <w:rPr>
            <w:spacing w:val="38"/>
            <w:sz w:val="23"/>
          </w:rPr>
          <w:t xml:space="preserve"> </w:t>
        </w:r>
        <w:r>
          <w:rPr>
            <w:sz w:val="23"/>
          </w:rPr>
          <w:t>Literature</w:t>
        </w:r>
        <w:r>
          <w:rPr>
            <w:spacing w:val="34"/>
            <w:sz w:val="23"/>
          </w:rPr>
          <w:t xml:space="preserve"> </w:t>
        </w:r>
        <w:r>
          <w:rPr>
            <w:spacing w:val="-2"/>
            <w:sz w:val="23"/>
          </w:rPr>
          <w:t>Review</w:t>
        </w:r>
        <w:r>
          <w:rPr>
            <w:sz w:val="23"/>
          </w:rPr>
          <w:tab/>
        </w:r>
        <w:r>
          <w:rPr>
            <w:spacing w:val="-5"/>
            <w:sz w:val="23"/>
          </w:rPr>
          <w:t>13</w:t>
        </w:r>
      </w:hyperlink>
    </w:p>
    <w:p w:rsidR="00487D64" w:rsidRDefault="006F0D93">
      <w:pPr>
        <w:pStyle w:val="ListParagraph"/>
        <w:numPr>
          <w:ilvl w:val="2"/>
          <w:numId w:val="28"/>
        </w:numPr>
        <w:tabs>
          <w:tab w:val="left" w:pos="2499"/>
          <w:tab w:val="left" w:leader="dot" w:pos="9394"/>
        </w:tabs>
        <w:spacing w:before="290"/>
        <w:ind w:left="2499" w:hanging="1080"/>
        <w:rPr>
          <w:sz w:val="23"/>
        </w:rPr>
      </w:pPr>
      <w:hyperlink w:anchor="_bookmark22" w:history="1">
        <w:r>
          <w:rPr>
            <w:sz w:val="23"/>
          </w:rPr>
          <w:t>Market</w:t>
        </w:r>
        <w:r>
          <w:rPr>
            <w:spacing w:val="32"/>
            <w:sz w:val="23"/>
          </w:rPr>
          <w:t xml:space="preserve"> </w:t>
        </w:r>
        <w:r>
          <w:rPr>
            <w:sz w:val="23"/>
          </w:rPr>
          <w:t>Orientation</w:t>
        </w:r>
        <w:r>
          <w:rPr>
            <w:spacing w:val="29"/>
            <w:sz w:val="23"/>
          </w:rPr>
          <w:t xml:space="preserve"> </w:t>
        </w:r>
        <w:r>
          <w:rPr>
            <w:sz w:val="23"/>
          </w:rPr>
          <w:t>Theory</w:t>
        </w:r>
        <w:r>
          <w:rPr>
            <w:spacing w:val="19"/>
            <w:sz w:val="23"/>
          </w:rPr>
          <w:t xml:space="preserve"> </w:t>
        </w:r>
        <w:r>
          <w:rPr>
            <w:spacing w:val="-4"/>
            <w:sz w:val="23"/>
          </w:rPr>
          <w:t>(MOT)</w:t>
        </w:r>
        <w:r>
          <w:rPr>
            <w:sz w:val="23"/>
          </w:rPr>
          <w:tab/>
        </w:r>
        <w:r>
          <w:rPr>
            <w:spacing w:val="-5"/>
            <w:sz w:val="23"/>
          </w:rPr>
          <w:t>13</w:t>
        </w:r>
      </w:hyperlink>
    </w:p>
    <w:p w:rsidR="00487D64" w:rsidRDefault="006F0D93">
      <w:pPr>
        <w:pStyle w:val="ListParagraph"/>
        <w:numPr>
          <w:ilvl w:val="2"/>
          <w:numId w:val="28"/>
        </w:numPr>
        <w:tabs>
          <w:tab w:val="left" w:pos="2492"/>
          <w:tab w:val="left" w:leader="dot" w:pos="9394"/>
        </w:tabs>
        <w:spacing w:before="290"/>
        <w:ind w:left="2492" w:hanging="1073"/>
        <w:rPr>
          <w:sz w:val="23"/>
        </w:rPr>
      </w:pPr>
      <w:hyperlink w:anchor="_bookmark23" w:history="1">
        <w:r>
          <w:rPr>
            <w:sz w:val="23"/>
          </w:rPr>
          <w:t>Dynamic</w:t>
        </w:r>
        <w:r>
          <w:rPr>
            <w:spacing w:val="33"/>
            <w:sz w:val="23"/>
          </w:rPr>
          <w:t xml:space="preserve"> </w:t>
        </w:r>
        <w:r>
          <w:rPr>
            <w:sz w:val="23"/>
          </w:rPr>
          <w:t>Capability</w:t>
        </w:r>
        <w:r>
          <w:rPr>
            <w:spacing w:val="34"/>
            <w:sz w:val="23"/>
          </w:rPr>
          <w:t xml:space="preserve"> </w:t>
        </w:r>
        <w:r>
          <w:rPr>
            <w:sz w:val="23"/>
          </w:rPr>
          <w:t>Theory</w:t>
        </w:r>
        <w:r>
          <w:rPr>
            <w:spacing w:val="24"/>
            <w:sz w:val="23"/>
          </w:rPr>
          <w:t xml:space="preserve"> </w:t>
        </w:r>
        <w:r>
          <w:rPr>
            <w:spacing w:val="-4"/>
            <w:sz w:val="23"/>
          </w:rPr>
          <w:t>(DCT)</w:t>
        </w:r>
        <w:r>
          <w:rPr>
            <w:sz w:val="23"/>
          </w:rPr>
          <w:tab/>
        </w:r>
        <w:r>
          <w:rPr>
            <w:spacing w:val="-5"/>
            <w:sz w:val="23"/>
          </w:rPr>
          <w:t>15</w:t>
        </w:r>
      </w:hyperlink>
    </w:p>
    <w:p w:rsidR="00487D64" w:rsidRDefault="006F0D93">
      <w:pPr>
        <w:pStyle w:val="ListParagraph"/>
        <w:numPr>
          <w:ilvl w:val="2"/>
          <w:numId w:val="27"/>
        </w:numPr>
        <w:tabs>
          <w:tab w:val="left" w:pos="2489"/>
          <w:tab w:val="left" w:leader="dot" w:pos="9394"/>
        </w:tabs>
        <w:spacing w:before="290" w:line="496" w:lineRule="auto"/>
        <w:ind w:right="851" w:firstLine="0"/>
        <w:rPr>
          <w:sz w:val="23"/>
        </w:rPr>
      </w:pPr>
      <w:hyperlink w:anchor="_bookmark24" w:history="1">
        <w:r>
          <w:rPr>
            <w:w w:val="105"/>
            <w:sz w:val="23"/>
          </w:rPr>
          <w:t>Competitor Orientation and Sustainable Competitiveness in Public</w:t>
        </w:r>
      </w:hyperlink>
      <w:r>
        <w:rPr>
          <w:w w:val="105"/>
          <w:sz w:val="23"/>
        </w:rPr>
        <w:t xml:space="preserve"> </w:t>
      </w:r>
      <w:hyperlink w:anchor="_bookmark24" w:history="1">
        <w:r>
          <w:rPr>
            <w:spacing w:val="-2"/>
            <w:w w:val="105"/>
            <w:sz w:val="23"/>
          </w:rPr>
          <w:t>Procurement</w:t>
        </w:r>
        <w:r>
          <w:rPr>
            <w:sz w:val="23"/>
          </w:rPr>
          <w:tab/>
        </w:r>
        <w:r>
          <w:rPr>
            <w:spacing w:val="-6"/>
            <w:w w:val="105"/>
            <w:sz w:val="23"/>
          </w:rPr>
          <w:t>24</w:t>
        </w:r>
      </w:hyperlink>
    </w:p>
    <w:p w:rsidR="00487D64" w:rsidRDefault="006F0D93">
      <w:pPr>
        <w:pStyle w:val="ListParagraph"/>
        <w:numPr>
          <w:ilvl w:val="2"/>
          <w:numId w:val="27"/>
        </w:numPr>
        <w:tabs>
          <w:tab w:val="left" w:pos="2497"/>
          <w:tab w:val="left" w:leader="dot" w:pos="9394"/>
        </w:tabs>
        <w:spacing w:before="7" w:line="504" w:lineRule="auto"/>
        <w:ind w:right="851" w:firstLine="0"/>
        <w:rPr>
          <w:sz w:val="23"/>
        </w:rPr>
      </w:pPr>
      <w:hyperlink w:anchor="_bookmark25" w:history="1">
        <w:r>
          <w:rPr>
            <w:w w:val="105"/>
            <w:sz w:val="23"/>
          </w:rPr>
          <w:t>Functional Coordination and Sustainable Competitiveness in Public</w:t>
        </w:r>
      </w:hyperlink>
      <w:r>
        <w:rPr>
          <w:w w:val="105"/>
          <w:sz w:val="23"/>
        </w:rPr>
        <w:t xml:space="preserve"> </w:t>
      </w:r>
      <w:hyperlink w:anchor="_bookmark25" w:history="1">
        <w:r>
          <w:rPr>
            <w:spacing w:val="-2"/>
            <w:w w:val="105"/>
            <w:sz w:val="23"/>
          </w:rPr>
          <w:t>Procurement</w:t>
        </w:r>
        <w:r>
          <w:rPr>
            <w:sz w:val="23"/>
          </w:rPr>
          <w:tab/>
        </w:r>
        <w:r>
          <w:rPr>
            <w:spacing w:val="-6"/>
            <w:w w:val="105"/>
            <w:sz w:val="23"/>
          </w:rPr>
          <w:t>29</w:t>
        </w:r>
      </w:hyperlink>
    </w:p>
    <w:p w:rsidR="00487D64" w:rsidRDefault="006F0D93">
      <w:pPr>
        <w:pStyle w:val="ListParagraph"/>
        <w:numPr>
          <w:ilvl w:val="2"/>
          <w:numId w:val="27"/>
        </w:numPr>
        <w:tabs>
          <w:tab w:val="left" w:pos="2432"/>
          <w:tab w:val="left" w:leader="dot" w:pos="9394"/>
        </w:tabs>
        <w:spacing w:line="504" w:lineRule="auto"/>
        <w:ind w:right="851" w:firstLine="0"/>
        <w:rPr>
          <w:sz w:val="23"/>
        </w:rPr>
      </w:pPr>
      <w:hyperlink w:anchor="_bookmark26" w:history="1">
        <w:r>
          <w:rPr>
            <w:w w:val="105"/>
            <w:sz w:val="23"/>
          </w:rPr>
          <w:t>The moderation</w:t>
        </w:r>
        <w:r>
          <w:rPr>
            <w:spacing w:val="-2"/>
            <w:w w:val="105"/>
            <w:sz w:val="23"/>
          </w:rPr>
          <w:t xml:space="preserve"> </w:t>
        </w:r>
        <w:r>
          <w:rPr>
            <w:w w:val="105"/>
            <w:sz w:val="23"/>
          </w:rPr>
          <w:t>effect of</w:t>
        </w:r>
        <w:r>
          <w:rPr>
            <w:spacing w:val="-5"/>
            <w:w w:val="105"/>
            <w:sz w:val="23"/>
          </w:rPr>
          <w:t xml:space="preserve"> </w:t>
        </w:r>
        <w:r>
          <w:rPr>
            <w:w w:val="105"/>
            <w:sz w:val="23"/>
          </w:rPr>
          <w:t>Strategic</w:t>
        </w:r>
        <w:r>
          <w:rPr>
            <w:spacing w:val="-10"/>
            <w:w w:val="105"/>
            <w:sz w:val="23"/>
          </w:rPr>
          <w:t xml:space="preserve"> </w:t>
        </w:r>
        <w:r>
          <w:rPr>
            <w:w w:val="105"/>
            <w:sz w:val="23"/>
          </w:rPr>
          <w:t>Flexibility</w:t>
        </w:r>
        <w:r>
          <w:rPr>
            <w:spacing w:val="-2"/>
            <w:w w:val="105"/>
            <w:sz w:val="23"/>
          </w:rPr>
          <w:t xml:space="preserve"> </w:t>
        </w:r>
        <w:r>
          <w:rPr>
            <w:w w:val="105"/>
            <w:sz w:val="23"/>
          </w:rPr>
          <w:t>on</w:t>
        </w:r>
        <w:r>
          <w:rPr>
            <w:spacing w:val="-2"/>
            <w:w w:val="105"/>
            <w:sz w:val="23"/>
          </w:rPr>
          <w:t xml:space="preserve"> </w:t>
        </w:r>
        <w:r>
          <w:rPr>
            <w:w w:val="105"/>
            <w:sz w:val="23"/>
          </w:rPr>
          <w:t>the</w:t>
        </w:r>
        <w:r>
          <w:rPr>
            <w:spacing w:val="-10"/>
            <w:w w:val="105"/>
            <w:sz w:val="23"/>
          </w:rPr>
          <w:t xml:space="preserve"> </w:t>
        </w:r>
        <w:r>
          <w:rPr>
            <w:w w:val="105"/>
            <w:sz w:val="23"/>
          </w:rPr>
          <w:t>Relationship</w:t>
        </w:r>
        <w:r>
          <w:rPr>
            <w:spacing w:val="-2"/>
            <w:w w:val="105"/>
            <w:sz w:val="23"/>
          </w:rPr>
          <w:t xml:space="preserve"> </w:t>
        </w:r>
        <w:r>
          <w:rPr>
            <w:w w:val="105"/>
            <w:sz w:val="23"/>
          </w:rPr>
          <w:t>between</w:t>
        </w:r>
      </w:hyperlink>
      <w:r>
        <w:rPr>
          <w:w w:val="105"/>
          <w:sz w:val="23"/>
        </w:rPr>
        <w:t xml:space="preserve"> </w:t>
      </w:r>
      <w:hyperlink w:anchor="_bookmark26" w:history="1">
        <w:r>
          <w:rPr>
            <w:sz w:val="23"/>
          </w:rPr>
          <w:t>Market</w:t>
        </w:r>
        <w:r>
          <w:rPr>
            <w:spacing w:val="34"/>
            <w:sz w:val="23"/>
          </w:rPr>
          <w:t xml:space="preserve"> </w:t>
        </w:r>
        <w:r>
          <w:rPr>
            <w:sz w:val="23"/>
          </w:rPr>
          <w:t>Orientation</w:t>
        </w:r>
        <w:r>
          <w:rPr>
            <w:spacing w:val="32"/>
            <w:sz w:val="23"/>
          </w:rPr>
          <w:t xml:space="preserve"> </w:t>
        </w:r>
        <w:r>
          <w:rPr>
            <w:sz w:val="23"/>
          </w:rPr>
          <w:t>and</w:t>
        </w:r>
        <w:r>
          <w:rPr>
            <w:spacing w:val="31"/>
            <w:sz w:val="23"/>
          </w:rPr>
          <w:t xml:space="preserve"> </w:t>
        </w:r>
        <w:r>
          <w:rPr>
            <w:sz w:val="23"/>
          </w:rPr>
          <w:t>Sustainable</w:t>
        </w:r>
        <w:r>
          <w:rPr>
            <w:spacing w:val="20"/>
            <w:sz w:val="23"/>
          </w:rPr>
          <w:t xml:space="preserve"> </w:t>
        </w:r>
        <w:r>
          <w:rPr>
            <w:sz w:val="23"/>
          </w:rPr>
          <w:t>Competitiveness</w:t>
        </w:r>
        <w:r>
          <w:rPr>
            <w:spacing w:val="27"/>
            <w:sz w:val="23"/>
          </w:rPr>
          <w:t xml:space="preserve"> </w:t>
        </w:r>
        <w:r>
          <w:rPr>
            <w:sz w:val="23"/>
          </w:rPr>
          <w:t>in</w:t>
        </w:r>
        <w:r>
          <w:rPr>
            <w:spacing w:val="22"/>
            <w:sz w:val="23"/>
          </w:rPr>
          <w:t xml:space="preserve"> </w:t>
        </w:r>
        <w:r>
          <w:rPr>
            <w:sz w:val="23"/>
          </w:rPr>
          <w:t>Public</w:t>
        </w:r>
        <w:r>
          <w:rPr>
            <w:spacing w:val="30"/>
            <w:sz w:val="23"/>
          </w:rPr>
          <w:t xml:space="preserve"> </w:t>
        </w:r>
        <w:r>
          <w:rPr>
            <w:spacing w:val="-2"/>
            <w:sz w:val="23"/>
          </w:rPr>
          <w:t>Procurement</w:t>
        </w:r>
        <w:r>
          <w:rPr>
            <w:sz w:val="23"/>
          </w:rPr>
          <w:tab/>
        </w:r>
        <w:r>
          <w:rPr>
            <w:spacing w:val="-5"/>
            <w:sz w:val="23"/>
          </w:rPr>
          <w:t>34</w:t>
        </w:r>
      </w:hyperlink>
    </w:p>
    <w:p w:rsidR="00487D64" w:rsidRDefault="006F0D93">
      <w:pPr>
        <w:pStyle w:val="ListParagraph"/>
        <w:numPr>
          <w:ilvl w:val="1"/>
          <w:numId w:val="26"/>
        </w:numPr>
        <w:tabs>
          <w:tab w:val="left" w:pos="2435"/>
          <w:tab w:val="left" w:leader="dot" w:pos="9394"/>
        </w:tabs>
        <w:spacing w:before="105"/>
        <w:rPr>
          <w:sz w:val="23"/>
        </w:rPr>
      </w:pPr>
      <w:hyperlink w:anchor="_bookmark27" w:history="1">
        <w:r>
          <w:rPr>
            <w:sz w:val="23"/>
          </w:rPr>
          <w:t>Research</w:t>
        </w:r>
        <w:r>
          <w:rPr>
            <w:spacing w:val="29"/>
            <w:sz w:val="23"/>
          </w:rPr>
          <w:t xml:space="preserve"> </w:t>
        </w:r>
        <w:r>
          <w:rPr>
            <w:spacing w:val="-5"/>
            <w:sz w:val="23"/>
          </w:rPr>
          <w:t>Gap</w:t>
        </w:r>
        <w:r>
          <w:rPr>
            <w:sz w:val="23"/>
          </w:rPr>
          <w:tab/>
        </w:r>
        <w:r>
          <w:rPr>
            <w:spacing w:val="-5"/>
            <w:sz w:val="23"/>
          </w:rPr>
          <w:t>42</w:t>
        </w:r>
      </w:hyperlink>
    </w:p>
    <w:p w:rsidR="00487D64" w:rsidRDefault="006F0D93">
      <w:pPr>
        <w:pStyle w:val="ListParagraph"/>
        <w:numPr>
          <w:ilvl w:val="1"/>
          <w:numId w:val="26"/>
        </w:numPr>
        <w:tabs>
          <w:tab w:val="left" w:pos="2435"/>
          <w:tab w:val="left" w:leader="dot" w:pos="9394"/>
        </w:tabs>
        <w:spacing w:before="406"/>
        <w:rPr>
          <w:sz w:val="23"/>
        </w:rPr>
      </w:pPr>
      <w:hyperlink w:anchor="_bookmark28" w:history="1">
        <w:r>
          <w:rPr>
            <w:sz w:val="23"/>
          </w:rPr>
          <w:t>Conceptual</w:t>
        </w:r>
        <w:r>
          <w:rPr>
            <w:spacing w:val="38"/>
            <w:sz w:val="23"/>
          </w:rPr>
          <w:t xml:space="preserve"> </w:t>
        </w:r>
        <w:r>
          <w:rPr>
            <w:spacing w:val="-2"/>
            <w:sz w:val="23"/>
          </w:rPr>
          <w:t>Framework</w:t>
        </w:r>
        <w:r>
          <w:rPr>
            <w:sz w:val="23"/>
          </w:rPr>
          <w:tab/>
        </w:r>
        <w:r>
          <w:rPr>
            <w:spacing w:val="-5"/>
            <w:sz w:val="23"/>
          </w:rPr>
          <w:t>44</w:t>
        </w:r>
      </w:hyperlink>
    </w:p>
    <w:p w:rsidR="00487D64" w:rsidRDefault="006F0D93">
      <w:pPr>
        <w:tabs>
          <w:tab w:val="left" w:leader="dot" w:pos="9394"/>
        </w:tabs>
        <w:spacing w:before="413"/>
        <w:ind w:left="1419"/>
        <w:rPr>
          <w:b/>
          <w:sz w:val="23"/>
        </w:rPr>
      </w:pPr>
      <w:hyperlink w:anchor="_bookmark29" w:history="1">
        <w:r>
          <w:rPr>
            <w:b/>
            <w:sz w:val="23"/>
          </w:rPr>
          <w:t>RESEARCH</w:t>
        </w:r>
        <w:r>
          <w:rPr>
            <w:b/>
            <w:spacing w:val="44"/>
            <w:sz w:val="23"/>
          </w:rPr>
          <w:t xml:space="preserve"> </w:t>
        </w:r>
        <w:r>
          <w:rPr>
            <w:b/>
            <w:spacing w:val="-2"/>
            <w:sz w:val="23"/>
          </w:rPr>
          <w:t>METHODOLOGY</w:t>
        </w:r>
        <w:r>
          <w:rPr>
            <w:b/>
            <w:sz w:val="23"/>
          </w:rPr>
          <w:tab/>
        </w:r>
        <w:r>
          <w:rPr>
            <w:b/>
            <w:spacing w:val="-5"/>
            <w:sz w:val="23"/>
          </w:rPr>
          <w:t>46</w:t>
        </w:r>
      </w:hyperlink>
    </w:p>
    <w:p w:rsidR="00487D64" w:rsidRDefault="006F0D93">
      <w:pPr>
        <w:pStyle w:val="ListParagraph"/>
        <w:numPr>
          <w:ilvl w:val="1"/>
          <w:numId w:val="25"/>
        </w:numPr>
        <w:tabs>
          <w:tab w:val="left" w:pos="2492"/>
          <w:tab w:val="left" w:leader="dot" w:pos="9394"/>
        </w:tabs>
        <w:spacing w:before="405"/>
        <w:ind w:hanging="1073"/>
        <w:rPr>
          <w:sz w:val="23"/>
        </w:rPr>
      </w:pPr>
      <w:hyperlink w:anchor="_bookmark30" w:history="1">
        <w:r>
          <w:rPr>
            <w:w w:val="105"/>
            <w:sz w:val="23"/>
          </w:rPr>
          <w:t>Chapter</w:t>
        </w:r>
        <w:r>
          <w:rPr>
            <w:spacing w:val="-11"/>
            <w:w w:val="105"/>
            <w:sz w:val="23"/>
          </w:rPr>
          <w:t xml:space="preserve"> </w:t>
        </w:r>
        <w:r>
          <w:rPr>
            <w:spacing w:val="-2"/>
            <w:w w:val="105"/>
            <w:sz w:val="23"/>
          </w:rPr>
          <w:t>Overview</w:t>
        </w:r>
        <w:r>
          <w:rPr>
            <w:sz w:val="23"/>
          </w:rPr>
          <w:tab/>
        </w:r>
        <w:r>
          <w:rPr>
            <w:spacing w:val="-5"/>
            <w:w w:val="105"/>
            <w:sz w:val="23"/>
          </w:rPr>
          <w:t>46</w:t>
        </w:r>
      </w:hyperlink>
    </w:p>
    <w:p w:rsidR="00487D64" w:rsidRDefault="006F0D93">
      <w:pPr>
        <w:pStyle w:val="ListParagraph"/>
        <w:numPr>
          <w:ilvl w:val="1"/>
          <w:numId w:val="25"/>
        </w:numPr>
        <w:tabs>
          <w:tab w:val="left" w:pos="2492"/>
          <w:tab w:val="left" w:leader="dot" w:pos="9394"/>
        </w:tabs>
        <w:spacing w:before="406"/>
        <w:ind w:hanging="1073"/>
        <w:rPr>
          <w:sz w:val="23"/>
        </w:rPr>
      </w:pPr>
      <w:hyperlink w:anchor="_bookmark31" w:history="1">
        <w:r>
          <w:rPr>
            <w:sz w:val="23"/>
          </w:rPr>
          <w:t>Research</w:t>
        </w:r>
        <w:r>
          <w:rPr>
            <w:spacing w:val="36"/>
            <w:sz w:val="23"/>
          </w:rPr>
          <w:t xml:space="preserve"> </w:t>
        </w:r>
        <w:r>
          <w:rPr>
            <w:spacing w:val="-2"/>
            <w:sz w:val="23"/>
          </w:rPr>
          <w:t>Philosophy</w:t>
        </w:r>
        <w:r>
          <w:rPr>
            <w:sz w:val="23"/>
          </w:rPr>
          <w:tab/>
        </w:r>
        <w:r>
          <w:rPr>
            <w:spacing w:val="-5"/>
            <w:sz w:val="23"/>
          </w:rPr>
          <w:t>46</w:t>
        </w:r>
      </w:hyperlink>
    </w:p>
    <w:p w:rsidR="00487D64" w:rsidRDefault="006F0D93">
      <w:pPr>
        <w:pStyle w:val="ListParagraph"/>
        <w:numPr>
          <w:ilvl w:val="1"/>
          <w:numId w:val="25"/>
        </w:numPr>
        <w:tabs>
          <w:tab w:val="left" w:pos="2492"/>
          <w:tab w:val="left" w:leader="dot" w:pos="9394"/>
        </w:tabs>
        <w:spacing w:before="405"/>
        <w:ind w:hanging="1073"/>
        <w:rPr>
          <w:sz w:val="23"/>
        </w:rPr>
      </w:pPr>
      <w:hyperlink w:anchor="_bookmark32" w:history="1">
        <w:r>
          <w:rPr>
            <w:sz w:val="23"/>
          </w:rPr>
          <w:t>Research</w:t>
        </w:r>
        <w:r>
          <w:rPr>
            <w:spacing w:val="36"/>
            <w:sz w:val="23"/>
          </w:rPr>
          <w:t xml:space="preserve"> </w:t>
        </w:r>
        <w:r>
          <w:rPr>
            <w:spacing w:val="-2"/>
            <w:sz w:val="23"/>
          </w:rPr>
          <w:t>Approach</w:t>
        </w:r>
        <w:r>
          <w:rPr>
            <w:sz w:val="23"/>
          </w:rPr>
          <w:tab/>
        </w:r>
        <w:r>
          <w:rPr>
            <w:spacing w:val="-5"/>
            <w:sz w:val="23"/>
          </w:rPr>
          <w:t>48</w:t>
        </w:r>
      </w:hyperlink>
    </w:p>
    <w:p w:rsidR="00487D64" w:rsidRDefault="006F0D93">
      <w:pPr>
        <w:pStyle w:val="ListParagraph"/>
        <w:numPr>
          <w:ilvl w:val="1"/>
          <w:numId w:val="25"/>
        </w:numPr>
        <w:tabs>
          <w:tab w:val="left" w:pos="2492"/>
          <w:tab w:val="left" w:leader="dot" w:pos="9394"/>
        </w:tabs>
        <w:spacing w:before="413"/>
        <w:ind w:hanging="1073"/>
        <w:rPr>
          <w:sz w:val="23"/>
        </w:rPr>
      </w:pPr>
      <w:hyperlink w:anchor="_bookmark33" w:history="1">
        <w:r>
          <w:rPr>
            <w:sz w:val="23"/>
          </w:rPr>
          <w:t>Research</w:t>
        </w:r>
        <w:r>
          <w:rPr>
            <w:spacing w:val="21"/>
            <w:sz w:val="23"/>
          </w:rPr>
          <w:t xml:space="preserve"> </w:t>
        </w:r>
        <w:r>
          <w:rPr>
            <w:sz w:val="23"/>
          </w:rPr>
          <w:t>Design</w:t>
        </w:r>
        <w:r>
          <w:rPr>
            <w:spacing w:val="21"/>
            <w:sz w:val="23"/>
          </w:rPr>
          <w:t xml:space="preserve"> </w:t>
        </w:r>
        <w:r>
          <w:rPr>
            <w:sz w:val="23"/>
          </w:rPr>
          <w:t>and</w:t>
        </w:r>
        <w:r>
          <w:rPr>
            <w:spacing w:val="32"/>
            <w:sz w:val="23"/>
          </w:rPr>
          <w:t xml:space="preserve"> </w:t>
        </w:r>
        <w:r>
          <w:rPr>
            <w:spacing w:val="-2"/>
            <w:sz w:val="23"/>
          </w:rPr>
          <w:t>Strategy</w:t>
        </w:r>
        <w:r>
          <w:rPr>
            <w:sz w:val="23"/>
          </w:rPr>
          <w:tab/>
        </w:r>
        <w:r>
          <w:rPr>
            <w:spacing w:val="-5"/>
            <w:sz w:val="23"/>
          </w:rPr>
          <w:t>49</w:t>
        </w:r>
      </w:hyperlink>
    </w:p>
    <w:p w:rsidR="00487D64" w:rsidRDefault="006F0D93">
      <w:pPr>
        <w:pStyle w:val="ListParagraph"/>
        <w:numPr>
          <w:ilvl w:val="1"/>
          <w:numId w:val="25"/>
        </w:numPr>
        <w:tabs>
          <w:tab w:val="left" w:pos="2492"/>
          <w:tab w:val="left" w:leader="dot" w:pos="9394"/>
        </w:tabs>
        <w:spacing w:before="405"/>
        <w:ind w:hanging="1073"/>
        <w:rPr>
          <w:sz w:val="23"/>
        </w:rPr>
      </w:pPr>
      <w:hyperlink w:anchor="_bookmark34" w:history="1">
        <w:r>
          <w:rPr>
            <w:w w:val="105"/>
            <w:sz w:val="23"/>
          </w:rPr>
          <w:t>Survey</w:t>
        </w:r>
        <w:r>
          <w:rPr>
            <w:spacing w:val="-8"/>
            <w:w w:val="105"/>
            <w:sz w:val="23"/>
          </w:rPr>
          <w:t xml:space="preserve"> </w:t>
        </w:r>
        <w:r>
          <w:rPr>
            <w:spacing w:val="-2"/>
            <w:w w:val="105"/>
            <w:sz w:val="23"/>
          </w:rPr>
          <w:t>Population</w:t>
        </w:r>
        <w:r>
          <w:rPr>
            <w:sz w:val="23"/>
          </w:rPr>
          <w:tab/>
        </w:r>
        <w:r>
          <w:rPr>
            <w:spacing w:val="-5"/>
            <w:w w:val="105"/>
            <w:sz w:val="23"/>
          </w:rPr>
          <w:t>50</w:t>
        </w:r>
      </w:hyperlink>
    </w:p>
    <w:p w:rsidR="00487D64" w:rsidRDefault="006F0D93">
      <w:pPr>
        <w:pStyle w:val="ListParagraph"/>
        <w:numPr>
          <w:ilvl w:val="1"/>
          <w:numId w:val="25"/>
        </w:numPr>
        <w:tabs>
          <w:tab w:val="left" w:pos="2499"/>
          <w:tab w:val="left" w:leader="dot" w:pos="9394"/>
        </w:tabs>
        <w:spacing w:before="405"/>
        <w:ind w:left="2499" w:hanging="1080"/>
        <w:rPr>
          <w:sz w:val="23"/>
        </w:rPr>
      </w:pPr>
      <w:hyperlink w:anchor="_bookmark35" w:history="1">
        <w:r>
          <w:rPr>
            <w:w w:val="105"/>
            <w:sz w:val="23"/>
          </w:rPr>
          <w:t>Area</w:t>
        </w:r>
        <w:r>
          <w:rPr>
            <w:spacing w:val="-5"/>
            <w:w w:val="105"/>
            <w:sz w:val="23"/>
          </w:rPr>
          <w:t xml:space="preserve"> </w:t>
        </w:r>
        <w:r>
          <w:rPr>
            <w:w w:val="105"/>
            <w:sz w:val="23"/>
          </w:rPr>
          <w:t>of</w:t>
        </w:r>
        <w:r>
          <w:rPr>
            <w:spacing w:val="-7"/>
            <w:w w:val="105"/>
            <w:sz w:val="23"/>
          </w:rPr>
          <w:t xml:space="preserve"> </w:t>
        </w:r>
        <w:r>
          <w:rPr>
            <w:w w:val="105"/>
            <w:sz w:val="23"/>
          </w:rPr>
          <w:t>the</w:t>
        </w:r>
        <w:r>
          <w:rPr>
            <w:spacing w:val="-12"/>
            <w:w w:val="105"/>
            <w:sz w:val="23"/>
          </w:rPr>
          <w:t xml:space="preserve"> </w:t>
        </w:r>
        <w:r>
          <w:rPr>
            <w:spacing w:val="-4"/>
            <w:w w:val="105"/>
            <w:sz w:val="23"/>
          </w:rPr>
          <w:t>Study</w:t>
        </w:r>
        <w:r>
          <w:rPr>
            <w:sz w:val="23"/>
          </w:rPr>
          <w:tab/>
        </w:r>
        <w:r>
          <w:rPr>
            <w:spacing w:val="-5"/>
            <w:w w:val="105"/>
            <w:sz w:val="23"/>
          </w:rPr>
          <w:t>52</w:t>
        </w:r>
      </w:hyperlink>
    </w:p>
    <w:p w:rsidR="00487D64" w:rsidRDefault="00487D64">
      <w:pPr>
        <w:pStyle w:val="ListParagrap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24"/>
      </w:pPr>
    </w:p>
    <w:p w:rsidR="00487D64" w:rsidRDefault="006F0D93">
      <w:pPr>
        <w:pStyle w:val="ListParagraph"/>
        <w:numPr>
          <w:ilvl w:val="1"/>
          <w:numId w:val="24"/>
        </w:numPr>
        <w:tabs>
          <w:tab w:val="left" w:pos="2492"/>
          <w:tab w:val="left" w:leader="dot" w:pos="9394"/>
        </w:tabs>
        <w:ind w:hanging="1073"/>
        <w:rPr>
          <w:sz w:val="23"/>
        </w:rPr>
      </w:pPr>
      <w:hyperlink w:anchor="_bookmark36" w:history="1">
        <w:r>
          <w:rPr>
            <w:w w:val="105"/>
            <w:sz w:val="23"/>
          </w:rPr>
          <w:t>Sampling</w:t>
        </w:r>
        <w:r>
          <w:rPr>
            <w:spacing w:val="-9"/>
            <w:w w:val="105"/>
            <w:sz w:val="23"/>
          </w:rPr>
          <w:t xml:space="preserve"> </w:t>
        </w:r>
        <w:r>
          <w:rPr>
            <w:w w:val="105"/>
            <w:sz w:val="23"/>
          </w:rPr>
          <w:t>Design</w:t>
        </w:r>
        <w:r>
          <w:rPr>
            <w:spacing w:val="-8"/>
            <w:w w:val="105"/>
            <w:sz w:val="23"/>
          </w:rPr>
          <w:t xml:space="preserve"> </w:t>
        </w:r>
        <w:r>
          <w:rPr>
            <w:w w:val="105"/>
            <w:sz w:val="23"/>
          </w:rPr>
          <w:t>and</w:t>
        </w:r>
        <w:r>
          <w:rPr>
            <w:spacing w:val="-14"/>
            <w:w w:val="105"/>
            <w:sz w:val="23"/>
          </w:rPr>
          <w:t xml:space="preserve"> </w:t>
        </w:r>
        <w:r>
          <w:rPr>
            <w:spacing w:val="-2"/>
            <w:w w:val="105"/>
            <w:sz w:val="23"/>
          </w:rPr>
          <w:t>Procedures</w:t>
        </w:r>
        <w:r>
          <w:rPr>
            <w:sz w:val="23"/>
          </w:rPr>
          <w:tab/>
        </w:r>
        <w:r>
          <w:rPr>
            <w:spacing w:val="-5"/>
            <w:w w:val="105"/>
            <w:sz w:val="23"/>
          </w:rPr>
          <w:t>53</w:t>
        </w:r>
      </w:hyperlink>
    </w:p>
    <w:sdt>
      <w:sdtPr>
        <w:rPr>
          <w:sz w:val="22"/>
          <w:szCs w:val="22"/>
        </w:rPr>
        <w:id w:val="-362126704"/>
        <w:docPartObj>
          <w:docPartGallery w:val="Table of Contents"/>
          <w:docPartUnique/>
        </w:docPartObj>
      </w:sdtPr>
      <w:sdtEndPr/>
      <w:sdtContent>
        <w:p w:rsidR="00487D64" w:rsidRDefault="006F0D93">
          <w:pPr>
            <w:pStyle w:val="TOC1"/>
            <w:numPr>
              <w:ilvl w:val="1"/>
              <w:numId w:val="24"/>
            </w:numPr>
            <w:tabs>
              <w:tab w:val="left" w:pos="2499"/>
              <w:tab w:val="right" w:leader="dot" w:pos="9639"/>
            </w:tabs>
            <w:spacing w:before="413"/>
            <w:ind w:left="2499" w:hanging="1080"/>
          </w:pPr>
          <w:r>
            <w:fldChar w:fldCharType="begin"/>
          </w:r>
          <w:r>
            <w:instrText xml:space="preserve">TOC \o "1-1" \h \z \u </w:instrText>
          </w:r>
          <w:r>
            <w:fldChar w:fldCharType="separate"/>
          </w:r>
          <w:hyperlink w:anchor="_bookmark37" w:history="1">
            <w:r>
              <w:t>Variables</w:t>
            </w:r>
            <w:r>
              <w:rPr>
                <w:spacing w:val="28"/>
              </w:rPr>
              <w:t xml:space="preserve"> </w:t>
            </w:r>
            <w:r>
              <w:t>and</w:t>
            </w:r>
            <w:r>
              <w:rPr>
                <w:spacing w:val="32"/>
              </w:rPr>
              <w:t xml:space="preserve"> </w:t>
            </w:r>
            <w:r>
              <w:t>Measurement</w:t>
            </w:r>
            <w:r>
              <w:rPr>
                <w:spacing w:val="25"/>
              </w:rPr>
              <w:t xml:space="preserve"> </w:t>
            </w:r>
            <w:r>
              <w:rPr>
                <w:spacing w:val="-2"/>
              </w:rPr>
              <w:t>Procedures</w:t>
            </w:r>
            <w:r>
              <w:tab/>
            </w:r>
            <w:r>
              <w:rPr>
                <w:spacing w:val="-5"/>
              </w:rPr>
              <w:t>54</w:t>
            </w:r>
          </w:hyperlink>
        </w:p>
        <w:p w:rsidR="00487D64" w:rsidRDefault="006F0D93">
          <w:pPr>
            <w:pStyle w:val="TOC1"/>
            <w:numPr>
              <w:ilvl w:val="1"/>
              <w:numId w:val="24"/>
            </w:numPr>
            <w:tabs>
              <w:tab w:val="left" w:pos="2492"/>
              <w:tab w:val="right" w:leader="dot" w:pos="9639"/>
            </w:tabs>
            <w:spacing w:before="405"/>
            <w:ind w:hanging="1073"/>
          </w:pPr>
          <w:hyperlink w:anchor="_bookmark38" w:history="1">
            <w:r>
              <w:t>Methods</w:t>
            </w:r>
            <w:r>
              <w:rPr>
                <w:spacing w:val="17"/>
              </w:rPr>
              <w:t xml:space="preserve"> </w:t>
            </w:r>
            <w:r>
              <w:t>of</w:t>
            </w:r>
            <w:r>
              <w:rPr>
                <w:spacing w:val="17"/>
              </w:rPr>
              <w:t xml:space="preserve"> </w:t>
            </w:r>
            <w:r>
              <w:t>Data</w:t>
            </w:r>
            <w:r>
              <w:rPr>
                <w:spacing w:val="19"/>
              </w:rPr>
              <w:t xml:space="preserve"> </w:t>
            </w:r>
            <w:r>
              <w:rPr>
                <w:spacing w:val="-2"/>
              </w:rPr>
              <w:t>Collection</w:t>
            </w:r>
            <w:r>
              <w:tab/>
            </w:r>
            <w:r>
              <w:rPr>
                <w:spacing w:val="-5"/>
              </w:rPr>
              <w:t>56</w:t>
            </w:r>
          </w:hyperlink>
        </w:p>
        <w:p w:rsidR="00487D64" w:rsidRDefault="006F0D93">
          <w:pPr>
            <w:pStyle w:val="TOC1"/>
            <w:numPr>
              <w:ilvl w:val="2"/>
              <w:numId w:val="24"/>
            </w:numPr>
            <w:tabs>
              <w:tab w:val="left" w:pos="2492"/>
              <w:tab w:val="right" w:leader="dot" w:pos="9639"/>
            </w:tabs>
            <w:spacing w:before="291"/>
            <w:ind w:hanging="1073"/>
          </w:pPr>
          <w:hyperlink w:anchor="_bookmark39" w:history="1">
            <w:r>
              <w:rPr>
                <w:spacing w:val="-2"/>
              </w:rPr>
              <w:t>Questionnaire</w:t>
            </w:r>
            <w:r>
              <w:tab/>
            </w:r>
            <w:r>
              <w:rPr>
                <w:spacing w:val="-5"/>
              </w:rPr>
              <w:t>56</w:t>
            </w:r>
          </w:hyperlink>
        </w:p>
        <w:p w:rsidR="00487D64" w:rsidRDefault="006F0D93">
          <w:pPr>
            <w:pStyle w:val="TOC1"/>
            <w:numPr>
              <w:ilvl w:val="2"/>
              <w:numId w:val="24"/>
            </w:numPr>
            <w:tabs>
              <w:tab w:val="left" w:pos="2557"/>
              <w:tab w:val="right" w:leader="dot" w:pos="9639"/>
            </w:tabs>
            <w:ind w:left="2557" w:hanging="1138"/>
          </w:pPr>
          <w:hyperlink w:anchor="_bookmark40" w:history="1">
            <w:r>
              <w:t>Reliability</w:t>
            </w:r>
            <w:r>
              <w:rPr>
                <w:spacing w:val="23"/>
              </w:rPr>
              <w:t xml:space="preserve"> </w:t>
            </w:r>
            <w:r>
              <w:t>of</w:t>
            </w:r>
            <w:r>
              <w:rPr>
                <w:spacing w:val="21"/>
              </w:rPr>
              <w:t xml:space="preserve"> </w:t>
            </w:r>
            <w:r>
              <w:rPr>
                <w:spacing w:val="-4"/>
              </w:rPr>
              <w:t>Data</w:t>
            </w:r>
            <w:r>
              <w:tab/>
            </w:r>
            <w:r>
              <w:rPr>
                <w:spacing w:val="-5"/>
              </w:rPr>
              <w:t>57</w:t>
            </w:r>
          </w:hyperlink>
        </w:p>
        <w:p w:rsidR="00487D64" w:rsidRDefault="006F0D93">
          <w:pPr>
            <w:pStyle w:val="TOC1"/>
            <w:numPr>
              <w:ilvl w:val="2"/>
              <w:numId w:val="24"/>
            </w:numPr>
            <w:tabs>
              <w:tab w:val="left" w:pos="2554"/>
              <w:tab w:val="right" w:leader="dot" w:pos="9632"/>
            </w:tabs>
            <w:ind w:left="2554" w:hanging="1135"/>
          </w:pPr>
          <w:hyperlink w:anchor="_bookmark41" w:history="1">
            <w:r>
              <w:t>Validity</w:t>
            </w:r>
            <w:r>
              <w:rPr>
                <w:spacing w:val="23"/>
              </w:rPr>
              <w:t xml:space="preserve"> </w:t>
            </w:r>
            <w:r>
              <w:t>of</w:t>
            </w:r>
            <w:r>
              <w:rPr>
                <w:spacing w:val="8"/>
              </w:rPr>
              <w:t xml:space="preserve"> </w:t>
            </w:r>
            <w:r>
              <w:rPr>
                <w:spacing w:val="-4"/>
              </w:rPr>
              <w:t>Data</w:t>
            </w:r>
            <w:r>
              <w:tab/>
            </w:r>
            <w:r>
              <w:rPr>
                <w:spacing w:val="-5"/>
              </w:rPr>
              <w:t>61</w:t>
            </w:r>
          </w:hyperlink>
        </w:p>
        <w:p w:rsidR="00487D64" w:rsidRDefault="006F0D93">
          <w:pPr>
            <w:pStyle w:val="TOC1"/>
            <w:numPr>
              <w:ilvl w:val="2"/>
              <w:numId w:val="24"/>
            </w:numPr>
            <w:tabs>
              <w:tab w:val="left" w:pos="2557"/>
              <w:tab w:val="right" w:leader="dot" w:pos="9639"/>
            </w:tabs>
            <w:spacing w:before="283"/>
            <w:ind w:left="2557" w:hanging="1138"/>
          </w:pPr>
          <w:hyperlink w:anchor="_bookmark42" w:history="1">
            <w:r>
              <w:t>Pre-test</w:t>
            </w:r>
            <w:r>
              <w:rPr>
                <w:spacing w:val="26"/>
              </w:rPr>
              <w:t xml:space="preserve"> </w:t>
            </w:r>
            <w:r>
              <w:rPr>
                <w:spacing w:val="-2"/>
              </w:rPr>
              <w:t>Results</w:t>
            </w:r>
            <w:r>
              <w:tab/>
            </w:r>
            <w:r>
              <w:rPr>
                <w:spacing w:val="-5"/>
              </w:rPr>
              <w:t>62</w:t>
            </w:r>
          </w:hyperlink>
        </w:p>
        <w:p w:rsidR="00487D64" w:rsidRDefault="006F0D93">
          <w:pPr>
            <w:pStyle w:val="TOC1"/>
            <w:numPr>
              <w:ilvl w:val="2"/>
              <w:numId w:val="24"/>
            </w:numPr>
            <w:tabs>
              <w:tab w:val="left" w:pos="2557"/>
              <w:tab w:val="right" w:leader="dot" w:pos="9639"/>
            </w:tabs>
            <w:ind w:left="2557" w:hanging="1138"/>
          </w:pPr>
          <w:hyperlink w:anchor="_bookmark43" w:history="1">
            <w:r>
              <w:t>Pilot</w:t>
            </w:r>
            <w:r>
              <w:rPr>
                <w:spacing w:val="14"/>
              </w:rPr>
              <w:t xml:space="preserve"> </w:t>
            </w:r>
            <w:r>
              <w:rPr>
                <w:spacing w:val="-2"/>
              </w:rPr>
              <w:t>Study</w:t>
            </w:r>
            <w:r>
              <w:tab/>
            </w:r>
            <w:r>
              <w:rPr>
                <w:spacing w:val="-5"/>
              </w:rPr>
              <w:t>63</w:t>
            </w:r>
          </w:hyperlink>
        </w:p>
        <w:p w:rsidR="00487D64" w:rsidRDefault="006F0D93">
          <w:pPr>
            <w:pStyle w:val="TOC1"/>
            <w:numPr>
              <w:ilvl w:val="2"/>
              <w:numId w:val="24"/>
            </w:numPr>
            <w:tabs>
              <w:tab w:val="left" w:pos="2550"/>
              <w:tab w:val="right" w:leader="dot" w:pos="9639"/>
            </w:tabs>
            <w:ind w:left="2550" w:hanging="1131"/>
          </w:pPr>
          <w:hyperlink w:anchor="_bookmark44" w:history="1">
            <w:r>
              <w:t>Item</w:t>
            </w:r>
            <w:r>
              <w:rPr>
                <w:spacing w:val="30"/>
              </w:rPr>
              <w:t xml:space="preserve"> </w:t>
            </w:r>
            <w:r>
              <w:t>Parcelling</w:t>
            </w:r>
            <w:r>
              <w:rPr>
                <w:spacing w:val="22"/>
              </w:rPr>
              <w:t xml:space="preserve"> </w:t>
            </w:r>
            <w:r>
              <w:rPr>
                <w:spacing w:val="-4"/>
              </w:rPr>
              <w:t>(SF)</w:t>
            </w:r>
            <w:r>
              <w:tab/>
            </w:r>
            <w:r>
              <w:rPr>
                <w:spacing w:val="-5"/>
              </w:rPr>
              <w:t>64</w:t>
            </w:r>
          </w:hyperlink>
        </w:p>
        <w:p w:rsidR="00487D64" w:rsidRDefault="006F0D93">
          <w:pPr>
            <w:pStyle w:val="TOC1"/>
            <w:numPr>
              <w:ilvl w:val="1"/>
              <w:numId w:val="24"/>
            </w:numPr>
            <w:tabs>
              <w:tab w:val="left" w:pos="2550"/>
              <w:tab w:val="right" w:leader="dot" w:pos="9639"/>
            </w:tabs>
            <w:spacing w:before="398"/>
            <w:ind w:left="2550" w:hanging="1131"/>
          </w:pPr>
          <w:hyperlink w:anchor="_bookmark45" w:history="1">
            <w:r>
              <w:t>Data</w:t>
            </w:r>
            <w:r>
              <w:rPr>
                <w:spacing w:val="32"/>
              </w:rPr>
              <w:t xml:space="preserve"> </w:t>
            </w:r>
            <w:r>
              <w:t>Analysis</w:t>
            </w:r>
            <w:r>
              <w:rPr>
                <w:spacing w:val="13"/>
              </w:rPr>
              <w:t xml:space="preserve"> </w:t>
            </w:r>
            <w:r>
              <w:rPr>
                <w:spacing w:val="-2"/>
              </w:rPr>
              <w:t>Techniques</w:t>
            </w:r>
            <w:r>
              <w:tab/>
            </w:r>
            <w:r>
              <w:rPr>
                <w:spacing w:val="-5"/>
              </w:rPr>
              <w:t>66</w:t>
            </w:r>
          </w:hyperlink>
        </w:p>
        <w:p w:rsidR="00487D64" w:rsidRDefault="006F0D93">
          <w:pPr>
            <w:pStyle w:val="TOC1"/>
            <w:numPr>
              <w:ilvl w:val="2"/>
              <w:numId w:val="24"/>
            </w:numPr>
            <w:tabs>
              <w:tab w:val="left" w:pos="2547"/>
              <w:tab w:val="right" w:leader="dot" w:pos="9639"/>
            </w:tabs>
            <w:spacing w:before="297"/>
            <w:ind w:left="2547" w:hanging="1128"/>
          </w:pPr>
          <w:hyperlink w:anchor="_bookmark46" w:history="1">
            <w:r>
              <w:t>Descriptive</w:t>
            </w:r>
            <w:r>
              <w:rPr>
                <w:spacing w:val="45"/>
              </w:rPr>
              <w:t xml:space="preserve"> </w:t>
            </w:r>
            <w:r>
              <w:rPr>
                <w:spacing w:val="-2"/>
              </w:rPr>
              <w:t>Analysis</w:t>
            </w:r>
            <w:r>
              <w:tab/>
            </w:r>
            <w:r>
              <w:rPr>
                <w:spacing w:val="-5"/>
              </w:rPr>
              <w:t>66</w:t>
            </w:r>
          </w:hyperlink>
        </w:p>
        <w:p w:rsidR="00487D64" w:rsidRDefault="006F0D93">
          <w:pPr>
            <w:pStyle w:val="TOC1"/>
            <w:numPr>
              <w:ilvl w:val="2"/>
              <w:numId w:val="24"/>
            </w:numPr>
            <w:tabs>
              <w:tab w:val="left" w:pos="2550"/>
              <w:tab w:val="right" w:leader="dot" w:pos="9639"/>
            </w:tabs>
            <w:spacing w:before="284"/>
            <w:ind w:left="2550" w:hanging="1131"/>
          </w:pPr>
          <w:hyperlink w:anchor="_bookmark47" w:history="1">
            <w:r>
              <w:t>Inferential</w:t>
            </w:r>
            <w:r>
              <w:rPr>
                <w:spacing w:val="41"/>
              </w:rPr>
              <w:t xml:space="preserve"> </w:t>
            </w:r>
            <w:r>
              <w:rPr>
                <w:spacing w:val="-2"/>
              </w:rPr>
              <w:t>Analysis</w:t>
            </w:r>
            <w:r>
              <w:tab/>
            </w:r>
            <w:r>
              <w:rPr>
                <w:spacing w:val="-5"/>
              </w:rPr>
              <w:t>67</w:t>
            </w:r>
          </w:hyperlink>
        </w:p>
        <w:p w:rsidR="00487D64" w:rsidRDefault="006F0D93">
          <w:pPr>
            <w:pStyle w:val="TOC1"/>
            <w:numPr>
              <w:ilvl w:val="1"/>
              <w:numId w:val="24"/>
            </w:numPr>
            <w:tabs>
              <w:tab w:val="left" w:pos="2557"/>
              <w:tab w:val="right" w:leader="dot" w:pos="9639"/>
            </w:tabs>
            <w:spacing w:before="405"/>
            <w:ind w:left="2557" w:hanging="1138"/>
          </w:pPr>
          <w:hyperlink w:anchor="_bookmark48" w:history="1">
            <w:r>
              <w:t>Assessment</w:t>
            </w:r>
            <w:r>
              <w:rPr>
                <w:spacing w:val="33"/>
              </w:rPr>
              <w:t xml:space="preserve"> </w:t>
            </w:r>
            <w:r>
              <w:t>of</w:t>
            </w:r>
            <w:r>
              <w:rPr>
                <w:spacing w:val="26"/>
              </w:rPr>
              <w:t xml:space="preserve"> </w:t>
            </w:r>
            <w:r>
              <w:t>Reflective</w:t>
            </w:r>
            <w:r>
              <w:rPr>
                <w:spacing w:val="29"/>
              </w:rPr>
              <w:t xml:space="preserve"> </w:t>
            </w:r>
            <w:r>
              <w:t>Measurement</w:t>
            </w:r>
            <w:r>
              <w:rPr>
                <w:spacing w:val="34"/>
              </w:rPr>
              <w:t xml:space="preserve"> </w:t>
            </w:r>
            <w:r>
              <w:rPr>
                <w:spacing w:val="-2"/>
              </w:rPr>
              <w:t>Models</w:t>
            </w:r>
            <w:r>
              <w:tab/>
            </w:r>
            <w:r>
              <w:rPr>
                <w:spacing w:val="-5"/>
              </w:rPr>
              <w:t>69</w:t>
            </w:r>
          </w:hyperlink>
        </w:p>
        <w:p w:rsidR="00487D64" w:rsidRDefault="006F0D93">
          <w:pPr>
            <w:pStyle w:val="TOC1"/>
            <w:numPr>
              <w:ilvl w:val="2"/>
              <w:numId w:val="24"/>
            </w:numPr>
            <w:tabs>
              <w:tab w:val="left" w:pos="2550"/>
              <w:tab w:val="right" w:leader="dot" w:pos="9639"/>
            </w:tabs>
            <w:ind w:left="2550" w:hanging="1131"/>
          </w:pPr>
          <w:hyperlink w:anchor="_bookmark49" w:history="1">
            <w:r>
              <w:t>Indicator</w:t>
            </w:r>
            <w:r>
              <w:rPr>
                <w:spacing w:val="33"/>
              </w:rPr>
              <w:t xml:space="preserve"> </w:t>
            </w:r>
            <w:r>
              <w:rPr>
                <w:spacing w:val="-2"/>
              </w:rPr>
              <w:t>Loading</w:t>
            </w:r>
            <w:r>
              <w:tab/>
            </w:r>
            <w:r>
              <w:rPr>
                <w:spacing w:val="-5"/>
              </w:rPr>
              <w:t>70</w:t>
            </w:r>
          </w:hyperlink>
        </w:p>
        <w:p w:rsidR="00487D64" w:rsidRDefault="006F0D93">
          <w:pPr>
            <w:pStyle w:val="TOC1"/>
            <w:numPr>
              <w:ilvl w:val="2"/>
              <w:numId w:val="24"/>
            </w:numPr>
            <w:tabs>
              <w:tab w:val="left" w:pos="2550"/>
              <w:tab w:val="right" w:leader="dot" w:pos="9639"/>
            </w:tabs>
            <w:spacing w:before="291"/>
            <w:ind w:left="2550" w:hanging="1131"/>
          </w:pPr>
          <w:hyperlink w:anchor="_bookmark50" w:history="1">
            <w:r>
              <w:t>Internal</w:t>
            </w:r>
            <w:r>
              <w:rPr>
                <w:spacing w:val="35"/>
              </w:rPr>
              <w:t xml:space="preserve"> </w:t>
            </w:r>
            <w:r>
              <w:t>Consistency</w:t>
            </w:r>
            <w:r>
              <w:rPr>
                <w:spacing w:val="41"/>
              </w:rPr>
              <w:t xml:space="preserve"> </w:t>
            </w:r>
            <w:r>
              <w:rPr>
                <w:spacing w:val="-2"/>
              </w:rPr>
              <w:t>Reliability</w:t>
            </w:r>
            <w:r>
              <w:tab/>
            </w:r>
            <w:r>
              <w:rPr>
                <w:spacing w:val="-5"/>
              </w:rPr>
              <w:t>70</w:t>
            </w:r>
          </w:hyperlink>
        </w:p>
        <w:p w:rsidR="00487D64" w:rsidRDefault="006F0D93">
          <w:pPr>
            <w:pStyle w:val="TOC1"/>
            <w:numPr>
              <w:ilvl w:val="2"/>
              <w:numId w:val="24"/>
            </w:numPr>
            <w:tabs>
              <w:tab w:val="left" w:pos="2557"/>
              <w:tab w:val="right" w:leader="dot" w:pos="9639"/>
            </w:tabs>
            <w:ind w:left="2557" w:hanging="1138"/>
          </w:pPr>
          <w:hyperlink w:anchor="_bookmark51" w:history="1">
            <w:r>
              <w:t>Convergent</w:t>
            </w:r>
            <w:r>
              <w:rPr>
                <w:spacing w:val="42"/>
              </w:rPr>
              <w:t xml:space="preserve"> </w:t>
            </w:r>
            <w:r>
              <w:rPr>
                <w:spacing w:val="-2"/>
              </w:rPr>
              <w:t>Validity</w:t>
            </w:r>
            <w:r>
              <w:tab/>
            </w:r>
            <w:r>
              <w:rPr>
                <w:spacing w:val="-5"/>
              </w:rPr>
              <w:t>70</w:t>
            </w:r>
          </w:hyperlink>
        </w:p>
        <w:p w:rsidR="00487D64" w:rsidRDefault="006F0D93">
          <w:pPr>
            <w:pStyle w:val="TOC1"/>
            <w:numPr>
              <w:ilvl w:val="2"/>
              <w:numId w:val="24"/>
            </w:numPr>
            <w:tabs>
              <w:tab w:val="left" w:pos="2550"/>
              <w:tab w:val="right" w:leader="dot" w:pos="9639"/>
            </w:tabs>
            <w:spacing w:before="283"/>
            <w:ind w:left="2550" w:hanging="1131"/>
          </w:pPr>
          <w:hyperlink w:anchor="_bookmark52" w:history="1">
            <w:r>
              <w:t>Discriminant</w:t>
            </w:r>
            <w:r>
              <w:rPr>
                <w:spacing w:val="56"/>
              </w:rPr>
              <w:t xml:space="preserve"> </w:t>
            </w:r>
            <w:r>
              <w:rPr>
                <w:spacing w:val="-2"/>
              </w:rPr>
              <w:t>Validity</w:t>
            </w:r>
            <w:r>
              <w:tab/>
            </w:r>
            <w:r>
              <w:rPr>
                <w:spacing w:val="-5"/>
              </w:rPr>
              <w:t>71</w:t>
            </w:r>
          </w:hyperlink>
        </w:p>
        <w:p w:rsidR="00487D64" w:rsidRDefault="006F0D93">
          <w:pPr>
            <w:pStyle w:val="TOC1"/>
            <w:numPr>
              <w:ilvl w:val="2"/>
              <w:numId w:val="24"/>
            </w:numPr>
            <w:tabs>
              <w:tab w:val="left" w:pos="2557"/>
              <w:tab w:val="right" w:leader="dot" w:pos="9639"/>
            </w:tabs>
            <w:ind w:left="2557" w:hanging="1138"/>
          </w:pPr>
          <w:hyperlink w:anchor="_bookmark53" w:history="1">
            <w:r>
              <w:rPr>
                <w:spacing w:val="-2"/>
              </w:rPr>
              <w:t>Fornell–Larcker</w:t>
            </w:r>
            <w:r>
              <w:tab/>
            </w:r>
            <w:r>
              <w:rPr>
                <w:spacing w:val="-5"/>
              </w:rPr>
              <w:t>71</w:t>
            </w:r>
          </w:hyperlink>
        </w:p>
        <w:p w:rsidR="00487D64" w:rsidRDefault="006F0D93">
          <w:pPr>
            <w:pStyle w:val="TOC1"/>
            <w:numPr>
              <w:ilvl w:val="1"/>
              <w:numId w:val="24"/>
            </w:numPr>
            <w:tabs>
              <w:tab w:val="left" w:pos="2557"/>
              <w:tab w:val="right" w:leader="dot" w:pos="9639"/>
            </w:tabs>
            <w:spacing w:before="405"/>
            <w:ind w:left="2557" w:hanging="1138"/>
          </w:pPr>
          <w:hyperlink w:anchor="_bookmark54" w:history="1">
            <w:r>
              <w:t>Structural</w:t>
            </w:r>
            <w:r>
              <w:rPr>
                <w:spacing w:val="23"/>
              </w:rPr>
              <w:t xml:space="preserve"> </w:t>
            </w:r>
            <w:r>
              <w:t>Model</w:t>
            </w:r>
            <w:r>
              <w:rPr>
                <w:spacing w:val="33"/>
              </w:rPr>
              <w:t xml:space="preserve"> </w:t>
            </w:r>
            <w:r>
              <w:rPr>
                <w:spacing w:val="-2"/>
              </w:rPr>
              <w:t>Assessment</w:t>
            </w:r>
            <w:r>
              <w:tab/>
            </w:r>
            <w:r>
              <w:rPr>
                <w:spacing w:val="-5"/>
              </w:rPr>
              <w:t>72</w:t>
            </w:r>
          </w:hyperlink>
        </w:p>
        <w:p w:rsidR="00487D64" w:rsidRDefault="006F0D93">
          <w:pPr>
            <w:pStyle w:val="TOC1"/>
            <w:numPr>
              <w:ilvl w:val="2"/>
              <w:numId w:val="24"/>
            </w:numPr>
            <w:tabs>
              <w:tab w:val="left" w:pos="2557"/>
              <w:tab w:val="right" w:leader="dot" w:pos="9639"/>
            </w:tabs>
            <w:ind w:left="2557" w:hanging="1138"/>
          </w:pPr>
          <w:hyperlink w:anchor="_bookmark55" w:history="1">
            <w:r>
              <w:t>Collinearity</w:t>
            </w:r>
            <w:r>
              <w:rPr>
                <w:spacing w:val="36"/>
              </w:rPr>
              <w:t xml:space="preserve"> </w:t>
            </w:r>
            <w:r>
              <w:t>Assessment</w:t>
            </w:r>
            <w:r>
              <w:rPr>
                <w:spacing w:val="39"/>
              </w:rPr>
              <w:t xml:space="preserve"> </w:t>
            </w:r>
            <w:r>
              <w:rPr>
                <w:spacing w:val="-2"/>
              </w:rPr>
              <w:t>(VIF)</w:t>
            </w:r>
            <w:r>
              <w:tab/>
            </w:r>
            <w:r>
              <w:rPr>
                <w:spacing w:val="-5"/>
              </w:rPr>
              <w:t>73</w:t>
            </w:r>
          </w:hyperlink>
        </w:p>
        <w:p w:rsidR="00487D64" w:rsidRDefault="006F0D93">
          <w:pPr>
            <w:pStyle w:val="TOC1"/>
            <w:numPr>
              <w:ilvl w:val="2"/>
              <w:numId w:val="24"/>
            </w:numPr>
            <w:tabs>
              <w:tab w:val="left" w:pos="2557"/>
              <w:tab w:val="right" w:leader="dot" w:pos="9639"/>
            </w:tabs>
            <w:spacing w:before="291"/>
            <w:ind w:left="2557" w:hanging="1138"/>
          </w:pPr>
          <w:hyperlink w:anchor="_bookmark56" w:history="1">
            <w:r>
              <w:t>Coefficient</w:t>
            </w:r>
            <w:r>
              <w:rPr>
                <w:spacing w:val="36"/>
              </w:rPr>
              <w:t xml:space="preserve"> </w:t>
            </w:r>
            <w:r>
              <w:t>of</w:t>
            </w:r>
            <w:r>
              <w:rPr>
                <w:spacing w:val="29"/>
              </w:rPr>
              <w:t xml:space="preserve"> </w:t>
            </w:r>
            <w:r>
              <w:t>determination</w:t>
            </w:r>
            <w:r>
              <w:rPr>
                <w:spacing w:val="23"/>
              </w:rPr>
              <w:t xml:space="preserve"> </w:t>
            </w:r>
            <w:r>
              <w:rPr>
                <w:spacing w:val="-4"/>
              </w:rPr>
              <w:t>(R²)</w:t>
            </w:r>
            <w:r>
              <w:tab/>
            </w:r>
            <w:r>
              <w:rPr>
                <w:spacing w:val="-5"/>
              </w:rPr>
              <w:t>74</w:t>
            </w:r>
          </w:hyperlink>
        </w:p>
        <w:p w:rsidR="00487D64" w:rsidRDefault="006F0D93">
          <w:pPr>
            <w:pStyle w:val="TOC1"/>
            <w:numPr>
              <w:ilvl w:val="2"/>
              <w:numId w:val="24"/>
            </w:numPr>
            <w:tabs>
              <w:tab w:val="left" w:pos="2557"/>
              <w:tab w:val="right" w:leader="dot" w:pos="9639"/>
            </w:tabs>
            <w:spacing w:before="282"/>
            <w:ind w:left="2557" w:hanging="1138"/>
          </w:pPr>
          <w:hyperlink w:anchor="_bookmark57" w:history="1">
            <w:r>
              <w:t>Effect</w:t>
            </w:r>
            <w:r>
              <w:rPr>
                <w:spacing w:val="30"/>
              </w:rPr>
              <w:t xml:space="preserve"> </w:t>
            </w:r>
            <w:r>
              <w:t>Size</w:t>
            </w:r>
            <w:r>
              <w:rPr>
                <w:spacing w:val="26"/>
              </w:rPr>
              <w:t xml:space="preserve"> </w:t>
            </w:r>
            <w:r>
              <w:t>of</w:t>
            </w:r>
            <w:r>
              <w:rPr>
                <w:spacing w:val="24"/>
              </w:rPr>
              <w:t xml:space="preserve"> </w:t>
            </w:r>
            <w:r>
              <w:t>Coefficient</w:t>
            </w:r>
            <w:r>
              <w:rPr>
                <w:spacing w:val="30"/>
              </w:rPr>
              <w:t xml:space="preserve"> </w:t>
            </w:r>
            <w:r>
              <w:t>of</w:t>
            </w:r>
            <w:r>
              <w:rPr>
                <w:spacing w:val="13"/>
              </w:rPr>
              <w:t xml:space="preserve"> </w:t>
            </w:r>
            <w:r>
              <w:t>Determination</w:t>
            </w:r>
            <w:r>
              <w:rPr>
                <w:spacing w:val="18"/>
              </w:rPr>
              <w:t xml:space="preserve"> </w:t>
            </w:r>
            <w:r>
              <w:rPr>
                <w:spacing w:val="-4"/>
              </w:rPr>
              <w:t>(f2)</w:t>
            </w:r>
            <w:r>
              <w:tab/>
            </w:r>
            <w:r>
              <w:rPr>
                <w:spacing w:val="-5"/>
              </w:rPr>
              <w:t>75</w:t>
            </w:r>
          </w:hyperlink>
        </w:p>
        <w:p w:rsidR="00487D64" w:rsidRDefault="006F0D93">
          <w:pPr>
            <w:pStyle w:val="TOC1"/>
            <w:numPr>
              <w:ilvl w:val="2"/>
              <w:numId w:val="24"/>
            </w:numPr>
            <w:tabs>
              <w:tab w:val="left" w:pos="2557"/>
              <w:tab w:val="right" w:leader="dot" w:pos="9639"/>
            </w:tabs>
            <w:spacing w:before="291"/>
            <w:ind w:left="2557" w:hanging="1138"/>
          </w:pPr>
          <w:hyperlink w:anchor="_bookmark58" w:history="1">
            <w:r>
              <w:t>Predictive</w:t>
            </w:r>
            <w:r>
              <w:rPr>
                <w:spacing w:val="38"/>
              </w:rPr>
              <w:t xml:space="preserve"> </w:t>
            </w:r>
            <w:r>
              <w:t>Relevance</w:t>
            </w:r>
            <w:r>
              <w:rPr>
                <w:spacing w:val="27"/>
              </w:rPr>
              <w:t xml:space="preserve"> </w:t>
            </w:r>
            <w:r>
              <w:rPr>
                <w:spacing w:val="-4"/>
              </w:rPr>
              <w:t>(Q2)</w:t>
            </w:r>
            <w:r>
              <w:tab/>
            </w:r>
            <w:r>
              <w:rPr>
                <w:spacing w:val="-5"/>
              </w:rPr>
              <w:t>75</w:t>
            </w:r>
          </w:hyperlink>
        </w:p>
        <w:p w:rsidR="00487D64" w:rsidRDefault="006F0D93">
          <w:r>
            <w:fldChar w:fldCharType="end"/>
          </w:r>
        </w:p>
      </w:sdtContent>
    </w:sdt>
    <w:p w:rsidR="00487D64" w:rsidRDefault="00487D64">
      <w:p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ListParagraph"/>
        <w:numPr>
          <w:ilvl w:val="2"/>
          <w:numId w:val="23"/>
        </w:numPr>
        <w:tabs>
          <w:tab w:val="left" w:pos="2557"/>
          <w:tab w:val="left" w:leader="dot" w:pos="9394"/>
        </w:tabs>
        <w:ind w:hanging="1138"/>
        <w:rPr>
          <w:sz w:val="23"/>
        </w:rPr>
      </w:pPr>
      <w:hyperlink w:anchor="_bookmark59" w:history="1">
        <w:r>
          <w:rPr>
            <w:w w:val="105"/>
            <w:sz w:val="23"/>
          </w:rPr>
          <w:t>Model</w:t>
        </w:r>
        <w:r>
          <w:rPr>
            <w:spacing w:val="-5"/>
            <w:w w:val="105"/>
            <w:sz w:val="23"/>
          </w:rPr>
          <w:t xml:space="preserve"> fit</w:t>
        </w:r>
        <w:r>
          <w:rPr>
            <w:sz w:val="23"/>
          </w:rPr>
          <w:tab/>
        </w:r>
        <w:r>
          <w:rPr>
            <w:spacing w:val="-5"/>
            <w:w w:val="105"/>
            <w:sz w:val="23"/>
          </w:rPr>
          <w:t>77</w:t>
        </w:r>
      </w:hyperlink>
    </w:p>
    <w:p w:rsidR="00487D64" w:rsidRDefault="006F0D93">
      <w:pPr>
        <w:pStyle w:val="ListParagraph"/>
        <w:numPr>
          <w:ilvl w:val="2"/>
          <w:numId w:val="23"/>
        </w:numPr>
        <w:tabs>
          <w:tab w:val="left" w:pos="2557"/>
          <w:tab w:val="right" w:leader="dot" w:pos="9639"/>
        </w:tabs>
        <w:spacing w:before="291"/>
        <w:ind w:hanging="1138"/>
        <w:rPr>
          <w:sz w:val="23"/>
        </w:rPr>
      </w:pPr>
      <w:hyperlink w:anchor="_bookmark60" w:history="1">
        <w:r>
          <w:rPr>
            <w:sz w:val="23"/>
          </w:rPr>
          <w:t>Path</w:t>
        </w:r>
        <w:r>
          <w:rPr>
            <w:spacing w:val="12"/>
            <w:sz w:val="23"/>
          </w:rPr>
          <w:t xml:space="preserve"> </w:t>
        </w:r>
        <w:r>
          <w:rPr>
            <w:spacing w:val="-2"/>
            <w:sz w:val="23"/>
          </w:rPr>
          <w:t>Coefficient</w:t>
        </w:r>
        <w:r>
          <w:rPr>
            <w:sz w:val="23"/>
          </w:rPr>
          <w:tab/>
        </w:r>
        <w:r>
          <w:rPr>
            <w:spacing w:val="-5"/>
            <w:sz w:val="23"/>
          </w:rPr>
          <w:t>78</w:t>
        </w:r>
      </w:hyperlink>
    </w:p>
    <w:p w:rsidR="00487D64" w:rsidRDefault="006F0D93">
      <w:pPr>
        <w:pStyle w:val="BodyText"/>
        <w:tabs>
          <w:tab w:val="left" w:pos="2492"/>
          <w:tab w:val="right" w:leader="dot" w:pos="9639"/>
        </w:tabs>
        <w:spacing w:before="398"/>
        <w:ind w:left="1419"/>
      </w:pPr>
      <w:hyperlink w:anchor="_bookmark61" w:history="1">
        <w:r>
          <w:rPr>
            <w:spacing w:val="-4"/>
          </w:rPr>
          <w:t>3.14</w:t>
        </w:r>
        <w:r>
          <w:tab/>
          <w:t>Ethical</w:t>
        </w:r>
        <w:r>
          <w:rPr>
            <w:spacing w:val="25"/>
          </w:rPr>
          <w:t xml:space="preserve"> </w:t>
        </w:r>
        <w:r>
          <w:rPr>
            <w:spacing w:val="-2"/>
          </w:rPr>
          <w:t>Considerations</w:t>
        </w:r>
        <w:r>
          <w:tab/>
        </w:r>
        <w:r>
          <w:rPr>
            <w:spacing w:val="-5"/>
          </w:rPr>
          <w:t>81</w:t>
        </w:r>
      </w:hyperlink>
    </w:p>
    <w:p w:rsidR="00487D64" w:rsidRDefault="006F0D93">
      <w:pPr>
        <w:tabs>
          <w:tab w:val="right" w:leader="dot" w:pos="9639"/>
        </w:tabs>
        <w:spacing w:before="420"/>
        <w:ind w:left="1419"/>
        <w:rPr>
          <w:b/>
          <w:sz w:val="23"/>
        </w:rPr>
      </w:pPr>
      <w:hyperlink w:anchor="_bookmark62" w:history="1">
        <w:r>
          <w:rPr>
            <w:b/>
            <w:sz w:val="23"/>
          </w:rPr>
          <w:t>FINDINGS</w:t>
        </w:r>
        <w:r>
          <w:rPr>
            <w:b/>
            <w:spacing w:val="18"/>
            <w:sz w:val="23"/>
          </w:rPr>
          <w:t xml:space="preserve"> </w:t>
        </w:r>
        <w:r>
          <w:rPr>
            <w:b/>
            <w:sz w:val="23"/>
          </w:rPr>
          <w:t>OF</w:t>
        </w:r>
        <w:r>
          <w:rPr>
            <w:b/>
            <w:spacing w:val="20"/>
            <w:sz w:val="23"/>
          </w:rPr>
          <w:t xml:space="preserve"> </w:t>
        </w:r>
        <w:r>
          <w:rPr>
            <w:b/>
            <w:sz w:val="23"/>
          </w:rPr>
          <w:t>THE</w:t>
        </w:r>
        <w:r>
          <w:rPr>
            <w:b/>
            <w:spacing w:val="31"/>
            <w:sz w:val="23"/>
          </w:rPr>
          <w:t xml:space="preserve"> </w:t>
        </w:r>
        <w:r>
          <w:rPr>
            <w:b/>
            <w:spacing w:val="-4"/>
            <w:sz w:val="23"/>
          </w:rPr>
          <w:t>STUDY</w:t>
        </w:r>
        <w:r>
          <w:rPr>
            <w:b/>
            <w:sz w:val="23"/>
          </w:rPr>
          <w:tab/>
        </w:r>
        <w:r>
          <w:rPr>
            <w:b/>
            <w:spacing w:val="-5"/>
            <w:sz w:val="23"/>
          </w:rPr>
          <w:t>83</w:t>
        </w:r>
      </w:hyperlink>
    </w:p>
    <w:p w:rsidR="00487D64" w:rsidRDefault="006F0D93">
      <w:pPr>
        <w:pStyle w:val="ListParagraph"/>
        <w:numPr>
          <w:ilvl w:val="1"/>
          <w:numId w:val="22"/>
        </w:numPr>
        <w:tabs>
          <w:tab w:val="left" w:pos="2492"/>
          <w:tab w:val="right" w:leader="dot" w:pos="9639"/>
        </w:tabs>
        <w:spacing w:before="398"/>
        <w:ind w:hanging="1073"/>
        <w:rPr>
          <w:sz w:val="23"/>
        </w:rPr>
      </w:pPr>
      <w:hyperlink w:anchor="_bookmark63" w:history="1">
        <w:r>
          <w:rPr>
            <w:spacing w:val="-2"/>
            <w:sz w:val="23"/>
          </w:rPr>
          <w:t>Overview</w:t>
        </w:r>
        <w:r>
          <w:rPr>
            <w:sz w:val="23"/>
          </w:rPr>
          <w:tab/>
        </w:r>
        <w:r>
          <w:rPr>
            <w:spacing w:val="-5"/>
            <w:sz w:val="23"/>
          </w:rPr>
          <w:t>83</w:t>
        </w:r>
      </w:hyperlink>
    </w:p>
    <w:p w:rsidR="00487D64" w:rsidRDefault="006F0D93">
      <w:pPr>
        <w:pStyle w:val="ListParagraph"/>
        <w:numPr>
          <w:ilvl w:val="1"/>
          <w:numId w:val="22"/>
        </w:numPr>
        <w:tabs>
          <w:tab w:val="left" w:pos="2492"/>
          <w:tab w:val="right" w:leader="dot" w:pos="9639"/>
        </w:tabs>
        <w:spacing w:before="405"/>
        <w:ind w:hanging="1073"/>
        <w:rPr>
          <w:sz w:val="23"/>
        </w:rPr>
      </w:pPr>
      <w:hyperlink w:anchor="_bookmark64" w:history="1">
        <w:r>
          <w:rPr>
            <w:sz w:val="23"/>
          </w:rPr>
          <w:t>Findings</w:t>
        </w:r>
        <w:r>
          <w:rPr>
            <w:spacing w:val="26"/>
            <w:sz w:val="23"/>
          </w:rPr>
          <w:t xml:space="preserve"> </w:t>
        </w:r>
        <w:r>
          <w:rPr>
            <w:sz w:val="23"/>
          </w:rPr>
          <w:t>from</w:t>
        </w:r>
        <w:r>
          <w:rPr>
            <w:spacing w:val="19"/>
            <w:sz w:val="23"/>
          </w:rPr>
          <w:t xml:space="preserve"> </w:t>
        </w:r>
        <w:r>
          <w:rPr>
            <w:sz w:val="23"/>
          </w:rPr>
          <w:t>Pilot</w:t>
        </w:r>
        <w:r>
          <w:rPr>
            <w:spacing w:val="23"/>
            <w:sz w:val="23"/>
          </w:rPr>
          <w:t xml:space="preserve"> </w:t>
        </w:r>
        <w:r>
          <w:rPr>
            <w:spacing w:val="-4"/>
            <w:sz w:val="23"/>
          </w:rPr>
          <w:t>Study</w:t>
        </w:r>
        <w:r>
          <w:rPr>
            <w:sz w:val="23"/>
          </w:rPr>
          <w:tab/>
        </w:r>
        <w:r>
          <w:rPr>
            <w:spacing w:val="-5"/>
            <w:sz w:val="23"/>
          </w:rPr>
          <w:t>83</w:t>
        </w:r>
      </w:hyperlink>
    </w:p>
    <w:p w:rsidR="00487D64" w:rsidRDefault="006F0D93">
      <w:pPr>
        <w:pStyle w:val="ListParagraph"/>
        <w:numPr>
          <w:ilvl w:val="2"/>
          <w:numId w:val="22"/>
        </w:numPr>
        <w:tabs>
          <w:tab w:val="left" w:pos="2492"/>
          <w:tab w:val="right" w:leader="dot" w:pos="9639"/>
        </w:tabs>
        <w:spacing w:before="298"/>
        <w:ind w:hanging="1073"/>
        <w:rPr>
          <w:sz w:val="23"/>
        </w:rPr>
      </w:pPr>
      <w:hyperlink w:anchor="_bookmark65" w:history="1">
        <w:r>
          <w:rPr>
            <w:sz w:val="23"/>
          </w:rPr>
          <w:t>Internal</w:t>
        </w:r>
        <w:r>
          <w:rPr>
            <w:spacing w:val="34"/>
            <w:sz w:val="23"/>
          </w:rPr>
          <w:t xml:space="preserve"> </w:t>
        </w:r>
        <w:r>
          <w:rPr>
            <w:sz w:val="23"/>
          </w:rPr>
          <w:t>Consistency</w:t>
        </w:r>
        <w:r>
          <w:rPr>
            <w:spacing w:val="32"/>
            <w:sz w:val="23"/>
          </w:rPr>
          <w:t xml:space="preserve"> </w:t>
        </w:r>
        <w:r>
          <w:rPr>
            <w:spacing w:val="-2"/>
            <w:sz w:val="23"/>
          </w:rPr>
          <w:t>Reliability</w:t>
        </w:r>
        <w:r>
          <w:rPr>
            <w:sz w:val="23"/>
          </w:rPr>
          <w:tab/>
        </w:r>
        <w:r>
          <w:rPr>
            <w:spacing w:val="-5"/>
            <w:sz w:val="23"/>
          </w:rPr>
          <w:t>83</w:t>
        </w:r>
      </w:hyperlink>
    </w:p>
    <w:p w:rsidR="00487D64" w:rsidRDefault="006F0D93">
      <w:pPr>
        <w:pStyle w:val="ListParagraph"/>
        <w:numPr>
          <w:ilvl w:val="2"/>
          <w:numId w:val="22"/>
        </w:numPr>
        <w:tabs>
          <w:tab w:val="left" w:pos="2499"/>
          <w:tab w:val="right" w:leader="dot" w:pos="9639"/>
        </w:tabs>
        <w:spacing w:before="283"/>
        <w:ind w:left="2499" w:hanging="1080"/>
        <w:rPr>
          <w:sz w:val="23"/>
        </w:rPr>
      </w:pPr>
      <w:hyperlink w:anchor="_bookmark66" w:history="1">
        <w:r>
          <w:rPr>
            <w:sz w:val="23"/>
          </w:rPr>
          <w:t>Pilot</w:t>
        </w:r>
        <w:r>
          <w:rPr>
            <w:spacing w:val="30"/>
            <w:sz w:val="23"/>
          </w:rPr>
          <w:t xml:space="preserve"> </w:t>
        </w:r>
        <w:r>
          <w:rPr>
            <w:sz w:val="23"/>
          </w:rPr>
          <w:t>Study</w:t>
        </w:r>
        <w:r>
          <w:rPr>
            <w:spacing w:val="27"/>
            <w:sz w:val="23"/>
          </w:rPr>
          <w:t xml:space="preserve"> </w:t>
        </w:r>
        <w:r>
          <w:rPr>
            <w:sz w:val="23"/>
          </w:rPr>
          <w:t>Results:</w:t>
        </w:r>
        <w:r>
          <w:rPr>
            <w:spacing w:val="21"/>
            <w:sz w:val="23"/>
          </w:rPr>
          <w:t xml:space="preserve"> </w:t>
        </w:r>
        <w:r>
          <w:rPr>
            <w:sz w:val="23"/>
          </w:rPr>
          <w:t>Coefficient</w:t>
        </w:r>
        <w:r>
          <w:rPr>
            <w:spacing w:val="30"/>
            <w:sz w:val="23"/>
          </w:rPr>
          <w:t xml:space="preserve"> </w:t>
        </w:r>
        <w:r>
          <w:rPr>
            <w:sz w:val="23"/>
          </w:rPr>
          <w:t>of</w:t>
        </w:r>
        <w:r>
          <w:rPr>
            <w:spacing w:val="24"/>
            <w:sz w:val="23"/>
          </w:rPr>
          <w:t xml:space="preserve"> </w:t>
        </w:r>
        <w:r>
          <w:rPr>
            <w:sz w:val="23"/>
          </w:rPr>
          <w:t>Determination</w:t>
        </w:r>
        <w:r>
          <w:rPr>
            <w:spacing w:val="18"/>
            <w:sz w:val="23"/>
          </w:rPr>
          <w:t xml:space="preserve"> </w:t>
        </w:r>
        <w:r>
          <w:rPr>
            <w:spacing w:val="-4"/>
            <w:sz w:val="23"/>
          </w:rPr>
          <w:t>(R²)</w:t>
        </w:r>
        <w:r>
          <w:rPr>
            <w:sz w:val="23"/>
          </w:rPr>
          <w:tab/>
        </w:r>
        <w:r>
          <w:rPr>
            <w:spacing w:val="-5"/>
            <w:sz w:val="23"/>
          </w:rPr>
          <w:t>85</w:t>
        </w:r>
      </w:hyperlink>
    </w:p>
    <w:p w:rsidR="00487D64" w:rsidRDefault="006F0D93">
      <w:pPr>
        <w:pStyle w:val="ListParagraph"/>
        <w:numPr>
          <w:ilvl w:val="2"/>
          <w:numId w:val="22"/>
        </w:numPr>
        <w:tabs>
          <w:tab w:val="left" w:pos="2499"/>
          <w:tab w:val="right" w:leader="dot" w:pos="9639"/>
        </w:tabs>
        <w:spacing w:before="290"/>
        <w:ind w:left="2499" w:hanging="1080"/>
        <w:rPr>
          <w:sz w:val="23"/>
        </w:rPr>
      </w:pPr>
      <w:hyperlink w:anchor="_bookmark67" w:history="1">
        <w:r>
          <w:rPr>
            <w:sz w:val="23"/>
          </w:rPr>
          <w:t>Pilot</w:t>
        </w:r>
        <w:r>
          <w:rPr>
            <w:spacing w:val="25"/>
            <w:sz w:val="23"/>
          </w:rPr>
          <w:t xml:space="preserve"> </w:t>
        </w:r>
        <w:r>
          <w:rPr>
            <w:sz w:val="23"/>
          </w:rPr>
          <w:t>Study</w:t>
        </w:r>
        <w:r>
          <w:rPr>
            <w:spacing w:val="22"/>
            <w:sz w:val="23"/>
          </w:rPr>
          <w:t xml:space="preserve"> </w:t>
        </w:r>
        <w:r>
          <w:rPr>
            <w:sz w:val="23"/>
          </w:rPr>
          <w:t>Results:</w:t>
        </w:r>
        <w:r>
          <w:rPr>
            <w:spacing w:val="26"/>
            <w:sz w:val="23"/>
          </w:rPr>
          <w:t xml:space="preserve"> </w:t>
        </w:r>
        <w:r>
          <w:rPr>
            <w:sz w:val="23"/>
          </w:rPr>
          <w:t>Examining</w:t>
        </w:r>
        <w:r>
          <w:rPr>
            <w:spacing w:val="22"/>
            <w:sz w:val="23"/>
          </w:rPr>
          <w:t xml:space="preserve"> </w:t>
        </w:r>
        <w:r>
          <w:rPr>
            <w:sz w:val="23"/>
          </w:rPr>
          <w:t>the</w:t>
        </w:r>
        <w:r>
          <w:rPr>
            <w:spacing w:val="22"/>
            <w:sz w:val="23"/>
          </w:rPr>
          <w:t xml:space="preserve"> </w:t>
        </w:r>
        <w:r>
          <w:rPr>
            <w:sz w:val="23"/>
          </w:rPr>
          <w:t>Significance</w:t>
        </w:r>
        <w:r>
          <w:rPr>
            <w:spacing w:val="21"/>
            <w:sz w:val="23"/>
          </w:rPr>
          <w:t xml:space="preserve"> </w:t>
        </w:r>
        <w:r>
          <w:rPr>
            <w:sz w:val="23"/>
          </w:rPr>
          <w:t>of</w:t>
        </w:r>
        <w:r>
          <w:rPr>
            <w:spacing w:val="18"/>
            <w:sz w:val="23"/>
          </w:rPr>
          <w:t xml:space="preserve"> </w:t>
        </w:r>
        <w:r>
          <w:rPr>
            <w:sz w:val="23"/>
          </w:rPr>
          <w:t>Path</w:t>
        </w:r>
        <w:r>
          <w:rPr>
            <w:spacing w:val="23"/>
            <w:sz w:val="23"/>
          </w:rPr>
          <w:t xml:space="preserve"> </w:t>
        </w:r>
        <w:r>
          <w:rPr>
            <w:spacing w:val="-2"/>
            <w:sz w:val="23"/>
          </w:rPr>
          <w:t>Coefficient</w:t>
        </w:r>
        <w:r>
          <w:rPr>
            <w:sz w:val="23"/>
          </w:rPr>
          <w:tab/>
        </w:r>
        <w:r>
          <w:rPr>
            <w:spacing w:val="-5"/>
            <w:sz w:val="23"/>
          </w:rPr>
          <w:t>86</w:t>
        </w:r>
      </w:hyperlink>
    </w:p>
    <w:p w:rsidR="00487D64" w:rsidRDefault="006F0D93">
      <w:pPr>
        <w:pStyle w:val="ListParagraph"/>
        <w:numPr>
          <w:ilvl w:val="1"/>
          <w:numId w:val="22"/>
        </w:numPr>
        <w:tabs>
          <w:tab w:val="left" w:pos="2492"/>
          <w:tab w:val="right" w:leader="dot" w:pos="9639"/>
        </w:tabs>
        <w:spacing w:before="405"/>
        <w:ind w:hanging="1073"/>
        <w:rPr>
          <w:sz w:val="23"/>
        </w:rPr>
      </w:pPr>
      <w:hyperlink w:anchor="_bookmark68" w:history="1">
        <w:r>
          <w:rPr>
            <w:spacing w:val="-4"/>
            <w:sz w:val="23"/>
          </w:rPr>
          <w:t>Rate</w:t>
        </w:r>
        <w:r>
          <w:rPr>
            <w:sz w:val="23"/>
          </w:rPr>
          <w:tab/>
        </w:r>
        <w:r>
          <w:rPr>
            <w:spacing w:val="-5"/>
            <w:sz w:val="23"/>
          </w:rPr>
          <w:t>87</w:t>
        </w:r>
      </w:hyperlink>
    </w:p>
    <w:p w:rsidR="00487D64" w:rsidRDefault="006F0D93">
      <w:pPr>
        <w:pStyle w:val="ListParagraph"/>
        <w:numPr>
          <w:ilvl w:val="1"/>
          <w:numId w:val="22"/>
        </w:numPr>
        <w:tabs>
          <w:tab w:val="left" w:pos="2492"/>
          <w:tab w:val="right" w:leader="dot" w:pos="9639"/>
        </w:tabs>
        <w:spacing w:before="406"/>
        <w:ind w:hanging="1073"/>
        <w:rPr>
          <w:sz w:val="23"/>
        </w:rPr>
      </w:pPr>
      <w:hyperlink w:anchor="_bookmark69" w:history="1">
        <w:r>
          <w:rPr>
            <w:sz w:val="23"/>
          </w:rPr>
          <w:t>Preliminary</w:t>
        </w:r>
        <w:r>
          <w:rPr>
            <w:spacing w:val="42"/>
            <w:sz w:val="23"/>
          </w:rPr>
          <w:t xml:space="preserve"> </w:t>
        </w:r>
        <w:r>
          <w:rPr>
            <w:spacing w:val="-2"/>
            <w:sz w:val="23"/>
          </w:rPr>
          <w:t>Findings</w:t>
        </w:r>
        <w:r>
          <w:rPr>
            <w:sz w:val="23"/>
          </w:rPr>
          <w:tab/>
        </w:r>
        <w:r>
          <w:rPr>
            <w:spacing w:val="-5"/>
            <w:sz w:val="23"/>
          </w:rPr>
          <w:t>89</w:t>
        </w:r>
      </w:hyperlink>
    </w:p>
    <w:p w:rsidR="00487D64" w:rsidRDefault="006F0D93">
      <w:pPr>
        <w:pStyle w:val="ListParagraph"/>
        <w:numPr>
          <w:ilvl w:val="2"/>
          <w:numId w:val="22"/>
        </w:numPr>
        <w:tabs>
          <w:tab w:val="left" w:pos="2492"/>
          <w:tab w:val="right" w:leader="dot" w:pos="9639"/>
        </w:tabs>
        <w:spacing w:before="290"/>
        <w:ind w:hanging="1073"/>
        <w:rPr>
          <w:sz w:val="23"/>
        </w:rPr>
      </w:pPr>
      <w:hyperlink w:anchor="_bookmark70" w:history="1">
        <w:r>
          <w:rPr>
            <w:sz w:val="23"/>
          </w:rPr>
          <w:t>Category</w:t>
        </w:r>
        <w:r>
          <w:rPr>
            <w:spacing w:val="26"/>
            <w:sz w:val="23"/>
          </w:rPr>
          <w:t xml:space="preserve"> </w:t>
        </w:r>
        <w:r>
          <w:rPr>
            <w:sz w:val="23"/>
          </w:rPr>
          <w:t>of</w:t>
        </w:r>
        <w:r>
          <w:rPr>
            <w:spacing w:val="22"/>
            <w:sz w:val="23"/>
          </w:rPr>
          <w:t xml:space="preserve"> </w:t>
        </w:r>
        <w:r>
          <w:rPr>
            <w:sz w:val="23"/>
          </w:rPr>
          <w:t>Special</w:t>
        </w:r>
        <w:r>
          <w:rPr>
            <w:spacing w:val="19"/>
            <w:sz w:val="23"/>
          </w:rPr>
          <w:t xml:space="preserve"> </w:t>
        </w:r>
        <w:r>
          <w:rPr>
            <w:spacing w:val="-4"/>
            <w:sz w:val="23"/>
          </w:rPr>
          <w:t>Group</w:t>
        </w:r>
        <w:r>
          <w:rPr>
            <w:sz w:val="23"/>
          </w:rPr>
          <w:tab/>
        </w:r>
        <w:r>
          <w:rPr>
            <w:spacing w:val="-5"/>
            <w:sz w:val="23"/>
          </w:rPr>
          <w:t>89</w:t>
        </w:r>
      </w:hyperlink>
    </w:p>
    <w:p w:rsidR="00487D64" w:rsidRDefault="006F0D93">
      <w:pPr>
        <w:pStyle w:val="ListParagraph"/>
        <w:numPr>
          <w:ilvl w:val="2"/>
          <w:numId w:val="22"/>
        </w:numPr>
        <w:tabs>
          <w:tab w:val="left" w:pos="2492"/>
          <w:tab w:val="right" w:leader="dot" w:pos="9639"/>
        </w:tabs>
        <w:spacing w:before="290"/>
        <w:ind w:hanging="1073"/>
        <w:rPr>
          <w:sz w:val="23"/>
        </w:rPr>
      </w:pPr>
      <w:hyperlink w:anchor="_bookmark71" w:history="1">
        <w:r>
          <w:rPr>
            <w:sz w:val="23"/>
          </w:rPr>
          <w:t>Nature</w:t>
        </w:r>
        <w:r>
          <w:rPr>
            <w:spacing w:val="17"/>
            <w:sz w:val="23"/>
          </w:rPr>
          <w:t xml:space="preserve"> </w:t>
        </w:r>
        <w:r>
          <w:rPr>
            <w:sz w:val="23"/>
          </w:rPr>
          <w:t>of</w:t>
        </w:r>
        <w:r>
          <w:rPr>
            <w:spacing w:val="14"/>
            <w:sz w:val="23"/>
          </w:rPr>
          <w:t xml:space="preserve"> </w:t>
        </w:r>
        <w:r>
          <w:rPr>
            <w:sz w:val="23"/>
          </w:rPr>
          <w:t>Activity</w:t>
        </w:r>
        <w:r>
          <w:rPr>
            <w:spacing w:val="19"/>
            <w:sz w:val="23"/>
          </w:rPr>
          <w:t xml:space="preserve"> </w:t>
        </w:r>
        <w:r>
          <w:rPr>
            <w:sz w:val="23"/>
          </w:rPr>
          <w:t>of</w:t>
        </w:r>
        <w:r>
          <w:rPr>
            <w:spacing w:val="15"/>
            <w:sz w:val="23"/>
          </w:rPr>
          <w:t xml:space="preserve"> </w:t>
        </w:r>
        <w:r>
          <w:rPr>
            <w:sz w:val="23"/>
          </w:rPr>
          <w:t>the</w:t>
        </w:r>
        <w:r>
          <w:rPr>
            <w:spacing w:val="17"/>
            <w:sz w:val="23"/>
          </w:rPr>
          <w:t xml:space="preserve"> </w:t>
        </w:r>
        <w:r>
          <w:rPr>
            <w:spacing w:val="-4"/>
            <w:sz w:val="23"/>
          </w:rPr>
          <w:t>Firm</w:t>
        </w:r>
        <w:r>
          <w:rPr>
            <w:sz w:val="23"/>
          </w:rPr>
          <w:tab/>
        </w:r>
        <w:r>
          <w:rPr>
            <w:spacing w:val="-5"/>
            <w:sz w:val="23"/>
          </w:rPr>
          <w:t>90</w:t>
        </w:r>
      </w:hyperlink>
    </w:p>
    <w:p w:rsidR="00487D64" w:rsidRDefault="006F0D93">
      <w:pPr>
        <w:pStyle w:val="ListParagraph"/>
        <w:numPr>
          <w:ilvl w:val="2"/>
          <w:numId w:val="22"/>
        </w:numPr>
        <w:tabs>
          <w:tab w:val="left" w:pos="2492"/>
          <w:tab w:val="right" w:leader="dot" w:pos="9639"/>
        </w:tabs>
        <w:spacing w:before="290"/>
        <w:ind w:hanging="1073"/>
        <w:rPr>
          <w:sz w:val="23"/>
        </w:rPr>
      </w:pPr>
      <w:hyperlink w:anchor="_bookmark72" w:history="1">
        <w:r>
          <w:rPr>
            <w:sz w:val="23"/>
          </w:rPr>
          <w:t>Company’s</w:t>
        </w:r>
        <w:r>
          <w:rPr>
            <w:spacing w:val="25"/>
            <w:sz w:val="23"/>
          </w:rPr>
          <w:t xml:space="preserve"> </w:t>
        </w:r>
        <w:r>
          <w:rPr>
            <w:sz w:val="23"/>
          </w:rPr>
          <w:t>Capital</w:t>
        </w:r>
        <w:r>
          <w:rPr>
            <w:spacing w:val="43"/>
            <w:sz w:val="23"/>
          </w:rPr>
          <w:t xml:space="preserve"> </w:t>
        </w:r>
        <w:r>
          <w:rPr>
            <w:spacing w:val="-2"/>
            <w:sz w:val="23"/>
          </w:rPr>
          <w:t>Investment</w:t>
        </w:r>
        <w:r>
          <w:rPr>
            <w:sz w:val="23"/>
          </w:rPr>
          <w:tab/>
        </w:r>
        <w:r>
          <w:rPr>
            <w:spacing w:val="-5"/>
            <w:sz w:val="23"/>
          </w:rPr>
          <w:t>92</w:t>
        </w:r>
      </w:hyperlink>
    </w:p>
    <w:p w:rsidR="00487D64" w:rsidRDefault="006F0D93">
      <w:pPr>
        <w:pStyle w:val="ListParagraph"/>
        <w:numPr>
          <w:ilvl w:val="2"/>
          <w:numId w:val="22"/>
        </w:numPr>
        <w:tabs>
          <w:tab w:val="left" w:pos="2737"/>
          <w:tab w:val="right" w:leader="dot" w:pos="9639"/>
        </w:tabs>
        <w:spacing w:before="283"/>
        <w:ind w:left="2737" w:hanging="1318"/>
        <w:rPr>
          <w:sz w:val="23"/>
        </w:rPr>
      </w:pPr>
      <w:hyperlink w:anchor="_bookmark73" w:history="1">
        <w:r>
          <w:rPr>
            <w:sz w:val="23"/>
          </w:rPr>
          <w:t>Source</w:t>
        </w:r>
        <w:r>
          <w:rPr>
            <w:spacing w:val="24"/>
            <w:sz w:val="23"/>
          </w:rPr>
          <w:t xml:space="preserve"> </w:t>
        </w:r>
        <w:r>
          <w:rPr>
            <w:sz w:val="23"/>
          </w:rPr>
          <w:t>of</w:t>
        </w:r>
        <w:r>
          <w:rPr>
            <w:spacing w:val="21"/>
            <w:sz w:val="23"/>
          </w:rPr>
          <w:t xml:space="preserve"> </w:t>
        </w:r>
        <w:r>
          <w:rPr>
            <w:sz w:val="23"/>
          </w:rPr>
          <w:t>Income</w:t>
        </w:r>
        <w:r>
          <w:rPr>
            <w:spacing w:val="15"/>
            <w:sz w:val="23"/>
          </w:rPr>
          <w:t xml:space="preserve"> </w:t>
        </w:r>
        <w:r>
          <w:rPr>
            <w:spacing w:val="-2"/>
            <w:sz w:val="23"/>
          </w:rPr>
          <w:t>Generation</w:t>
        </w:r>
        <w:r>
          <w:rPr>
            <w:sz w:val="23"/>
          </w:rPr>
          <w:tab/>
        </w:r>
        <w:r>
          <w:rPr>
            <w:spacing w:val="-5"/>
            <w:sz w:val="23"/>
          </w:rPr>
          <w:t>94</w:t>
        </w:r>
      </w:hyperlink>
    </w:p>
    <w:p w:rsidR="00487D64" w:rsidRDefault="006F0D93">
      <w:pPr>
        <w:pStyle w:val="ListParagraph"/>
        <w:numPr>
          <w:ilvl w:val="2"/>
          <w:numId w:val="22"/>
        </w:numPr>
        <w:tabs>
          <w:tab w:val="left" w:pos="2737"/>
          <w:tab w:val="right" w:leader="dot" w:pos="9639"/>
        </w:tabs>
        <w:spacing w:before="290"/>
        <w:ind w:left="2737" w:hanging="1318"/>
        <w:rPr>
          <w:sz w:val="23"/>
        </w:rPr>
      </w:pPr>
      <w:hyperlink w:anchor="_bookmark74" w:history="1">
        <w:r>
          <w:rPr>
            <w:sz w:val="23"/>
          </w:rPr>
          <w:t>Number</w:t>
        </w:r>
        <w:r>
          <w:rPr>
            <w:spacing w:val="25"/>
            <w:sz w:val="23"/>
          </w:rPr>
          <w:t xml:space="preserve"> </w:t>
        </w:r>
        <w:r>
          <w:rPr>
            <w:sz w:val="23"/>
          </w:rPr>
          <w:t>of</w:t>
        </w:r>
        <w:r>
          <w:rPr>
            <w:spacing w:val="16"/>
            <w:sz w:val="23"/>
          </w:rPr>
          <w:t xml:space="preserve"> </w:t>
        </w:r>
        <w:r>
          <w:rPr>
            <w:spacing w:val="-2"/>
            <w:sz w:val="23"/>
          </w:rPr>
          <w:t>Employees</w:t>
        </w:r>
        <w:r>
          <w:rPr>
            <w:sz w:val="23"/>
          </w:rPr>
          <w:tab/>
        </w:r>
        <w:r>
          <w:rPr>
            <w:spacing w:val="-5"/>
            <w:sz w:val="23"/>
          </w:rPr>
          <w:t>96</w:t>
        </w:r>
      </w:hyperlink>
    </w:p>
    <w:p w:rsidR="00487D64" w:rsidRDefault="006F0D93">
      <w:pPr>
        <w:pStyle w:val="ListParagraph"/>
        <w:numPr>
          <w:ilvl w:val="1"/>
          <w:numId w:val="22"/>
        </w:numPr>
        <w:tabs>
          <w:tab w:val="left" w:pos="2737"/>
          <w:tab w:val="right" w:leader="dot" w:pos="9639"/>
        </w:tabs>
        <w:spacing w:before="406"/>
        <w:ind w:left="2737" w:hanging="1318"/>
        <w:rPr>
          <w:sz w:val="23"/>
        </w:rPr>
      </w:pPr>
      <w:hyperlink w:anchor="_bookmark75" w:history="1">
        <w:r>
          <w:rPr>
            <w:sz w:val="23"/>
          </w:rPr>
          <w:t>Measurement</w:t>
        </w:r>
        <w:r>
          <w:rPr>
            <w:spacing w:val="35"/>
            <w:sz w:val="23"/>
          </w:rPr>
          <w:t xml:space="preserve"> </w:t>
        </w:r>
        <w:r>
          <w:rPr>
            <w:sz w:val="23"/>
          </w:rPr>
          <w:t>Model</w:t>
        </w:r>
        <w:r>
          <w:rPr>
            <w:spacing w:val="35"/>
            <w:sz w:val="23"/>
          </w:rPr>
          <w:t xml:space="preserve"> </w:t>
        </w:r>
        <w:r>
          <w:rPr>
            <w:spacing w:val="-2"/>
            <w:sz w:val="23"/>
          </w:rPr>
          <w:t>Results</w:t>
        </w:r>
        <w:r>
          <w:rPr>
            <w:sz w:val="23"/>
          </w:rPr>
          <w:tab/>
        </w:r>
        <w:r>
          <w:rPr>
            <w:spacing w:val="-5"/>
            <w:sz w:val="23"/>
          </w:rPr>
          <w:t>97</w:t>
        </w:r>
      </w:hyperlink>
    </w:p>
    <w:p w:rsidR="00487D64" w:rsidRDefault="006F0D93">
      <w:pPr>
        <w:pStyle w:val="ListParagraph"/>
        <w:numPr>
          <w:ilvl w:val="2"/>
          <w:numId w:val="22"/>
        </w:numPr>
        <w:tabs>
          <w:tab w:val="left" w:pos="2730"/>
          <w:tab w:val="right" w:leader="dot" w:pos="9639"/>
        </w:tabs>
        <w:spacing w:before="290"/>
        <w:ind w:left="2730" w:hanging="1311"/>
        <w:rPr>
          <w:sz w:val="23"/>
        </w:rPr>
      </w:pPr>
      <w:hyperlink w:anchor="_bookmark76" w:history="1">
        <w:r>
          <w:rPr>
            <w:sz w:val="23"/>
          </w:rPr>
          <w:t>Indicator</w:t>
        </w:r>
        <w:r>
          <w:rPr>
            <w:spacing w:val="33"/>
            <w:sz w:val="23"/>
          </w:rPr>
          <w:t xml:space="preserve"> </w:t>
        </w:r>
        <w:r>
          <w:rPr>
            <w:spacing w:val="-2"/>
            <w:sz w:val="23"/>
          </w:rPr>
          <w:t>Loading</w:t>
        </w:r>
        <w:r>
          <w:rPr>
            <w:sz w:val="23"/>
          </w:rPr>
          <w:tab/>
        </w:r>
        <w:r>
          <w:rPr>
            <w:spacing w:val="-5"/>
            <w:sz w:val="23"/>
          </w:rPr>
          <w:t>97</w:t>
        </w:r>
      </w:hyperlink>
    </w:p>
    <w:p w:rsidR="00487D64" w:rsidRDefault="006F0D93">
      <w:pPr>
        <w:pStyle w:val="ListParagraph"/>
        <w:numPr>
          <w:ilvl w:val="2"/>
          <w:numId w:val="22"/>
        </w:numPr>
        <w:tabs>
          <w:tab w:val="left" w:pos="2730"/>
          <w:tab w:val="right" w:leader="dot" w:pos="9639"/>
        </w:tabs>
        <w:spacing w:before="290"/>
        <w:ind w:left="2730" w:hanging="1311"/>
        <w:rPr>
          <w:sz w:val="23"/>
        </w:rPr>
      </w:pPr>
      <w:hyperlink w:anchor="_bookmark77" w:history="1">
        <w:r>
          <w:rPr>
            <w:sz w:val="23"/>
          </w:rPr>
          <w:t>Internal</w:t>
        </w:r>
        <w:r>
          <w:rPr>
            <w:spacing w:val="33"/>
            <w:sz w:val="23"/>
          </w:rPr>
          <w:t xml:space="preserve"> </w:t>
        </w:r>
        <w:r>
          <w:rPr>
            <w:sz w:val="23"/>
          </w:rPr>
          <w:t>Consistency</w:t>
        </w:r>
        <w:r>
          <w:rPr>
            <w:spacing w:val="41"/>
            <w:sz w:val="23"/>
          </w:rPr>
          <w:t xml:space="preserve"> </w:t>
        </w:r>
        <w:r>
          <w:rPr>
            <w:spacing w:val="-2"/>
            <w:sz w:val="23"/>
          </w:rPr>
          <w:t>Reliability</w:t>
        </w:r>
        <w:r>
          <w:rPr>
            <w:sz w:val="23"/>
          </w:rPr>
          <w:tab/>
        </w:r>
        <w:r>
          <w:rPr>
            <w:spacing w:val="-5"/>
            <w:sz w:val="23"/>
          </w:rPr>
          <w:t>98</w:t>
        </w:r>
      </w:hyperlink>
    </w:p>
    <w:p w:rsidR="00487D64" w:rsidRDefault="006F0D93">
      <w:pPr>
        <w:pStyle w:val="ListParagraph"/>
        <w:numPr>
          <w:ilvl w:val="2"/>
          <w:numId w:val="22"/>
        </w:numPr>
        <w:tabs>
          <w:tab w:val="left" w:pos="2737"/>
          <w:tab w:val="right" w:leader="dot" w:pos="9639"/>
        </w:tabs>
        <w:spacing w:before="283"/>
        <w:ind w:left="2737" w:hanging="1318"/>
        <w:rPr>
          <w:sz w:val="23"/>
        </w:rPr>
      </w:pPr>
      <w:hyperlink w:anchor="_bookmark78" w:history="1">
        <w:r>
          <w:rPr>
            <w:sz w:val="23"/>
          </w:rPr>
          <w:t>Discriminant</w:t>
        </w:r>
        <w:r>
          <w:rPr>
            <w:spacing w:val="47"/>
            <w:sz w:val="23"/>
          </w:rPr>
          <w:t xml:space="preserve"> </w:t>
        </w:r>
        <w:r>
          <w:rPr>
            <w:spacing w:val="-2"/>
            <w:sz w:val="23"/>
          </w:rPr>
          <w:t>Validity</w:t>
        </w:r>
        <w:r>
          <w:rPr>
            <w:sz w:val="23"/>
          </w:rPr>
          <w:tab/>
        </w:r>
        <w:r>
          <w:rPr>
            <w:spacing w:val="-5"/>
            <w:sz w:val="23"/>
          </w:rPr>
          <w:t>101</w:t>
        </w:r>
      </w:hyperlink>
    </w:p>
    <w:p w:rsidR="00487D64" w:rsidRDefault="006F0D93">
      <w:pPr>
        <w:pStyle w:val="ListParagraph"/>
        <w:numPr>
          <w:ilvl w:val="1"/>
          <w:numId w:val="22"/>
        </w:numPr>
        <w:tabs>
          <w:tab w:val="left" w:pos="2737"/>
          <w:tab w:val="right" w:leader="dot" w:pos="9639"/>
        </w:tabs>
        <w:spacing w:before="405"/>
        <w:ind w:left="2737" w:hanging="1318"/>
        <w:rPr>
          <w:sz w:val="23"/>
        </w:rPr>
      </w:pPr>
      <w:hyperlink w:anchor="_bookmark79" w:history="1">
        <w:r>
          <w:rPr>
            <w:sz w:val="23"/>
          </w:rPr>
          <w:t>Structural</w:t>
        </w:r>
        <w:r>
          <w:rPr>
            <w:spacing w:val="35"/>
            <w:sz w:val="23"/>
          </w:rPr>
          <w:t xml:space="preserve"> </w:t>
        </w:r>
        <w:r>
          <w:rPr>
            <w:spacing w:val="-4"/>
            <w:sz w:val="23"/>
          </w:rPr>
          <w:t>Model</w:t>
        </w:r>
        <w:r>
          <w:rPr>
            <w:sz w:val="23"/>
          </w:rPr>
          <w:tab/>
        </w:r>
        <w:r>
          <w:rPr>
            <w:spacing w:val="-5"/>
            <w:sz w:val="23"/>
          </w:rPr>
          <w:t>105</w:t>
        </w:r>
      </w:hyperlink>
    </w:p>
    <w:p w:rsidR="00487D64" w:rsidRDefault="006F0D93">
      <w:pPr>
        <w:pStyle w:val="ListParagraph"/>
        <w:numPr>
          <w:ilvl w:val="2"/>
          <w:numId w:val="22"/>
        </w:numPr>
        <w:tabs>
          <w:tab w:val="left" w:pos="2737"/>
          <w:tab w:val="right" w:leader="dot" w:pos="9639"/>
        </w:tabs>
        <w:spacing w:before="290"/>
        <w:ind w:left="2737" w:hanging="1318"/>
        <w:rPr>
          <w:sz w:val="23"/>
        </w:rPr>
      </w:pPr>
      <w:hyperlink w:anchor="_bookmark80" w:history="1">
        <w:r>
          <w:rPr>
            <w:sz w:val="23"/>
          </w:rPr>
          <w:t>Collinearity</w:t>
        </w:r>
        <w:r>
          <w:rPr>
            <w:spacing w:val="14"/>
            <w:sz w:val="23"/>
          </w:rPr>
          <w:t xml:space="preserve"> </w:t>
        </w:r>
        <w:r>
          <w:rPr>
            <w:sz w:val="23"/>
          </w:rPr>
          <w:t>Statistics</w:t>
        </w:r>
        <w:r>
          <w:rPr>
            <w:spacing w:val="31"/>
            <w:sz w:val="23"/>
          </w:rPr>
          <w:t xml:space="preserve"> </w:t>
        </w:r>
        <w:r>
          <w:rPr>
            <w:sz w:val="23"/>
          </w:rPr>
          <w:t>VIF</w:t>
        </w:r>
        <w:r>
          <w:rPr>
            <w:spacing w:val="26"/>
            <w:sz w:val="23"/>
          </w:rPr>
          <w:t xml:space="preserve"> </w:t>
        </w:r>
        <w:r>
          <w:rPr>
            <w:sz w:val="23"/>
          </w:rPr>
          <w:t>Inner</w:t>
        </w:r>
        <w:r>
          <w:rPr>
            <w:spacing w:val="29"/>
            <w:sz w:val="23"/>
          </w:rPr>
          <w:t xml:space="preserve"> </w:t>
        </w:r>
        <w:r>
          <w:rPr>
            <w:sz w:val="23"/>
          </w:rPr>
          <w:t>Model</w:t>
        </w:r>
        <w:r>
          <w:rPr>
            <w:spacing w:val="27"/>
            <w:sz w:val="23"/>
          </w:rPr>
          <w:t xml:space="preserve"> </w:t>
        </w:r>
        <w:r>
          <w:rPr>
            <w:spacing w:val="-2"/>
            <w:sz w:val="23"/>
          </w:rPr>
          <w:t>Statistics</w:t>
        </w:r>
        <w:r>
          <w:rPr>
            <w:sz w:val="23"/>
          </w:rPr>
          <w:tab/>
        </w:r>
        <w:r>
          <w:rPr>
            <w:spacing w:val="-5"/>
            <w:sz w:val="23"/>
          </w:rPr>
          <w:t>105</w:t>
        </w:r>
      </w:hyperlink>
    </w:p>
    <w:p w:rsidR="00487D64" w:rsidRDefault="00487D64">
      <w:pPr>
        <w:pStyle w:val="ListParagrap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ListParagraph"/>
        <w:numPr>
          <w:ilvl w:val="2"/>
          <w:numId w:val="21"/>
        </w:numPr>
        <w:tabs>
          <w:tab w:val="left" w:pos="2737"/>
          <w:tab w:val="left" w:leader="dot" w:pos="9272"/>
        </w:tabs>
        <w:ind w:left="2737" w:hanging="1318"/>
        <w:rPr>
          <w:sz w:val="23"/>
        </w:rPr>
      </w:pPr>
      <w:hyperlink w:anchor="_bookmark81" w:history="1">
        <w:r>
          <w:rPr>
            <w:sz w:val="23"/>
          </w:rPr>
          <w:t>Coefficient</w:t>
        </w:r>
        <w:r>
          <w:rPr>
            <w:spacing w:val="43"/>
            <w:sz w:val="23"/>
          </w:rPr>
          <w:t xml:space="preserve"> </w:t>
        </w:r>
        <w:r>
          <w:rPr>
            <w:sz w:val="23"/>
          </w:rPr>
          <w:t>of</w:t>
        </w:r>
        <w:r>
          <w:rPr>
            <w:spacing w:val="22"/>
            <w:sz w:val="23"/>
          </w:rPr>
          <w:t xml:space="preserve"> </w:t>
        </w:r>
        <w:r>
          <w:rPr>
            <w:sz w:val="23"/>
          </w:rPr>
          <w:t>Determination</w:t>
        </w:r>
        <w:r>
          <w:rPr>
            <w:spacing w:val="29"/>
            <w:sz w:val="23"/>
          </w:rPr>
          <w:t xml:space="preserve"> </w:t>
        </w:r>
        <w:r>
          <w:rPr>
            <w:spacing w:val="-4"/>
            <w:sz w:val="23"/>
          </w:rPr>
          <w:t>(R²)</w:t>
        </w:r>
        <w:r>
          <w:rPr>
            <w:sz w:val="23"/>
          </w:rPr>
          <w:tab/>
        </w:r>
        <w:r>
          <w:rPr>
            <w:spacing w:val="-5"/>
            <w:sz w:val="23"/>
          </w:rPr>
          <w:t>106</w:t>
        </w:r>
      </w:hyperlink>
    </w:p>
    <w:p w:rsidR="00487D64" w:rsidRDefault="006F0D93">
      <w:pPr>
        <w:pStyle w:val="ListParagraph"/>
        <w:numPr>
          <w:ilvl w:val="2"/>
          <w:numId w:val="21"/>
        </w:numPr>
        <w:tabs>
          <w:tab w:val="left" w:pos="2745"/>
          <w:tab w:val="left" w:leader="dot" w:pos="9272"/>
        </w:tabs>
        <w:spacing w:before="291"/>
        <w:ind w:left="2745" w:hanging="1326"/>
        <w:rPr>
          <w:sz w:val="23"/>
        </w:rPr>
      </w:pPr>
      <w:hyperlink w:anchor="_bookmark82" w:history="1">
        <w:r>
          <w:rPr>
            <w:sz w:val="23"/>
          </w:rPr>
          <w:t>Assessment</w:t>
        </w:r>
        <w:r>
          <w:rPr>
            <w:spacing w:val="29"/>
            <w:sz w:val="23"/>
          </w:rPr>
          <w:t xml:space="preserve"> </w:t>
        </w:r>
        <w:r>
          <w:rPr>
            <w:sz w:val="23"/>
          </w:rPr>
          <w:t>of</w:t>
        </w:r>
        <w:r>
          <w:rPr>
            <w:spacing w:val="23"/>
            <w:sz w:val="23"/>
          </w:rPr>
          <w:t xml:space="preserve"> </w:t>
        </w:r>
        <w:r>
          <w:rPr>
            <w:sz w:val="23"/>
          </w:rPr>
          <w:t>Effect</w:t>
        </w:r>
        <w:r>
          <w:rPr>
            <w:spacing w:val="30"/>
            <w:sz w:val="23"/>
          </w:rPr>
          <w:t xml:space="preserve"> </w:t>
        </w:r>
        <w:r>
          <w:rPr>
            <w:sz w:val="23"/>
          </w:rPr>
          <w:t>Size</w:t>
        </w:r>
        <w:r>
          <w:rPr>
            <w:spacing w:val="25"/>
            <w:sz w:val="23"/>
          </w:rPr>
          <w:t xml:space="preserve"> </w:t>
        </w:r>
        <w:r>
          <w:rPr>
            <w:sz w:val="23"/>
          </w:rPr>
          <w:t>of</w:t>
        </w:r>
        <w:r>
          <w:rPr>
            <w:spacing w:val="12"/>
            <w:sz w:val="23"/>
          </w:rPr>
          <w:t xml:space="preserve"> </w:t>
        </w:r>
        <w:r>
          <w:rPr>
            <w:sz w:val="23"/>
          </w:rPr>
          <w:t>Coefficient</w:t>
        </w:r>
        <w:r>
          <w:rPr>
            <w:spacing w:val="29"/>
            <w:sz w:val="23"/>
          </w:rPr>
          <w:t xml:space="preserve"> </w:t>
        </w:r>
        <w:r>
          <w:rPr>
            <w:sz w:val="23"/>
          </w:rPr>
          <w:t>of</w:t>
        </w:r>
        <w:r>
          <w:rPr>
            <w:spacing w:val="12"/>
            <w:sz w:val="23"/>
          </w:rPr>
          <w:t xml:space="preserve"> </w:t>
        </w:r>
        <w:r>
          <w:rPr>
            <w:sz w:val="23"/>
          </w:rPr>
          <w:t>Determination</w:t>
        </w:r>
        <w:r>
          <w:rPr>
            <w:spacing w:val="17"/>
            <w:sz w:val="23"/>
          </w:rPr>
          <w:t xml:space="preserve"> </w:t>
        </w:r>
        <w:r>
          <w:rPr>
            <w:spacing w:val="-4"/>
            <w:sz w:val="23"/>
          </w:rPr>
          <w:t>(f</w:t>
        </w:r>
        <w:r>
          <w:rPr>
            <w:spacing w:val="-4"/>
            <w:sz w:val="23"/>
            <w:vertAlign w:val="superscript"/>
          </w:rPr>
          <w:t>2</w:t>
        </w:r>
        <w:r>
          <w:rPr>
            <w:spacing w:val="-4"/>
            <w:sz w:val="23"/>
          </w:rPr>
          <w:t>)</w:t>
        </w:r>
        <w:r>
          <w:rPr>
            <w:sz w:val="23"/>
          </w:rPr>
          <w:tab/>
        </w:r>
        <w:r>
          <w:rPr>
            <w:spacing w:val="-5"/>
            <w:sz w:val="23"/>
          </w:rPr>
          <w:t>107</w:t>
        </w:r>
      </w:hyperlink>
    </w:p>
    <w:p w:rsidR="00487D64" w:rsidRDefault="006F0D93">
      <w:pPr>
        <w:pStyle w:val="ListParagraph"/>
        <w:numPr>
          <w:ilvl w:val="2"/>
          <w:numId w:val="21"/>
        </w:numPr>
        <w:tabs>
          <w:tab w:val="left" w:pos="2745"/>
          <w:tab w:val="left" w:leader="dot" w:pos="9272"/>
        </w:tabs>
        <w:spacing w:before="283"/>
        <w:ind w:left="2745" w:hanging="1326"/>
        <w:rPr>
          <w:sz w:val="23"/>
        </w:rPr>
      </w:pPr>
      <w:hyperlink w:anchor="_bookmark83" w:history="1">
        <w:r>
          <w:rPr>
            <w:sz w:val="23"/>
          </w:rPr>
          <w:t>Assessment</w:t>
        </w:r>
        <w:r>
          <w:rPr>
            <w:spacing w:val="36"/>
            <w:sz w:val="23"/>
          </w:rPr>
          <w:t xml:space="preserve"> </w:t>
        </w:r>
        <w:r>
          <w:rPr>
            <w:sz w:val="23"/>
          </w:rPr>
          <w:t>of</w:t>
        </w:r>
        <w:r>
          <w:rPr>
            <w:spacing w:val="30"/>
            <w:sz w:val="23"/>
          </w:rPr>
          <w:t xml:space="preserve"> </w:t>
        </w:r>
        <w:r>
          <w:rPr>
            <w:sz w:val="23"/>
          </w:rPr>
          <w:t>Predictive</w:t>
        </w:r>
        <w:r>
          <w:rPr>
            <w:spacing w:val="22"/>
            <w:sz w:val="23"/>
          </w:rPr>
          <w:t xml:space="preserve"> </w:t>
        </w:r>
        <w:r>
          <w:rPr>
            <w:sz w:val="23"/>
          </w:rPr>
          <w:t>Relevance</w:t>
        </w:r>
        <w:r>
          <w:rPr>
            <w:spacing w:val="22"/>
            <w:sz w:val="23"/>
          </w:rPr>
          <w:t xml:space="preserve"> </w:t>
        </w:r>
        <w:r>
          <w:rPr>
            <w:spacing w:val="-4"/>
            <w:sz w:val="23"/>
          </w:rPr>
          <w:t>(Q2)</w:t>
        </w:r>
        <w:r>
          <w:rPr>
            <w:sz w:val="23"/>
          </w:rPr>
          <w:tab/>
        </w:r>
        <w:r>
          <w:rPr>
            <w:spacing w:val="-5"/>
            <w:sz w:val="23"/>
          </w:rPr>
          <w:t>109</w:t>
        </w:r>
      </w:hyperlink>
    </w:p>
    <w:p w:rsidR="00487D64" w:rsidRDefault="006F0D93">
      <w:pPr>
        <w:pStyle w:val="ListParagraph"/>
        <w:numPr>
          <w:ilvl w:val="2"/>
          <w:numId w:val="21"/>
        </w:numPr>
        <w:tabs>
          <w:tab w:val="left" w:pos="2737"/>
          <w:tab w:val="left" w:leader="dot" w:pos="9272"/>
        </w:tabs>
        <w:spacing w:before="290"/>
        <w:ind w:left="2737" w:hanging="1318"/>
        <w:rPr>
          <w:sz w:val="23"/>
        </w:rPr>
      </w:pPr>
      <w:hyperlink w:anchor="_bookmark84" w:history="1">
        <w:r>
          <w:rPr>
            <w:w w:val="105"/>
            <w:sz w:val="23"/>
          </w:rPr>
          <w:t>Model</w:t>
        </w:r>
        <w:r>
          <w:rPr>
            <w:spacing w:val="-7"/>
            <w:w w:val="105"/>
            <w:sz w:val="23"/>
          </w:rPr>
          <w:t xml:space="preserve"> </w:t>
        </w:r>
        <w:r>
          <w:rPr>
            <w:w w:val="105"/>
            <w:sz w:val="23"/>
          </w:rPr>
          <w:t>Fit</w:t>
        </w:r>
        <w:r>
          <w:rPr>
            <w:spacing w:val="-13"/>
            <w:w w:val="105"/>
            <w:sz w:val="23"/>
          </w:rPr>
          <w:t xml:space="preserve"> </w:t>
        </w:r>
        <w:r>
          <w:rPr>
            <w:spacing w:val="-2"/>
            <w:w w:val="105"/>
            <w:sz w:val="23"/>
          </w:rPr>
          <w:t>Results</w:t>
        </w:r>
        <w:r>
          <w:rPr>
            <w:sz w:val="23"/>
          </w:rPr>
          <w:tab/>
        </w:r>
        <w:r>
          <w:rPr>
            <w:spacing w:val="-5"/>
            <w:w w:val="105"/>
            <w:sz w:val="23"/>
          </w:rPr>
          <w:t>110</w:t>
        </w:r>
      </w:hyperlink>
    </w:p>
    <w:p w:rsidR="00487D64" w:rsidRDefault="006F0D93">
      <w:pPr>
        <w:pStyle w:val="BodyText"/>
        <w:tabs>
          <w:tab w:val="left" w:pos="2737"/>
          <w:tab w:val="left" w:leader="dot" w:pos="9272"/>
        </w:tabs>
        <w:spacing w:before="290"/>
        <w:ind w:left="1419"/>
      </w:pPr>
      <w:hyperlink w:anchor="_bookmark85" w:history="1">
        <w:r>
          <w:rPr>
            <w:spacing w:val="-2"/>
            <w:w w:val="105"/>
          </w:rPr>
          <w:t>4.6.5</w:t>
        </w:r>
        <w:r>
          <w:tab/>
        </w:r>
        <w:r>
          <w:rPr>
            <w:w w:val="105"/>
          </w:rPr>
          <w:t>Path</w:t>
        </w:r>
        <w:r>
          <w:rPr>
            <w:spacing w:val="-12"/>
            <w:w w:val="105"/>
          </w:rPr>
          <w:t xml:space="preserve"> </w:t>
        </w:r>
        <w:r>
          <w:rPr>
            <w:spacing w:val="-2"/>
            <w:w w:val="105"/>
          </w:rPr>
          <w:t>Coefficient</w:t>
        </w:r>
        <w:r>
          <w:tab/>
        </w:r>
        <w:r>
          <w:rPr>
            <w:spacing w:val="-5"/>
            <w:w w:val="105"/>
          </w:rPr>
          <w:t>111</w:t>
        </w:r>
      </w:hyperlink>
    </w:p>
    <w:p w:rsidR="00487D64" w:rsidRDefault="006F0D93">
      <w:pPr>
        <w:pStyle w:val="ListParagraph"/>
        <w:numPr>
          <w:ilvl w:val="1"/>
          <w:numId w:val="22"/>
        </w:numPr>
        <w:tabs>
          <w:tab w:val="left" w:pos="2730"/>
          <w:tab w:val="left" w:leader="dot" w:pos="9272"/>
        </w:tabs>
        <w:spacing w:before="398"/>
        <w:ind w:left="2730" w:hanging="1311"/>
        <w:rPr>
          <w:sz w:val="23"/>
        </w:rPr>
      </w:pPr>
      <w:hyperlink w:anchor="_bookmark86" w:history="1">
        <w:r>
          <w:rPr>
            <w:sz w:val="23"/>
          </w:rPr>
          <w:t>Interaction</w:t>
        </w:r>
        <w:r>
          <w:rPr>
            <w:spacing w:val="42"/>
            <w:sz w:val="23"/>
          </w:rPr>
          <w:t xml:space="preserve"> </w:t>
        </w:r>
        <w:r>
          <w:rPr>
            <w:sz w:val="23"/>
          </w:rPr>
          <w:t>Modelling</w:t>
        </w:r>
        <w:r>
          <w:rPr>
            <w:spacing w:val="30"/>
            <w:sz w:val="23"/>
          </w:rPr>
          <w:t xml:space="preserve"> </w:t>
        </w:r>
        <w:r>
          <w:rPr>
            <w:spacing w:val="-2"/>
            <w:sz w:val="23"/>
          </w:rPr>
          <w:t>Results</w:t>
        </w:r>
        <w:r>
          <w:rPr>
            <w:sz w:val="23"/>
          </w:rPr>
          <w:tab/>
        </w:r>
        <w:r>
          <w:rPr>
            <w:spacing w:val="-5"/>
            <w:sz w:val="23"/>
          </w:rPr>
          <w:t>115</w:t>
        </w:r>
      </w:hyperlink>
    </w:p>
    <w:p w:rsidR="00487D64" w:rsidRDefault="006F0D93">
      <w:pPr>
        <w:pStyle w:val="ListParagraph"/>
        <w:numPr>
          <w:ilvl w:val="2"/>
          <w:numId w:val="22"/>
        </w:numPr>
        <w:tabs>
          <w:tab w:val="left" w:pos="2737"/>
          <w:tab w:val="left" w:leader="dot" w:pos="9272"/>
        </w:tabs>
        <w:spacing w:before="297" w:line="496" w:lineRule="auto"/>
        <w:ind w:left="1419" w:right="851" w:firstLine="0"/>
        <w:rPr>
          <w:sz w:val="23"/>
        </w:rPr>
      </w:pPr>
      <w:hyperlink w:anchor="_bookmark87" w:history="1">
        <w:r>
          <w:rPr>
            <w:w w:val="105"/>
            <w:sz w:val="23"/>
          </w:rPr>
          <w:t>Coefficient of Determination (R²) and Effect Size of</w:t>
        </w:r>
        <w:r>
          <w:rPr>
            <w:spacing w:val="-2"/>
            <w:w w:val="105"/>
            <w:sz w:val="23"/>
          </w:rPr>
          <w:t xml:space="preserve"> </w:t>
        </w:r>
        <w:r>
          <w:rPr>
            <w:w w:val="105"/>
            <w:sz w:val="23"/>
          </w:rPr>
          <w:t>Coefficient of</w:t>
        </w:r>
      </w:hyperlink>
      <w:r>
        <w:rPr>
          <w:w w:val="105"/>
          <w:sz w:val="23"/>
        </w:rPr>
        <w:t xml:space="preserve"> </w:t>
      </w:r>
      <w:hyperlink w:anchor="_bookmark87" w:history="1">
        <w:r>
          <w:rPr>
            <w:sz w:val="23"/>
          </w:rPr>
          <w:t>Determination</w:t>
        </w:r>
        <w:r>
          <w:rPr>
            <w:spacing w:val="41"/>
            <w:sz w:val="23"/>
          </w:rPr>
          <w:t xml:space="preserve"> </w:t>
        </w:r>
        <w:r>
          <w:rPr>
            <w:spacing w:val="-4"/>
            <w:sz w:val="23"/>
          </w:rPr>
          <w:t>(f2)</w:t>
        </w:r>
        <w:r>
          <w:rPr>
            <w:sz w:val="23"/>
          </w:rPr>
          <w:tab/>
        </w:r>
        <w:r>
          <w:rPr>
            <w:spacing w:val="-5"/>
            <w:sz w:val="23"/>
          </w:rPr>
          <w:t>116</w:t>
        </w:r>
      </w:hyperlink>
    </w:p>
    <w:p w:rsidR="00487D64" w:rsidRDefault="006F0D93">
      <w:pPr>
        <w:tabs>
          <w:tab w:val="left" w:leader="dot" w:pos="9272"/>
        </w:tabs>
        <w:spacing w:before="130"/>
        <w:ind w:left="1419"/>
        <w:rPr>
          <w:b/>
          <w:sz w:val="23"/>
        </w:rPr>
      </w:pPr>
      <w:hyperlink w:anchor="_bookmark88" w:history="1">
        <w:r>
          <w:rPr>
            <w:b/>
            <w:sz w:val="23"/>
          </w:rPr>
          <w:t>DISCUSSION</w:t>
        </w:r>
        <w:r>
          <w:rPr>
            <w:b/>
            <w:spacing w:val="25"/>
            <w:sz w:val="23"/>
          </w:rPr>
          <w:t xml:space="preserve"> </w:t>
        </w:r>
        <w:r>
          <w:rPr>
            <w:b/>
            <w:sz w:val="23"/>
          </w:rPr>
          <w:t>OF</w:t>
        </w:r>
        <w:r>
          <w:rPr>
            <w:b/>
            <w:spacing w:val="33"/>
            <w:sz w:val="23"/>
          </w:rPr>
          <w:t xml:space="preserve"> </w:t>
        </w:r>
        <w:r>
          <w:rPr>
            <w:b/>
            <w:spacing w:val="-2"/>
            <w:sz w:val="23"/>
          </w:rPr>
          <w:t>FINDINGS</w:t>
        </w:r>
        <w:r>
          <w:rPr>
            <w:b/>
            <w:sz w:val="23"/>
          </w:rPr>
          <w:tab/>
        </w:r>
        <w:r>
          <w:rPr>
            <w:b/>
            <w:spacing w:val="-5"/>
            <w:sz w:val="23"/>
          </w:rPr>
          <w:t>118</w:t>
        </w:r>
      </w:hyperlink>
    </w:p>
    <w:p w:rsidR="00487D64" w:rsidRDefault="006F0D93">
      <w:pPr>
        <w:pStyle w:val="ListParagraph"/>
        <w:numPr>
          <w:ilvl w:val="1"/>
          <w:numId w:val="20"/>
        </w:numPr>
        <w:tabs>
          <w:tab w:val="left" w:pos="2672"/>
          <w:tab w:val="left" w:leader="dot" w:pos="9272"/>
        </w:tabs>
        <w:spacing w:before="398"/>
        <w:ind w:hanging="1253"/>
        <w:rPr>
          <w:sz w:val="23"/>
        </w:rPr>
      </w:pPr>
      <w:hyperlink w:anchor="_bookmark89" w:history="1">
        <w:r>
          <w:rPr>
            <w:spacing w:val="-2"/>
            <w:w w:val="105"/>
            <w:sz w:val="23"/>
          </w:rPr>
          <w:t>Overview</w:t>
        </w:r>
        <w:r>
          <w:rPr>
            <w:sz w:val="23"/>
          </w:rPr>
          <w:tab/>
        </w:r>
        <w:r>
          <w:rPr>
            <w:spacing w:val="-5"/>
            <w:w w:val="105"/>
            <w:sz w:val="23"/>
          </w:rPr>
          <w:t>118</w:t>
        </w:r>
      </w:hyperlink>
    </w:p>
    <w:p w:rsidR="00487D64" w:rsidRDefault="006F0D93">
      <w:pPr>
        <w:pStyle w:val="ListParagraph"/>
        <w:numPr>
          <w:ilvl w:val="1"/>
          <w:numId w:val="20"/>
        </w:numPr>
        <w:tabs>
          <w:tab w:val="left" w:pos="2672"/>
          <w:tab w:val="left" w:leader="dot" w:pos="9272"/>
        </w:tabs>
        <w:spacing w:before="413" w:line="504" w:lineRule="auto"/>
        <w:ind w:left="1419" w:right="851" w:firstLine="0"/>
        <w:rPr>
          <w:sz w:val="23"/>
        </w:rPr>
      </w:pPr>
      <w:hyperlink w:anchor="_bookmark90" w:history="1">
        <w:r>
          <w:rPr>
            <w:w w:val="105"/>
            <w:sz w:val="23"/>
          </w:rPr>
          <w:t>The Relationship between Customer Orientation and Sustainable</w:t>
        </w:r>
      </w:hyperlink>
      <w:r>
        <w:rPr>
          <w:w w:val="105"/>
          <w:sz w:val="23"/>
        </w:rPr>
        <w:t xml:space="preserve"> </w:t>
      </w:r>
      <w:hyperlink w:anchor="_bookmark90" w:history="1">
        <w:r>
          <w:rPr>
            <w:spacing w:val="-2"/>
            <w:w w:val="105"/>
            <w:sz w:val="23"/>
          </w:rPr>
          <w:t>Competitiveness</w:t>
        </w:r>
        <w:r>
          <w:rPr>
            <w:sz w:val="23"/>
          </w:rPr>
          <w:tab/>
        </w:r>
        <w:r>
          <w:rPr>
            <w:spacing w:val="-4"/>
            <w:w w:val="105"/>
            <w:sz w:val="23"/>
          </w:rPr>
          <w:t>118</w:t>
        </w:r>
      </w:hyperlink>
    </w:p>
    <w:p w:rsidR="00487D64" w:rsidRDefault="006F0D93">
      <w:pPr>
        <w:pStyle w:val="ListParagraph"/>
        <w:numPr>
          <w:ilvl w:val="1"/>
          <w:numId w:val="20"/>
        </w:numPr>
        <w:tabs>
          <w:tab w:val="left" w:pos="2672"/>
          <w:tab w:val="left" w:leader="dot" w:pos="9272"/>
        </w:tabs>
        <w:spacing w:before="114" w:line="504" w:lineRule="auto"/>
        <w:ind w:left="1419" w:right="851" w:firstLine="0"/>
        <w:rPr>
          <w:sz w:val="23"/>
        </w:rPr>
      </w:pPr>
      <w:hyperlink w:anchor="_bookmark91" w:history="1">
        <w:r>
          <w:rPr>
            <w:w w:val="105"/>
            <w:sz w:val="23"/>
          </w:rPr>
          <w:t>The Relationship between Competitor Ori</w:t>
        </w:r>
        <w:r>
          <w:rPr>
            <w:w w:val="105"/>
            <w:sz w:val="23"/>
          </w:rPr>
          <w:t>entation and Sustainable</w:t>
        </w:r>
      </w:hyperlink>
      <w:r>
        <w:rPr>
          <w:w w:val="105"/>
          <w:sz w:val="23"/>
        </w:rPr>
        <w:t xml:space="preserve"> </w:t>
      </w:r>
      <w:hyperlink w:anchor="_bookmark91" w:history="1">
        <w:r>
          <w:rPr>
            <w:spacing w:val="-2"/>
            <w:w w:val="105"/>
            <w:sz w:val="23"/>
          </w:rPr>
          <w:t>Competitiveness</w:t>
        </w:r>
        <w:r>
          <w:rPr>
            <w:sz w:val="23"/>
          </w:rPr>
          <w:tab/>
        </w:r>
        <w:r>
          <w:rPr>
            <w:spacing w:val="-4"/>
            <w:w w:val="105"/>
            <w:sz w:val="23"/>
          </w:rPr>
          <w:t>122</w:t>
        </w:r>
      </w:hyperlink>
    </w:p>
    <w:p w:rsidR="00487D64" w:rsidRDefault="006F0D93">
      <w:pPr>
        <w:pStyle w:val="ListParagraph"/>
        <w:numPr>
          <w:ilvl w:val="1"/>
          <w:numId w:val="20"/>
        </w:numPr>
        <w:tabs>
          <w:tab w:val="left" w:pos="2672"/>
          <w:tab w:val="left" w:leader="dot" w:pos="9272"/>
        </w:tabs>
        <w:spacing w:before="113" w:line="504" w:lineRule="auto"/>
        <w:ind w:left="1419" w:right="851" w:firstLine="0"/>
        <w:rPr>
          <w:sz w:val="23"/>
        </w:rPr>
      </w:pPr>
      <w:hyperlink w:anchor="_bookmark92" w:history="1">
        <w:r>
          <w:rPr>
            <w:w w:val="105"/>
            <w:sz w:val="23"/>
          </w:rPr>
          <w:t>The Relationship between Functional Coordination and Sustainable</w:t>
        </w:r>
      </w:hyperlink>
      <w:r>
        <w:rPr>
          <w:w w:val="105"/>
          <w:sz w:val="23"/>
        </w:rPr>
        <w:t xml:space="preserve"> </w:t>
      </w:r>
      <w:hyperlink w:anchor="_bookmark92" w:history="1">
        <w:r>
          <w:rPr>
            <w:spacing w:val="-2"/>
            <w:w w:val="105"/>
            <w:sz w:val="23"/>
          </w:rPr>
          <w:t>Competitiveness</w:t>
        </w:r>
        <w:r>
          <w:rPr>
            <w:sz w:val="23"/>
          </w:rPr>
          <w:tab/>
        </w:r>
        <w:r>
          <w:rPr>
            <w:spacing w:val="-5"/>
            <w:w w:val="105"/>
            <w:sz w:val="23"/>
          </w:rPr>
          <w:t>125</w:t>
        </w:r>
      </w:hyperlink>
    </w:p>
    <w:p w:rsidR="00487D64" w:rsidRDefault="006F0D93">
      <w:pPr>
        <w:pStyle w:val="ListParagraph"/>
        <w:numPr>
          <w:ilvl w:val="1"/>
          <w:numId w:val="20"/>
        </w:numPr>
        <w:tabs>
          <w:tab w:val="left" w:pos="2672"/>
          <w:tab w:val="left" w:leader="dot" w:pos="9272"/>
        </w:tabs>
        <w:spacing w:before="114"/>
        <w:ind w:hanging="1253"/>
        <w:rPr>
          <w:sz w:val="23"/>
        </w:rPr>
      </w:pPr>
      <w:hyperlink w:anchor="_bookmark93" w:history="1">
        <w:r>
          <w:rPr>
            <w:w w:val="105"/>
            <w:sz w:val="23"/>
          </w:rPr>
          <w:t>The</w:t>
        </w:r>
        <w:r>
          <w:rPr>
            <w:spacing w:val="-14"/>
            <w:w w:val="105"/>
            <w:sz w:val="23"/>
          </w:rPr>
          <w:t xml:space="preserve"> </w:t>
        </w:r>
        <w:r>
          <w:rPr>
            <w:w w:val="105"/>
            <w:sz w:val="23"/>
          </w:rPr>
          <w:t>Effect</w:t>
        </w:r>
        <w:r>
          <w:rPr>
            <w:spacing w:val="-5"/>
            <w:w w:val="105"/>
            <w:sz w:val="23"/>
          </w:rPr>
          <w:t xml:space="preserve"> </w:t>
        </w:r>
        <w:r>
          <w:rPr>
            <w:w w:val="105"/>
            <w:sz w:val="23"/>
          </w:rPr>
          <w:t>of</w:t>
        </w:r>
        <w:r>
          <w:rPr>
            <w:spacing w:val="-9"/>
            <w:w w:val="105"/>
            <w:sz w:val="23"/>
          </w:rPr>
          <w:t xml:space="preserve"> </w:t>
        </w:r>
        <w:r>
          <w:rPr>
            <w:w w:val="105"/>
            <w:sz w:val="23"/>
          </w:rPr>
          <w:t>Moderation</w:t>
        </w:r>
        <w:r>
          <w:rPr>
            <w:spacing w:val="-7"/>
            <w:w w:val="105"/>
            <w:sz w:val="23"/>
          </w:rPr>
          <w:t xml:space="preserve"> </w:t>
        </w:r>
        <w:r>
          <w:rPr>
            <w:w w:val="105"/>
            <w:sz w:val="23"/>
          </w:rPr>
          <w:t>on</w:t>
        </w:r>
        <w:r>
          <w:rPr>
            <w:spacing w:val="-7"/>
            <w:w w:val="105"/>
            <w:sz w:val="23"/>
          </w:rPr>
          <w:t xml:space="preserve"> </w:t>
        </w:r>
        <w:r>
          <w:rPr>
            <w:w w:val="105"/>
            <w:sz w:val="23"/>
          </w:rPr>
          <w:t>the</w:t>
        </w:r>
        <w:r>
          <w:rPr>
            <w:spacing w:val="-7"/>
            <w:w w:val="105"/>
            <w:sz w:val="23"/>
          </w:rPr>
          <w:t xml:space="preserve"> </w:t>
        </w:r>
        <w:r>
          <w:rPr>
            <w:w w:val="105"/>
            <w:sz w:val="23"/>
          </w:rPr>
          <w:t>Relationship</w:t>
        </w:r>
        <w:r>
          <w:rPr>
            <w:spacing w:val="-7"/>
            <w:w w:val="105"/>
            <w:sz w:val="23"/>
          </w:rPr>
          <w:t xml:space="preserve"> </w:t>
        </w:r>
        <w:r>
          <w:rPr>
            <w:w w:val="105"/>
            <w:sz w:val="23"/>
          </w:rPr>
          <w:t>between</w:t>
        </w:r>
        <w:r>
          <w:rPr>
            <w:spacing w:val="-7"/>
            <w:w w:val="105"/>
            <w:sz w:val="23"/>
          </w:rPr>
          <w:t xml:space="preserve"> </w:t>
        </w:r>
        <w:r>
          <w:rPr>
            <w:w w:val="105"/>
            <w:sz w:val="23"/>
          </w:rPr>
          <w:t>CU</w:t>
        </w:r>
        <w:r>
          <w:rPr>
            <w:spacing w:val="-14"/>
            <w:w w:val="105"/>
            <w:sz w:val="23"/>
          </w:rPr>
          <w:t xml:space="preserve"> </w:t>
        </w:r>
        <w:r>
          <w:rPr>
            <w:w w:val="105"/>
            <w:sz w:val="23"/>
          </w:rPr>
          <w:t>and</w:t>
        </w:r>
        <w:r>
          <w:rPr>
            <w:spacing w:val="-1"/>
            <w:w w:val="105"/>
            <w:sz w:val="23"/>
          </w:rPr>
          <w:t xml:space="preserve"> </w:t>
        </w:r>
        <w:r>
          <w:rPr>
            <w:spacing w:val="-5"/>
            <w:w w:val="105"/>
            <w:sz w:val="23"/>
          </w:rPr>
          <w:t>SC</w:t>
        </w:r>
        <w:r>
          <w:rPr>
            <w:sz w:val="23"/>
          </w:rPr>
          <w:tab/>
        </w:r>
        <w:r>
          <w:rPr>
            <w:spacing w:val="-5"/>
            <w:w w:val="105"/>
            <w:sz w:val="23"/>
          </w:rPr>
          <w:t>128</w:t>
        </w:r>
      </w:hyperlink>
    </w:p>
    <w:p w:rsidR="00487D64" w:rsidRDefault="006F0D93">
      <w:pPr>
        <w:pStyle w:val="ListParagraph"/>
        <w:numPr>
          <w:ilvl w:val="1"/>
          <w:numId w:val="20"/>
        </w:numPr>
        <w:tabs>
          <w:tab w:val="left" w:pos="2672"/>
          <w:tab w:val="left" w:leader="dot" w:pos="9272"/>
        </w:tabs>
        <w:spacing w:before="405"/>
        <w:ind w:hanging="1253"/>
        <w:rPr>
          <w:sz w:val="23"/>
        </w:rPr>
      </w:pPr>
      <w:hyperlink w:anchor="_bookmark94" w:history="1">
        <w:r>
          <w:rPr>
            <w:w w:val="105"/>
            <w:sz w:val="23"/>
          </w:rPr>
          <w:t>The</w:t>
        </w:r>
        <w:r>
          <w:rPr>
            <w:spacing w:val="-15"/>
            <w:w w:val="105"/>
            <w:sz w:val="23"/>
          </w:rPr>
          <w:t xml:space="preserve"> </w:t>
        </w:r>
        <w:r>
          <w:rPr>
            <w:w w:val="105"/>
            <w:sz w:val="23"/>
          </w:rPr>
          <w:t>Effect</w:t>
        </w:r>
        <w:r>
          <w:rPr>
            <w:spacing w:val="-5"/>
            <w:w w:val="105"/>
            <w:sz w:val="23"/>
          </w:rPr>
          <w:t xml:space="preserve"> </w:t>
        </w:r>
        <w:r>
          <w:rPr>
            <w:w w:val="105"/>
            <w:sz w:val="23"/>
          </w:rPr>
          <w:t>of</w:t>
        </w:r>
        <w:r>
          <w:rPr>
            <w:spacing w:val="-10"/>
            <w:w w:val="105"/>
            <w:sz w:val="23"/>
          </w:rPr>
          <w:t xml:space="preserve"> </w:t>
        </w:r>
        <w:r>
          <w:rPr>
            <w:w w:val="105"/>
            <w:sz w:val="23"/>
          </w:rPr>
          <w:t>Moderation</w:t>
        </w:r>
        <w:r>
          <w:rPr>
            <w:spacing w:val="-8"/>
            <w:w w:val="105"/>
            <w:sz w:val="23"/>
          </w:rPr>
          <w:t xml:space="preserve"> </w:t>
        </w:r>
        <w:r>
          <w:rPr>
            <w:w w:val="105"/>
            <w:sz w:val="23"/>
          </w:rPr>
          <w:t>on</w:t>
        </w:r>
        <w:r>
          <w:rPr>
            <w:spacing w:val="-7"/>
            <w:w w:val="105"/>
            <w:sz w:val="23"/>
          </w:rPr>
          <w:t xml:space="preserve"> </w:t>
        </w:r>
        <w:r>
          <w:rPr>
            <w:w w:val="105"/>
            <w:sz w:val="23"/>
          </w:rPr>
          <w:t>the</w:t>
        </w:r>
        <w:r>
          <w:rPr>
            <w:spacing w:val="-8"/>
            <w:w w:val="105"/>
            <w:sz w:val="23"/>
          </w:rPr>
          <w:t xml:space="preserve"> </w:t>
        </w:r>
        <w:r>
          <w:rPr>
            <w:w w:val="105"/>
            <w:sz w:val="23"/>
          </w:rPr>
          <w:t>Relationship</w:t>
        </w:r>
        <w:r>
          <w:rPr>
            <w:spacing w:val="-7"/>
            <w:w w:val="105"/>
            <w:sz w:val="23"/>
          </w:rPr>
          <w:t xml:space="preserve"> </w:t>
        </w:r>
        <w:r>
          <w:rPr>
            <w:w w:val="105"/>
            <w:sz w:val="23"/>
          </w:rPr>
          <w:t>between</w:t>
        </w:r>
        <w:r>
          <w:rPr>
            <w:spacing w:val="-8"/>
            <w:w w:val="105"/>
            <w:sz w:val="23"/>
          </w:rPr>
          <w:t xml:space="preserve"> </w:t>
        </w:r>
        <w:r>
          <w:rPr>
            <w:w w:val="105"/>
            <w:sz w:val="23"/>
          </w:rPr>
          <w:t>CO</w:t>
        </w:r>
        <w:r>
          <w:rPr>
            <w:spacing w:val="-10"/>
            <w:w w:val="105"/>
            <w:sz w:val="23"/>
          </w:rPr>
          <w:t xml:space="preserve"> </w:t>
        </w:r>
        <w:r>
          <w:rPr>
            <w:w w:val="105"/>
            <w:sz w:val="23"/>
          </w:rPr>
          <w:t>and</w:t>
        </w:r>
        <w:r>
          <w:rPr>
            <w:spacing w:val="-1"/>
            <w:w w:val="105"/>
            <w:sz w:val="23"/>
          </w:rPr>
          <w:t xml:space="preserve"> </w:t>
        </w:r>
        <w:r>
          <w:rPr>
            <w:spacing w:val="-5"/>
            <w:w w:val="105"/>
            <w:sz w:val="23"/>
          </w:rPr>
          <w:t>SC</w:t>
        </w:r>
        <w:r>
          <w:rPr>
            <w:sz w:val="23"/>
          </w:rPr>
          <w:tab/>
        </w:r>
        <w:r>
          <w:rPr>
            <w:spacing w:val="-5"/>
            <w:w w:val="105"/>
            <w:sz w:val="23"/>
          </w:rPr>
          <w:t>131</w:t>
        </w:r>
      </w:hyperlink>
    </w:p>
    <w:p w:rsidR="00487D64" w:rsidRDefault="006F0D93">
      <w:pPr>
        <w:pStyle w:val="ListParagraph"/>
        <w:numPr>
          <w:ilvl w:val="1"/>
          <w:numId w:val="20"/>
        </w:numPr>
        <w:tabs>
          <w:tab w:val="left" w:pos="2672"/>
          <w:tab w:val="left" w:leader="dot" w:pos="9272"/>
        </w:tabs>
        <w:spacing w:before="406"/>
        <w:ind w:hanging="1253"/>
        <w:rPr>
          <w:sz w:val="23"/>
        </w:rPr>
      </w:pPr>
      <w:hyperlink w:anchor="_bookmark95" w:history="1">
        <w:r>
          <w:rPr>
            <w:w w:val="105"/>
            <w:sz w:val="23"/>
          </w:rPr>
          <w:t>The</w:t>
        </w:r>
        <w:r>
          <w:rPr>
            <w:spacing w:val="-15"/>
            <w:w w:val="105"/>
            <w:sz w:val="23"/>
          </w:rPr>
          <w:t xml:space="preserve"> </w:t>
        </w:r>
        <w:r>
          <w:rPr>
            <w:w w:val="105"/>
            <w:sz w:val="23"/>
          </w:rPr>
          <w:t>Effect</w:t>
        </w:r>
        <w:r>
          <w:rPr>
            <w:spacing w:val="-6"/>
            <w:w w:val="105"/>
            <w:sz w:val="23"/>
          </w:rPr>
          <w:t xml:space="preserve"> </w:t>
        </w:r>
        <w:r>
          <w:rPr>
            <w:w w:val="105"/>
            <w:sz w:val="23"/>
          </w:rPr>
          <w:t>of</w:t>
        </w:r>
        <w:r>
          <w:rPr>
            <w:spacing w:val="-10"/>
            <w:w w:val="105"/>
            <w:sz w:val="23"/>
          </w:rPr>
          <w:t xml:space="preserve"> </w:t>
        </w:r>
        <w:r>
          <w:rPr>
            <w:w w:val="105"/>
            <w:sz w:val="23"/>
          </w:rPr>
          <w:t>Moderation</w:t>
        </w:r>
        <w:r>
          <w:rPr>
            <w:spacing w:val="-8"/>
            <w:w w:val="105"/>
            <w:sz w:val="23"/>
          </w:rPr>
          <w:t xml:space="preserve"> </w:t>
        </w:r>
        <w:r>
          <w:rPr>
            <w:w w:val="105"/>
            <w:sz w:val="23"/>
          </w:rPr>
          <w:t>on</w:t>
        </w:r>
        <w:r>
          <w:rPr>
            <w:spacing w:val="-7"/>
            <w:w w:val="105"/>
            <w:sz w:val="23"/>
          </w:rPr>
          <w:t xml:space="preserve"> </w:t>
        </w:r>
        <w:r>
          <w:rPr>
            <w:w w:val="105"/>
            <w:sz w:val="23"/>
          </w:rPr>
          <w:t>the</w:t>
        </w:r>
        <w:r>
          <w:rPr>
            <w:spacing w:val="-8"/>
            <w:w w:val="105"/>
            <w:sz w:val="23"/>
          </w:rPr>
          <w:t xml:space="preserve"> </w:t>
        </w:r>
        <w:r>
          <w:rPr>
            <w:w w:val="105"/>
            <w:sz w:val="23"/>
          </w:rPr>
          <w:t>Relationship</w:t>
        </w:r>
        <w:r>
          <w:rPr>
            <w:spacing w:val="-8"/>
            <w:w w:val="105"/>
            <w:sz w:val="23"/>
          </w:rPr>
          <w:t xml:space="preserve"> </w:t>
        </w:r>
        <w:r>
          <w:rPr>
            <w:w w:val="105"/>
            <w:sz w:val="23"/>
          </w:rPr>
          <w:t>between</w:t>
        </w:r>
        <w:r>
          <w:rPr>
            <w:spacing w:val="-8"/>
            <w:w w:val="105"/>
            <w:sz w:val="23"/>
          </w:rPr>
          <w:t xml:space="preserve"> </w:t>
        </w:r>
        <w:r>
          <w:rPr>
            <w:w w:val="105"/>
            <w:sz w:val="23"/>
          </w:rPr>
          <w:t>FC</w:t>
        </w:r>
        <w:r>
          <w:rPr>
            <w:spacing w:val="-4"/>
            <w:w w:val="105"/>
            <w:sz w:val="23"/>
          </w:rPr>
          <w:t xml:space="preserve"> </w:t>
        </w:r>
        <w:r>
          <w:rPr>
            <w:w w:val="105"/>
            <w:sz w:val="23"/>
          </w:rPr>
          <w:t>and</w:t>
        </w:r>
        <w:r>
          <w:rPr>
            <w:spacing w:val="-8"/>
            <w:w w:val="105"/>
            <w:sz w:val="23"/>
          </w:rPr>
          <w:t xml:space="preserve"> </w:t>
        </w:r>
        <w:r>
          <w:rPr>
            <w:spacing w:val="-5"/>
            <w:w w:val="105"/>
            <w:sz w:val="23"/>
          </w:rPr>
          <w:t>SC</w:t>
        </w:r>
        <w:r>
          <w:rPr>
            <w:sz w:val="23"/>
          </w:rPr>
          <w:tab/>
        </w:r>
        <w:r>
          <w:rPr>
            <w:spacing w:val="-5"/>
            <w:w w:val="105"/>
            <w:sz w:val="23"/>
          </w:rPr>
          <w:t>133</w:t>
        </w:r>
      </w:hyperlink>
    </w:p>
    <w:p w:rsidR="00487D64" w:rsidRDefault="006F0D93">
      <w:pPr>
        <w:pStyle w:val="ListParagraph"/>
        <w:numPr>
          <w:ilvl w:val="1"/>
          <w:numId w:val="20"/>
        </w:numPr>
        <w:tabs>
          <w:tab w:val="left" w:pos="2672"/>
          <w:tab w:val="left" w:leader="dot" w:pos="9272"/>
        </w:tabs>
        <w:spacing w:before="413"/>
        <w:ind w:hanging="1253"/>
        <w:rPr>
          <w:sz w:val="23"/>
        </w:rPr>
      </w:pPr>
      <w:hyperlink w:anchor="_bookmark96" w:history="1">
        <w:r>
          <w:rPr>
            <w:w w:val="105"/>
            <w:sz w:val="23"/>
          </w:rPr>
          <w:t>The</w:t>
        </w:r>
        <w:r>
          <w:rPr>
            <w:spacing w:val="-8"/>
            <w:w w:val="105"/>
            <w:sz w:val="23"/>
          </w:rPr>
          <w:t xml:space="preserve"> </w:t>
        </w:r>
        <w:r>
          <w:rPr>
            <w:w w:val="105"/>
            <w:sz w:val="23"/>
          </w:rPr>
          <w:t>Effect</w:t>
        </w:r>
        <w:r>
          <w:rPr>
            <w:spacing w:val="-5"/>
            <w:w w:val="105"/>
            <w:sz w:val="23"/>
          </w:rPr>
          <w:t xml:space="preserve"> </w:t>
        </w:r>
        <w:r>
          <w:rPr>
            <w:w w:val="105"/>
            <w:sz w:val="23"/>
          </w:rPr>
          <w:t>of</w:t>
        </w:r>
        <w:r>
          <w:rPr>
            <w:spacing w:val="-9"/>
            <w:w w:val="105"/>
            <w:sz w:val="23"/>
          </w:rPr>
          <w:t xml:space="preserve"> </w:t>
        </w:r>
        <w:r>
          <w:rPr>
            <w:w w:val="105"/>
            <w:sz w:val="23"/>
          </w:rPr>
          <w:t>the</w:t>
        </w:r>
        <w:r>
          <w:rPr>
            <w:spacing w:val="-7"/>
            <w:w w:val="105"/>
            <w:sz w:val="23"/>
          </w:rPr>
          <w:t xml:space="preserve"> </w:t>
        </w:r>
        <w:r>
          <w:rPr>
            <w:w w:val="105"/>
            <w:sz w:val="23"/>
          </w:rPr>
          <w:t>Interaction</w:t>
        </w:r>
        <w:r>
          <w:rPr>
            <w:spacing w:val="-13"/>
            <w:w w:val="105"/>
            <w:sz w:val="23"/>
          </w:rPr>
          <w:t xml:space="preserve"> </w:t>
        </w:r>
        <w:r>
          <w:rPr>
            <w:w w:val="105"/>
            <w:sz w:val="23"/>
          </w:rPr>
          <w:t>Term</w:t>
        </w:r>
        <w:r>
          <w:rPr>
            <w:spacing w:val="-8"/>
            <w:w w:val="105"/>
            <w:sz w:val="23"/>
          </w:rPr>
          <w:t xml:space="preserve"> </w:t>
        </w:r>
        <w:r>
          <w:rPr>
            <w:w w:val="105"/>
            <w:sz w:val="23"/>
          </w:rPr>
          <w:t>between</w:t>
        </w:r>
        <w:r>
          <w:rPr>
            <w:spacing w:val="-12"/>
            <w:w w:val="105"/>
            <w:sz w:val="23"/>
          </w:rPr>
          <w:t xml:space="preserve"> </w:t>
        </w:r>
        <w:r>
          <w:rPr>
            <w:w w:val="105"/>
            <w:sz w:val="23"/>
          </w:rPr>
          <w:t>(CU_SF)</w:t>
        </w:r>
        <w:r>
          <w:rPr>
            <w:spacing w:val="-3"/>
            <w:w w:val="105"/>
            <w:sz w:val="23"/>
          </w:rPr>
          <w:t xml:space="preserve"> </w:t>
        </w:r>
        <w:r>
          <w:rPr>
            <w:w w:val="105"/>
            <w:sz w:val="23"/>
          </w:rPr>
          <w:t>on</w:t>
        </w:r>
        <w:r>
          <w:rPr>
            <w:spacing w:val="-7"/>
            <w:w w:val="105"/>
            <w:sz w:val="23"/>
          </w:rPr>
          <w:t xml:space="preserve"> </w:t>
        </w:r>
        <w:r>
          <w:rPr>
            <w:spacing w:val="-5"/>
            <w:w w:val="105"/>
            <w:sz w:val="23"/>
          </w:rPr>
          <w:t>SC</w:t>
        </w:r>
        <w:r>
          <w:rPr>
            <w:sz w:val="23"/>
          </w:rPr>
          <w:tab/>
        </w:r>
        <w:r>
          <w:rPr>
            <w:spacing w:val="-5"/>
            <w:w w:val="105"/>
            <w:sz w:val="23"/>
          </w:rPr>
          <w:t>136</w:t>
        </w:r>
      </w:hyperlink>
    </w:p>
    <w:p w:rsidR="00487D64" w:rsidRDefault="006F0D93">
      <w:pPr>
        <w:pStyle w:val="ListParagraph"/>
        <w:numPr>
          <w:ilvl w:val="1"/>
          <w:numId w:val="20"/>
        </w:numPr>
        <w:tabs>
          <w:tab w:val="left" w:pos="2672"/>
          <w:tab w:val="left" w:leader="dot" w:pos="9272"/>
        </w:tabs>
        <w:spacing w:before="405"/>
        <w:ind w:hanging="1253"/>
        <w:rPr>
          <w:sz w:val="23"/>
        </w:rPr>
      </w:pPr>
      <w:hyperlink w:anchor="_bookmark97" w:history="1">
        <w:r>
          <w:rPr>
            <w:w w:val="105"/>
            <w:sz w:val="23"/>
          </w:rPr>
          <w:t>The</w:t>
        </w:r>
        <w:r>
          <w:rPr>
            <w:spacing w:val="-6"/>
            <w:w w:val="105"/>
            <w:sz w:val="23"/>
          </w:rPr>
          <w:t xml:space="preserve"> </w:t>
        </w:r>
        <w:r>
          <w:rPr>
            <w:w w:val="105"/>
            <w:sz w:val="23"/>
          </w:rPr>
          <w:t>Final</w:t>
        </w:r>
        <w:r>
          <w:rPr>
            <w:spacing w:val="-2"/>
            <w:w w:val="105"/>
            <w:sz w:val="23"/>
          </w:rPr>
          <w:t xml:space="preserve"> </w:t>
        </w:r>
        <w:r>
          <w:rPr>
            <w:w w:val="105"/>
            <w:sz w:val="23"/>
          </w:rPr>
          <w:t>Model</w:t>
        </w:r>
        <w:r>
          <w:rPr>
            <w:spacing w:val="-2"/>
            <w:w w:val="105"/>
            <w:sz w:val="23"/>
          </w:rPr>
          <w:t xml:space="preserve"> </w:t>
        </w:r>
        <w:r>
          <w:rPr>
            <w:w w:val="105"/>
            <w:sz w:val="23"/>
          </w:rPr>
          <w:t>of</w:t>
        </w:r>
        <w:r>
          <w:rPr>
            <w:spacing w:val="-15"/>
            <w:w w:val="105"/>
            <w:sz w:val="23"/>
          </w:rPr>
          <w:t xml:space="preserve"> </w:t>
        </w:r>
        <w:r>
          <w:rPr>
            <w:w w:val="105"/>
            <w:sz w:val="23"/>
          </w:rPr>
          <w:t>the</w:t>
        </w:r>
        <w:r>
          <w:rPr>
            <w:spacing w:val="-5"/>
            <w:w w:val="105"/>
            <w:sz w:val="23"/>
          </w:rPr>
          <w:t xml:space="preserve"> </w:t>
        </w:r>
        <w:r>
          <w:rPr>
            <w:spacing w:val="-4"/>
            <w:w w:val="105"/>
            <w:sz w:val="23"/>
          </w:rPr>
          <w:t>Study</w:t>
        </w:r>
        <w:r>
          <w:rPr>
            <w:sz w:val="23"/>
          </w:rPr>
          <w:tab/>
        </w:r>
        <w:r>
          <w:rPr>
            <w:spacing w:val="-5"/>
            <w:w w:val="105"/>
            <w:sz w:val="23"/>
          </w:rPr>
          <w:t>138</w:t>
        </w:r>
      </w:hyperlink>
    </w:p>
    <w:p w:rsidR="00487D64" w:rsidRDefault="00487D64">
      <w:pPr>
        <w:pStyle w:val="ListParagrap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tabs>
          <w:tab w:val="left" w:leader="dot" w:pos="9272"/>
        </w:tabs>
        <w:ind w:left="1419"/>
        <w:rPr>
          <w:b/>
          <w:sz w:val="23"/>
        </w:rPr>
      </w:pPr>
      <w:hyperlink w:anchor="_bookmark98" w:history="1">
        <w:r>
          <w:rPr>
            <w:b/>
            <w:sz w:val="23"/>
          </w:rPr>
          <w:t>CONCLUSIONS</w:t>
        </w:r>
        <w:r>
          <w:rPr>
            <w:b/>
            <w:spacing w:val="43"/>
            <w:sz w:val="23"/>
          </w:rPr>
          <w:t xml:space="preserve"> </w:t>
        </w:r>
        <w:r>
          <w:rPr>
            <w:b/>
            <w:sz w:val="23"/>
          </w:rPr>
          <w:t>AND</w:t>
        </w:r>
        <w:r>
          <w:rPr>
            <w:b/>
            <w:spacing w:val="28"/>
            <w:sz w:val="23"/>
          </w:rPr>
          <w:t xml:space="preserve"> </w:t>
        </w:r>
        <w:r>
          <w:rPr>
            <w:b/>
            <w:spacing w:val="-2"/>
            <w:sz w:val="23"/>
          </w:rPr>
          <w:t>RECOMMENDATIONS</w:t>
        </w:r>
        <w:r>
          <w:rPr>
            <w:b/>
            <w:sz w:val="23"/>
          </w:rPr>
          <w:tab/>
        </w:r>
        <w:r>
          <w:rPr>
            <w:b/>
            <w:spacing w:val="-5"/>
            <w:sz w:val="23"/>
          </w:rPr>
          <w:t>141</w:t>
        </w:r>
      </w:hyperlink>
    </w:p>
    <w:p w:rsidR="00487D64" w:rsidRDefault="006F0D93">
      <w:pPr>
        <w:pStyle w:val="ListParagraph"/>
        <w:numPr>
          <w:ilvl w:val="1"/>
          <w:numId w:val="19"/>
        </w:numPr>
        <w:tabs>
          <w:tab w:val="left" w:pos="2607"/>
          <w:tab w:val="left" w:leader="dot" w:pos="9272"/>
        </w:tabs>
        <w:spacing w:before="406"/>
        <w:ind w:left="2607" w:hanging="1188"/>
        <w:rPr>
          <w:sz w:val="23"/>
        </w:rPr>
      </w:pPr>
      <w:hyperlink w:anchor="_bookmark99" w:history="1">
        <w:r>
          <w:rPr>
            <w:spacing w:val="-2"/>
            <w:w w:val="105"/>
            <w:sz w:val="23"/>
          </w:rPr>
          <w:t>Overview</w:t>
        </w:r>
        <w:r>
          <w:rPr>
            <w:sz w:val="23"/>
          </w:rPr>
          <w:tab/>
        </w:r>
        <w:r>
          <w:rPr>
            <w:spacing w:val="-5"/>
            <w:w w:val="105"/>
            <w:sz w:val="23"/>
          </w:rPr>
          <w:t>141</w:t>
        </w:r>
      </w:hyperlink>
    </w:p>
    <w:p w:rsidR="00487D64" w:rsidRDefault="006F0D93">
      <w:pPr>
        <w:pStyle w:val="ListParagraph"/>
        <w:numPr>
          <w:ilvl w:val="1"/>
          <w:numId w:val="19"/>
        </w:numPr>
        <w:tabs>
          <w:tab w:val="left" w:pos="2615"/>
          <w:tab w:val="left" w:leader="dot" w:pos="9272"/>
        </w:tabs>
        <w:spacing w:before="405"/>
        <w:ind w:left="2615" w:hanging="1196"/>
        <w:rPr>
          <w:sz w:val="23"/>
        </w:rPr>
      </w:pPr>
      <w:hyperlink w:anchor="_bookmark100" w:history="1">
        <w:r>
          <w:rPr>
            <w:w w:val="105"/>
            <w:sz w:val="23"/>
          </w:rPr>
          <w:t>Summary</w:t>
        </w:r>
        <w:r>
          <w:rPr>
            <w:spacing w:val="-6"/>
            <w:w w:val="105"/>
            <w:sz w:val="23"/>
          </w:rPr>
          <w:t xml:space="preserve"> </w:t>
        </w:r>
        <w:r>
          <w:rPr>
            <w:w w:val="105"/>
            <w:sz w:val="23"/>
          </w:rPr>
          <w:t>of</w:t>
        </w:r>
        <w:r>
          <w:rPr>
            <w:spacing w:val="-9"/>
            <w:w w:val="105"/>
            <w:sz w:val="23"/>
          </w:rPr>
          <w:t xml:space="preserve"> </w:t>
        </w:r>
        <w:r>
          <w:rPr>
            <w:w w:val="105"/>
            <w:sz w:val="23"/>
          </w:rPr>
          <w:t>Key</w:t>
        </w:r>
        <w:r>
          <w:rPr>
            <w:spacing w:val="-6"/>
            <w:w w:val="105"/>
            <w:sz w:val="23"/>
          </w:rPr>
          <w:t xml:space="preserve"> </w:t>
        </w:r>
        <w:r>
          <w:rPr>
            <w:w w:val="105"/>
            <w:sz w:val="23"/>
          </w:rPr>
          <w:t>Findings</w:t>
        </w:r>
        <w:r>
          <w:rPr>
            <w:spacing w:val="-7"/>
            <w:w w:val="105"/>
            <w:sz w:val="23"/>
          </w:rPr>
          <w:t xml:space="preserve"> </w:t>
        </w:r>
        <w:r>
          <w:rPr>
            <w:w w:val="105"/>
            <w:sz w:val="23"/>
          </w:rPr>
          <w:t>of</w:t>
        </w:r>
        <w:r>
          <w:rPr>
            <w:spacing w:val="-9"/>
            <w:w w:val="105"/>
            <w:sz w:val="23"/>
          </w:rPr>
          <w:t xml:space="preserve"> </w:t>
        </w:r>
        <w:r>
          <w:rPr>
            <w:w w:val="105"/>
            <w:sz w:val="23"/>
          </w:rPr>
          <w:t>the</w:t>
        </w:r>
        <w:r>
          <w:rPr>
            <w:spacing w:val="-7"/>
            <w:w w:val="105"/>
            <w:sz w:val="23"/>
          </w:rPr>
          <w:t xml:space="preserve"> </w:t>
        </w:r>
        <w:r>
          <w:rPr>
            <w:spacing w:val="-4"/>
            <w:w w:val="105"/>
            <w:sz w:val="23"/>
          </w:rPr>
          <w:t>Study</w:t>
        </w:r>
        <w:r>
          <w:rPr>
            <w:sz w:val="23"/>
          </w:rPr>
          <w:tab/>
        </w:r>
        <w:r>
          <w:rPr>
            <w:spacing w:val="-5"/>
            <w:w w:val="105"/>
            <w:sz w:val="23"/>
          </w:rPr>
          <w:t>141</w:t>
        </w:r>
      </w:hyperlink>
    </w:p>
    <w:p w:rsidR="00487D64" w:rsidRDefault="006F0D93">
      <w:pPr>
        <w:pStyle w:val="ListParagraph"/>
        <w:numPr>
          <w:ilvl w:val="2"/>
          <w:numId w:val="19"/>
        </w:numPr>
        <w:tabs>
          <w:tab w:val="left" w:pos="2615"/>
          <w:tab w:val="left" w:leader="dot" w:pos="9272"/>
        </w:tabs>
        <w:spacing w:before="291" w:line="504" w:lineRule="auto"/>
        <w:ind w:right="851" w:firstLine="0"/>
        <w:rPr>
          <w:sz w:val="23"/>
        </w:rPr>
      </w:pPr>
      <w:hyperlink w:anchor="_bookmark101" w:history="1">
        <w:r>
          <w:rPr>
            <w:w w:val="105"/>
            <w:sz w:val="23"/>
          </w:rPr>
          <w:t>Impact of Customer Orientation on Achieving Sustainable</w:t>
        </w:r>
      </w:hyperlink>
      <w:r>
        <w:rPr>
          <w:w w:val="105"/>
          <w:sz w:val="23"/>
        </w:rPr>
        <w:t xml:space="preserve"> </w:t>
      </w:r>
      <w:hyperlink w:anchor="_bookmark101" w:history="1">
        <w:r>
          <w:rPr>
            <w:spacing w:val="-2"/>
            <w:w w:val="105"/>
            <w:sz w:val="23"/>
          </w:rPr>
          <w:t>Competitivenes</w:t>
        </w:r>
        <w:r>
          <w:rPr>
            <w:sz w:val="23"/>
          </w:rPr>
          <w:tab/>
        </w:r>
        <w:r>
          <w:rPr>
            <w:spacing w:val="-5"/>
            <w:w w:val="105"/>
            <w:sz w:val="23"/>
          </w:rPr>
          <w:t>141</w:t>
        </w:r>
      </w:hyperlink>
    </w:p>
    <w:p w:rsidR="00487D64" w:rsidRDefault="006F0D93">
      <w:pPr>
        <w:pStyle w:val="ListParagraph"/>
        <w:numPr>
          <w:ilvl w:val="2"/>
          <w:numId w:val="19"/>
        </w:numPr>
        <w:tabs>
          <w:tab w:val="left" w:pos="2622"/>
          <w:tab w:val="left" w:leader="dot" w:pos="9272"/>
        </w:tabs>
        <w:spacing w:line="496" w:lineRule="auto"/>
        <w:ind w:right="851" w:firstLine="0"/>
        <w:rPr>
          <w:sz w:val="23"/>
        </w:rPr>
      </w:pPr>
      <w:hyperlink w:anchor="_bookmark102" w:history="1">
        <w:r>
          <w:rPr>
            <w:w w:val="105"/>
            <w:sz w:val="23"/>
          </w:rPr>
          <w:t>Role of Competitor Orientation in Enhancing Sustainable</w:t>
        </w:r>
      </w:hyperlink>
      <w:r>
        <w:rPr>
          <w:w w:val="105"/>
          <w:sz w:val="23"/>
        </w:rPr>
        <w:t xml:space="preserve"> </w:t>
      </w:r>
      <w:hyperlink w:anchor="_bookmark102" w:history="1">
        <w:r>
          <w:rPr>
            <w:spacing w:val="-2"/>
            <w:w w:val="105"/>
            <w:sz w:val="23"/>
          </w:rPr>
          <w:t>Competitiveness</w:t>
        </w:r>
        <w:r>
          <w:rPr>
            <w:sz w:val="23"/>
          </w:rPr>
          <w:tab/>
        </w:r>
        <w:r>
          <w:rPr>
            <w:spacing w:val="-5"/>
            <w:w w:val="105"/>
            <w:sz w:val="23"/>
          </w:rPr>
          <w:t>142</w:t>
        </w:r>
      </w:hyperlink>
    </w:p>
    <w:p w:rsidR="00487D64" w:rsidRDefault="006F0D93">
      <w:pPr>
        <w:pStyle w:val="ListParagraph"/>
        <w:numPr>
          <w:ilvl w:val="2"/>
          <w:numId w:val="19"/>
        </w:numPr>
        <w:tabs>
          <w:tab w:val="left" w:pos="2615"/>
        </w:tabs>
        <w:spacing w:before="5"/>
        <w:ind w:left="2615"/>
        <w:rPr>
          <w:sz w:val="23"/>
        </w:rPr>
      </w:pPr>
      <w:hyperlink w:anchor="_bookmark103" w:history="1">
        <w:r>
          <w:rPr>
            <w:sz w:val="23"/>
          </w:rPr>
          <w:t>Influence</w:t>
        </w:r>
        <w:r>
          <w:rPr>
            <w:spacing w:val="27"/>
            <w:sz w:val="23"/>
          </w:rPr>
          <w:t xml:space="preserve"> </w:t>
        </w:r>
        <w:r>
          <w:rPr>
            <w:sz w:val="23"/>
          </w:rPr>
          <w:t>of</w:t>
        </w:r>
        <w:r>
          <w:rPr>
            <w:spacing w:val="25"/>
            <w:sz w:val="23"/>
          </w:rPr>
          <w:t xml:space="preserve"> </w:t>
        </w:r>
        <w:r>
          <w:rPr>
            <w:sz w:val="23"/>
          </w:rPr>
          <w:t>Functional</w:t>
        </w:r>
        <w:r>
          <w:rPr>
            <w:spacing w:val="33"/>
            <w:sz w:val="23"/>
          </w:rPr>
          <w:t xml:space="preserve"> </w:t>
        </w:r>
        <w:r>
          <w:rPr>
            <w:sz w:val="23"/>
          </w:rPr>
          <w:t>Coordination</w:t>
        </w:r>
        <w:r>
          <w:rPr>
            <w:spacing w:val="29"/>
            <w:sz w:val="23"/>
          </w:rPr>
          <w:t xml:space="preserve"> </w:t>
        </w:r>
        <w:r>
          <w:rPr>
            <w:sz w:val="23"/>
          </w:rPr>
          <w:t>on</w:t>
        </w:r>
        <w:r>
          <w:rPr>
            <w:spacing w:val="29"/>
            <w:sz w:val="23"/>
          </w:rPr>
          <w:t xml:space="preserve"> </w:t>
        </w:r>
        <w:r>
          <w:rPr>
            <w:sz w:val="23"/>
          </w:rPr>
          <w:t>Sustainable</w:t>
        </w:r>
        <w:r>
          <w:rPr>
            <w:spacing w:val="28"/>
            <w:sz w:val="23"/>
          </w:rPr>
          <w:t xml:space="preserve"> </w:t>
        </w:r>
        <w:r>
          <w:rPr>
            <w:spacing w:val="-2"/>
            <w:sz w:val="23"/>
          </w:rPr>
          <w:t>Competitiveness</w:t>
        </w:r>
      </w:hyperlink>
    </w:p>
    <w:p w:rsidR="00487D64" w:rsidRDefault="006F0D93">
      <w:pPr>
        <w:pStyle w:val="BodyText"/>
        <w:tabs>
          <w:tab w:val="left" w:leader="dot" w:pos="9272"/>
        </w:tabs>
        <w:spacing w:before="290"/>
        <w:ind w:left="1455"/>
      </w:pPr>
      <w:hyperlink w:anchor="_bookmark103" w:history="1">
        <w:r>
          <w:rPr>
            <w:spacing w:val="-10"/>
            <w:w w:val="105"/>
          </w:rPr>
          <w:t>.</w:t>
        </w:r>
        <w:r>
          <w:tab/>
        </w:r>
        <w:r>
          <w:rPr>
            <w:spacing w:val="-5"/>
            <w:w w:val="105"/>
          </w:rPr>
          <w:t>143</w:t>
        </w:r>
      </w:hyperlink>
    </w:p>
    <w:p w:rsidR="00487D64" w:rsidRDefault="006F0D93">
      <w:pPr>
        <w:pStyle w:val="ListParagraph"/>
        <w:numPr>
          <w:ilvl w:val="2"/>
          <w:numId w:val="19"/>
        </w:numPr>
        <w:tabs>
          <w:tab w:val="left" w:pos="2615"/>
          <w:tab w:val="left" w:leader="dot" w:pos="9272"/>
        </w:tabs>
        <w:spacing w:before="283"/>
        <w:ind w:left="2615"/>
        <w:rPr>
          <w:sz w:val="23"/>
        </w:rPr>
      </w:pPr>
      <w:hyperlink w:anchor="_bookmark104" w:history="1">
        <w:r>
          <w:rPr>
            <w:w w:val="105"/>
            <w:sz w:val="23"/>
          </w:rPr>
          <w:t>The</w:t>
        </w:r>
        <w:r>
          <w:rPr>
            <w:spacing w:val="-8"/>
            <w:w w:val="105"/>
            <w:sz w:val="23"/>
          </w:rPr>
          <w:t xml:space="preserve"> </w:t>
        </w:r>
        <w:r>
          <w:rPr>
            <w:w w:val="105"/>
            <w:sz w:val="23"/>
          </w:rPr>
          <w:t>Effect</w:t>
        </w:r>
        <w:r>
          <w:rPr>
            <w:spacing w:val="-4"/>
            <w:w w:val="105"/>
            <w:sz w:val="23"/>
          </w:rPr>
          <w:t xml:space="preserve"> </w:t>
        </w:r>
        <w:r>
          <w:rPr>
            <w:w w:val="105"/>
            <w:sz w:val="23"/>
          </w:rPr>
          <w:t>of</w:t>
        </w:r>
        <w:r>
          <w:rPr>
            <w:spacing w:val="-9"/>
            <w:w w:val="105"/>
            <w:sz w:val="23"/>
          </w:rPr>
          <w:t xml:space="preserve"> </w:t>
        </w:r>
        <w:r>
          <w:rPr>
            <w:w w:val="105"/>
            <w:sz w:val="23"/>
          </w:rPr>
          <w:t>Moderation</w:t>
        </w:r>
        <w:r>
          <w:rPr>
            <w:spacing w:val="-6"/>
            <w:w w:val="105"/>
            <w:sz w:val="23"/>
          </w:rPr>
          <w:t xml:space="preserve"> </w:t>
        </w:r>
        <w:r>
          <w:rPr>
            <w:w w:val="105"/>
            <w:sz w:val="23"/>
          </w:rPr>
          <w:t>on</w:t>
        </w:r>
        <w:r>
          <w:rPr>
            <w:spacing w:val="-13"/>
            <w:w w:val="105"/>
            <w:sz w:val="23"/>
          </w:rPr>
          <w:t xml:space="preserve"> </w:t>
        </w:r>
        <w:r>
          <w:rPr>
            <w:w w:val="105"/>
            <w:sz w:val="23"/>
          </w:rPr>
          <w:t>the</w:t>
        </w:r>
        <w:r>
          <w:rPr>
            <w:spacing w:val="-13"/>
            <w:w w:val="105"/>
            <w:sz w:val="23"/>
          </w:rPr>
          <w:t xml:space="preserve"> </w:t>
        </w:r>
        <w:r>
          <w:rPr>
            <w:w w:val="105"/>
            <w:sz w:val="23"/>
          </w:rPr>
          <w:t>Relationship</w:t>
        </w:r>
        <w:r>
          <w:rPr>
            <w:spacing w:val="-6"/>
            <w:w w:val="105"/>
            <w:sz w:val="23"/>
          </w:rPr>
          <w:t xml:space="preserve"> </w:t>
        </w:r>
        <w:r>
          <w:rPr>
            <w:w w:val="105"/>
            <w:sz w:val="23"/>
          </w:rPr>
          <w:t>between</w:t>
        </w:r>
        <w:r>
          <w:rPr>
            <w:spacing w:val="-6"/>
            <w:w w:val="105"/>
            <w:sz w:val="23"/>
          </w:rPr>
          <w:t xml:space="preserve"> </w:t>
        </w:r>
        <w:r>
          <w:rPr>
            <w:w w:val="105"/>
            <w:sz w:val="23"/>
          </w:rPr>
          <w:t>CU</w:t>
        </w:r>
        <w:r>
          <w:rPr>
            <w:spacing w:val="-15"/>
            <w:w w:val="105"/>
            <w:sz w:val="23"/>
          </w:rPr>
          <w:t xml:space="preserve"> </w:t>
        </w:r>
        <w:r>
          <w:rPr>
            <w:w w:val="105"/>
            <w:sz w:val="23"/>
          </w:rPr>
          <w:t>and</w:t>
        </w:r>
        <w:r>
          <w:rPr>
            <w:spacing w:val="-6"/>
            <w:w w:val="105"/>
            <w:sz w:val="23"/>
          </w:rPr>
          <w:t xml:space="preserve"> </w:t>
        </w:r>
        <w:r>
          <w:rPr>
            <w:spacing w:val="-5"/>
            <w:w w:val="105"/>
            <w:sz w:val="23"/>
          </w:rPr>
          <w:t>SC</w:t>
        </w:r>
        <w:r>
          <w:rPr>
            <w:sz w:val="23"/>
          </w:rPr>
          <w:tab/>
        </w:r>
        <w:r>
          <w:rPr>
            <w:spacing w:val="-5"/>
            <w:w w:val="105"/>
            <w:sz w:val="23"/>
          </w:rPr>
          <w:t>143</w:t>
        </w:r>
      </w:hyperlink>
    </w:p>
    <w:p w:rsidR="00487D64" w:rsidRDefault="006F0D93">
      <w:pPr>
        <w:pStyle w:val="ListParagraph"/>
        <w:numPr>
          <w:ilvl w:val="2"/>
          <w:numId w:val="19"/>
        </w:numPr>
        <w:tabs>
          <w:tab w:val="left" w:pos="2615"/>
          <w:tab w:val="left" w:leader="dot" w:pos="9272"/>
        </w:tabs>
        <w:spacing w:before="290"/>
        <w:ind w:left="2615"/>
        <w:rPr>
          <w:sz w:val="23"/>
        </w:rPr>
      </w:pPr>
      <w:hyperlink w:anchor="_bookmark105" w:history="1">
        <w:r>
          <w:rPr>
            <w:w w:val="105"/>
            <w:sz w:val="23"/>
          </w:rPr>
          <w:t>The</w:t>
        </w:r>
        <w:r>
          <w:rPr>
            <w:spacing w:val="-8"/>
            <w:w w:val="105"/>
            <w:sz w:val="23"/>
          </w:rPr>
          <w:t xml:space="preserve"> </w:t>
        </w:r>
        <w:r>
          <w:rPr>
            <w:w w:val="105"/>
            <w:sz w:val="23"/>
          </w:rPr>
          <w:t>Effect</w:t>
        </w:r>
        <w:r>
          <w:rPr>
            <w:spacing w:val="-5"/>
            <w:w w:val="105"/>
            <w:sz w:val="23"/>
          </w:rPr>
          <w:t xml:space="preserve"> </w:t>
        </w:r>
        <w:r>
          <w:rPr>
            <w:w w:val="105"/>
            <w:sz w:val="23"/>
          </w:rPr>
          <w:t>of</w:t>
        </w:r>
        <w:r>
          <w:rPr>
            <w:spacing w:val="-10"/>
            <w:w w:val="105"/>
            <w:sz w:val="23"/>
          </w:rPr>
          <w:t xml:space="preserve"> </w:t>
        </w:r>
        <w:r>
          <w:rPr>
            <w:w w:val="105"/>
            <w:sz w:val="23"/>
          </w:rPr>
          <w:t>Moderation</w:t>
        </w:r>
        <w:r>
          <w:rPr>
            <w:spacing w:val="-6"/>
            <w:w w:val="105"/>
            <w:sz w:val="23"/>
          </w:rPr>
          <w:t xml:space="preserve"> </w:t>
        </w:r>
        <w:r>
          <w:rPr>
            <w:w w:val="105"/>
            <w:sz w:val="23"/>
          </w:rPr>
          <w:t>on</w:t>
        </w:r>
        <w:r>
          <w:rPr>
            <w:spacing w:val="-13"/>
            <w:w w:val="105"/>
            <w:sz w:val="23"/>
          </w:rPr>
          <w:t xml:space="preserve"> </w:t>
        </w:r>
        <w:r>
          <w:rPr>
            <w:w w:val="105"/>
            <w:sz w:val="23"/>
          </w:rPr>
          <w:t>the</w:t>
        </w:r>
        <w:r>
          <w:rPr>
            <w:spacing w:val="-14"/>
            <w:w w:val="105"/>
            <w:sz w:val="23"/>
          </w:rPr>
          <w:t xml:space="preserve"> </w:t>
        </w:r>
        <w:r>
          <w:rPr>
            <w:w w:val="105"/>
            <w:sz w:val="23"/>
          </w:rPr>
          <w:t>Relationship</w:t>
        </w:r>
        <w:r>
          <w:rPr>
            <w:spacing w:val="-7"/>
            <w:w w:val="105"/>
            <w:sz w:val="23"/>
          </w:rPr>
          <w:t xml:space="preserve"> </w:t>
        </w:r>
        <w:r>
          <w:rPr>
            <w:w w:val="105"/>
            <w:sz w:val="23"/>
          </w:rPr>
          <w:t>between</w:t>
        </w:r>
        <w:r>
          <w:rPr>
            <w:spacing w:val="-7"/>
            <w:w w:val="105"/>
            <w:sz w:val="23"/>
          </w:rPr>
          <w:t xml:space="preserve"> </w:t>
        </w:r>
        <w:r>
          <w:rPr>
            <w:w w:val="105"/>
            <w:sz w:val="23"/>
          </w:rPr>
          <w:t>CO</w:t>
        </w:r>
        <w:r>
          <w:rPr>
            <w:spacing w:val="-9"/>
            <w:w w:val="105"/>
            <w:sz w:val="23"/>
          </w:rPr>
          <w:t xml:space="preserve"> </w:t>
        </w:r>
        <w:r>
          <w:rPr>
            <w:w w:val="105"/>
            <w:sz w:val="23"/>
          </w:rPr>
          <w:t>and</w:t>
        </w:r>
        <w:r>
          <w:rPr>
            <w:spacing w:val="-7"/>
            <w:w w:val="105"/>
            <w:sz w:val="23"/>
          </w:rPr>
          <w:t xml:space="preserve"> </w:t>
        </w:r>
        <w:r>
          <w:rPr>
            <w:spacing w:val="-5"/>
            <w:w w:val="105"/>
            <w:sz w:val="23"/>
          </w:rPr>
          <w:t>SC</w:t>
        </w:r>
        <w:r>
          <w:rPr>
            <w:sz w:val="23"/>
          </w:rPr>
          <w:tab/>
        </w:r>
        <w:r>
          <w:rPr>
            <w:spacing w:val="-5"/>
            <w:w w:val="105"/>
            <w:sz w:val="23"/>
          </w:rPr>
          <w:t>144</w:t>
        </w:r>
      </w:hyperlink>
    </w:p>
    <w:p w:rsidR="00487D64" w:rsidRDefault="006F0D93">
      <w:pPr>
        <w:pStyle w:val="ListParagraph"/>
        <w:numPr>
          <w:ilvl w:val="2"/>
          <w:numId w:val="19"/>
        </w:numPr>
        <w:tabs>
          <w:tab w:val="left" w:pos="2615"/>
          <w:tab w:val="left" w:leader="dot" w:pos="9272"/>
        </w:tabs>
        <w:spacing w:before="291"/>
        <w:ind w:left="2615"/>
        <w:rPr>
          <w:sz w:val="23"/>
        </w:rPr>
      </w:pPr>
      <w:hyperlink w:anchor="_bookmark106" w:history="1">
        <w:r>
          <w:rPr>
            <w:w w:val="105"/>
            <w:sz w:val="23"/>
          </w:rPr>
          <w:t>The</w:t>
        </w:r>
        <w:r>
          <w:rPr>
            <w:spacing w:val="-7"/>
            <w:w w:val="105"/>
            <w:sz w:val="23"/>
          </w:rPr>
          <w:t xml:space="preserve"> </w:t>
        </w:r>
        <w:r>
          <w:rPr>
            <w:w w:val="105"/>
            <w:sz w:val="23"/>
          </w:rPr>
          <w:t>Effect</w:t>
        </w:r>
        <w:r>
          <w:rPr>
            <w:spacing w:val="-3"/>
            <w:w w:val="105"/>
            <w:sz w:val="23"/>
          </w:rPr>
          <w:t xml:space="preserve"> </w:t>
        </w:r>
        <w:r>
          <w:rPr>
            <w:w w:val="105"/>
            <w:sz w:val="23"/>
          </w:rPr>
          <w:t>of</w:t>
        </w:r>
        <w:r>
          <w:rPr>
            <w:spacing w:val="-8"/>
            <w:w w:val="105"/>
            <w:sz w:val="23"/>
          </w:rPr>
          <w:t xml:space="preserve"> </w:t>
        </w:r>
        <w:r>
          <w:rPr>
            <w:w w:val="105"/>
            <w:sz w:val="23"/>
          </w:rPr>
          <w:t>Moderation</w:t>
        </w:r>
        <w:r>
          <w:rPr>
            <w:spacing w:val="-5"/>
            <w:w w:val="105"/>
            <w:sz w:val="23"/>
          </w:rPr>
          <w:t xml:space="preserve"> </w:t>
        </w:r>
        <w:r>
          <w:rPr>
            <w:w w:val="105"/>
            <w:sz w:val="23"/>
          </w:rPr>
          <w:t>on</w:t>
        </w:r>
        <w:r>
          <w:rPr>
            <w:spacing w:val="-12"/>
            <w:w w:val="105"/>
            <w:sz w:val="23"/>
          </w:rPr>
          <w:t xml:space="preserve"> </w:t>
        </w:r>
        <w:r>
          <w:rPr>
            <w:w w:val="105"/>
            <w:sz w:val="23"/>
          </w:rPr>
          <w:t>the</w:t>
        </w:r>
        <w:r>
          <w:rPr>
            <w:spacing w:val="-12"/>
            <w:w w:val="105"/>
            <w:sz w:val="23"/>
          </w:rPr>
          <w:t xml:space="preserve"> </w:t>
        </w:r>
        <w:r>
          <w:rPr>
            <w:w w:val="105"/>
            <w:sz w:val="23"/>
          </w:rPr>
          <w:t>Relationship</w:t>
        </w:r>
        <w:r>
          <w:rPr>
            <w:spacing w:val="-6"/>
            <w:w w:val="105"/>
            <w:sz w:val="23"/>
          </w:rPr>
          <w:t xml:space="preserve"> </w:t>
        </w:r>
        <w:r>
          <w:rPr>
            <w:w w:val="105"/>
            <w:sz w:val="23"/>
          </w:rPr>
          <w:t>between</w:t>
        </w:r>
        <w:r>
          <w:rPr>
            <w:spacing w:val="-5"/>
            <w:w w:val="105"/>
            <w:sz w:val="23"/>
          </w:rPr>
          <w:t xml:space="preserve"> </w:t>
        </w:r>
        <w:r>
          <w:rPr>
            <w:w w:val="105"/>
            <w:sz w:val="23"/>
          </w:rPr>
          <w:t>FC</w:t>
        </w:r>
        <w:r>
          <w:rPr>
            <w:spacing w:val="-8"/>
            <w:w w:val="105"/>
            <w:sz w:val="23"/>
          </w:rPr>
          <w:t xml:space="preserve"> </w:t>
        </w:r>
        <w:r>
          <w:rPr>
            <w:w w:val="105"/>
            <w:sz w:val="23"/>
          </w:rPr>
          <w:t>and</w:t>
        </w:r>
        <w:r>
          <w:rPr>
            <w:spacing w:val="-5"/>
            <w:w w:val="105"/>
            <w:sz w:val="23"/>
          </w:rPr>
          <w:t xml:space="preserve"> SC</w:t>
        </w:r>
        <w:r>
          <w:rPr>
            <w:sz w:val="23"/>
          </w:rPr>
          <w:tab/>
        </w:r>
        <w:r>
          <w:rPr>
            <w:spacing w:val="-5"/>
            <w:w w:val="105"/>
            <w:sz w:val="23"/>
          </w:rPr>
          <w:t>145</w:t>
        </w:r>
      </w:hyperlink>
    </w:p>
    <w:p w:rsidR="00487D64" w:rsidRDefault="006F0D93">
      <w:pPr>
        <w:pStyle w:val="ListParagraph"/>
        <w:numPr>
          <w:ilvl w:val="2"/>
          <w:numId w:val="19"/>
        </w:numPr>
        <w:tabs>
          <w:tab w:val="left" w:pos="2622"/>
          <w:tab w:val="left" w:leader="dot" w:pos="9272"/>
        </w:tabs>
        <w:spacing w:before="282"/>
        <w:ind w:left="2622" w:hanging="1203"/>
        <w:rPr>
          <w:sz w:val="23"/>
        </w:rPr>
      </w:pPr>
      <w:hyperlink w:anchor="_bookmark107" w:history="1">
        <w:r>
          <w:rPr>
            <w:w w:val="105"/>
            <w:sz w:val="23"/>
          </w:rPr>
          <w:t>The</w:t>
        </w:r>
        <w:r>
          <w:rPr>
            <w:spacing w:val="-8"/>
            <w:w w:val="105"/>
            <w:sz w:val="23"/>
          </w:rPr>
          <w:t xml:space="preserve"> </w:t>
        </w:r>
        <w:r>
          <w:rPr>
            <w:w w:val="105"/>
            <w:sz w:val="23"/>
          </w:rPr>
          <w:t>effect</w:t>
        </w:r>
        <w:r>
          <w:rPr>
            <w:spacing w:val="-6"/>
            <w:w w:val="105"/>
            <w:sz w:val="23"/>
          </w:rPr>
          <w:t xml:space="preserve"> </w:t>
        </w:r>
        <w:r>
          <w:rPr>
            <w:w w:val="105"/>
            <w:sz w:val="23"/>
          </w:rPr>
          <w:t>of</w:t>
        </w:r>
        <w:r>
          <w:rPr>
            <w:spacing w:val="-9"/>
            <w:w w:val="105"/>
            <w:sz w:val="23"/>
          </w:rPr>
          <w:t xml:space="preserve"> </w:t>
        </w:r>
        <w:r>
          <w:rPr>
            <w:w w:val="105"/>
            <w:sz w:val="23"/>
          </w:rPr>
          <w:t>the</w:t>
        </w:r>
        <w:r>
          <w:rPr>
            <w:spacing w:val="-8"/>
            <w:w w:val="105"/>
            <w:sz w:val="23"/>
          </w:rPr>
          <w:t xml:space="preserve"> </w:t>
        </w:r>
        <w:r>
          <w:rPr>
            <w:w w:val="105"/>
            <w:sz w:val="23"/>
          </w:rPr>
          <w:t>Interaction</w:t>
        </w:r>
        <w:r>
          <w:rPr>
            <w:spacing w:val="-13"/>
            <w:w w:val="105"/>
            <w:sz w:val="23"/>
          </w:rPr>
          <w:t xml:space="preserve"> </w:t>
        </w:r>
        <w:r>
          <w:rPr>
            <w:w w:val="105"/>
            <w:sz w:val="23"/>
          </w:rPr>
          <w:t>Term</w:t>
        </w:r>
        <w:r>
          <w:rPr>
            <w:spacing w:val="-8"/>
            <w:w w:val="105"/>
            <w:sz w:val="23"/>
          </w:rPr>
          <w:t xml:space="preserve"> </w:t>
        </w:r>
        <w:r>
          <w:rPr>
            <w:w w:val="105"/>
            <w:sz w:val="23"/>
          </w:rPr>
          <w:t>between</w:t>
        </w:r>
        <w:r>
          <w:rPr>
            <w:spacing w:val="-14"/>
            <w:w w:val="105"/>
            <w:sz w:val="23"/>
          </w:rPr>
          <w:t xml:space="preserve"> </w:t>
        </w:r>
        <w:r>
          <w:rPr>
            <w:w w:val="105"/>
            <w:sz w:val="23"/>
          </w:rPr>
          <w:t>(CU_SF)</w:t>
        </w:r>
        <w:r>
          <w:rPr>
            <w:spacing w:val="-3"/>
            <w:w w:val="105"/>
            <w:sz w:val="23"/>
          </w:rPr>
          <w:t xml:space="preserve"> </w:t>
        </w:r>
        <w:r>
          <w:rPr>
            <w:w w:val="105"/>
            <w:sz w:val="23"/>
          </w:rPr>
          <w:t>on</w:t>
        </w:r>
        <w:r>
          <w:rPr>
            <w:spacing w:val="-7"/>
            <w:w w:val="105"/>
            <w:sz w:val="23"/>
          </w:rPr>
          <w:t xml:space="preserve"> </w:t>
        </w:r>
        <w:r>
          <w:rPr>
            <w:spacing w:val="-5"/>
            <w:w w:val="105"/>
            <w:sz w:val="23"/>
          </w:rPr>
          <w:t>SC</w:t>
        </w:r>
        <w:r>
          <w:rPr>
            <w:sz w:val="23"/>
          </w:rPr>
          <w:tab/>
        </w:r>
        <w:r>
          <w:rPr>
            <w:spacing w:val="-5"/>
            <w:w w:val="105"/>
            <w:sz w:val="23"/>
          </w:rPr>
          <w:t>146</w:t>
        </w:r>
      </w:hyperlink>
    </w:p>
    <w:p w:rsidR="00487D64" w:rsidRDefault="006F0D93">
      <w:pPr>
        <w:pStyle w:val="ListParagraph"/>
        <w:numPr>
          <w:ilvl w:val="1"/>
          <w:numId w:val="19"/>
        </w:numPr>
        <w:tabs>
          <w:tab w:val="left" w:pos="2615"/>
          <w:tab w:val="left" w:leader="dot" w:pos="9272"/>
        </w:tabs>
        <w:spacing w:before="406"/>
        <w:ind w:left="2615" w:hanging="1196"/>
        <w:rPr>
          <w:sz w:val="23"/>
        </w:rPr>
      </w:pPr>
      <w:hyperlink w:anchor="_bookmark108" w:history="1">
        <w:r>
          <w:rPr>
            <w:spacing w:val="-2"/>
            <w:w w:val="105"/>
            <w:sz w:val="23"/>
          </w:rPr>
          <w:t>Conclusion</w:t>
        </w:r>
        <w:r>
          <w:rPr>
            <w:sz w:val="23"/>
          </w:rPr>
          <w:tab/>
        </w:r>
        <w:r>
          <w:rPr>
            <w:spacing w:val="-5"/>
            <w:w w:val="105"/>
            <w:sz w:val="23"/>
          </w:rPr>
          <w:t>146</w:t>
        </w:r>
      </w:hyperlink>
    </w:p>
    <w:p w:rsidR="00487D64" w:rsidRDefault="006F0D93">
      <w:pPr>
        <w:pStyle w:val="ListParagraph"/>
        <w:numPr>
          <w:ilvl w:val="2"/>
          <w:numId w:val="19"/>
        </w:numPr>
        <w:tabs>
          <w:tab w:val="left" w:pos="2615"/>
          <w:tab w:val="left" w:leader="dot" w:pos="9272"/>
        </w:tabs>
        <w:spacing w:before="290" w:line="504" w:lineRule="auto"/>
        <w:ind w:right="851" w:firstLine="0"/>
        <w:rPr>
          <w:sz w:val="23"/>
        </w:rPr>
      </w:pPr>
      <w:hyperlink w:anchor="_bookmark109" w:history="1">
        <w:r>
          <w:rPr>
            <w:w w:val="105"/>
            <w:sz w:val="23"/>
          </w:rPr>
          <w:t>Customer Orientation on Sustainable Competitiveness in Public</w:t>
        </w:r>
      </w:hyperlink>
      <w:r>
        <w:rPr>
          <w:w w:val="105"/>
          <w:sz w:val="23"/>
        </w:rPr>
        <w:t xml:space="preserve"> </w:t>
      </w:r>
      <w:hyperlink w:anchor="_bookmark109" w:history="1">
        <w:r>
          <w:rPr>
            <w:spacing w:val="-2"/>
            <w:w w:val="105"/>
            <w:sz w:val="23"/>
          </w:rPr>
          <w:t>Procurement</w:t>
        </w:r>
        <w:r>
          <w:rPr>
            <w:sz w:val="23"/>
          </w:rPr>
          <w:tab/>
        </w:r>
        <w:r>
          <w:rPr>
            <w:spacing w:val="-5"/>
            <w:w w:val="105"/>
            <w:sz w:val="23"/>
          </w:rPr>
          <w:t>146</w:t>
        </w:r>
      </w:hyperlink>
    </w:p>
    <w:p w:rsidR="00487D64" w:rsidRDefault="006F0D93">
      <w:pPr>
        <w:pStyle w:val="ListParagraph"/>
        <w:numPr>
          <w:ilvl w:val="2"/>
          <w:numId w:val="19"/>
        </w:numPr>
        <w:tabs>
          <w:tab w:val="left" w:pos="2670"/>
          <w:tab w:val="left" w:leader="dot" w:pos="9272"/>
        </w:tabs>
        <w:spacing w:line="496" w:lineRule="auto"/>
        <w:ind w:right="851" w:firstLine="0"/>
        <w:rPr>
          <w:sz w:val="23"/>
        </w:rPr>
      </w:pPr>
      <w:hyperlink w:anchor="_bookmark110" w:history="1">
        <w:r>
          <w:rPr>
            <w:w w:val="105"/>
            <w:sz w:val="23"/>
          </w:rPr>
          <w:t>Competitor Orientation on Sustainable Competitiveness in Public</w:t>
        </w:r>
      </w:hyperlink>
      <w:r>
        <w:rPr>
          <w:w w:val="105"/>
          <w:sz w:val="23"/>
        </w:rPr>
        <w:t xml:space="preserve"> </w:t>
      </w:r>
      <w:hyperlink w:anchor="_bookmark110" w:history="1">
        <w:r>
          <w:rPr>
            <w:spacing w:val="-2"/>
            <w:w w:val="105"/>
            <w:sz w:val="23"/>
          </w:rPr>
          <w:t>Procurement</w:t>
        </w:r>
        <w:r>
          <w:rPr>
            <w:sz w:val="23"/>
          </w:rPr>
          <w:tab/>
        </w:r>
        <w:r>
          <w:rPr>
            <w:sz w:val="23"/>
          </w:rPr>
          <w:tab/>
        </w:r>
        <w:r>
          <w:rPr>
            <w:spacing w:val="-5"/>
            <w:w w:val="105"/>
            <w:sz w:val="23"/>
          </w:rPr>
          <w:t>147</w:t>
        </w:r>
      </w:hyperlink>
    </w:p>
    <w:p w:rsidR="00487D64" w:rsidRDefault="006F0D93">
      <w:pPr>
        <w:pStyle w:val="ListParagraph"/>
        <w:numPr>
          <w:ilvl w:val="2"/>
          <w:numId w:val="19"/>
        </w:numPr>
        <w:tabs>
          <w:tab w:val="left" w:pos="2615"/>
          <w:tab w:val="left" w:leader="dot" w:pos="9272"/>
        </w:tabs>
        <w:spacing w:before="5" w:line="504" w:lineRule="auto"/>
        <w:ind w:right="851" w:firstLine="0"/>
        <w:rPr>
          <w:sz w:val="23"/>
        </w:rPr>
      </w:pPr>
      <w:hyperlink w:anchor="_bookmark111" w:history="1">
        <w:r>
          <w:rPr>
            <w:w w:val="105"/>
            <w:sz w:val="23"/>
          </w:rPr>
          <w:t>Functional Coordination on Sustainable Competitiveness in Public</w:t>
        </w:r>
      </w:hyperlink>
      <w:r>
        <w:rPr>
          <w:w w:val="105"/>
          <w:sz w:val="23"/>
        </w:rPr>
        <w:t xml:space="preserve"> </w:t>
      </w:r>
      <w:hyperlink w:anchor="_bookmark111" w:history="1">
        <w:r>
          <w:rPr>
            <w:spacing w:val="-2"/>
            <w:w w:val="105"/>
            <w:sz w:val="23"/>
          </w:rPr>
          <w:t>Procurement</w:t>
        </w:r>
        <w:r>
          <w:rPr>
            <w:sz w:val="23"/>
          </w:rPr>
          <w:tab/>
        </w:r>
        <w:r>
          <w:rPr>
            <w:spacing w:val="-4"/>
            <w:w w:val="105"/>
            <w:sz w:val="23"/>
          </w:rPr>
          <w:t>148</w:t>
        </w:r>
      </w:hyperlink>
    </w:p>
    <w:p w:rsidR="00487D64" w:rsidRDefault="006F0D93">
      <w:pPr>
        <w:pStyle w:val="ListParagraph"/>
        <w:numPr>
          <w:ilvl w:val="2"/>
          <w:numId w:val="19"/>
        </w:numPr>
        <w:tabs>
          <w:tab w:val="left" w:pos="2615"/>
          <w:tab w:val="left" w:leader="dot" w:pos="9272"/>
        </w:tabs>
        <w:spacing w:line="504" w:lineRule="auto"/>
        <w:ind w:right="851" w:firstLine="0"/>
        <w:rPr>
          <w:sz w:val="23"/>
        </w:rPr>
      </w:pPr>
      <w:hyperlink w:anchor="_bookmark112" w:history="1">
        <w:r>
          <w:rPr>
            <w:w w:val="105"/>
            <w:sz w:val="23"/>
          </w:rPr>
          <w:t>Strategic Flexibility Moderation on the Relationship between Market</w:t>
        </w:r>
      </w:hyperlink>
      <w:r>
        <w:rPr>
          <w:w w:val="105"/>
          <w:sz w:val="23"/>
        </w:rPr>
        <w:t xml:space="preserve"> </w:t>
      </w:r>
      <w:hyperlink w:anchor="_bookmark112" w:history="1">
        <w:r>
          <w:rPr>
            <w:sz w:val="23"/>
          </w:rPr>
          <w:t>Orientation</w:t>
        </w:r>
        <w:r>
          <w:rPr>
            <w:spacing w:val="22"/>
            <w:sz w:val="23"/>
          </w:rPr>
          <w:t xml:space="preserve"> </w:t>
        </w:r>
        <w:r>
          <w:rPr>
            <w:sz w:val="23"/>
          </w:rPr>
          <w:t>and</w:t>
        </w:r>
        <w:r>
          <w:rPr>
            <w:spacing w:val="33"/>
            <w:sz w:val="23"/>
          </w:rPr>
          <w:t xml:space="preserve"> </w:t>
        </w:r>
        <w:r>
          <w:rPr>
            <w:sz w:val="23"/>
          </w:rPr>
          <w:t>Sustainable</w:t>
        </w:r>
        <w:r>
          <w:rPr>
            <w:spacing w:val="31"/>
            <w:sz w:val="23"/>
          </w:rPr>
          <w:t xml:space="preserve"> </w:t>
        </w:r>
        <w:r>
          <w:rPr>
            <w:sz w:val="23"/>
          </w:rPr>
          <w:t>Competitiveness</w:t>
        </w:r>
        <w:r>
          <w:rPr>
            <w:spacing w:val="20"/>
            <w:sz w:val="23"/>
          </w:rPr>
          <w:t xml:space="preserve"> </w:t>
        </w:r>
        <w:r>
          <w:rPr>
            <w:sz w:val="23"/>
          </w:rPr>
          <w:t>in</w:t>
        </w:r>
        <w:r>
          <w:rPr>
            <w:spacing w:val="32"/>
            <w:sz w:val="23"/>
          </w:rPr>
          <w:t xml:space="preserve"> </w:t>
        </w:r>
        <w:r>
          <w:rPr>
            <w:sz w:val="23"/>
          </w:rPr>
          <w:t>Public</w:t>
        </w:r>
        <w:r>
          <w:rPr>
            <w:spacing w:val="32"/>
            <w:sz w:val="23"/>
          </w:rPr>
          <w:t xml:space="preserve"> </w:t>
        </w:r>
        <w:r>
          <w:rPr>
            <w:spacing w:val="-2"/>
            <w:sz w:val="23"/>
          </w:rPr>
          <w:t>Procurement</w:t>
        </w:r>
        <w:r>
          <w:rPr>
            <w:sz w:val="23"/>
          </w:rPr>
          <w:tab/>
        </w:r>
        <w:r>
          <w:rPr>
            <w:spacing w:val="-5"/>
            <w:sz w:val="23"/>
          </w:rPr>
          <w:t>148</w:t>
        </w:r>
      </w:hyperlink>
    </w:p>
    <w:p w:rsidR="00487D64" w:rsidRDefault="006F0D93">
      <w:pPr>
        <w:pStyle w:val="ListParagraph"/>
        <w:numPr>
          <w:ilvl w:val="1"/>
          <w:numId w:val="19"/>
        </w:numPr>
        <w:tabs>
          <w:tab w:val="left" w:pos="2607"/>
          <w:tab w:val="left" w:leader="dot" w:pos="9272"/>
        </w:tabs>
        <w:spacing w:before="106"/>
        <w:ind w:left="2607" w:hanging="1188"/>
        <w:rPr>
          <w:sz w:val="23"/>
        </w:rPr>
      </w:pPr>
      <w:hyperlink w:anchor="_bookmark113" w:history="1">
        <w:r>
          <w:rPr>
            <w:w w:val="105"/>
            <w:sz w:val="23"/>
          </w:rPr>
          <w:t>Implications</w:t>
        </w:r>
        <w:r>
          <w:rPr>
            <w:spacing w:val="-7"/>
            <w:w w:val="105"/>
            <w:sz w:val="23"/>
          </w:rPr>
          <w:t xml:space="preserve"> </w:t>
        </w:r>
        <w:r>
          <w:rPr>
            <w:w w:val="105"/>
            <w:sz w:val="23"/>
          </w:rPr>
          <w:t>of</w:t>
        </w:r>
        <w:r>
          <w:rPr>
            <w:spacing w:val="-7"/>
            <w:w w:val="105"/>
            <w:sz w:val="23"/>
          </w:rPr>
          <w:t xml:space="preserve"> </w:t>
        </w:r>
        <w:r>
          <w:rPr>
            <w:w w:val="105"/>
            <w:sz w:val="23"/>
          </w:rPr>
          <w:t>the</w:t>
        </w:r>
        <w:r>
          <w:rPr>
            <w:spacing w:val="-6"/>
            <w:w w:val="105"/>
            <w:sz w:val="23"/>
          </w:rPr>
          <w:t xml:space="preserve"> </w:t>
        </w:r>
        <w:r>
          <w:rPr>
            <w:spacing w:val="-4"/>
            <w:w w:val="105"/>
            <w:sz w:val="23"/>
          </w:rPr>
          <w:t>Study</w:t>
        </w:r>
        <w:r>
          <w:rPr>
            <w:sz w:val="23"/>
          </w:rPr>
          <w:tab/>
        </w:r>
        <w:r>
          <w:rPr>
            <w:spacing w:val="-5"/>
            <w:w w:val="105"/>
            <w:sz w:val="23"/>
          </w:rPr>
          <w:t>149</w:t>
        </w:r>
      </w:hyperlink>
    </w:p>
    <w:p w:rsidR="00487D64" w:rsidRDefault="00487D64">
      <w:pPr>
        <w:pStyle w:val="ListParagrap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ListParagraph"/>
        <w:numPr>
          <w:ilvl w:val="2"/>
          <w:numId w:val="18"/>
        </w:numPr>
        <w:tabs>
          <w:tab w:val="left" w:pos="2622"/>
          <w:tab w:val="left" w:leader="dot" w:pos="9272"/>
        </w:tabs>
        <w:rPr>
          <w:sz w:val="23"/>
        </w:rPr>
      </w:pPr>
      <w:hyperlink w:anchor="_bookmark114" w:history="1">
        <w:r>
          <w:rPr>
            <w:sz w:val="23"/>
          </w:rPr>
          <w:t>Theoretical</w:t>
        </w:r>
        <w:r>
          <w:rPr>
            <w:spacing w:val="30"/>
            <w:sz w:val="23"/>
          </w:rPr>
          <w:t xml:space="preserve"> </w:t>
        </w:r>
        <w:r>
          <w:rPr>
            <w:spacing w:val="-2"/>
            <w:sz w:val="23"/>
          </w:rPr>
          <w:t>Contributions</w:t>
        </w:r>
        <w:r>
          <w:rPr>
            <w:sz w:val="23"/>
          </w:rPr>
          <w:tab/>
        </w:r>
        <w:r>
          <w:rPr>
            <w:spacing w:val="-5"/>
            <w:sz w:val="23"/>
          </w:rPr>
          <w:t>149</w:t>
        </w:r>
      </w:hyperlink>
    </w:p>
    <w:p w:rsidR="00487D64" w:rsidRDefault="006F0D93">
      <w:pPr>
        <w:pStyle w:val="ListParagraph"/>
        <w:numPr>
          <w:ilvl w:val="2"/>
          <w:numId w:val="18"/>
        </w:numPr>
        <w:tabs>
          <w:tab w:val="left" w:pos="2622"/>
          <w:tab w:val="right" w:leader="dot" w:pos="9639"/>
        </w:tabs>
        <w:spacing w:before="291"/>
        <w:rPr>
          <w:sz w:val="23"/>
        </w:rPr>
      </w:pPr>
      <w:hyperlink w:anchor="_bookmark115" w:history="1">
        <w:r>
          <w:rPr>
            <w:sz w:val="23"/>
          </w:rPr>
          <w:t>Contextual</w:t>
        </w:r>
        <w:r>
          <w:rPr>
            <w:spacing w:val="20"/>
            <w:sz w:val="23"/>
          </w:rPr>
          <w:t xml:space="preserve"> </w:t>
        </w:r>
        <w:r>
          <w:rPr>
            <w:sz w:val="23"/>
          </w:rPr>
          <w:t>Implications</w:t>
        </w:r>
        <w:r>
          <w:rPr>
            <w:spacing w:val="24"/>
            <w:sz w:val="23"/>
          </w:rPr>
          <w:t xml:space="preserve"> </w:t>
        </w:r>
        <w:r>
          <w:rPr>
            <w:sz w:val="23"/>
          </w:rPr>
          <w:t>of</w:t>
        </w:r>
        <w:r>
          <w:rPr>
            <w:spacing w:val="24"/>
            <w:sz w:val="23"/>
          </w:rPr>
          <w:t xml:space="preserve"> </w:t>
        </w:r>
        <w:r>
          <w:rPr>
            <w:sz w:val="23"/>
          </w:rPr>
          <w:t>the</w:t>
        </w:r>
        <w:r>
          <w:rPr>
            <w:spacing w:val="26"/>
            <w:sz w:val="23"/>
          </w:rPr>
          <w:t xml:space="preserve"> </w:t>
        </w:r>
        <w:r>
          <w:rPr>
            <w:spacing w:val="-4"/>
            <w:sz w:val="23"/>
          </w:rPr>
          <w:t>Study</w:t>
        </w:r>
        <w:r>
          <w:rPr>
            <w:sz w:val="23"/>
          </w:rPr>
          <w:tab/>
        </w:r>
        <w:r>
          <w:rPr>
            <w:spacing w:val="-5"/>
            <w:sz w:val="23"/>
          </w:rPr>
          <w:t>151</w:t>
        </w:r>
      </w:hyperlink>
    </w:p>
    <w:p w:rsidR="00487D64" w:rsidRDefault="006F0D93">
      <w:pPr>
        <w:pStyle w:val="ListParagraph"/>
        <w:numPr>
          <w:ilvl w:val="2"/>
          <w:numId w:val="18"/>
        </w:numPr>
        <w:tabs>
          <w:tab w:val="left" w:pos="2622"/>
          <w:tab w:val="right" w:leader="dot" w:pos="9639"/>
        </w:tabs>
        <w:spacing w:before="283"/>
        <w:rPr>
          <w:sz w:val="23"/>
        </w:rPr>
      </w:pPr>
      <w:hyperlink w:anchor="_bookmark116" w:history="1">
        <w:r>
          <w:rPr>
            <w:sz w:val="23"/>
          </w:rPr>
          <w:t>Policy</w:t>
        </w:r>
        <w:r>
          <w:rPr>
            <w:spacing w:val="22"/>
            <w:sz w:val="23"/>
          </w:rPr>
          <w:t xml:space="preserve"> </w:t>
        </w:r>
        <w:r>
          <w:rPr>
            <w:sz w:val="23"/>
          </w:rPr>
          <w:t>Implications</w:t>
        </w:r>
        <w:r>
          <w:rPr>
            <w:spacing w:val="19"/>
            <w:sz w:val="23"/>
          </w:rPr>
          <w:t xml:space="preserve"> </w:t>
        </w:r>
        <w:r>
          <w:rPr>
            <w:sz w:val="23"/>
          </w:rPr>
          <w:t>of</w:t>
        </w:r>
        <w:r>
          <w:rPr>
            <w:spacing w:val="19"/>
            <w:sz w:val="23"/>
          </w:rPr>
          <w:t xml:space="preserve"> </w:t>
        </w:r>
        <w:r>
          <w:rPr>
            <w:sz w:val="23"/>
          </w:rPr>
          <w:t>the</w:t>
        </w:r>
        <w:r>
          <w:rPr>
            <w:spacing w:val="21"/>
            <w:sz w:val="23"/>
          </w:rPr>
          <w:t xml:space="preserve"> </w:t>
        </w:r>
        <w:r>
          <w:rPr>
            <w:spacing w:val="-4"/>
            <w:sz w:val="23"/>
          </w:rPr>
          <w:t>Study</w:t>
        </w:r>
        <w:r>
          <w:rPr>
            <w:sz w:val="23"/>
          </w:rPr>
          <w:tab/>
        </w:r>
        <w:r>
          <w:rPr>
            <w:spacing w:val="-5"/>
            <w:sz w:val="23"/>
          </w:rPr>
          <w:t>154</w:t>
        </w:r>
      </w:hyperlink>
    </w:p>
    <w:p w:rsidR="00487D64" w:rsidRDefault="006F0D93">
      <w:pPr>
        <w:pStyle w:val="ListParagraph"/>
        <w:numPr>
          <w:ilvl w:val="1"/>
          <w:numId w:val="19"/>
        </w:numPr>
        <w:tabs>
          <w:tab w:val="left" w:pos="2615"/>
          <w:tab w:val="right" w:leader="dot" w:pos="9639"/>
        </w:tabs>
        <w:spacing w:before="405"/>
        <w:ind w:left="2615" w:hanging="1196"/>
        <w:rPr>
          <w:sz w:val="23"/>
        </w:rPr>
      </w:pPr>
      <w:hyperlink w:anchor="_bookmark117" w:history="1">
        <w:r>
          <w:rPr>
            <w:sz w:val="23"/>
          </w:rPr>
          <w:t>Study</w:t>
        </w:r>
        <w:r>
          <w:rPr>
            <w:spacing w:val="20"/>
            <w:sz w:val="23"/>
          </w:rPr>
          <w:t xml:space="preserve"> </w:t>
        </w:r>
        <w:r>
          <w:rPr>
            <w:spacing w:val="-2"/>
            <w:sz w:val="23"/>
          </w:rPr>
          <w:t>Recommendations</w:t>
        </w:r>
        <w:r>
          <w:rPr>
            <w:sz w:val="23"/>
          </w:rPr>
          <w:tab/>
        </w:r>
        <w:r>
          <w:rPr>
            <w:spacing w:val="-5"/>
            <w:sz w:val="23"/>
          </w:rPr>
          <w:t>156</w:t>
        </w:r>
      </w:hyperlink>
    </w:p>
    <w:p w:rsidR="00487D64" w:rsidRDefault="006F0D93">
      <w:pPr>
        <w:pStyle w:val="ListParagraph"/>
        <w:numPr>
          <w:ilvl w:val="2"/>
          <w:numId w:val="19"/>
        </w:numPr>
        <w:tabs>
          <w:tab w:val="left" w:pos="2622"/>
          <w:tab w:val="right" w:leader="dot" w:pos="9639"/>
        </w:tabs>
        <w:spacing w:before="290"/>
        <w:ind w:left="2622" w:hanging="1203"/>
        <w:rPr>
          <w:sz w:val="23"/>
        </w:rPr>
      </w:pPr>
      <w:hyperlink w:anchor="_bookmark118" w:history="1">
        <w:r>
          <w:rPr>
            <w:sz w:val="23"/>
          </w:rPr>
          <w:t>Influence</w:t>
        </w:r>
        <w:r>
          <w:rPr>
            <w:spacing w:val="31"/>
            <w:sz w:val="23"/>
          </w:rPr>
          <w:t xml:space="preserve"> </w:t>
        </w:r>
        <w:r>
          <w:rPr>
            <w:sz w:val="23"/>
          </w:rPr>
          <w:t>of</w:t>
        </w:r>
        <w:r>
          <w:rPr>
            <w:spacing w:val="17"/>
            <w:sz w:val="23"/>
          </w:rPr>
          <w:t xml:space="preserve"> </w:t>
        </w:r>
        <w:r>
          <w:rPr>
            <w:sz w:val="23"/>
          </w:rPr>
          <w:t>Customer</w:t>
        </w:r>
        <w:r>
          <w:rPr>
            <w:spacing w:val="29"/>
            <w:sz w:val="23"/>
          </w:rPr>
          <w:t xml:space="preserve"> </w:t>
        </w:r>
        <w:r>
          <w:rPr>
            <w:sz w:val="23"/>
          </w:rPr>
          <w:t>Orie</w:t>
        </w:r>
        <w:r>
          <w:rPr>
            <w:sz w:val="23"/>
          </w:rPr>
          <w:t>ntation</w:t>
        </w:r>
        <w:r>
          <w:rPr>
            <w:spacing w:val="34"/>
            <w:sz w:val="23"/>
          </w:rPr>
          <w:t xml:space="preserve"> </w:t>
        </w:r>
        <w:r>
          <w:rPr>
            <w:sz w:val="23"/>
          </w:rPr>
          <w:t>on</w:t>
        </w:r>
        <w:r>
          <w:rPr>
            <w:spacing w:val="23"/>
            <w:sz w:val="23"/>
          </w:rPr>
          <w:t xml:space="preserve"> </w:t>
        </w:r>
        <w:r>
          <w:rPr>
            <w:sz w:val="23"/>
          </w:rPr>
          <w:t>Sustainable</w:t>
        </w:r>
        <w:r>
          <w:rPr>
            <w:spacing w:val="21"/>
            <w:sz w:val="23"/>
          </w:rPr>
          <w:t xml:space="preserve"> </w:t>
        </w:r>
        <w:r>
          <w:rPr>
            <w:spacing w:val="-2"/>
            <w:sz w:val="23"/>
          </w:rPr>
          <w:t>Competitiveness</w:t>
        </w:r>
        <w:r>
          <w:rPr>
            <w:sz w:val="23"/>
          </w:rPr>
          <w:tab/>
        </w:r>
        <w:r>
          <w:rPr>
            <w:spacing w:val="-5"/>
            <w:sz w:val="23"/>
          </w:rPr>
          <w:t>156</w:t>
        </w:r>
      </w:hyperlink>
    </w:p>
    <w:p w:rsidR="00487D64" w:rsidRDefault="006F0D93">
      <w:pPr>
        <w:pStyle w:val="ListParagraph"/>
        <w:numPr>
          <w:ilvl w:val="2"/>
          <w:numId w:val="19"/>
        </w:numPr>
        <w:tabs>
          <w:tab w:val="left" w:pos="2615"/>
        </w:tabs>
        <w:spacing w:before="290"/>
        <w:ind w:left="2615"/>
        <w:rPr>
          <w:sz w:val="23"/>
        </w:rPr>
      </w:pPr>
      <w:hyperlink w:anchor="_bookmark119" w:history="1">
        <w:r>
          <w:rPr>
            <w:sz w:val="23"/>
          </w:rPr>
          <w:t>Influence</w:t>
        </w:r>
        <w:r>
          <w:rPr>
            <w:spacing w:val="32"/>
            <w:sz w:val="23"/>
          </w:rPr>
          <w:t xml:space="preserve"> </w:t>
        </w:r>
        <w:r>
          <w:rPr>
            <w:sz w:val="23"/>
          </w:rPr>
          <w:t>of</w:t>
        </w:r>
        <w:r>
          <w:rPr>
            <w:spacing w:val="29"/>
            <w:sz w:val="23"/>
          </w:rPr>
          <w:t xml:space="preserve"> </w:t>
        </w:r>
        <w:r>
          <w:rPr>
            <w:sz w:val="23"/>
          </w:rPr>
          <w:t>Competitor</w:t>
        </w:r>
        <w:r>
          <w:rPr>
            <w:spacing w:val="29"/>
            <w:sz w:val="23"/>
          </w:rPr>
          <w:t xml:space="preserve"> </w:t>
        </w:r>
        <w:r>
          <w:rPr>
            <w:sz w:val="23"/>
          </w:rPr>
          <w:t>Orientation</w:t>
        </w:r>
        <w:r>
          <w:rPr>
            <w:spacing w:val="34"/>
            <w:sz w:val="23"/>
          </w:rPr>
          <w:t xml:space="preserve"> </w:t>
        </w:r>
        <w:r>
          <w:rPr>
            <w:sz w:val="23"/>
          </w:rPr>
          <w:t>on</w:t>
        </w:r>
        <w:r>
          <w:rPr>
            <w:spacing w:val="34"/>
            <w:sz w:val="23"/>
          </w:rPr>
          <w:t xml:space="preserve"> </w:t>
        </w:r>
        <w:r>
          <w:rPr>
            <w:sz w:val="23"/>
          </w:rPr>
          <w:t>Sustainable</w:t>
        </w:r>
        <w:r>
          <w:rPr>
            <w:spacing w:val="32"/>
            <w:sz w:val="23"/>
          </w:rPr>
          <w:t xml:space="preserve"> </w:t>
        </w:r>
        <w:r>
          <w:rPr>
            <w:sz w:val="23"/>
          </w:rPr>
          <w:t>Competitiveness</w:t>
        </w:r>
        <w:r>
          <w:rPr>
            <w:spacing w:val="39"/>
            <w:sz w:val="23"/>
          </w:rPr>
          <w:t xml:space="preserve"> </w:t>
        </w:r>
        <w:r>
          <w:rPr>
            <w:spacing w:val="-5"/>
            <w:sz w:val="23"/>
          </w:rPr>
          <w:t>157</w:t>
        </w:r>
      </w:hyperlink>
    </w:p>
    <w:p w:rsidR="00487D64" w:rsidRDefault="006F0D93">
      <w:pPr>
        <w:pStyle w:val="ListParagraph"/>
        <w:numPr>
          <w:ilvl w:val="2"/>
          <w:numId w:val="19"/>
        </w:numPr>
        <w:tabs>
          <w:tab w:val="left" w:pos="2622"/>
        </w:tabs>
        <w:spacing w:before="290"/>
        <w:ind w:left="2622" w:hanging="1203"/>
        <w:rPr>
          <w:sz w:val="23"/>
        </w:rPr>
      </w:pPr>
      <w:hyperlink w:anchor="_bookmark120" w:history="1">
        <w:r>
          <w:rPr>
            <w:sz w:val="23"/>
          </w:rPr>
          <w:t>Influence</w:t>
        </w:r>
        <w:r>
          <w:rPr>
            <w:spacing w:val="36"/>
            <w:sz w:val="23"/>
          </w:rPr>
          <w:t xml:space="preserve"> </w:t>
        </w:r>
        <w:r>
          <w:rPr>
            <w:sz w:val="23"/>
          </w:rPr>
          <w:t>of</w:t>
        </w:r>
        <w:r>
          <w:rPr>
            <w:spacing w:val="33"/>
            <w:sz w:val="23"/>
          </w:rPr>
          <w:t xml:space="preserve"> </w:t>
        </w:r>
        <w:r>
          <w:rPr>
            <w:sz w:val="23"/>
          </w:rPr>
          <w:t>Functional</w:t>
        </w:r>
        <w:r>
          <w:rPr>
            <w:spacing w:val="30"/>
            <w:sz w:val="23"/>
          </w:rPr>
          <w:t xml:space="preserve"> </w:t>
        </w:r>
        <w:r>
          <w:rPr>
            <w:sz w:val="23"/>
          </w:rPr>
          <w:t>Coordination</w:t>
        </w:r>
        <w:r>
          <w:rPr>
            <w:spacing w:val="38"/>
            <w:sz w:val="23"/>
          </w:rPr>
          <w:t xml:space="preserve"> </w:t>
        </w:r>
        <w:r>
          <w:rPr>
            <w:sz w:val="23"/>
          </w:rPr>
          <w:t>on</w:t>
        </w:r>
        <w:r>
          <w:rPr>
            <w:spacing w:val="38"/>
            <w:sz w:val="23"/>
          </w:rPr>
          <w:t xml:space="preserve"> </w:t>
        </w:r>
        <w:r>
          <w:rPr>
            <w:sz w:val="23"/>
          </w:rPr>
          <w:t>Sustainable</w:t>
        </w:r>
        <w:r>
          <w:rPr>
            <w:spacing w:val="25"/>
            <w:sz w:val="23"/>
          </w:rPr>
          <w:t xml:space="preserve"> </w:t>
        </w:r>
        <w:r>
          <w:rPr>
            <w:sz w:val="23"/>
          </w:rPr>
          <w:t>Competitivenes</w:t>
        </w:r>
        <w:r>
          <w:rPr>
            <w:spacing w:val="9"/>
            <w:sz w:val="23"/>
          </w:rPr>
          <w:t xml:space="preserve"> </w:t>
        </w:r>
        <w:r>
          <w:rPr>
            <w:spacing w:val="-5"/>
            <w:sz w:val="23"/>
          </w:rPr>
          <w:t>158</w:t>
        </w:r>
      </w:hyperlink>
    </w:p>
    <w:p w:rsidR="00487D64" w:rsidRDefault="006F0D93">
      <w:pPr>
        <w:pStyle w:val="ListParagraph"/>
        <w:numPr>
          <w:ilvl w:val="2"/>
          <w:numId w:val="19"/>
        </w:numPr>
        <w:tabs>
          <w:tab w:val="left" w:pos="2622"/>
          <w:tab w:val="right" w:leader="dot" w:pos="9639"/>
        </w:tabs>
        <w:spacing w:before="284"/>
        <w:ind w:left="2622" w:hanging="1203"/>
        <w:rPr>
          <w:sz w:val="23"/>
        </w:rPr>
      </w:pPr>
      <w:hyperlink w:anchor="_bookmark121" w:history="1">
        <w:r>
          <w:rPr>
            <w:sz w:val="23"/>
          </w:rPr>
          <w:t>Moderating</w:t>
        </w:r>
        <w:r>
          <w:rPr>
            <w:spacing w:val="25"/>
            <w:sz w:val="23"/>
          </w:rPr>
          <w:t xml:space="preserve"> </w:t>
        </w:r>
        <w:r>
          <w:rPr>
            <w:sz w:val="23"/>
          </w:rPr>
          <w:t>Role</w:t>
        </w:r>
        <w:r>
          <w:rPr>
            <w:spacing w:val="25"/>
            <w:sz w:val="23"/>
          </w:rPr>
          <w:t xml:space="preserve"> </w:t>
        </w:r>
        <w:r>
          <w:rPr>
            <w:sz w:val="23"/>
          </w:rPr>
          <w:t>of</w:t>
        </w:r>
        <w:r>
          <w:rPr>
            <w:spacing w:val="22"/>
            <w:sz w:val="23"/>
          </w:rPr>
          <w:t xml:space="preserve"> </w:t>
        </w:r>
        <w:r>
          <w:rPr>
            <w:sz w:val="23"/>
          </w:rPr>
          <w:t>Strategic</w:t>
        </w:r>
        <w:r>
          <w:rPr>
            <w:spacing w:val="24"/>
            <w:sz w:val="23"/>
          </w:rPr>
          <w:t xml:space="preserve"> </w:t>
        </w:r>
        <w:r>
          <w:rPr>
            <w:spacing w:val="-2"/>
            <w:sz w:val="23"/>
          </w:rPr>
          <w:t>Flexibility</w:t>
        </w:r>
        <w:r>
          <w:rPr>
            <w:sz w:val="23"/>
          </w:rPr>
          <w:tab/>
        </w:r>
        <w:r>
          <w:rPr>
            <w:spacing w:val="-5"/>
            <w:sz w:val="23"/>
          </w:rPr>
          <w:t>158</w:t>
        </w:r>
      </w:hyperlink>
    </w:p>
    <w:p w:rsidR="00487D64" w:rsidRDefault="006F0D93">
      <w:pPr>
        <w:pStyle w:val="ListParagraph"/>
        <w:numPr>
          <w:ilvl w:val="1"/>
          <w:numId w:val="19"/>
        </w:numPr>
        <w:tabs>
          <w:tab w:val="left" w:pos="2615"/>
          <w:tab w:val="right" w:leader="dot" w:pos="9639"/>
        </w:tabs>
        <w:spacing w:before="405"/>
        <w:ind w:left="2615" w:hanging="1196"/>
        <w:rPr>
          <w:sz w:val="23"/>
        </w:rPr>
      </w:pPr>
      <w:hyperlink w:anchor="_bookmark122" w:history="1">
        <w:r>
          <w:rPr>
            <w:sz w:val="23"/>
          </w:rPr>
          <w:t>Limitations</w:t>
        </w:r>
        <w:r>
          <w:rPr>
            <w:spacing w:val="14"/>
            <w:sz w:val="23"/>
          </w:rPr>
          <w:t xml:space="preserve"> </w:t>
        </w:r>
        <w:r>
          <w:rPr>
            <w:sz w:val="23"/>
          </w:rPr>
          <w:t>and</w:t>
        </w:r>
        <w:r>
          <w:rPr>
            <w:spacing w:val="28"/>
            <w:sz w:val="23"/>
          </w:rPr>
          <w:t xml:space="preserve"> </w:t>
        </w:r>
        <w:r>
          <w:rPr>
            <w:sz w:val="23"/>
          </w:rPr>
          <w:t>Delimitations</w:t>
        </w:r>
        <w:r>
          <w:rPr>
            <w:spacing w:val="23"/>
            <w:sz w:val="23"/>
          </w:rPr>
          <w:t xml:space="preserve"> </w:t>
        </w:r>
        <w:r>
          <w:rPr>
            <w:sz w:val="23"/>
          </w:rPr>
          <w:t>of</w:t>
        </w:r>
        <w:r>
          <w:rPr>
            <w:spacing w:val="23"/>
            <w:sz w:val="23"/>
          </w:rPr>
          <w:t xml:space="preserve"> </w:t>
        </w:r>
        <w:r>
          <w:rPr>
            <w:sz w:val="23"/>
          </w:rPr>
          <w:t>the</w:t>
        </w:r>
        <w:r>
          <w:rPr>
            <w:spacing w:val="26"/>
            <w:sz w:val="23"/>
          </w:rPr>
          <w:t xml:space="preserve"> </w:t>
        </w:r>
        <w:r>
          <w:rPr>
            <w:spacing w:val="-4"/>
            <w:sz w:val="23"/>
          </w:rPr>
          <w:t>Study</w:t>
        </w:r>
        <w:r>
          <w:rPr>
            <w:sz w:val="23"/>
          </w:rPr>
          <w:tab/>
        </w:r>
        <w:r>
          <w:rPr>
            <w:spacing w:val="-5"/>
            <w:sz w:val="23"/>
          </w:rPr>
          <w:t>159</w:t>
        </w:r>
      </w:hyperlink>
    </w:p>
    <w:p w:rsidR="00487D64" w:rsidRDefault="006F0D93">
      <w:pPr>
        <w:pStyle w:val="ListParagraph"/>
        <w:numPr>
          <w:ilvl w:val="1"/>
          <w:numId w:val="19"/>
        </w:numPr>
        <w:tabs>
          <w:tab w:val="left" w:pos="2615"/>
          <w:tab w:val="right" w:leader="dot" w:pos="9639"/>
        </w:tabs>
        <w:spacing w:before="405"/>
        <w:ind w:left="2615" w:hanging="1196"/>
        <w:rPr>
          <w:sz w:val="23"/>
        </w:rPr>
      </w:pPr>
      <w:hyperlink w:anchor="_bookmark123" w:history="1">
        <w:r>
          <w:rPr>
            <w:sz w:val="23"/>
          </w:rPr>
          <w:t>Areas</w:t>
        </w:r>
        <w:r>
          <w:rPr>
            <w:spacing w:val="18"/>
            <w:sz w:val="23"/>
          </w:rPr>
          <w:t xml:space="preserve"> </w:t>
        </w:r>
        <w:r>
          <w:rPr>
            <w:sz w:val="23"/>
          </w:rPr>
          <w:t>for</w:t>
        </w:r>
        <w:r>
          <w:rPr>
            <w:spacing w:val="25"/>
            <w:sz w:val="23"/>
          </w:rPr>
          <w:t xml:space="preserve"> </w:t>
        </w:r>
        <w:r>
          <w:rPr>
            <w:sz w:val="23"/>
          </w:rPr>
          <w:t>Future</w:t>
        </w:r>
        <w:r>
          <w:rPr>
            <w:spacing w:val="11"/>
            <w:sz w:val="23"/>
          </w:rPr>
          <w:t xml:space="preserve"> </w:t>
        </w:r>
        <w:r>
          <w:rPr>
            <w:spacing w:val="-2"/>
            <w:sz w:val="23"/>
          </w:rPr>
          <w:t>Research</w:t>
        </w:r>
        <w:r>
          <w:rPr>
            <w:sz w:val="23"/>
          </w:rPr>
          <w:tab/>
        </w:r>
        <w:r>
          <w:rPr>
            <w:spacing w:val="-5"/>
            <w:sz w:val="23"/>
          </w:rPr>
          <w:t>160</w:t>
        </w:r>
      </w:hyperlink>
    </w:p>
    <w:p w:rsidR="00487D64" w:rsidRDefault="006F0D93">
      <w:pPr>
        <w:tabs>
          <w:tab w:val="right" w:leader="dot" w:pos="9639"/>
        </w:tabs>
        <w:spacing w:before="420"/>
        <w:ind w:left="1419"/>
        <w:rPr>
          <w:b/>
          <w:sz w:val="23"/>
        </w:rPr>
      </w:pPr>
      <w:hyperlink w:anchor="_bookmark124" w:history="1">
        <w:r>
          <w:rPr>
            <w:b/>
            <w:spacing w:val="-2"/>
            <w:sz w:val="23"/>
          </w:rPr>
          <w:t>REFERENCES</w:t>
        </w:r>
        <w:r>
          <w:rPr>
            <w:b/>
            <w:sz w:val="23"/>
          </w:rPr>
          <w:tab/>
        </w:r>
        <w:r>
          <w:rPr>
            <w:b/>
            <w:spacing w:val="-5"/>
            <w:sz w:val="23"/>
          </w:rPr>
          <w:t>163</w:t>
        </w:r>
      </w:hyperlink>
    </w:p>
    <w:p w:rsidR="00487D64" w:rsidRDefault="006F0D93">
      <w:pPr>
        <w:tabs>
          <w:tab w:val="right" w:leader="dot" w:pos="9639"/>
        </w:tabs>
        <w:spacing w:before="405"/>
        <w:ind w:left="1419"/>
        <w:rPr>
          <w:b/>
          <w:sz w:val="23"/>
        </w:rPr>
      </w:pPr>
      <w:hyperlink w:anchor="_bookmark125" w:history="1">
        <w:r>
          <w:rPr>
            <w:b/>
            <w:spacing w:val="-2"/>
            <w:sz w:val="23"/>
          </w:rPr>
          <w:t>APPENDICES</w:t>
        </w:r>
        <w:r>
          <w:rPr>
            <w:b/>
            <w:sz w:val="23"/>
          </w:rPr>
          <w:tab/>
        </w:r>
        <w:r>
          <w:rPr>
            <w:b/>
            <w:spacing w:val="-5"/>
            <w:sz w:val="23"/>
          </w:rPr>
          <w:t>187</w:t>
        </w:r>
      </w:hyperlink>
    </w:p>
    <w:p w:rsidR="00487D64" w:rsidRDefault="00487D64">
      <w:pPr>
        <w:rPr>
          <w:b/>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spacing w:before="1"/>
        <w:ind w:left="3066" w:right="2500"/>
        <w:jc w:val="center"/>
        <w:rPr>
          <w:b/>
          <w:sz w:val="23"/>
        </w:rPr>
      </w:pPr>
      <w:bookmarkStart w:id="15" w:name="LIST_OF_TABLES"/>
      <w:bookmarkStart w:id="16" w:name="_bookmark7"/>
      <w:bookmarkEnd w:id="15"/>
      <w:bookmarkEnd w:id="16"/>
      <w:r>
        <w:rPr>
          <w:b/>
          <w:w w:val="105"/>
          <w:sz w:val="23"/>
        </w:rPr>
        <w:t>LIST</w:t>
      </w:r>
      <w:r>
        <w:rPr>
          <w:b/>
          <w:spacing w:val="-9"/>
          <w:w w:val="105"/>
          <w:sz w:val="23"/>
        </w:rPr>
        <w:t xml:space="preserve"> </w:t>
      </w:r>
      <w:r>
        <w:rPr>
          <w:b/>
          <w:w w:val="105"/>
          <w:sz w:val="23"/>
        </w:rPr>
        <w:t>OF</w:t>
      </w:r>
      <w:r>
        <w:rPr>
          <w:b/>
          <w:spacing w:val="-10"/>
          <w:w w:val="105"/>
          <w:sz w:val="23"/>
        </w:rPr>
        <w:t xml:space="preserve"> </w:t>
      </w:r>
      <w:r>
        <w:rPr>
          <w:b/>
          <w:spacing w:val="-2"/>
          <w:w w:val="105"/>
          <w:sz w:val="23"/>
        </w:rPr>
        <w:t>TABLES</w:t>
      </w:r>
    </w:p>
    <w:p w:rsidR="00487D64" w:rsidRDefault="00487D64">
      <w:pPr>
        <w:pStyle w:val="BodyText"/>
        <w:spacing w:before="18"/>
        <w:rPr>
          <w:b/>
        </w:rPr>
      </w:pPr>
    </w:p>
    <w:p w:rsidR="00487D64" w:rsidRDefault="006F0D93">
      <w:pPr>
        <w:pStyle w:val="BodyText"/>
        <w:tabs>
          <w:tab w:val="left" w:pos="2188"/>
          <w:tab w:val="left" w:pos="2598"/>
          <w:tab w:val="left" w:pos="3023"/>
          <w:tab w:val="left" w:pos="4094"/>
          <w:tab w:val="left" w:pos="4986"/>
          <w:tab w:val="left" w:leader="dot" w:pos="9394"/>
        </w:tabs>
        <w:spacing w:line="496" w:lineRule="auto"/>
        <w:ind w:left="1419" w:right="851"/>
      </w:pPr>
      <w:r>
        <w:rPr>
          <w:spacing w:val="-2"/>
          <w:w w:val="105"/>
        </w:rPr>
        <w:t>Table</w:t>
      </w:r>
      <w:r>
        <w:tab/>
      </w:r>
      <w:r>
        <w:rPr>
          <w:spacing w:val="-6"/>
          <w:w w:val="105"/>
        </w:rPr>
        <w:t>2.</w:t>
      </w:r>
      <w:r>
        <w:tab/>
      </w:r>
      <w:r>
        <w:rPr>
          <w:spacing w:val="-6"/>
          <w:w w:val="105"/>
        </w:rPr>
        <w:t>1:</w:t>
      </w:r>
      <w:r>
        <w:tab/>
      </w:r>
      <w:r>
        <w:rPr>
          <w:spacing w:val="-2"/>
          <w:w w:val="105"/>
        </w:rPr>
        <w:t>Previous</w:t>
      </w:r>
      <w:r>
        <w:tab/>
      </w:r>
      <w:r>
        <w:rPr>
          <w:spacing w:val="-2"/>
          <w:w w:val="105"/>
        </w:rPr>
        <w:t>studies</w:t>
      </w:r>
      <w:r>
        <w:tab/>
      </w:r>
      <w:r>
        <w:rPr>
          <w:w w:val="105"/>
        </w:rPr>
        <w:t>on</w:t>
      </w:r>
      <w:r>
        <w:rPr>
          <w:spacing w:val="80"/>
          <w:w w:val="150"/>
        </w:rPr>
        <w:t xml:space="preserve"> </w:t>
      </w:r>
      <w:r>
        <w:rPr>
          <w:w w:val="105"/>
        </w:rPr>
        <w:t>Customer</w:t>
      </w:r>
      <w:r>
        <w:rPr>
          <w:spacing w:val="80"/>
          <w:w w:val="150"/>
        </w:rPr>
        <w:t xml:space="preserve"> </w:t>
      </w:r>
      <w:r>
        <w:rPr>
          <w:w w:val="105"/>
        </w:rPr>
        <w:t>Orientation</w:t>
      </w:r>
      <w:r>
        <w:rPr>
          <w:spacing w:val="80"/>
          <w:w w:val="150"/>
        </w:rPr>
        <w:t xml:space="preserve"> </w:t>
      </w:r>
      <w:r>
        <w:rPr>
          <w:w w:val="105"/>
        </w:rPr>
        <w:t>and</w:t>
      </w:r>
      <w:r>
        <w:rPr>
          <w:spacing w:val="80"/>
          <w:w w:val="150"/>
        </w:rPr>
        <w:t xml:space="preserve"> </w:t>
      </w:r>
      <w:r>
        <w:rPr>
          <w:w w:val="105"/>
        </w:rPr>
        <w:t xml:space="preserve">Sustainable </w:t>
      </w:r>
      <w:r>
        <w:t>Competitiveness</w:t>
      </w:r>
      <w:r>
        <w:rPr>
          <w:spacing w:val="25"/>
        </w:rPr>
        <w:t xml:space="preserve"> </w:t>
      </w:r>
      <w:r>
        <w:t>in</w:t>
      </w:r>
      <w:r>
        <w:rPr>
          <w:spacing w:val="31"/>
        </w:rPr>
        <w:t xml:space="preserve"> </w:t>
      </w:r>
      <w:r>
        <w:t>Public</w:t>
      </w:r>
      <w:r>
        <w:rPr>
          <w:spacing w:val="30"/>
        </w:rPr>
        <w:t xml:space="preserve"> </w:t>
      </w:r>
      <w:r>
        <w:rPr>
          <w:spacing w:val="-2"/>
        </w:rPr>
        <w:t>Procurement</w:t>
      </w:r>
      <w:r>
        <w:tab/>
      </w:r>
      <w:r>
        <w:rPr>
          <w:spacing w:val="-5"/>
        </w:rPr>
        <w:t>23</w:t>
      </w:r>
    </w:p>
    <w:p w:rsidR="00487D64" w:rsidRDefault="006F0D93">
      <w:pPr>
        <w:pStyle w:val="BodyText"/>
        <w:tabs>
          <w:tab w:val="left" w:pos="2167"/>
          <w:tab w:val="left" w:pos="2555"/>
          <w:tab w:val="left" w:pos="2951"/>
          <w:tab w:val="left" w:pos="4001"/>
          <w:tab w:val="left" w:pos="4914"/>
          <w:tab w:val="left" w:leader="dot" w:pos="9394"/>
        </w:tabs>
        <w:spacing w:before="8" w:line="504" w:lineRule="auto"/>
        <w:ind w:left="1419" w:right="851"/>
      </w:pPr>
      <w:r>
        <w:rPr>
          <w:spacing w:val="-2"/>
          <w:w w:val="105"/>
        </w:rPr>
        <w:t>Table</w:t>
      </w:r>
      <w:r>
        <w:tab/>
      </w:r>
      <w:r>
        <w:rPr>
          <w:spacing w:val="-6"/>
          <w:w w:val="105"/>
        </w:rPr>
        <w:t>2.</w:t>
      </w:r>
      <w:r>
        <w:tab/>
      </w:r>
      <w:r>
        <w:rPr>
          <w:spacing w:val="-6"/>
          <w:w w:val="105"/>
        </w:rPr>
        <w:t>2:</w:t>
      </w:r>
      <w:r>
        <w:tab/>
      </w:r>
      <w:r>
        <w:rPr>
          <w:spacing w:val="-2"/>
          <w:w w:val="105"/>
        </w:rPr>
        <w:t>Previous</w:t>
      </w:r>
      <w:r>
        <w:tab/>
      </w:r>
      <w:r>
        <w:rPr>
          <w:spacing w:val="-2"/>
          <w:w w:val="105"/>
        </w:rPr>
        <w:t>Studies</w:t>
      </w:r>
      <w:r>
        <w:tab/>
      </w:r>
      <w:r>
        <w:rPr>
          <w:w w:val="105"/>
        </w:rPr>
        <w:t>on</w:t>
      </w:r>
      <w:r>
        <w:rPr>
          <w:spacing w:val="80"/>
          <w:w w:val="105"/>
        </w:rPr>
        <w:t xml:space="preserve"> </w:t>
      </w:r>
      <w:r>
        <w:rPr>
          <w:w w:val="105"/>
        </w:rPr>
        <w:t>Competitor</w:t>
      </w:r>
      <w:r>
        <w:rPr>
          <w:spacing w:val="80"/>
          <w:w w:val="105"/>
        </w:rPr>
        <w:t xml:space="preserve"> </w:t>
      </w:r>
      <w:r>
        <w:rPr>
          <w:w w:val="105"/>
        </w:rPr>
        <w:t>Orientation</w:t>
      </w:r>
      <w:r>
        <w:rPr>
          <w:spacing w:val="80"/>
          <w:w w:val="105"/>
        </w:rPr>
        <w:t xml:space="preserve"> </w:t>
      </w:r>
      <w:r>
        <w:rPr>
          <w:w w:val="105"/>
        </w:rPr>
        <w:t>and</w:t>
      </w:r>
      <w:r>
        <w:rPr>
          <w:spacing w:val="80"/>
          <w:w w:val="105"/>
        </w:rPr>
        <w:t xml:space="preserve"> </w:t>
      </w:r>
      <w:r>
        <w:rPr>
          <w:w w:val="105"/>
        </w:rPr>
        <w:t>Sustainable</w:t>
      </w:r>
      <w:r>
        <w:rPr>
          <w:spacing w:val="40"/>
          <w:w w:val="105"/>
        </w:rPr>
        <w:t xml:space="preserve"> </w:t>
      </w:r>
      <w:r>
        <w:t>Competitiveness</w:t>
      </w:r>
      <w:r>
        <w:rPr>
          <w:spacing w:val="24"/>
        </w:rPr>
        <w:t xml:space="preserve"> </w:t>
      </w:r>
      <w:r>
        <w:t>in</w:t>
      </w:r>
      <w:r>
        <w:rPr>
          <w:spacing w:val="30"/>
        </w:rPr>
        <w:t xml:space="preserve"> </w:t>
      </w:r>
      <w:r>
        <w:t>Public</w:t>
      </w:r>
      <w:r>
        <w:rPr>
          <w:spacing w:val="28"/>
        </w:rPr>
        <w:t xml:space="preserve"> </w:t>
      </w:r>
      <w:r>
        <w:rPr>
          <w:spacing w:val="-2"/>
        </w:rPr>
        <w:t>Procurement</w:t>
      </w:r>
      <w:r>
        <w:tab/>
      </w:r>
      <w:r>
        <w:rPr>
          <w:spacing w:val="-5"/>
        </w:rPr>
        <w:t>27</w:t>
      </w:r>
    </w:p>
    <w:p w:rsidR="00487D64" w:rsidRDefault="006F0D93">
      <w:pPr>
        <w:pStyle w:val="BodyText"/>
        <w:tabs>
          <w:tab w:val="left" w:pos="3036"/>
          <w:tab w:val="left" w:leader="dot" w:pos="9394"/>
        </w:tabs>
        <w:spacing w:line="504" w:lineRule="auto"/>
        <w:ind w:left="1419" w:right="851"/>
      </w:pPr>
      <w:r>
        <w:rPr>
          <w:w w:val="105"/>
        </w:rPr>
        <w:t>Table</w:t>
      </w:r>
      <w:r>
        <w:rPr>
          <w:spacing w:val="80"/>
          <w:w w:val="105"/>
        </w:rPr>
        <w:t xml:space="preserve"> </w:t>
      </w:r>
      <w:r>
        <w:rPr>
          <w:w w:val="105"/>
        </w:rPr>
        <w:t>2.</w:t>
      </w:r>
      <w:r>
        <w:rPr>
          <w:spacing w:val="80"/>
          <w:w w:val="105"/>
        </w:rPr>
        <w:t xml:space="preserve"> </w:t>
      </w:r>
      <w:r>
        <w:rPr>
          <w:w w:val="105"/>
        </w:rPr>
        <w:t>3:</w:t>
      </w:r>
      <w:r>
        <w:tab/>
      </w:r>
      <w:r>
        <w:rPr>
          <w:w w:val="105"/>
        </w:rPr>
        <w:t>Previous</w:t>
      </w:r>
      <w:r>
        <w:rPr>
          <w:spacing w:val="80"/>
          <w:w w:val="105"/>
        </w:rPr>
        <w:t xml:space="preserve"> </w:t>
      </w:r>
      <w:r>
        <w:rPr>
          <w:w w:val="105"/>
        </w:rPr>
        <w:t>Studies</w:t>
      </w:r>
      <w:r>
        <w:rPr>
          <w:spacing w:val="80"/>
          <w:w w:val="105"/>
        </w:rPr>
        <w:t xml:space="preserve"> </w:t>
      </w:r>
      <w:r>
        <w:rPr>
          <w:w w:val="105"/>
        </w:rPr>
        <w:t>on</w:t>
      </w:r>
      <w:r>
        <w:rPr>
          <w:spacing w:val="80"/>
          <w:w w:val="105"/>
        </w:rPr>
        <w:t xml:space="preserve"> </w:t>
      </w:r>
      <w:r>
        <w:rPr>
          <w:w w:val="105"/>
        </w:rPr>
        <w:t>Functional</w:t>
      </w:r>
      <w:r>
        <w:rPr>
          <w:spacing w:val="80"/>
          <w:w w:val="105"/>
        </w:rPr>
        <w:t xml:space="preserve"> </w:t>
      </w:r>
      <w:r>
        <w:rPr>
          <w:w w:val="105"/>
        </w:rPr>
        <w:t>Coordination</w:t>
      </w:r>
      <w:r>
        <w:rPr>
          <w:spacing w:val="80"/>
          <w:w w:val="105"/>
        </w:rPr>
        <w:t xml:space="preserve"> </w:t>
      </w:r>
      <w:r>
        <w:rPr>
          <w:w w:val="105"/>
        </w:rPr>
        <w:t>and</w:t>
      </w:r>
      <w:r>
        <w:rPr>
          <w:spacing w:val="80"/>
          <w:w w:val="105"/>
        </w:rPr>
        <w:t xml:space="preserve"> </w:t>
      </w:r>
      <w:r>
        <w:rPr>
          <w:w w:val="105"/>
        </w:rPr>
        <w:t xml:space="preserve">Sustainable </w:t>
      </w:r>
      <w:r>
        <w:t>Competitiveness</w:t>
      </w:r>
      <w:r>
        <w:rPr>
          <w:spacing w:val="24"/>
        </w:rPr>
        <w:t xml:space="preserve"> </w:t>
      </w:r>
      <w:r>
        <w:t>in</w:t>
      </w:r>
      <w:r>
        <w:rPr>
          <w:spacing w:val="30"/>
        </w:rPr>
        <w:t xml:space="preserve"> </w:t>
      </w:r>
      <w:r>
        <w:t>Public</w:t>
      </w:r>
      <w:r>
        <w:rPr>
          <w:spacing w:val="28"/>
        </w:rPr>
        <w:t xml:space="preserve"> </w:t>
      </w:r>
      <w:r>
        <w:rPr>
          <w:spacing w:val="-2"/>
        </w:rPr>
        <w:t>Procurement</w:t>
      </w:r>
      <w:r>
        <w:tab/>
      </w:r>
      <w:r>
        <w:rPr>
          <w:spacing w:val="-5"/>
        </w:rPr>
        <w:t>32</w:t>
      </w:r>
    </w:p>
    <w:p w:rsidR="00487D64" w:rsidRDefault="006F0D93">
      <w:pPr>
        <w:pStyle w:val="BodyText"/>
        <w:spacing w:line="496" w:lineRule="auto"/>
        <w:ind w:left="1419" w:right="851"/>
      </w:pPr>
      <w:r>
        <w:rPr>
          <w:w w:val="105"/>
        </w:rPr>
        <w:t>Table</w:t>
      </w:r>
      <w:r>
        <w:rPr>
          <w:spacing w:val="80"/>
          <w:w w:val="150"/>
        </w:rPr>
        <w:t xml:space="preserve"> </w:t>
      </w:r>
      <w:r>
        <w:rPr>
          <w:w w:val="105"/>
        </w:rPr>
        <w:t>2.</w:t>
      </w:r>
      <w:r>
        <w:rPr>
          <w:spacing w:val="80"/>
          <w:w w:val="150"/>
        </w:rPr>
        <w:t xml:space="preserve"> </w:t>
      </w:r>
      <w:r>
        <w:rPr>
          <w:w w:val="105"/>
        </w:rPr>
        <w:t>4:</w:t>
      </w:r>
      <w:r>
        <w:rPr>
          <w:spacing w:val="80"/>
          <w:w w:val="150"/>
        </w:rPr>
        <w:t xml:space="preserve"> </w:t>
      </w:r>
      <w:r>
        <w:rPr>
          <w:w w:val="105"/>
        </w:rPr>
        <w:t>Previous</w:t>
      </w:r>
      <w:r>
        <w:rPr>
          <w:spacing w:val="80"/>
          <w:w w:val="150"/>
        </w:rPr>
        <w:t xml:space="preserve"> </w:t>
      </w:r>
      <w:r>
        <w:rPr>
          <w:w w:val="105"/>
        </w:rPr>
        <w:t>Studies</w:t>
      </w:r>
      <w:r>
        <w:rPr>
          <w:spacing w:val="80"/>
          <w:w w:val="150"/>
        </w:rPr>
        <w:t xml:space="preserve"> </w:t>
      </w:r>
      <w:r>
        <w:rPr>
          <w:w w:val="105"/>
        </w:rPr>
        <w:t>on</w:t>
      </w:r>
      <w:r>
        <w:rPr>
          <w:spacing w:val="80"/>
          <w:w w:val="150"/>
        </w:rPr>
        <w:t xml:space="preserve"> </w:t>
      </w:r>
      <w:r>
        <w:rPr>
          <w:w w:val="105"/>
        </w:rPr>
        <w:t>Strategic</w:t>
      </w:r>
      <w:r>
        <w:rPr>
          <w:spacing w:val="80"/>
          <w:w w:val="150"/>
        </w:rPr>
        <w:t xml:space="preserve"> </w:t>
      </w:r>
      <w:r>
        <w:rPr>
          <w:w w:val="105"/>
        </w:rPr>
        <w:t>Flexibility</w:t>
      </w:r>
      <w:r>
        <w:rPr>
          <w:spacing w:val="80"/>
          <w:w w:val="150"/>
        </w:rPr>
        <w:t xml:space="preserve"> </w:t>
      </w:r>
      <w:r>
        <w:rPr>
          <w:w w:val="105"/>
        </w:rPr>
        <w:t>Moderation</w:t>
      </w:r>
      <w:r>
        <w:rPr>
          <w:spacing w:val="80"/>
          <w:w w:val="150"/>
        </w:rPr>
        <w:t xml:space="preserve"> </w:t>
      </w:r>
      <w:r>
        <w:rPr>
          <w:w w:val="105"/>
        </w:rPr>
        <w:t>and</w:t>
      </w:r>
      <w:r>
        <w:rPr>
          <w:spacing w:val="80"/>
          <w:w w:val="150"/>
        </w:rPr>
        <w:t xml:space="preserve"> </w:t>
      </w:r>
      <w:r>
        <w:rPr>
          <w:w w:val="105"/>
        </w:rPr>
        <w:t>the Relationship</w:t>
      </w:r>
      <w:r>
        <w:rPr>
          <w:spacing w:val="16"/>
          <w:w w:val="105"/>
        </w:rPr>
        <w:t xml:space="preserve"> </w:t>
      </w:r>
      <w:r>
        <w:rPr>
          <w:w w:val="105"/>
        </w:rPr>
        <w:t>between</w:t>
      </w:r>
      <w:r>
        <w:rPr>
          <w:spacing w:val="11"/>
          <w:w w:val="105"/>
        </w:rPr>
        <w:t xml:space="preserve"> </w:t>
      </w:r>
      <w:r>
        <w:rPr>
          <w:w w:val="105"/>
        </w:rPr>
        <w:t>MO</w:t>
      </w:r>
      <w:r>
        <w:rPr>
          <w:spacing w:val="14"/>
          <w:w w:val="105"/>
        </w:rPr>
        <w:t xml:space="preserve"> </w:t>
      </w:r>
      <w:r>
        <w:rPr>
          <w:w w:val="105"/>
        </w:rPr>
        <w:t>and</w:t>
      </w:r>
      <w:r>
        <w:rPr>
          <w:spacing w:val="11"/>
          <w:w w:val="105"/>
        </w:rPr>
        <w:t xml:space="preserve"> </w:t>
      </w:r>
      <w:r>
        <w:rPr>
          <w:w w:val="105"/>
        </w:rPr>
        <w:t>Sustainable</w:t>
      </w:r>
      <w:r>
        <w:rPr>
          <w:spacing w:val="4"/>
          <w:w w:val="105"/>
        </w:rPr>
        <w:t xml:space="preserve"> </w:t>
      </w:r>
      <w:r>
        <w:rPr>
          <w:w w:val="105"/>
        </w:rPr>
        <w:t>Competitiveness</w:t>
      </w:r>
      <w:r>
        <w:rPr>
          <w:spacing w:val="8"/>
          <w:w w:val="105"/>
        </w:rPr>
        <w:t xml:space="preserve"> </w:t>
      </w:r>
      <w:r>
        <w:rPr>
          <w:w w:val="105"/>
        </w:rPr>
        <w:t>in</w:t>
      </w:r>
      <w:r>
        <w:rPr>
          <w:spacing w:val="11"/>
          <w:w w:val="105"/>
        </w:rPr>
        <w:t xml:space="preserve"> </w:t>
      </w:r>
      <w:r>
        <w:rPr>
          <w:w w:val="105"/>
        </w:rPr>
        <w:t>Public</w:t>
      </w:r>
      <w:r>
        <w:rPr>
          <w:spacing w:val="59"/>
          <w:w w:val="150"/>
        </w:rPr>
        <w:t xml:space="preserve"> </w:t>
      </w:r>
      <w:r>
        <w:rPr>
          <w:spacing w:val="-2"/>
          <w:w w:val="105"/>
        </w:rPr>
        <w:t>Procurement</w:t>
      </w:r>
    </w:p>
    <w:p w:rsidR="00487D64" w:rsidRDefault="006F0D93">
      <w:pPr>
        <w:pStyle w:val="BodyText"/>
        <w:tabs>
          <w:tab w:val="left" w:leader="dot" w:pos="9394"/>
        </w:tabs>
        <w:ind w:left="1455"/>
      </w:pPr>
      <w:r>
        <w:rPr>
          <w:spacing w:val="-10"/>
          <w:w w:val="105"/>
        </w:rPr>
        <w:t>.</w:t>
      </w:r>
      <w:r>
        <w:tab/>
      </w:r>
      <w:r>
        <w:rPr>
          <w:spacing w:val="-5"/>
          <w:w w:val="105"/>
        </w:rPr>
        <w:t>41</w:t>
      </w:r>
    </w:p>
    <w:p w:rsidR="00487D64" w:rsidRDefault="00487D64">
      <w:pPr>
        <w:pStyle w:val="BodyText"/>
        <w:spacing w:before="22"/>
      </w:pPr>
    </w:p>
    <w:p w:rsidR="00487D64" w:rsidRDefault="006F0D93">
      <w:pPr>
        <w:pStyle w:val="BodyText"/>
        <w:tabs>
          <w:tab w:val="left" w:leader="dot" w:pos="9394"/>
        </w:tabs>
        <w:ind w:left="1419"/>
      </w:pPr>
      <w:r>
        <w:rPr>
          <w:w w:val="105"/>
        </w:rPr>
        <w:t>Table</w:t>
      </w:r>
      <w:r>
        <w:rPr>
          <w:spacing w:val="-14"/>
          <w:w w:val="105"/>
        </w:rPr>
        <w:t xml:space="preserve"> </w:t>
      </w:r>
      <w:r>
        <w:rPr>
          <w:w w:val="105"/>
        </w:rPr>
        <w:t>3.</w:t>
      </w:r>
      <w:r>
        <w:rPr>
          <w:spacing w:val="-4"/>
          <w:w w:val="105"/>
        </w:rPr>
        <w:t xml:space="preserve"> </w:t>
      </w:r>
      <w:r>
        <w:rPr>
          <w:w w:val="105"/>
        </w:rPr>
        <w:t>1:</w:t>
      </w:r>
      <w:r>
        <w:rPr>
          <w:spacing w:val="47"/>
          <w:w w:val="105"/>
        </w:rPr>
        <w:t xml:space="preserve"> </w:t>
      </w:r>
      <w:r>
        <w:rPr>
          <w:w w:val="105"/>
        </w:rPr>
        <w:t>Variables,</w:t>
      </w:r>
      <w:r>
        <w:rPr>
          <w:spacing w:val="-4"/>
          <w:w w:val="105"/>
        </w:rPr>
        <w:t xml:space="preserve"> </w:t>
      </w:r>
      <w:r>
        <w:rPr>
          <w:w w:val="105"/>
        </w:rPr>
        <w:t>Indicators</w:t>
      </w:r>
      <w:r>
        <w:rPr>
          <w:spacing w:val="-14"/>
          <w:w w:val="105"/>
        </w:rPr>
        <w:t xml:space="preserve"> </w:t>
      </w:r>
      <w:r>
        <w:rPr>
          <w:w w:val="105"/>
        </w:rPr>
        <w:t>and</w:t>
      </w:r>
      <w:r>
        <w:rPr>
          <w:spacing w:val="-6"/>
          <w:w w:val="105"/>
        </w:rPr>
        <w:t xml:space="preserve"> </w:t>
      </w:r>
      <w:r>
        <w:rPr>
          <w:w w:val="105"/>
        </w:rPr>
        <w:t>Level</w:t>
      </w:r>
      <w:r>
        <w:rPr>
          <w:spacing w:val="-4"/>
          <w:w w:val="105"/>
        </w:rPr>
        <w:t xml:space="preserve"> </w:t>
      </w:r>
      <w:r>
        <w:rPr>
          <w:w w:val="105"/>
        </w:rPr>
        <w:t>of</w:t>
      </w:r>
      <w:r>
        <w:rPr>
          <w:spacing w:val="-9"/>
          <w:w w:val="105"/>
        </w:rPr>
        <w:t xml:space="preserve"> </w:t>
      </w:r>
      <w:r>
        <w:rPr>
          <w:spacing w:val="-2"/>
          <w:w w:val="105"/>
        </w:rPr>
        <w:t>Measurement</w:t>
      </w:r>
      <w:r>
        <w:tab/>
      </w:r>
      <w:r>
        <w:rPr>
          <w:spacing w:val="-5"/>
          <w:w w:val="105"/>
        </w:rPr>
        <w:t>55</w:t>
      </w:r>
    </w:p>
    <w:p w:rsidR="00487D64" w:rsidRDefault="00487D64">
      <w:pPr>
        <w:pStyle w:val="BodyText"/>
        <w:spacing w:before="18"/>
      </w:pPr>
    </w:p>
    <w:p w:rsidR="00487D64" w:rsidRDefault="006F0D93">
      <w:pPr>
        <w:pStyle w:val="BodyText"/>
        <w:tabs>
          <w:tab w:val="left" w:leader="dot" w:pos="9394"/>
        </w:tabs>
        <w:spacing w:before="1"/>
        <w:ind w:left="1419"/>
      </w:pPr>
      <w:r>
        <w:rPr>
          <w:w w:val="105"/>
        </w:rPr>
        <w:t>Table</w:t>
      </w:r>
      <w:r>
        <w:rPr>
          <w:spacing w:val="-13"/>
          <w:w w:val="105"/>
        </w:rPr>
        <w:t xml:space="preserve"> </w:t>
      </w:r>
      <w:r>
        <w:rPr>
          <w:w w:val="105"/>
        </w:rPr>
        <w:t>3.</w:t>
      </w:r>
      <w:r>
        <w:rPr>
          <w:spacing w:val="-3"/>
          <w:w w:val="105"/>
        </w:rPr>
        <w:t xml:space="preserve"> </w:t>
      </w:r>
      <w:r>
        <w:rPr>
          <w:w w:val="105"/>
        </w:rPr>
        <w:t>2:</w:t>
      </w:r>
      <w:r>
        <w:rPr>
          <w:spacing w:val="-9"/>
          <w:w w:val="105"/>
        </w:rPr>
        <w:t xml:space="preserve"> </w:t>
      </w:r>
      <w:r>
        <w:rPr>
          <w:w w:val="105"/>
        </w:rPr>
        <w:t>Residual</w:t>
      </w:r>
      <w:r>
        <w:rPr>
          <w:spacing w:val="-10"/>
          <w:w w:val="105"/>
        </w:rPr>
        <w:t xml:space="preserve"> </w:t>
      </w:r>
      <w:r>
        <w:rPr>
          <w:spacing w:val="-2"/>
          <w:w w:val="105"/>
        </w:rPr>
        <w:t>Statistics</w:t>
      </w:r>
      <w:r>
        <w:tab/>
      </w:r>
      <w:r>
        <w:rPr>
          <w:spacing w:val="-5"/>
          <w:w w:val="105"/>
        </w:rPr>
        <w:t>60</w:t>
      </w:r>
    </w:p>
    <w:p w:rsidR="00487D64" w:rsidRDefault="00487D64">
      <w:pPr>
        <w:pStyle w:val="BodyText"/>
        <w:spacing w:before="25"/>
      </w:pPr>
    </w:p>
    <w:p w:rsidR="00487D64" w:rsidRDefault="006F0D93">
      <w:pPr>
        <w:pStyle w:val="BodyText"/>
        <w:tabs>
          <w:tab w:val="left" w:leader="dot" w:pos="9394"/>
        </w:tabs>
        <w:ind w:left="1419"/>
      </w:pPr>
      <w:r>
        <w:rPr>
          <w:w w:val="105"/>
        </w:rPr>
        <w:t>Table</w:t>
      </w:r>
      <w:r>
        <w:rPr>
          <w:spacing w:val="-16"/>
          <w:w w:val="105"/>
        </w:rPr>
        <w:t xml:space="preserve"> </w:t>
      </w:r>
      <w:r>
        <w:rPr>
          <w:w w:val="105"/>
        </w:rPr>
        <w:t>3.</w:t>
      </w:r>
      <w:r>
        <w:rPr>
          <w:spacing w:val="-8"/>
          <w:w w:val="105"/>
        </w:rPr>
        <w:t xml:space="preserve"> </w:t>
      </w:r>
      <w:r>
        <w:rPr>
          <w:w w:val="105"/>
        </w:rPr>
        <w:t>3:</w:t>
      </w:r>
      <w:r>
        <w:rPr>
          <w:spacing w:val="-13"/>
          <w:w w:val="105"/>
        </w:rPr>
        <w:t xml:space="preserve"> </w:t>
      </w:r>
      <w:r>
        <w:rPr>
          <w:w w:val="105"/>
        </w:rPr>
        <w:t>Strategic</w:t>
      </w:r>
      <w:r>
        <w:rPr>
          <w:spacing w:val="-10"/>
          <w:w w:val="105"/>
        </w:rPr>
        <w:t xml:space="preserve"> </w:t>
      </w:r>
      <w:r>
        <w:rPr>
          <w:w w:val="105"/>
        </w:rPr>
        <w:t>Flexibility</w:t>
      </w:r>
      <w:r>
        <w:rPr>
          <w:spacing w:val="-10"/>
          <w:w w:val="105"/>
        </w:rPr>
        <w:t xml:space="preserve"> </w:t>
      </w:r>
      <w:r>
        <w:rPr>
          <w:w w:val="105"/>
        </w:rPr>
        <w:t>(SF)</w:t>
      </w:r>
      <w:r>
        <w:rPr>
          <w:spacing w:val="-6"/>
          <w:w w:val="105"/>
        </w:rPr>
        <w:t xml:space="preserve"> </w:t>
      </w:r>
      <w:r>
        <w:rPr>
          <w:w w:val="105"/>
        </w:rPr>
        <w:t>Parameters</w:t>
      </w:r>
      <w:r>
        <w:rPr>
          <w:spacing w:val="-11"/>
          <w:w w:val="105"/>
        </w:rPr>
        <w:t xml:space="preserve"> </w:t>
      </w:r>
      <w:r>
        <w:rPr>
          <w:spacing w:val="-2"/>
          <w:w w:val="105"/>
        </w:rPr>
        <w:t>Parceling</w:t>
      </w:r>
      <w:r>
        <w:tab/>
      </w:r>
      <w:r>
        <w:rPr>
          <w:spacing w:val="-5"/>
          <w:w w:val="105"/>
        </w:rPr>
        <w:t>66</w:t>
      </w:r>
    </w:p>
    <w:p w:rsidR="00487D64" w:rsidRDefault="00487D64">
      <w:pPr>
        <w:pStyle w:val="BodyText"/>
        <w:spacing w:before="26"/>
      </w:pPr>
    </w:p>
    <w:p w:rsidR="00487D64" w:rsidRDefault="006F0D93">
      <w:pPr>
        <w:pStyle w:val="BodyText"/>
        <w:tabs>
          <w:tab w:val="left" w:leader="dot" w:pos="9394"/>
        </w:tabs>
        <w:ind w:left="1419"/>
      </w:pPr>
      <w:r>
        <w:rPr>
          <w:w w:val="105"/>
        </w:rPr>
        <w:t>Table</w:t>
      </w:r>
      <w:r>
        <w:rPr>
          <w:spacing w:val="-15"/>
          <w:w w:val="105"/>
        </w:rPr>
        <w:t xml:space="preserve"> </w:t>
      </w:r>
      <w:r>
        <w:rPr>
          <w:w w:val="105"/>
        </w:rPr>
        <w:t>3.</w:t>
      </w:r>
      <w:r>
        <w:rPr>
          <w:spacing w:val="-6"/>
          <w:w w:val="105"/>
        </w:rPr>
        <w:t xml:space="preserve"> </w:t>
      </w:r>
      <w:r>
        <w:rPr>
          <w:w w:val="105"/>
        </w:rPr>
        <w:t>4:</w:t>
      </w:r>
      <w:r>
        <w:rPr>
          <w:spacing w:val="-12"/>
          <w:w w:val="105"/>
        </w:rPr>
        <w:t xml:space="preserve"> </w:t>
      </w:r>
      <w:r>
        <w:rPr>
          <w:w w:val="105"/>
        </w:rPr>
        <w:t>The</w:t>
      </w:r>
      <w:r>
        <w:rPr>
          <w:spacing w:val="-8"/>
          <w:w w:val="105"/>
        </w:rPr>
        <w:t xml:space="preserve"> </w:t>
      </w:r>
      <w:r>
        <w:rPr>
          <w:w w:val="105"/>
        </w:rPr>
        <w:t>Assessment</w:t>
      </w:r>
      <w:r>
        <w:rPr>
          <w:spacing w:val="-6"/>
          <w:w w:val="105"/>
        </w:rPr>
        <w:t xml:space="preserve"> </w:t>
      </w:r>
      <w:r>
        <w:rPr>
          <w:w w:val="105"/>
        </w:rPr>
        <w:t>of</w:t>
      </w:r>
      <w:r>
        <w:rPr>
          <w:spacing w:val="-10"/>
          <w:w w:val="105"/>
        </w:rPr>
        <w:t xml:space="preserve"> </w:t>
      </w:r>
      <w:r>
        <w:rPr>
          <w:w w:val="105"/>
        </w:rPr>
        <w:t>the</w:t>
      </w:r>
      <w:r>
        <w:rPr>
          <w:spacing w:val="-8"/>
          <w:w w:val="105"/>
        </w:rPr>
        <w:t xml:space="preserve"> </w:t>
      </w:r>
      <w:r>
        <w:rPr>
          <w:w w:val="105"/>
        </w:rPr>
        <w:t>Measurement</w:t>
      </w:r>
      <w:r>
        <w:rPr>
          <w:spacing w:val="-6"/>
          <w:w w:val="105"/>
        </w:rPr>
        <w:t xml:space="preserve"> </w:t>
      </w:r>
      <w:r>
        <w:rPr>
          <w:w w:val="105"/>
        </w:rPr>
        <w:t>Model</w:t>
      </w:r>
      <w:r>
        <w:rPr>
          <w:spacing w:val="-12"/>
          <w:w w:val="105"/>
        </w:rPr>
        <w:t xml:space="preserve"> </w:t>
      </w:r>
      <w:r>
        <w:rPr>
          <w:w w:val="105"/>
        </w:rPr>
        <w:t>(Outer</w:t>
      </w:r>
      <w:r>
        <w:rPr>
          <w:spacing w:val="-4"/>
          <w:w w:val="105"/>
        </w:rPr>
        <w:t xml:space="preserve"> </w:t>
      </w:r>
      <w:r>
        <w:rPr>
          <w:spacing w:val="-2"/>
          <w:w w:val="105"/>
        </w:rPr>
        <w:t>Model)</w:t>
      </w:r>
      <w:r>
        <w:tab/>
      </w:r>
      <w:r>
        <w:rPr>
          <w:spacing w:val="-5"/>
          <w:w w:val="105"/>
        </w:rPr>
        <w:t>69</w:t>
      </w:r>
    </w:p>
    <w:p w:rsidR="00487D64" w:rsidRDefault="00487D64">
      <w:pPr>
        <w:pStyle w:val="BodyText"/>
        <w:spacing w:before="18"/>
      </w:pPr>
    </w:p>
    <w:p w:rsidR="00487D64" w:rsidRDefault="006F0D93">
      <w:pPr>
        <w:pStyle w:val="BodyText"/>
        <w:tabs>
          <w:tab w:val="left" w:leader="dot" w:pos="9394"/>
        </w:tabs>
        <w:ind w:left="1419"/>
      </w:pPr>
      <w:r>
        <w:rPr>
          <w:w w:val="105"/>
        </w:rPr>
        <w:t>Table</w:t>
      </w:r>
      <w:r>
        <w:rPr>
          <w:spacing w:val="-14"/>
          <w:w w:val="105"/>
        </w:rPr>
        <w:t xml:space="preserve"> </w:t>
      </w:r>
      <w:r>
        <w:rPr>
          <w:w w:val="105"/>
        </w:rPr>
        <w:t>3.</w:t>
      </w:r>
      <w:r>
        <w:rPr>
          <w:spacing w:val="-5"/>
          <w:w w:val="105"/>
        </w:rPr>
        <w:t xml:space="preserve"> </w:t>
      </w:r>
      <w:r>
        <w:rPr>
          <w:w w:val="105"/>
        </w:rPr>
        <w:t>5:</w:t>
      </w:r>
      <w:r>
        <w:rPr>
          <w:spacing w:val="-11"/>
          <w:w w:val="105"/>
        </w:rPr>
        <w:t xml:space="preserve"> </w:t>
      </w:r>
      <w:r>
        <w:rPr>
          <w:w w:val="105"/>
        </w:rPr>
        <w:t>Structural</w:t>
      </w:r>
      <w:r>
        <w:rPr>
          <w:spacing w:val="-5"/>
          <w:w w:val="105"/>
        </w:rPr>
        <w:t xml:space="preserve"> </w:t>
      </w:r>
      <w:r>
        <w:rPr>
          <w:w w:val="105"/>
        </w:rPr>
        <w:t>Model</w:t>
      </w:r>
      <w:r>
        <w:rPr>
          <w:spacing w:val="-5"/>
          <w:w w:val="105"/>
        </w:rPr>
        <w:t xml:space="preserve"> </w:t>
      </w:r>
      <w:r>
        <w:rPr>
          <w:spacing w:val="-2"/>
          <w:w w:val="105"/>
        </w:rPr>
        <w:t>Assessment</w:t>
      </w:r>
      <w:r>
        <w:tab/>
      </w:r>
      <w:r>
        <w:rPr>
          <w:spacing w:val="-5"/>
          <w:w w:val="105"/>
        </w:rPr>
        <w:t>73</w:t>
      </w:r>
    </w:p>
    <w:p w:rsidR="00487D64" w:rsidRDefault="00487D64">
      <w:pPr>
        <w:pStyle w:val="BodyText"/>
        <w:spacing w:before="26"/>
      </w:pPr>
    </w:p>
    <w:p w:rsidR="00487D64" w:rsidRDefault="006F0D93">
      <w:pPr>
        <w:pStyle w:val="BodyText"/>
        <w:tabs>
          <w:tab w:val="left" w:leader="dot" w:pos="9394"/>
        </w:tabs>
        <w:ind w:left="1419"/>
      </w:pPr>
      <w:r>
        <w:rPr>
          <w:w w:val="105"/>
        </w:rPr>
        <w:t>Table</w:t>
      </w:r>
      <w:r>
        <w:rPr>
          <w:spacing w:val="-15"/>
          <w:w w:val="105"/>
        </w:rPr>
        <w:t xml:space="preserve"> </w:t>
      </w:r>
      <w:r>
        <w:rPr>
          <w:w w:val="105"/>
        </w:rPr>
        <w:t>3.6:</w:t>
      </w:r>
      <w:r>
        <w:rPr>
          <w:spacing w:val="-6"/>
          <w:w w:val="105"/>
        </w:rPr>
        <w:t xml:space="preserve"> </w:t>
      </w:r>
      <w:r>
        <w:rPr>
          <w:w w:val="105"/>
        </w:rPr>
        <w:t>Guidelines</w:t>
      </w:r>
      <w:r>
        <w:rPr>
          <w:spacing w:val="-10"/>
          <w:w w:val="105"/>
        </w:rPr>
        <w:t xml:space="preserve"> </w:t>
      </w:r>
      <w:r>
        <w:rPr>
          <w:w w:val="105"/>
        </w:rPr>
        <w:t>for</w:t>
      </w:r>
      <w:r>
        <w:rPr>
          <w:spacing w:val="-4"/>
          <w:w w:val="105"/>
        </w:rPr>
        <w:t xml:space="preserve"> </w:t>
      </w:r>
      <w:r>
        <w:rPr>
          <w:w w:val="105"/>
        </w:rPr>
        <w:t>Evaluating</w:t>
      </w:r>
      <w:r>
        <w:rPr>
          <w:spacing w:val="-14"/>
          <w:w w:val="105"/>
        </w:rPr>
        <w:t xml:space="preserve"> </w:t>
      </w:r>
      <w:r>
        <w:rPr>
          <w:w w:val="105"/>
        </w:rPr>
        <w:t>the</w:t>
      </w:r>
      <w:r>
        <w:rPr>
          <w:spacing w:val="-8"/>
          <w:w w:val="105"/>
        </w:rPr>
        <w:t xml:space="preserve"> </w:t>
      </w:r>
      <w:r>
        <w:rPr>
          <w:w w:val="105"/>
        </w:rPr>
        <w:t>Magnitude</w:t>
      </w:r>
      <w:r>
        <w:rPr>
          <w:spacing w:val="-9"/>
          <w:w w:val="105"/>
        </w:rPr>
        <w:t xml:space="preserve"> </w:t>
      </w:r>
      <w:r>
        <w:rPr>
          <w:w w:val="105"/>
        </w:rPr>
        <w:t>of</w:t>
      </w:r>
      <w:r>
        <w:rPr>
          <w:spacing w:val="-8"/>
          <w:w w:val="105"/>
        </w:rPr>
        <w:t xml:space="preserve"> </w:t>
      </w:r>
      <w:r>
        <w:rPr>
          <w:spacing w:val="-5"/>
          <w:w w:val="105"/>
        </w:rPr>
        <w:t>Q²</w:t>
      </w:r>
      <w:r>
        <w:tab/>
      </w:r>
      <w:r>
        <w:rPr>
          <w:spacing w:val="-5"/>
          <w:w w:val="105"/>
        </w:rPr>
        <w:t>76</w:t>
      </w:r>
    </w:p>
    <w:p w:rsidR="00487D64" w:rsidRDefault="00487D64">
      <w:pPr>
        <w:pStyle w:val="BodyText"/>
        <w:spacing w:before="25"/>
      </w:pPr>
    </w:p>
    <w:p w:rsidR="00487D64" w:rsidRDefault="006F0D93">
      <w:pPr>
        <w:pStyle w:val="BodyText"/>
        <w:tabs>
          <w:tab w:val="left" w:leader="dot" w:pos="9394"/>
        </w:tabs>
        <w:spacing w:before="1"/>
        <w:ind w:left="1419"/>
      </w:pPr>
      <w:r>
        <w:t>Table</w:t>
      </w:r>
      <w:r>
        <w:rPr>
          <w:spacing w:val="15"/>
        </w:rPr>
        <w:t xml:space="preserve"> </w:t>
      </w:r>
      <w:r>
        <w:t>4.</w:t>
      </w:r>
      <w:r>
        <w:rPr>
          <w:spacing w:val="30"/>
        </w:rPr>
        <w:t xml:space="preserve"> </w:t>
      </w:r>
      <w:r>
        <w:t>1:</w:t>
      </w:r>
      <w:r>
        <w:rPr>
          <w:spacing w:val="20"/>
        </w:rPr>
        <w:t xml:space="preserve"> </w:t>
      </w:r>
      <w:r>
        <w:t>Internal</w:t>
      </w:r>
      <w:r>
        <w:rPr>
          <w:spacing w:val="30"/>
        </w:rPr>
        <w:t xml:space="preserve"> </w:t>
      </w:r>
      <w:r>
        <w:t>Consistency</w:t>
      </w:r>
      <w:r>
        <w:rPr>
          <w:spacing w:val="18"/>
        </w:rPr>
        <w:t xml:space="preserve"> </w:t>
      </w:r>
      <w:r>
        <w:t>Reliability</w:t>
      </w:r>
      <w:r>
        <w:rPr>
          <w:spacing w:val="17"/>
        </w:rPr>
        <w:t xml:space="preserve"> </w:t>
      </w:r>
      <w:r>
        <w:rPr>
          <w:spacing w:val="-2"/>
        </w:rPr>
        <w:t>Results</w:t>
      </w:r>
      <w:r>
        <w:tab/>
      </w:r>
      <w:r>
        <w:rPr>
          <w:spacing w:val="-5"/>
        </w:rPr>
        <w:t>84</w:t>
      </w:r>
    </w:p>
    <w:p w:rsidR="00487D64" w:rsidRDefault="00487D64">
      <w:pPr>
        <w:pStyle w:val="BodyText"/>
        <w:spacing w:before="18"/>
      </w:pPr>
    </w:p>
    <w:p w:rsidR="00487D64" w:rsidRDefault="006F0D93">
      <w:pPr>
        <w:pStyle w:val="BodyText"/>
        <w:tabs>
          <w:tab w:val="left" w:leader="dot" w:pos="9394"/>
        </w:tabs>
        <w:ind w:left="1419"/>
      </w:pPr>
      <w:r>
        <w:rPr>
          <w:w w:val="105"/>
        </w:rPr>
        <w:t>Table</w:t>
      </w:r>
      <w:r>
        <w:rPr>
          <w:spacing w:val="-13"/>
          <w:w w:val="105"/>
        </w:rPr>
        <w:t xml:space="preserve"> </w:t>
      </w:r>
      <w:r>
        <w:rPr>
          <w:w w:val="105"/>
        </w:rPr>
        <w:t>4.</w:t>
      </w:r>
      <w:r>
        <w:rPr>
          <w:spacing w:val="-4"/>
          <w:w w:val="105"/>
        </w:rPr>
        <w:t xml:space="preserve"> </w:t>
      </w:r>
      <w:r>
        <w:rPr>
          <w:w w:val="105"/>
        </w:rPr>
        <w:t>2:</w:t>
      </w:r>
      <w:r>
        <w:rPr>
          <w:spacing w:val="-9"/>
          <w:w w:val="105"/>
        </w:rPr>
        <w:t xml:space="preserve"> </w:t>
      </w:r>
      <w:r>
        <w:rPr>
          <w:w w:val="105"/>
        </w:rPr>
        <w:t>Coefficient</w:t>
      </w:r>
      <w:r>
        <w:rPr>
          <w:spacing w:val="-4"/>
          <w:w w:val="105"/>
        </w:rPr>
        <w:t xml:space="preserve"> </w:t>
      </w:r>
      <w:r>
        <w:rPr>
          <w:w w:val="105"/>
        </w:rPr>
        <w:t>of</w:t>
      </w:r>
      <w:r>
        <w:rPr>
          <w:spacing w:val="-15"/>
          <w:w w:val="105"/>
        </w:rPr>
        <w:t xml:space="preserve"> </w:t>
      </w:r>
      <w:r>
        <w:rPr>
          <w:spacing w:val="-2"/>
          <w:w w:val="105"/>
        </w:rPr>
        <w:t>Determination</w:t>
      </w:r>
      <w:r>
        <w:tab/>
      </w:r>
      <w:r>
        <w:rPr>
          <w:spacing w:val="-5"/>
          <w:w w:val="105"/>
        </w:rPr>
        <w:t>85</w:t>
      </w:r>
    </w:p>
    <w:p w:rsidR="00487D64" w:rsidRDefault="00487D64">
      <w:pPr>
        <w:pStyle w:val="BodyText"/>
        <w:spacing w:before="25"/>
      </w:pPr>
    </w:p>
    <w:p w:rsidR="00487D64" w:rsidRDefault="006F0D93">
      <w:pPr>
        <w:pStyle w:val="BodyText"/>
        <w:tabs>
          <w:tab w:val="left" w:pos="2860"/>
          <w:tab w:val="left" w:leader="dot" w:pos="9394"/>
        </w:tabs>
        <w:spacing w:before="1"/>
        <w:ind w:left="1419"/>
      </w:pPr>
      <w:r>
        <w:t>Table</w:t>
      </w:r>
      <w:r>
        <w:rPr>
          <w:spacing w:val="6"/>
        </w:rPr>
        <w:t xml:space="preserve"> </w:t>
      </w:r>
      <w:r>
        <w:t>4.</w:t>
      </w:r>
      <w:r>
        <w:rPr>
          <w:spacing w:val="18"/>
        </w:rPr>
        <w:t xml:space="preserve"> </w:t>
      </w:r>
      <w:r>
        <w:rPr>
          <w:spacing w:val="-5"/>
        </w:rPr>
        <w:t>3:</w:t>
      </w:r>
      <w:r>
        <w:tab/>
        <w:t>Respondents'</w:t>
      </w:r>
      <w:r>
        <w:rPr>
          <w:spacing w:val="39"/>
        </w:rPr>
        <w:t xml:space="preserve"> </w:t>
      </w:r>
      <w:r>
        <w:rPr>
          <w:spacing w:val="-4"/>
        </w:rPr>
        <w:t>Rate</w:t>
      </w:r>
      <w:r>
        <w:tab/>
      </w:r>
      <w:r>
        <w:rPr>
          <w:spacing w:val="-5"/>
        </w:rPr>
        <w:t>88</w:t>
      </w:r>
    </w:p>
    <w:p w:rsidR="00487D64" w:rsidRDefault="00487D64">
      <w:pPr>
        <w:pStyle w:val="BodyText"/>
        <w:spacing w:before="25"/>
      </w:pPr>
    </w:p>
    <w:p w:rsidR="00487D64" w:rsidRDefault="006F0D93">
      <w:pPr>
        <w:pStyle w:val="BodyText"/>
        <w:tabs>
          <w:tab w:val="left" w:leader="dot" w:pos="9394"/>
        </w:tabs>
        <w:spacing w:before="1"/>
        <w:ind w:left="1419"/>
      </w:pPr>
      <w:r>
        <w:rPr>
          <w:w w:val="105"/>
        </w:rPr>
        <w:t>Table</w:t>
      </w:r>
      <w:r>
        <w:rPr>
          <w:spacing w:val="-15"/>
          <w:w w:val="105"/>
        </w:rPr>
        <w:t xml:space="preserve"> </w:t>
      </w:r>
      <w:r>
        <w:rPr>
          <w:w w:val="105"/>
        </w:rPr>
        <w:t>4.</w:t>
      </w:r>
      <w:r>
        <w:rPr>
          <w:spacing w:val="-5"/>
          <w:w w:val="105"/>
        </w:rPr>
        <w:t xml:space="preserve"> </w:t>
      </w:r>
      <w:r>
        <w:rPr>
          <w:w w:val="105"/>
        </w:rPr>
        <w:t>4:</w:t>
      </w:r>
      <w:r>
        <w:rPr>
          <w:spacing w:val="-12"/>
          <w:w w:val="105"/>
        </w:rPr>
        <w:t xml:space="preserve"> </w:t>
      </w:r>
      <w:r>
        <w:rPr>
          <w:w w:val="105"/>
        </w:rPr>
        <w:t>Distribution</w:t>
      </w:r>
      <w:r>
        <w:rPr>
          <w:spacing w:val="-7"/>
          <w:w w:val="105"/>
        </w:rPr>
        <w:t xml:space="preserve"> </w:t>
      </w:r>
      <w:r>
        <w:rPr>
          <w:w w:val="105"/>
        </w:rPr>
        <w:t>of</w:t>
      </w:r>
      <w:r>
        <w:rPr>
          <w:spacing w:val="-10"/>
          <w:w w:val="105"/>
        </w:rPr>
        <w:t xml:space="preserve"> </w:t>
      </w:r>
      <w:r>
        <w:rPr>
          <w:w w:val="105"/>
        </w:rPr>
        <w:t>Special</w:t>
      </w:r>
      <w:r>
        <w:rPr>
          <w:spacing w:val="-6"/>
          <w:w w:val="105"/>
        </w:rPr>
        <w:t xml:space="preserve"> </w:t>
      </w:r>
      <w:r>
        <w:rPr>
          <w:spacing w:val="-2"/>
          <w:w w:val="105"/>
        </w:rPr>
        <w:t>Group</w:t>
      </w:r>
      <w:r>
        <w:tab/>
      </w:r>
      <w:r>
        <w:rPr>
          <w:spacing w:val="-5"/>
          <w:w w:val="105"/>
        </w:rPr>
        <w:t>90</w:t>
      </w:r>
    </w:p>
    <w:p w:rsidR="00487D64" w:rsidRDefault="00487D64">
      <w:pPr>
        <w:pStyle w:val="BodyText"/>
        <w:spacing w:before="18"/>
      </w:pPr>
    </w:p>
    <w:p w:rsidR="00487D64" w:rsidRDefault="006F0D93">
      <w:pPr>
        <w:pStyle w:val="BodyText"/>
        <w:tabs>
          <w:tab w:val="left" w:leader="dot" w:pos="9394"/>
        </w:tabs>
        <w:spacing w:line="504" w:lineRule="auto"/>
        <w:ind w:left="1419" w:right="851"/>
      </w:pPr>
      <w:r>
        <w:rPr>
          <w:w w:val="105"/>
        </w:rPr>
        <w:t>Table 4. 5: Shows the Distribution of Nature Activities Performed by the</w:t>
      </w:r>
      <w:r>
        <w:rPr>
          <w:spacing w:val="80"/>
          <w:w w:val="150"/>
        </w:rPr>
        <w:t xml:space="preserve"> </w:t>
      </w:r>
      <w:r>
        <w:rPr>
          <w:w w:val="105"/>
        </w:rPr>
        <w:t xml:space="preserve">different </w:t>
      </w:r>
      <w:r>
        <w:t>Special</w:t>
      </w:r>
      <w:r>
        <w:rPr>
          <w:spacing w:val="15"/>
        </w:rPr>
        <w:t xml:space="preserve"> </w:t>
      </w:r>
      <w:r>
        <w:rPr>
          <w:spacing w:val="-2"/>
        </w:rPr>
        <w:t>Groups</w:t>
      </w:r>
      <w:r>
        <w:tab/>
      </w:r>
      <w:r>
        <w:rPr>
          <w:spacing w:val="-5"/>
        </w:rPr>
        <w:t>92</w:t>
      </w:r>
    </w:p>
    <w:p w:rsidR="00487D64" w:rsidRDefault="006F0D93">
      <w:pPr>
        <w:pStyle w:val="BodyText"/>
        <w:tabs>
          <w:tab w:val="left" w:leader="dot" w:pos="9394"/>
        </w:tabs>
        <w:spacing w:line="263" w:lineRule="exact"/>
        <w:ind w:left="1419"/>
      </w:pPr>
      <w:r>
        <w:rPr>
          <w:w w:val="105"/>
        </w:rPr>
        <w:t>Table</w:t>
      </w:r>
      <w:r>
        <w:rPr>
          <w:spacing w:val="-14"/>
          <w:w w:val="105"/>
        </w:rPr>
        <w:t xml:space="preserve"> </w:t>
      </w:r>
      <w:r>
        <w:rPr>
          <w:w w:val="105"/>
        </w:rPr>
        <w:t>4.</w:t>
      </w:r>
      <w:r>
        <w:rPr>
          <w:spacing w:val="-5"/>
          <w:w w:val="105"/>
        </w:rPr>
        <w:t xml:space="preserve"> </w:t>
      </w:r>
      <w:r>
        <w:rPr>
          <w:w w:val="105"/>
        </w:rPr>
        <w:t>6:</w:t>
      </w:r>
      <w:r>
        <w:rPr>
          <w:spacing w:val="-10"/>
          <w:w w:val="105"/>
        </w:rPr>
        <w:t xml:space="preserve"> </w:t>
      </w:r>
      <w:r>
        <w:rPr>
          <w:w w:val="105"/>
        </w:rPr>
        <w:t>Shows</w:t>
      </w:r>
      <w:r>
        <w:rPr>
          <w:spacing w:val="-15"/>
          <w:w w:val="105"/>
        </w:rPr>
        <w:t xml:space="preserve"> </w:t>
      </w:r>
      <w:r>
        <w:rPr>
          <w:w w:val="105"/>
        </w:rPr>
        <w:t>the</w:t>
      </w:r>
      <w:r>
        <w:rPr>
          <w:spacing w:val="-10"/>
          <w:w w:val="105"/>
        </w:rPr>
        <w:t xml:space="preserve"> </w:t>
      </w:r>
      <w:r>
        <w:rPr>
          <w:w w:val="105"/>
        </w:rPr>
        <w:t>Distribution</w:t>
      </w:r>
      <w:r>
        <w:rPr>
          <w:spacing w:val="-6"/>
          <w:w w:val="105"/>
        </w:rPr>
        <w:t xml:space="preserve"> </w:t>
      </w:r>
      <w:r>
        <w:rPr>
          <w:w w:val="105"/>
        </w:rPr>
        <w:t>of</w:t>
      </w:r>
      <w:r>
        <w:rPr>
          <w:spacing w:val="-9"/>
          <w:w w:val="105"/>
        </w:rPr>
        <w:t xml:space="preserve"> </w:t>
      </w:r>
      <w:r>
        <w:rPr>
          <w:w w:val="105"/>
        </w:rPr>
        <w:t>Capital</w:t>
      </w:r>
      <w:r>
        <w:rPr>
          <w:spacing w:val="-11"/>
          <w:w w:val="105"/>
        </w:rPr>
        <w:t xml:space="preserve"> </w:t>
      </w:r>
      <w:r>
        <w:rPr>
          <w:w w:val="105"/>
        </w:rPr>
        <w:t>Investment</w:t>
      </w:r>
      <w:r>
        <w:rPr>
          <w:spacing w:val="-5"/>
          <w:w w:val="105"/>
        </w:rPr>
        <w:t xml:space="preserve"> </w:t>
      </w:r>
      <w:r>
        <w:rPr>
          <w:w w:val="105"/>
        </w:rPr>
        <w:t>by</w:t>
      </w:r>
      <w:r>
        <w:rPr>
          <w:spacing w:val="-6"/>
          <w:w w:val="105"/>
        </w:rPr>
        <w:t xml:space="preserve"> </w:t>
      </w:r>
      <w:r>
        <w:rPr>
          <w:w w:val="105"/>
        </w:rPr>
        <w:t>the</w:t>
      </w:r>
      <w:r>
        <w:rPr>
          <w:spacing w:val="-7"/>
          <w:w w:val="105"/>
        </w:rPr>
        <w:t xml:space="preserve"> </w:t>
      </w:r>
      <w:r>
        <w:rPr>
          <w:w w:val="105"/>
        </w:rPr>
        <w:t>Special</w:t>
      </w:r>
      <w:r>
        <w:rPr>
          <w:spacing w:val="-5"/>
          <w:w w:val="105"/>
        </w:rPr>
        <w:t xml:space="preserve"> </w:t>
      </w:r>
      <w:r>
        <w:rPr>
          <w:spacing w:val="-2"/>
          <w:w w:val="105"/>
        </w:rPr>
        <w:t>Groups</w:t>
      </w:r>
      <w:r>
        <w:tab/>
      </w:r>
      <w:r>
        <w:rPr>
          <w:spacing w:val="-5"/>
          <w:w w:val="105"/>
        </w:rPr>
        <w:t>94</w:t>
      </w:r>
    </w:p>
    <w:p w:rsidR="00487D64" w:rsidRDefault="00487D64">
      <w:pPr>
        <w:pStyle w:val="BodyText"/>
        <w:spacing w:before="18"/>
      </w:pPr>
    </w:p>
    <w:p w:rsidR="00487D64" w:rsidRDefault="006F0D93">
      <w:pPr>
        <w:pStyle w:val="BodyText"/>
        <w:tabs>
          <w:tab w:val="left" w:leader="dot" w:pos="9394"/>
        </w:tabs>
        <w:spacing w:before="1"/>
        <w:ind w:left="1419"/>
      </w:pPr>
      <w:r>
        <w:rPr>
          <w:w w:val="105"/>
        </w:rPr>
        <w:t>Table</w:t>
      </w:r>
      <w:r>
        <w:rPr>
          <w:spacing w:val="-12"/>
          <w:w w:val="105"/>
        </w:rPr>
        <w:t xml:space="preserve"> </w:t>
      </w:r>
      <w:r>
        <w:rPr>
          <w:w w:val="105"/>
        </w:rPr>
        <w:t>4.</w:t>
      </w:r>
      <w:r>
        <w:rPr>
          <w:spacing w:val="-3"/>
          <w:w w:val="105"/>
        </w:rPr>
        <w:t xml:space="preserve"> </w:t>
      </w:r>
      <w:r>
        <w:rPr>
          <w:w w:val="105"/>
        </w:rPr>
        <w:t>7:</w:t>
      </w:r>
      <w:r>
        <w:rPr>
          <w:spacing w:val="-9"/>
          <w:w w:val="105"/>
        </w:rPr>
        <w:t xml:space="preserve"> </w:t>
      </w:r>
      <w:r>
        <w:rPr>
          <w:w w:val="105"/>
        </w:rPr>
        <w:t>Shows</w:t>
      </w:r>
      <w:r>
        <w:rPr>
          <w:spacing w:val="-12"/>
          <w:w w:val="105"/>
        </w:rPr>
        <w:t xml:space="preserve"> </w:t>
      </w:r>
      <w:r>
        <w:rPr>
          <w:w w:val="105"/>
        </w:rPr>
        <w:t>the</w:t>
      </w:r>
      <w:r>
        <w:rPr>
          <w:spacing w:val="-12"/>
          <w:w w:val="105"/>
        </w:rPr>
        <w:t xml:space="preserve"> </w:t>
      </w:r>
      <w:r>
        <w:rPr>
          <w:w w:val="105"/>
        </w:rPr>
        <w:t>Number of</w:t>
      </w:r>
      <w:r>
        <w:rPr>
          <w:spacing w:val="-8"/>
          <w:w w:val="105"/>
        </w:rPr>
        <w:t xml:space="preserve"> </w:t>
      </w:r>
      <w:r>
        <w:rPr>
          <w:w w:val="105"/>
        </w:rPr>
        <w:t>Employees</w:t>
      </w:r>
      <w:r>
        <w:rPr>
          <w:spacing w:val="-12"/>
          <w:w w:val="105"/>
        </w:rPr>
        <w:t xml:space="preserve"> </w:t>
      </w:r>
      <w:r>
        <w:rPr>
          <w:w w:val="105"/>
        </w:rPr>
        <w:t>in</w:t>
      </w:r>
      <w:r>
        <w:rPr>
          <w:spacing w:val="-11"/>
          <w:w w:val="105"/>
        </w:rPr>
        <w:t xml:space="preserve"> </w:t>
      </w:r>
      <w:r>
        <w:rPr>
          <w:w w:val="105"/>
        </w:rPr>
        <w:t>Different</w:t>
      </w:r>
      <w:r>
        <w:rPr>
          <w:spacing w:val="-9"/>
          <w:w w:val="105"/>
        </w:rPr>
        <w:t xml:space="preserve"> </w:t>
      </w:r>
      <w:r>
        <w:rPr>
          <w:w w:val="105"/>
        </w:rPr>
        <w:t>Special</w:t>
      </w:r>
      <w:r>
        <w:rPr>
          <w:spacing w:val="-9"/>
          <w:w w:val="105"/>
        </w:rPr>
        <w:t xml:space="preserve"> </w:t>
      </w:r>
      <w:r>
        <w:rPr>
          <w:spacing w:val="-2"/>
          <w:w w:val="105"/>
        </w:rPr>
        <w:t>Groups</w:t>
      </w:r>
      <w:r>
        <w:tab/>
      </w:r>
      <w:r>
        <w:rPr>
          <w:spacing w:val="-5"/>
          <w:w w:val="105"/>
        </w:rPr>
        <w:t>97</w:t>
      </w:r>
    </w:p>
    <w:p w:rsidR="00487D64" w:rsidRDefault="00487D64">
      <w:pPr>
        <w:pStyle w:val="BodyText"/>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tabs>
          <w:tab w:val="left" w:leader="dot" w:pos="9394"/>
        </w:tabs>
        <w:ind w:left="1419"/>
      </w:pPr>
      <w:r>
        <w:rPr>
          <w:w w:val="105"/>
        </w:rPr>
        <w:t>Table</w:t>
      </w:r>
      <w:r>
        <w:rPr>
          <w:spacing w:val="-15"/>
          <w:w w:val="105"/>
        </w:rPr>
        <w:t xml:space="preserve"> </w:t>
      </w:r>
      <w:r>
        <w:rPr>
          <w:w w:val="105"/>
        </w:rPr>
        <w:t>4.</w:t>
      </w:r>
      <w:r>
        <w:rPr>
          <w:spacing w:val="-6"/>
          <w:w w:val="105"/>
        </w:rPr>
        <w:t xml:space="preserve"> </w:t>
      </w:r>
      <w:r>
        <w:rPr>
          <w:w w:val="105"/>
        </w:rPr>
        <w:t>8:</w:t>
      </w:r>
      <w:r>
        <w:rPr>
          <w:spacing w:val="-12"/>
          <w:w w:val="105"/>
        </w:rPr>
        <w:t xml:space="preserve"> </w:t>
      </w:r>
      <w:r>
        <w:rPr>
          <w:w w:val="105"/>
        </w:rPr>
        <w:t>Internal</w:t>
      </w:r>
      <w:r>
        <w:rPr>
          <w:spacing w:val="-6"/>
          <w:w w:val="105"/>
        </w:rPr>
        <w:t xml:space="preserve"> </w:t>
      </w:r>
      <w:r>
        <w:rPr>
          <w:w w:val="105"/>
        </w:rPr>
        <w:t>Consistency</w:t>
      </w:r>
      <w:r>
        <w:rPr>
          <w:spacing w:val="-14"/>
          <w:w w:val="105"/>
        </w:rPr>
        <w:t xml:space="preserve"> </w:t>
      </w:r>
      <w:r>
        <w:rPr>
          <w:spacing w:val="-2"/>
          <w:w w:val="105"/>
        </w:rPr>
        <w:t>Reliability</w:t>
      </w:r>
      <w:r>
        <w:tab/>
      </w:r>
      <w:r>
        <w:rPr>
          <w:spacing w:val="-5"/>
          <w:w w:val="105"/>
        </w:rPr>
        <w:t>99</w:t>
      </w:r>
    </w:p>
    <w:p w:rsidR="00487D64" w:rsidRDefault="006F0D93">
      <w:pPr>
        <w:pStyle w:val="BodyText"/>
        <w:tabs>
          <w:tab w:val="left" w:leader="dot" w:pos="9272"/>
        </w:tabs>
        <w:spacing w:before="291"/>
        <w:ind w:left="1419"/>
      </w:pPr>
      <w:r>
        <w:rPr>
          <w:w w:val="105"/>
        </w:rPr>
        <w:t>Table</w:t>
      </w:r>
      <w:r>
        <w:rPr>
          <w:spacing w:val="-16"/>
          <w:w w:val="105"/>
        </w:rPr>
        <w:t xml:space="preserve"> </w:t>
      </w:r>
      <w:r>
        <w:rPr>
          <w:w w:val="105"/>
        </w:rPr>
        <w:t>4.</w:t>
      </w:r>
      <w:r>
        <w:rPr>
          <w:spacing w:val="-11"/>
          <w:w w:val="105"/>
        </w:rPr>
        <w:t xml:space="preserve"> </w:t>
      </w:r>
      <w:r>
        <w:rPr>
          <w:w w:val="105"/>
        </w:rPr>
        <w:t>9:</w:t>
      </w:r>
      <w:r>
        <w:rPr>
          <w:spacing w:val="-15"/>
          <w:w w:val="105"/>
        </w:rPr>
        <w:t xml:space="preserve"> </w:t>
      </w:r>
      <w:r>
        <w:rPr>
          <w:w w:val="105"/>
        </w:rPr>
        <w:t>Discriminant</w:t>
      </w:r>
      <w:r>
        <w:rPr>
          <w:spacing w:val="-10"/>
          <w:w w:val="105"/>
        </w:rPr>
        <w:t xml:space="preserve"> </w:t>
      </w:r>
      <w:r>
        <w:rPr>
          <w:w w:val="105"/>
        </w:rPr>
        <w:t>Validity</w:t>
      </w:r>
      <w:r>
        <w:rPr>
          <w:spacing w:val="-10"/>
          <w:w w:val="105"/>
        </w:rPr>
        <w:t xml:space="preserve"> </w:t>
      </w:r>
      <w:r>
        <w:rPr>
          <w:w w:val="105"/>
        </w:rPr>
        <w:t>Hetetroit</w:t>
      </w:r>
      <w:r>
        <w:rPr>
          <w:spacing w:val="-10"/>
          <w:w w:val="105"/>
        </w:rPr>
        <w:t xml:space="preserve"> </w:t>
      </w:r>
      <w:r>
        <w:rPr>
          <w:w w:val="105"/>
        </w:rPr>
        <w:t>Monetrait</w:t>
      </w:r>
      <w:r>
        <w:rPr>
          <w:spacing w:val="-15"/>
          <w:w w:val="105"/>
        </w:rPr>
        <w:t xml:space="preserve"> </w:t>
      </w:r>
      <w:r>
        <w:rPr>
          <w:spacing w:val="-2"/>
          <w:w w:val="105"/>
        </w:rPr>
        <w:t>Ratio</w:t>
      </w:r>
      <w:r>
        <w:tab/>
      </w:r>
      <w:r>
        <w:rPr>
          <w:spacing w:val="-5"/>
          <w:w w:val="105"/>
        </w:rPr>
        <w:t>101</w:t>
      </w:r>
    </w:p>
    <w:p w:rsidR="00487D64" w:rsidRDefault="006F0D93">
      <w:pPr>
        <w:pStyle w:val="BodyText"/>
        <w:tabs>
          <w:tab w:val="left" w:leader="dot" w:pos="9272"/>
        </w:tabs>
        <w:spacing w:before="283"/>
        <w:ind w:left="1419"/>
      </w:pPr>
      <w:r>
        <w:t>Table</w:t>
      </w:r>
      <w:r>
        <w:rPr>
          <w:spacing w:val="17"/>
        </w:rPr>
        <w:t xml:space="preserve"> </w:t>
      </w:r>
      <w:r>
        <w:t>4.</w:t>
      </w:r>
      <w:r>
        <w:rPr>
          <w:spacing w:val="31"/>
        </w:rPr>
        <w:t xml:space="preserve"> </w:t>
      </w:r>
      <w:r>
        <w:t>10:</w:t>
      </w:r>
      <w:r>
        <w:rPr>
          <w:spacing w:val="22"/>
        </w:rPr>
        <w:t xml:space="preserve"> </w:t>
      </w:r>
      <w:r>
        <w:t>Discriminant</w:t>
      </w:r>
      <w:r>
        <w:rPr>
          <w:spacing w:val="42"/>
        </w:rPr>
        <w:t xml:space="preserve"> </w:t>
      </w:r>
      <w:r>
        <w:t>Validity</w:t>
      </w:r>
      <w:r>
        <w:rPr>
          <w:spacing w:val="28"/>
        </w:rPr>
        <w:t xml:space="preserve"> </w:t>
      </w:r>
      <w:r>
        <w:t>Fornell–Larcker</w:t>
      </w:r>
      <w:r>
        <w:rPr>
          <w:spacing w:val="25"/>
        </w:rPr>
        <w:t xml:space="preserve"> </w:t>
      </w:r>
      <w:r>
        <w:rPr>
          <w:spacing w:val="-2"/>
        </w:rPr>
        <w:t>Criterion</w:t>
      </w:r>
      <w:r>
        <w:tab/>
      </w:r>
      <w:r>
        <w:rPr>
          <w:spacing w:val="-5"/>
        </w:rPr>
        <w:t>102</w:t>
      </w:r>
    </w:p>
    <w:p w:rsidR="00487D64" w:rsidRDefault="006F0D93">
      <w:pPr>
        <w:pStyle w:val="BodyText"/>
        <w:tabs>
          <w:tab w:val="left" w:leader="dot" w:pos="9272"/>
        </w:tabs>
        <w:spacing w:before="290"/>
        <w:ind w:left="1419"/>
      </w:pPr>
      <w:r>
        <w:rPr>
          <w:w w:val="105"/>
        </w:rPr>
        <w:t>Table</w:t>
      </w:r>
      <w:r>
        <w:rPr>
          <w:spacing w:val="-12"/>
          <w:w w:val="105"/>
        </w:rPr>
        <w:t xml:space="preserve"> </w:t>
      </w:r>
      <w:r>
        <w:rPr>
          <w:w w:val="105"/>
        </w:rPr>
        <w:t>4.</w:t>
      </w:r>
      <w:r>
        <w:rPr>
          <w:spacing w:val="-3"/>
          <w:w w:val="105"/>
        </w:rPr>
        <w:t xml:space="preserve"> </w:t>
      </w:r>
      <w:r>
        <w:rPr>
          <w:w w:val="105"/>
        </w:rPr>
        <w:t>11:</w:t>
      </w:r>
      <w:r>
        <w:rPr>
          <w:spacing w:val="-9"/>
          <w:w w:val="105"/>
        </w:rPr>
        <w:t xml:space="preserve"> </w:t>
      </w:r>
      <w:r>
        <w:rPr>
          <w:w w:val="105"/>
        </w:rPr>
        <w:t>Cross</w:t>
      </w:r>
      <w:r>
        <w:rPr>
          <w:spacing w:val="-7"/>
          <w:w w:val="105"/>
        </w:rPr>
        <w:t xml:space="preserve"> </w:t>
      </w:r>
      <w:r>
        <w:rPr>
          <w:spacing w:val="-2"/>
          <w:w w:val="105"/>
        </w:rPr>
        <w:t>Loadings</w:t>
      </w:r>
      <w:r>
        <w:tab/>
      </w:r>
      <w:r>
        <w:rPr>
          <w:spacing w:val="-5"/>
          <w:w w:val="105"/>
        </w:rPr>
        <w:t>103</w:t>
      </w:r>
    </w:p>
    <w:p w:rsidR="00487D64" w:rsidRDefault="006F0D93">
      <w:pPr>
        <w:pStyle w:val="BodyText"/>
        <w:tabs>
          <w:tab w:val="left" w:leader="dot" w:pos="9272"/>
        </w:tabs>
        <w:spacing w:before="290"/>
        <w:ind w:left="1419"/>
      </w:pPr>
      <w:r>
        <w:rPr>
          <w:w w:val="105"/>
        </w:rPr>
        <w:t>Table</w:t>
      </w:r>
      <w:r>
        <w:rPr>
          <w:spacing w:val="-16"/>
          <w:w w:val="105"/>
        </w:rPr>
        <w:t xml:space="preserve"> </w:t>
      </w:r>
      <w:r>
        <w:rPr>
          <w:w w:val="105"/>
        </w:rPr>
        <w:t>4.</w:t>
      </w:r>
      <w:r>
        <w:rPr>
          <w:spacing w:val="-7"/>
          <w:w w:val="105"/>
        </w:rPr>
        <w:t xml:space="preserve"> </w:t>
      </w:r>
      <w:r>
        <w:rPr>
          <w:w w:val="105"/>
        </w:rPr>
        <w:t>12:</w:t>
      </w:r>
      <w:r>
        <w:rPr>
          <w:spacing w:val="-13"/>
          <w:w w:val="105"/>
        </w:rPr>
        <w:t xml:space="preserve"> </w:t>
      </w:r>
      <w:r>
        <w:rPr>
          <w:w w:val="105"/>
        </w:rPr>
        <w:t>Collinearity</w:t>
      </w:r>
      <w:r>
        <w:rPr>
          <w:spacing w:val="-9"/>
          <w:w w:val="105"/>
        </w:rPr>
        <w:t xml:space="preserve"> </w:t>
      </w:r>
      <w:r>
        <w:rPr>
          <w:w w:val="105"/>
        </w:rPr>
        <w:t>Statistics</w:t>
      </w:r>
      <w:r>
        <w:rPr>
          <w:spacing w:val="-11"/>
          <w:w w:val="105"/>
        </w:rPr>
        <w:t xml:space="preserve"> </w:t>
      </w:r>
      <w:r>
        <w:rPr>
          <w:w w:val="105"/>
        </w:rPr>
        <w:t>(VIF)</w:t>
      </w:r>
      <w:r>
        <w:rPr>
          <w:spacing w:val="-11"/>
          <w:w w:val="105"/>
        </w:rPr>
        <w:t xml:space="preserve"> </w:t>
      </w:r>
      <w:r>
        <w:rPr>
          <w:w w:val="105"/>
        </w:rPr>
        <w:t>Outer</w:t>
      </w:r>
      <w:r>
        <w:rPr>
          <w:spacing w:val="-6"/>
          <w:w w:val="105"/>
        </w:rPr>
        <w:t xml:space="preserve"> </w:t>
      </w:r>
      <w:r>
        <w:rPr>
          <w:w w:val="105"/>
        </w:rPr>
        <w:t>Model</w:t>
      </w:r>
      <w:r>
        <w:rPr>
          <w:spacing w:val="-7"/>
          <w:w w:val="105"/>
        </w:rPr>
        <w:t xml:space="preserve"> </w:t>
      </w:r>
      <w:r>
        <w:rPr>
          <w:spacing w:val="-4"/>
          <w:w w:val="105"/>
        </w:rPr>
        <w:t>List</w:t>
      </w:r>
      <w:r>
        <w:tab/>
      </w:r>
      <w:r>
        <w:rPr>
          <w:spacing w:val="-5"/>
          <w:w w:val="105"/>
        </w:rPr>
        <w:t>105</w:t>
      </w:r>
    </w:p>
    <w:p w:rsidR="00487D64" w:rsidRDefault="006F0D93">
      <w:pPr>
        <w:pStyle w:val="BodyText"/>
        <w:tabs>
          <w:tab w:val="left" w:leader="dot" w:pos="9272"/>
        </w:tabs>
        <w:spacing w:before="283"/>
        <w:ind w:left="1419"/>
      </w:pPr>
      <w:r>
        <w:rPr>
          <w:w w:val="105"/>
        </w:rPr>
        <w:t>Table</w:t>
      </w:r>
      <w:r>
        <w:rPr>
          <w:spacing w:val="-15"/>
          <w:w w:val="105"/>
        </w:rPr>
        <w:t xml:space="preserve"> </w:t>
      </w:r>
      <w:r>
        <w:rPr>
          <w:w w:val="105"/>
        </w:rPr>
        <w:t>4.</w:t>
      </w:r>
      <w:r>
        <w:rPr>
          <w:spacing w:val="-6"/>
          <w:w w:val="105"/>
        </w:rPr>
        <w:t xml:space="preserve"> </w:t>
      </w:r>
      <w:r>
        <w:rPr>
          <w:w w:val="105"/>
        </w:rPr>
        <w:t>13:</w:t>
      </w:r>
      <w:r>
        <w:rPr>
          <w:spacing w:val="-5"/>
          <w:w w:val="105"/>
        </w:rPr>
        <w:t xml:space="preserve"> </w:t>
      </w:r>
      <w:r>
        <w:rPr>
          <w:w w:val="105"/>
        </w:rPr>
        <w:t>VIF</w:t>
      </w:r>
      <w:r>
        <w:rPr>
          <w:spacing w:val="-7"/>
          <w:w w:val="105"/>
        </w:rPr>
        <w:t xml:space="preserve"> </w:t>
      </w:r>
      <w:r>
        <w:rPr>
          <w:w w:val="105"/>
        </w:rPr>
        <w:t>Inner</w:t>
      </w:r>
      <w:r>
        <w:rPr>
          <w:spacing w:val="-4"/>
          <w:w w:val="105"/>
        </w:rPr>
        <w:t xml:space="preserve"> </w:t>
      </w:r>
      <w:r>
        <w:rPr>
          <w:w w:val="105"/>
        </w:rPr>
        <w:t>Model</w:t>
      </w:r>
      <w:r>
        <w:rPr>
          <w:spacing w:val="-6"/>
          <w:w w:val="105"/>
        </w:rPr>
        <w:t xml:space="preserve"> </w:t>
      </w:r>
      <w:r>
        <w:rPr>
          <w:spacing w:val="-2"/>
          <w:w w:val="105"/>
        </w:rPr>
        <w:t>Statistics</w:t>
      </w:r>
      <w:r>
        <w:tab/>
      </w:r>
      <w:r>
        <w:rPr>
          <w:spacing w:val="-5"/>
          <w:w w:val="105"/>
        </w:rPr>
        <w:t>106</w:t>
      </w:r>
    </w:p>
    <w:p w:rsidR="00487D64" w:rsidRDefault="006F0D93">
      <w:pPr>
        <w:pStyle w:val="BodyText"/>
        <w:tabs>
          <w:tab w:val="left" w:leader="dot" w:pos="9272"/>
        </w:tabs>
        <w:spacing w:before="290"/>
        <w:ind w:left="1419"/>
      </w:pPr>
      <w:r>
        <w:rPr>
          <w:w w:val="105"/>
        </w:rPr>
        <w:t>Table</w:t>
      </w:r>
      <w:r>
        <w:rPr>
          <w:spacing w:val="-15"/>
          <w:w w:val="105"/>
        </w:rPr>
        <w:t xml:space="preserve"> </w:t>
      </w:r>
      <w:r>
        <w:rPr>
          <w:w w:val="105"/>
        </w:rPr>
        <w:t>4.</w:t>
      </w:r>
      <w:r>
        <w:rPr>
          <w:spacing w:val="-5"/>
          <w:w w:val="105"/>
        </w:rPr>
        <w:t xml:space="preserve"> </w:t>
      </w:r>
      <w:r>
        <w:rPr>
          <w:w w:val="105"/>
        </w:rPr>
        <w:t>14:</w:t>
      </w:r>
      <w:r>
        <w:rPr>
          <w:spacing w:val="-6"/>
          <w:w w:val="105"/>
        </w:rPr>
        <w:t xml:space="preserve"> </w:t>
      </w:r>
      <w:r>
        <w:rPr>
          <w:w w:val="105"/>
        </w:rPr>
        <w:t>Variance</w:t>
      </w:r>
      <w:r>
        <w:rPr>
          <w:spacing w:val="-14"/>
          <w:w w:val="105"/>
        </w:rPr>
        <w:t xml:space="preserve"> </w:t>
      </w:r>
      <w:r>
        <w:rPr>
          <w:w w:val="105"/>
        </w:rPr>
        <w:t>Explained</w:t>
      </w:r>
      <w:r>
        <w:rPr>
          <w:spacing w:val="-7"/>
          <w:w w:val="105"/>
        </w:rPr>
        <w:t xml:space="preserve"> </w:t>
      </w:r>
      <w:r>
        <w:rPr>
          <w:w w:val="105"/>
        </w:rPr>
        <w:t>in</w:t>
      </w:r>
      <w:r>
        <w:rPr>
          <w:spacing w:val="-7"/>
          <w:w w:val="105"/>
        </w:rPr>
        <w:t xml:space="preserve"> </w:t>
      </w:r>
      <w:r>
        <w:rPr>
          <w:w w:val="105"/>
        </w:rPr>
        <w:t>the</w:t>
      </w:r>
      <w:r>
        <w:rPr>
          <w:spacing w:val="-8"/>
          <w:w w:val="105"/>
        </w:rPr>
        <w:t xml:space="preserve"> </w:t>
      </w:r>
      <w:r>
        <w:rPr>
          <w:w w:val="105"/>
        </w:rPr>
        <w:t>Endogenous</w:t>
      </w:r>
      <w:r>
        <w:rPr>
          <w:spacing w:val="-15"/>
          <w:w w:val="105"/>
        </w:rPr>
        <w:t xml:space="preserve"> </w:t>
      </w:r>
      <w:r>
        <w:rPr>
          <w:spacing w:val="-2"/>
          <w:w w:val="105"/>
        </w:rPr>
        <w:t>Construct</w:t>
      </w:r>
      <w:r>
        <w:tab/>
      </w:r>
      <w:r>
        <w:rPr>
          <w:spacing w:val="-5"/>
          <w:w w:val="105"/>
        </w:rPr>
        <w:t>107</w:t>
      </w:r>
    </w:p>
    <w:p w:rsidR="00487D64" w:rsidRDefault="006F0D93">
      <w:pPr>
        <w:pStyle w:val="BodyText"/>
        <w:tabs>
          <w:tab w:val="left" w:leader="dot" w:pos="9272"/>
        </w:tabs>
        <w:spacing w:before="290"/>
        <w:ind w:left="1419"/>
      </w:pPr>
      <w:r>
        <w:rPr>
          <w:w w:val="105"/>
        </w:rPr>
        <w:t>Table</w:t>
      </w:r>
      <w:r>
        <w:rPr>
          <w:spacing w:val="-12"/>
          <w:w w:val="105"/>
        </w:rPr>
        <w:t xml:space="preserve"> </w:t>
      </w:r>
      <w:r>
        <w:rPr>
          <w:w w:val="105"/>
        </w:rPr>
        <w:t>4.</w:t>
      </w:r>
      <w:r>
        <w:rPr>
          <w:spacing w:val="-3"/>
          <w:w w:val="105"/>
        </w:rPr>
        <w:t xml:space="preserve"> </w:t>
      </w:r>
      <w:r>
        <w:rPr>
          <w:w w:val="105"/>
        </w:rPr>
        <w:t>15:</w:t>
      </w:r>
      <w:r>
        <w:rPr>
          <w:spacing w:val="-8"/>
          <w:w w:val="105"/>
        </w:rPr>
        <w:t xml:space="preserve"> </w:t>
      </w:r>
      <w:r>
        <w:rPr>
          <w:w w:val="105"/>
        </w:rPr>
        <w:t>Effect</w:t>
      </w:r>
      <w:r>
        <w:rPr>
          <w:spacing w:val="-3"/>
          <w:w w:val="105"/>
        </w:rPr>
        <w:t xml:space="preserve"> </w:t>
      </w:r>
      <w:r>
        <w:rPr>
          <w:w w:val="105"/>
        </w:rPr>
        <w:t>Sizes</w:t>
      </w:r>
      <w:r>
        <w:rPr>
          <w:spacing w:val="-6"/>
          <w:w w:val="105"/>
        </w:rPr>
        <w:t xml:space="preserve"> </w:t>
      </w:r>
      <w:r>
        <w:rPr>
          <w:w w:val="105"/>
        </w:rPr>
        <w:t>of</w:t>
      </w:r>
      <w:r>
        <w:rPr>
          <w:spacing w:val="-15"/>
          <w:w w:val="105"/>
        </w:rPr>
        <w:t xml:space="preserve"> </w:t>
      </w:r>
      <w:r>
        <w:rPr>
          <w:w w:val="105"/>
        </w:rPr>
        <w:t>the</w:t>
      </w:r>
      <w:r>
        <w:rPr>
          <w:spacing w:val="-11"/>
          <w:w w:val="105"/>
        </w:rPr>
        <w:t xml:space="preserve"> </w:t>
      </w:r>
      <w:r>
        <w:rPr>
          <w:w w:val="105"/>
        </w:rPr>
        <w:t>Coefficient</w:t>
      </w:r>
      <w:r>
        <w:rPr>
          <w:spacing w:val="-3"/>
          <w:w w:val="105"/>
        </w:rPr>
        <w:t xml:space="preserve"> </w:t>
      </w:r>
      <w:r>
        <w:rPr>
          <w:w w:val="105"/>
        </w:rPr>
        <w:t>of</w:t>
      </w:r>
      <w:r>
        <w:rPr>
          <w:spacing w:val="-14"/>
          <w:w w:val="105"/>
        </w:rPr>
        <w:t xml:space="preserve"> </w:t>
      </w:r>
      <w:r>
        <w:rPr>
          <w:spacing w:val="-2"/>
          <w:w w:val="105"/>
        </w:rPr>
        <w:t>Determination</w:t>
      </w:r>
      <w:r>
        <w:tab/>
      </w:r>
      <w:r>
        <w:rPr>
          <w:spacing w:val="-5"/>
          <w:w w:val="105"/>
        </w:rPr>
        <w:t>108</w:t>
      </w:r>
    </w:p>
    <w:p w:rsidR="00487D64" w:rsidRDefault="006F0D93">
      <w:pPr>
        <w:pStyle w:val="BodyText"/>
        <w:tabs>
          <w:tab w:val="left" w:pos="9097"/>
        </w:tabs>
        <w:spacing w:before="283"/>
        <w:ind w:left="1419"/>
      </w:pPr>
      <w:r>
        <w:rPr>
          <w:w w:val="105"/>
        </w:rPr>
        <w:t>Table</w:t>
      </w:r>
      <w:r>
        <w:rPr>
          <w:spacing w:val="11"/>
          <w:w w:val="105"/>
        </w:rPr>
        <w:t xml:space="preserve"> </w:t>
      </w:r>
      <w:r>
        <w:rPr>
          <w:w w:val="105"/>
        </w:rPr>
        <w:t>4.</w:t>
      </w:r>
      <w:r>
        <w:rPr>
          <w:spacing w:val="20"/>
          <w:w w:val="105"/>
        </w:rPr>
        <w:t xml:space="preserve"> </w:t>
      </w:r>
      <w:r>
        <w:rPr>
          <w:w w:val="105"/>
        </w:rPr>
        <w:t>16:</w:t>
      </w:r>
      <w:r>
        <w:rPr>
          <w:spacing w:val="21"/>
          <w:w w:val="105"/>
        </w:rPr>
        <w:t xml:space="preserve"> </w:t>
      </w:r>
      <w:r>
        <w:rPr>
          <w:w w:val="105"/>
        </w:rPr>
        <w:t>Construct</w:t>
      </w:r>
      <w:r>
        <w:rPr>
          <w:spacing w:val="20"/>
          <w:w w:val="105"/>
        </w:rPr>
        <w:t xml:space="preserve"> </w:t>
      </w:r>
      <w:r>
        <w:rPr>
          <w:w w:val="105"/>
        </w:rPr>
        <w:t>Cross-Validated</w:t>
      </w:r>
      <w:r>
        <w:rPr>
          <w:spacing w:val="18"/>
          <w:w w:val="105"/>
        </w:rPr>
        <w:t xml:space="preserve"> </w:t>
      </w:r>
      <w:r>
        <w:rPr>
          <w:w w:val="105"/>
        </w:rPr>
        <w:t>Redundancy</w:t>
      </w:r>
      <w:r>
        <w:rPr>
          <w:spacing w:val="18"/>
          <w:w w:val="105"/>
        </w:rPr>
        <w:t xml:space="preserve"> </w:t>
      </w:r>
      <w:r>
        <w:rPr>
          <w:w w:val="105"/>
        </w:rPr>
        <w:t>(Predictive</w:t>
      </w:r>
      <w:r>
        <w:rPr>
          <w:spacing w:val="17"/>
          <w:w w:val="105"/>
        </w:rPr>
        <w:t xml:space="preserve"> </w:t>
      </w:r>
      <w:r>
        <w:rPr>
          <w:spacing w:val="-2"/>
          <w:w w:val="105"/>
        </w:rPr>
        <w:t>Relevance</w:t>
      </w:r>
      <w:r>
        <w:tab/>
      </w:r>
      <w:r>
        <w:rPr>
          <w:spacing w:val="-2"/>
          <w:w w:val="105"/>
        </w:rPr>
        <w:t>(Q2))</w:t>
      </w:r>
    </w:p>
    <w:p w:rsidR="00487D64" w:rsidRDefault="006F0D93">
      <w:pPr>
        <w:pStyle w:val="BodyText"/>
        <w:tabs>
          <w:tab w:val="left" w:leader="dot" w:pos="9272"/>
        </w:tabs>
        <w:spacing w:before="291"/>
        <w:ind w:left="1455"/>
      </w:pPr>
      <w:r>
        <w:rPr>
          <w:spacing w:val="-10"/>
          <w:w w:val="105"/>
        </w:rPr>
        <w:t>.</w:t>
      </w:r>
      <w:r>
        <w:tab/>
      </w:r>
      <w:r>
        <w:rPr>
          <w:spacing w:val="-5"/>
          <w:w w:val="105"/>
        </w:rPr>
        <w:t>109</w:t>
      </w:r>
    </w:p>
    <w:p w:rsidR="00487D64" w:rsidRDefault="006F0D93">
      <w:pPr>
        <w:pStyle w:val="BodyText"/>
        <w:tabs>
          <w:tab w:val="left" w:leader="dot" w:pos="9272"/>
        </w:tabs>
        <w:spacing w:before="289"/>
        <w:ind w:left="1419"/>
      </w:pPr>
      <w:r>
        <w:rPr>
          <w:w w:val="105"/>
        </w:rPr>
        <w:t>Table</w:t>
      </w:r>
      <w:r>
        <w:rPr>
          <w:spacing w:val="-13"/>
          <w:w w:val="105"/>
        </w:rPr>
        <w:t xml:space="preserve"> </w:t>
      </w:r>
      <w:r>
        <w:rPr>
          <w:w w:val="105"/>
        </w:rPr>
        <w:t>4.</w:t>
      </w:r>
      <w:r>
        <w:rPr>
          <w:spacing w:val="-4"/>
          <w:w w:val="105"/>
        </w:rPr>
        <w:t xml:space="preserve"> </w:t>
      </w:r>
      <w:r>
        <w:rPr>
          <w:w w:val="105"/>
        </w:rPr>
        <w:t>17:</w:t>
      </w:r>
      <w:r>
        <w:rPr>
          <w:spacing w:val="-10"/>
          <w:w w:val="105"/>
        </w:rPr>
        <w:t xml:space="preserve"> </w:t>
      </w:r>
      <w:r>
        <w:rPr>
          <w:w w:val="105"/>
        </w:rPr>
        <w:t>Model</w:t>
      </w:r>
      <w:r>
        <w:rPr>
          <w:spacing w:val="-4"/>
          <w:w w:val="105"/>
        </w:rPr>
        <w:t xml:space="preserve"> </w:t>
      </w:r>
      <w:r>
        <w:rPr>
          <w:w w:val="105"/>
        </w:rPr>
        <w:t>Fit</w:t>
      </w:r>
      <w:r>
        <w:rPr>
          <w:spacing w:val="-10"/>
          <w:w w:val="105"/>
        </w:rPr>
        <w:t xml:space="preserve"> </w:t>
      </w:r>
      <w:r>
        <w:rPr>
          <w:spacing w:val="-2"/>
          <w:w w:val="105"/>
        </w:rPr>
        <w:t>Results</w:t>
      </w:r>
      <w:r>
        <w:tab/>
      </w:r>
      <w:r>
        <w:rPr>
          <w:spacing w:val="-5"/>
          <w:w w:val="105"/>
        </w:rPr>
        <w:t>110</w:t>
      </w:r>
    </w:p>
    <w:p w:rsidR="00487D64" w:rsidRDefault="006F0D93">
      <w:pPr>
        <w:pStyle w:val="BodyText"/>
        <w:tabs>
          <w:tab w:val="left" w:leader="dot" w:pos="9272"/>
        </w:tabs>
        <w:spacing w:before="284" w:line="504" w:lineRule="auto"/>
        <w:ind w:left="1419" w:right="851"/>
      </w:pPr>
      <w:r>
        <w:rPr>
          <w:w w:val="105"/>
        </w:rPr>
        <w:t>Table 4. 18: Assessment of Structural Model Direct Relationships</w:t>
      </w:r>
      <w:r>
        <w:rPr>
          <w:spacing w:val="-1"/>
          <w:w w:val="105"/>
        </w:rPr>
        <w:t xml:space="preserve"> </w:t>
      </w:r>
      <w:r>
        <w:rPr>
          <w:w w:val="105"/>
        </w:rPr>
        <w:t>and</w:t>
      </w:r>
      <w:r>
        <w:rPr>
          <w:spacing w:val="80"/>
          <w:w w:val="150"/>
        </w:rPr>
        <w:t xml:space="preserve"> </w:t>
      </w:r>
      <w:r>
        <w:rPr>
          <w:w w:val="105"/>
        </w:rPr>
        <w:t xml:space="preserve">Moderating </w:t>
      </w:r>
      <w:r>
        <w:rPr>
          <w:spacing w:val="-2"/>
          <w:w w:val="105"/>
        </w:rPr>
        <w:t>Variable</w:t>
      </w:r>
      <w:r>
        <w:tab/>
      </w:r>
      <w:r>
        <w:rPr>
          <w:spacing w:val="-5"/>
          <w:w w:val="105"/>
        </w:rPr>
        <w:t>112</w:t>
      </w:r>
    </w:p>
    <w:p w:rsidR="00487D64" w:rsidRDefault="006F0D93">
      <w:pPr>
        <w:pStyle w:val="BodyText"/>
        <w:tabs>
          <w:tab w:val="left" w:leader="dot" w:pos="9272"/>
        </w:tabs>
        <w:spacing w:line="496" w:lineRule="auto"/>
        <w:ind w:left="1419" w:right="851"/>
      </w:pPr>
      <w:r>
        <w:rPr>
          <w:w w:val="105"/>
        </w:rPr>
        <w:t>Table</w:t>
      </w:r>
      <w:r>
        <w:rPr>
          <w:spacing w:val="40"/>
          <w:w w:val="105"/>
        </w:rPr>
        <w:t xml:space="preserve"> </w:t>
      </w:r>
      <w:r>
        <w:rPr>
          <w:w w:val="105"/>
        </w:rPr>
        <w:t>4.</w:t>
      </w:r>
      <w:r>
        <w:rPr>
          <w:spacing w:val="40"/>
          <w:w w:val="105"/>
        </w:rPr>
        <w:t xml:space="preserve"> </w:t>
      </w:r>
      <w:r>
        <w:rPr>
          <w:w w:val="105"/>
        </w:rPr>
        <w:t>19:</w:t>
      </w:r>
      <w:r>
        <w:rPr>
          <w:spacing w:val="40"/>
          <w:w w:val="105"/>
        </w:rPr>
        <w:t xml:space="preserve"> </w:t>
      </w:r>
      <w:r>
        <w:rPr>
          <w:w w:val="105"/>
        </w:rPr>
        <w:t>Assessment</w:t>
      </w:r>
      <w:r>
        <w:rPr>
          <w:spacing w:val="40"/>
          <w:w w:val="105"/>
        </w:rPr>
        <w:t xml:space="preserve"> </w:t>
      </w:r>
      <w:r>
        <w:rPr>
          <w:w w:val="105"/>
        </w:rPr>
        <w:t>of</w:t>
      </w:r>
      <w:r>
        <w:rPr>
          <w:spacing w:val="40"/>
          <w:w w:val="105"/>
        </w:rPr>
        <w:t xml:space="preserve"> </w:t>
      </w:r>
      <w:r>
        <w:rPr>
          <w:w w:val="105"/>
        </w:rPr>
        <w:t>Structural</w:t>
      </w:r>
      <w:r>
        <w:rPr>
          <w:spacing w:val="40"/>
          <w:w w:val="105"/>
        </w:rPr>
        <w:t xml:space="preserve"> </w:t>
      </w:r>
      <w:r>
        <w:rPr>
          <w:w w:val="105"/>
        </w:rPr>
        <w:t>Model</w:t>
      </w:r>
      <w:r>
        <w:rPr>
          <w:spacing w:val="40"/>
          <w:w w:val="105"/>
        </w:rPr>
        <w:t xml:space="preserve"> </w:t>
      </w:r>
      <w:r>
        <w:rPr>
          <w:w w:val="105"/>
        </w:rPr>
        <w:t>Interaction</w:t>
      </w:r>
      <w:r>
        <w:rPr>
          <w:spacing w:val="40"/>
          <w:w w:val="105"/>
        </w:rPr>
        <w:t xml:space="preserve"> </w:t>
      </w:r>
      <w:r>
        <w:rPr>
          <w:w w:val="105"/>
        </w:rPr>
        <w:t>terms</w:t>
      </w:r>
      <w:r>
        <w:rPr>
          <w:spacing w:val="40"/>
          <w:w w:val="105"/>
        </w:rPr>
        <w:t xml:space="preserve"> </w:t>
      </w:r>
      <w:r>
        <w:rPr>
          <w:w w:val="105"/>
        </w:rPr>
        <w:t>and</w:t>
      </w:r>
      <w:r>
        <w:rPr>
          <w:spacing w:val="40"/>
          <w:w w:val="105"/>
        </w:rPr>
        <w:t xml:space="preserve"> </w:t>
      </w:r>
      <w:r>
        <w:rPr>
          <w:w w:val="105"/>
        </w:rPr>
        <w:t>Dependent</w:t>
      </w:r>
      <w:r>
        <w:rPr>
          <w:spacing w:val="40"/>
          <w:w w:val="105"/>
        </w:rPr>
        <w:t xml:space="preserve"> </w:t>
      </w:r>
      <w:r>
        <w:rPr>
          <w:spacing w:val="-2"/>
          <w:w w:val="105"/>
        </w:rPr>
        <w:t>Variable</w:t>
      </w:r>
      <w:r>
        <w:tab/>
      </w:r>
      <w:r>
        <w:rPr>
          <w:spacing w:val="-5"/>
          <w:w w:val="105"/>
        </w:rPr>
        <w:t>116</w:t>
      </w:r>
    </w:p>
    <w:p w:rsidR="00487D64" w:rsidRDefault="00487D64">
      <w:pPr>
        <w:pStyle w:val="BodyText"/>
        <w:spacing w:line="496" w:lineRule="auto"/>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3066" w:right="2507"/>
        <w:jc w:val="center"/>
        <w:rPr>
          <w:b/>
          <w:sz w:val="23"/>
        </w:rPr>
      </w:pPr>
      <w:r>
        <w:rPr>
          <w:b/>
          <w:w w:val="105"/>
          <w:sz w:val="23"/>
        </w:rPr>
        <w:t>LIST</w:t>
      </w:r>
      <w:r>
        <w:rPr>
          <w:b/>
          <w:spacing w:val="-9"/>
          <w:w w:val="105"/>
          <w:sz w:val="23"/>
        </w:rPr>
        <w:t xml:space="preserve"> </w:t>
      </w:r>
      <w:r>
        <w:rPr>
          <w:b/>
          <w:w w:val="105"/>
          <w:sz w:val="23"/>
        </w:rPr>
        <w:t>OF</w:t>
      </w:r>
      <w:r>
        <w:rPr>
          <w:b/>
          <w:spacing w:val="-10"/>
          <w:w w:val="105"/>
          <w:sz w:val="23"/>
        </w:rPr>
        <w:t xml:space="preserve"> </w:t>
      </w:r>
      <w:r>
        <w:rPr>
          <w:b/>
          <w:spacing w:val="-2"/>
          <w:w w:val="105"/>
          <w:sz w:val="23"/>
        </w:rPr>
        <w:t>FIGURES</w:t>
      </w:r>
    </w:p>
    <w:p w:rsidR="00487D64" w:rsidRDefault="00487D64">
      <w:pPr>
        <w:pStyle w:val="BodyText"/>
        <w:spacing w:before="18"/>
        <w:rPr>
          <w:b/>
        </w:rPr>
      </w:pPr>
    </w:p>
    <w:p w:rsidR="00487D64" w:rsidRDefault="006F0D93">
      <w:pPr>
        <w:pStyle w:val="BodyText"/>
        <w:tabs>
          <w:tab w:val="left" w:leader="dot" w:pos="9394"/>
        </w:tabs>
        <w:ind w:left="1419"/>
      </w:pPr>
      <w:r>
        <w:rPr>
          <w:w w:val="105"/>
        </w:rPr>
        <w:t>Figure</w:t>
      </w:r>
      <w:r>
        <w:rPr>
          <w:spacing w:val="-16"/>
          <w:w w:val="105"/>
        </w:rPr>
        <w:t xml:space="preserve"> </w:t>
      </w:r>
      <w:r>
        <w:rPr>
          <w:w w:val="105"/>
        </w:rPr>
        <w:t>2.</w:t>
      </w:r>
      <w:r>
        <w:rPr>
          <w:spacing w:val="-4"/>
          <w:w w:val="105"/>
        </w:rPr>
        <w:t xml:space="preserve"> </w:t>
      </w:r>
      <w:r>
        <w:rPr>
          <w:w w:val="105"/>
        </w:rPr>
        <w:t>1:</w:t>
      </w:r>
      <w:r>
        <w:rPr>
          <w:spacing w:val="-11"/>
          <w:w w:val="105"/>
        </w:rPr>
        <w:t xml:space="preserve"> </w:t>
      </w:r>
      <w:r>
        <w:rPr>
          <w:w w:val="105"/>
        </w:rPr>
        <w:t>Conceptual</w:t>
      </w:r>
      <w:r>
        <w:rPr>
          <w:spacing w:val="-5"/>
          <w:w w:val="105"/>
        </w:rPr>
        <w:t xml:space="preserve"> </w:t>
      </w:r>
      <w:r>
        <w:rPr>
          <w:w w:val="105"/>
        </w:rPr>
        <w:t>Framework</w:t>
      </w:r>
      <w:r>
        <w:rPr>
          <w:spacing w:val="-1"/>
          <w:w w:val="105"/>
        </w:rPr>
        <w:t xml:space="preserve"> </w:t>
      </w:r>
      <w:r>
        <w:rPr>
          <w:w w:val="105"/>
        </w:rPr>
        <w:t>of</w:t>
      </w:r>
      <w:r>
        <w:rPr>
          <w:spacing w:val="-15"/>
          <w:w w:val="105"/>
        </w:rPr>
        <w:t xml:space="preserve"> </w:t>
      </w:r>
      <w:r>
        <w:rPr>
          <w:w w:val="105"/>
        </w:rPr>
        <w:t>the</w:t>
      </w:r>
      <w:r>
        <w:rPr>
          <w:spacing w:val="-7"/>
          <w:w w:val="105"/>
        </w:rPr>
        <w:t xml:space="preserve"> </w:t>
      </w:r>
      <w:r>
        <w:rPr>
          <w:spacing w:val="-4"/>
          <w:w w:val="105"/>
        </w:rPr>
        <w:t>Study</w:t>
      </w:r>
      <w:r>
        <w:tab/>
      </w:r>
      <w:r>
        <w:rPr>
          <w:spacing w:val="-5"/>
          <w:w w:val="105"/>
        </w:rPr>
        <w:t>45</w:t>
      </w:r>
    </w:p>
    <w:p w:rsidR="00487D64" w:rsidRDefault="00487D64">
      <w:pPr>
        <w:pStyle w:val="BodyText"/>
        <w:spacing w:before="18"/>
      </w:pPr>
    </w:p>
    <w:p w:rsidR="00487D64" w:rsidRDefault="006F0D93">
      <w:pPr>
        <w:pStyle w:val="BodyText"/>
        <w:tabs>
          <w:tab w:val="left" w:leader="dot" w:pos="9394"/>
        </w:tabs>
        <w:spacing w:before="1"/>
        <w:ind w:left="1419"/>
      </w:pPr>
      <w:r>
        <w:rPr>
          <w:w w:val="105"/>
        </w:rPr>
        <w:t>Figure</w:t>
      </w:r>
      <w:r>
        <w:rPr>
          <w:spacing w:val="-16"/>
          <w:w w:val="105"/>
        </w:rPr>
        <w:t xml:space="preserve"> </w:t>
      </w:r>
      <w:r>
        <w:rPr>
          <w:w w:val="105"/>
        </w:rPr>
        <w:t>4.</w:t>
      </w:r>
      <w:r>
        <w:rPr>
          <w:spacing w:val="-5"/>
          <w:w w:val="105"/>
        </w:rPr>
        <w:t xml:space="preserve"> </w:t>
      </w:r>
      <w:r>
        <w:rPr>
          <w:w w:val="105"/>
        </w:rPr>
        <w:t>1:</w:t>
      </w:r>
      <w:r>
        <w:rPr>
          <w:spacing w:val="-11"/>
          <w:w w:val="105"/>
        </w:rPr>
        <w:t xml:space="preserve"> </w:t>
      </w:r>
      <w:r>
        <w:rPr>
          <w:w w:val="105"/>
        </w:rPr>
        <w:t>Significance</w:t>
      </w:r>
      <w:r>
        <w:rPr>
          <w:spacing w:val="-8"/>
          <w:w w:val="105"/>
        </w:rPr>
        <w:t xml:space="preserve"> </w:t>
      </w:r>
      <w:r>
        <w:rPr>
          <w:w w:val="105"/>
        </w:rPr>
        <w:t>of</w:t>
      </w:r>
      <w:r>
        <w:rPr>
          <w:spacing w:val="-15"/>
          <w:w w:val="105"/>
        </w:rPr>
        <w:t xml:space="preserve"> </w:t>
      </w:r>
      <w:r>
        <w:rPr>
          <w:w w:val="105"/>
        </w:rPr>
        <w:t>Path</w:t>
      </w:r>
      <w:r>
        <w:rPr>
          <w:spacing w:val="-7"/>
          <w:w w:val="105"/>
        </w:rPr>
        <w:t xml:space="preserve"> </w:t>
      </w:r>
      <w:r>
        <w:rPr>
          <w:w w:val="105"/>
        </w:rPr>
        <w:t>Coefficient</w:t>
      </w:r>
      <w:r>
        <w:rPr>
          <w:spacing w:val="-5"/>
          <w:w w:val="105"/>
        </w:rPr>
        <w:t xml:space="preserve"> </w:t>
      </w:r>
      <w:r>
        <w:rPr>
          <w:w w:val="105"/>
        </w:rPr>
        <w:t>after</w:t>
      </w:r>
      <w:r>
        <w:rPr>
          <w:spacing w:val="-10"/>
          <w:w w:val="105"/>
        </w:rPr>
        <w:t xml:space="preserve"> </w:t>
      </w:r>
      <w:r>
        <w:rPr>
          <w:w w:val="105"/>
        </w:rPr>
        <w:t>Running</w:t>
      </w:r>
      <w:r>
        <w:rPr>
          <w:spacing w:val="-6"/>
          <w:w w:val="105"/>
        </w:rPr>
        <w:t xml:space="preserve"> </w:t>
      </w:r>
      <w:r>
        <w:rPr>
          <w:spacing w:val="-2"/>
          <w:w w:val="105"/>
        </w:rPr>
        <w:t>Bootstrapping</w:t>
      </w:r>
      <w:r>
        <w:tab/>
      </w:r>
      <w:r>
        <w:rPr>
          <w:spacing w:val="-5"/>
          <w:w w:val="105"/>
        </w:rPr>
        <w:t>86</w:t>
      </w:r>
    </w:p>
    <w:p w:rsidR="00487D64" w:rsidRDefault="00487D64">
      <w:pPr>
        <w:pStyle w:val="BodyText"/>
        <w:spacing w:before="25"/>
      </w:pPr>
    </w:p>
    <w:p w:rsidR="00487D64" w:rsidRDefault="006F0D93">
      <w:pPr>
        <w:pStyle w:val="BodyText"/>
        <w:tabs>
          <w:tab w:val="left" w:leader="dot" w:pos="9394"/>
        </w:tabs>
        <w:spacing w:before="1"/>
        <w:ind w:left="1419"/>
      </w:pPr>
      <w:r>
        <w:rPr>
          <w:w w:val="105"/>
        </w:rPr>
        <w:t>Figure</w:t>
      </w:r>
      <w:r>
        <w:rPr>
          <w:spacing w:val="-12"/>
          <w:w w:val="105"/>
        </w:rPr>
        <w:t xml:space="preserve"> </w:t>
      </w:r>
      <w:r>
        <w:rPr>
          <w:w w:val="105"/>
        </w:rPr>
        <w:t>4.</w:t>
      </w:r>
      <w:r>
        <w:rPr>
          <w:spacing w:val="-3"/>
          <w:w w:val="105"/>
        </w:rPr>
        <w:t xml:space="preserve"> </w:t>
      </w:r>
      <w:r>
        <w:rPr>
          <w:w w:val="105"/>
        </w:rPr>
        <w:t>2:</w:t>
      </w:r>
      <w:r>
        <w:rPr>
          <w:spacing w:val="-9"/>
          <w:w w:val="105"/>
        </w:rPr>
        <w:t xml:space="preserve"> </w:t>
      </w:r>
      <w:r>
        <w:rPr>
          <w:w w:val="105"/>
        </w:rPr>
        <w:t>Shows</w:t>
      </w:r>
      <w:r>
        <w:rPr>
          <w:spacing w:val="-13"/>
          <w:w w:val="105"/>
        </w:rPr>
        <w:t xml:space="preserve"> </w:t>
      </w:r>
      <w:r>
        <w:rPr>
          <w:w w:val="105"/>
        </w:rPr>
        <w:t>the</w:t>
      </w:r>
      <w:r>
        <w:rPr>
          <w:spacing w:val="-5"/>
          <w:w w:val="105"/>
        </w:rPr>
        <w:t xml:space="preserve"> </w:t>
      </w:r>
      <w:r>
        <w:rPr>
          <w:w w:val="105"/>
        </w:rPr>
        <w:t>Source</w:t>
      </w:r>
      <w:r>
        <w:rPr>
          <w:spacing w:val="-6"/>
          <w:w w:val="105"/>
        </w:rPr>
        <w:t xml:space="preserve"> </w:t>
      </w:r>
      <w:r>
        <w:rPr>
          <w:w w:val="105"/>
        </w:rPr>
        <w:t>of</w:t>
      </w:r>
      <w:r>
        <w:rPr>
          <w:spacing w:val="-15"/>
          <w:w w:val="105"/>
        </w:rPr>
        <w:t xml:space="preserve"> </w:t>
      </w:r>
      <w:r>
        <w:rPr>
          <w:w w:val="105"/>
        </w:rPr>
        <w:t>Income</w:t>
      </w:r>
      <w:r>
        <w:rPr>
          <w:spacing w:val="-5"/>
          <w:w w:val="105"/>
        </w:rPr>
        <w:t xml:space="preserve"> </w:t>
      </w:r>
      <w:r>
        <w:rPr>
          <w:w w:val="105"/>
        </w:rPr>
        <w:t>Generation</w:t>
      </w:r>
      <w:r>
        <w:rPr>
          <w:spacing w:val="-5"/>
          <w:w w:val="105"/>
        </w:rPr>
        <w:t xml:space="preserve"> </w:t>
      </w:r>
      <w:r>
        <w:rPr>
          <w:w w:val="105"/>
        </w:rPr>
        <w:t>of</w:t>
      </w:r>
      <w:r>
        <w:rPr>
          <w:spacing w:val="-14"/>
          <w:w w:val="105"/>
        </w:rPr>
        <w:t xml:space="preserve"> </w:t>
      </w:r>
      <w:r>
        <w:rPr>
          <w:w w:val="105"/>
        </w:rPr>
        <w:t>the</w:t>
      </w:r>
      <w:r>
        <w:rPr>
          <w:spacing w:val="-6"/>
          <w:w w:val="105"/>
        </w:rPr>
        <w:t xml:space="preserve"> </w:t>
      </w:r>
      <w:r>
        <w:rPr>
          <w:w w:val="105"/>
        </w:rPr>
        <w:t>Special</w:t>
      </w:r>
      <w:r>
        <w:rPr>
          <w:spacing w:val="-9"/>
          <w:w w:val="105"/>
        </w:rPr>
        <w:t xml:space="preserve"> </w:t>
      </w:r>
      <w:r>
        <w:rPr>
          <w:spacing w:val="-2"/>
          <w:w w:val="105"/>
        </w:rPr>
        <w:t>Groups</w:t>
      </w:r>
      <w:r>
        <w:tab/>
      </w:r>
      <w:r>
        <w:rPr>
          <w:spacing w:val="-5"/>
          <w:w w:val="105"/>
        </w:rPr>
        <w:t>95</w:t>
      </w:r>
    </w:p>
    <w:p w:rsidR="00487D64" w:rsidRDefault="00487D64">
      <w:pPr>
        <w:pStyle w:val="BodyText"/>
        <w:spacing w:before="25"/>
      </w:pPr>
    </w:p>
    <w:p w:rsidR="00487D64" w:rsidRDefault="006F0D93">
      <w:pPr>
        <w:pStyle w:val="BodyText"/>
        <w:tabs>
          <w:tab w:val="left" w:leader="dot" w:pos="9394"/>
        </w:tabs>
        <w:ind w:left="1419"/>
      </w:pPr>
      <w:r>
        <w:rPr>
          <w:w w:val="105"/>
        </w:rPr>
        <w:t>Figure</w:t>
      </w:r>
      <w:r>
        <w:rPr>
          <w:spacing w:val="-16"/>
          <w:w w:val="105"/>
        </w:rPr>
        <w:t xml:space="preserve"> </w:t>
      </w:r>
      <w:r>
        <w:rPr>
          <w:w w:val="105"/>
        </w:rPr>
        <w:t>4.</w:t>
      </w:r>
      <w:r>
        <w:rPr>
          <w:spacing w:val="-8"/>
          <w:w w:val="105"/>
        </w:rPr>
        <w:t xml:space="preserve"> </w:t>
      </w:r>
      <w:r>
        <w:rPr>
          <w:w w:val="105"/>
        </w:rPr>
        <w:t>3:</w:t>
      </w:r>
      <w:r>
        <w:rPr>
          <w:spacing w:val="-7"/>
          <w:w w:val="105"/>
        </w:rPr>
        <w:t xml:space="preserve"> </w:t>
      </w:r>
      <w:r>
        <w:rPr>
          <w:w w:val="105"/>
        </w:rPr>
        <w:t>Measurement</w:t>
      </w:r>
      <w:r>
        <w:rPr>
          <w:spacing w:val="-8"/>
          <w:w w:val="105"/>
        </w:rPr>
        <w:t xml:space="preserve"> </w:t>
      </w:r>
      <w:r>
        <w:rPr>
          <w:w w:val="105"/>
        </w:rPr>
        <w:t>(Outer)</w:t>
      </w:r>
      <w:r>
        <w:rPr>
          <w:spacing w:val="-5"/>
          <w:w w:val="105"/>
        </w:rPr>
        <w:t xml:space="preserve"> </w:t>
      </w:r>
      <w:r>
        <w:rPr>
          <w:spacing w:val="-4"/>
          <w:w w:val="105"/>
        </w:rPr>
        <w:t>model</w:t>
      </w:r>
      <w:r>
        <w:tab/>
      </w:r>
      <w:r>
        <w:rPr>
          <w:spacing w:val="-5"/>
          <w:w w:val="105"/>
        </w:rPr>
        <w:t>98</w:t>
      </w:r>
    </w:p>
    <w:p w:rsidR="00487D64" w:rsidRDefault="00487D64">
      <w:pPr>
        <w:pStyle w:val="BodyText"/>
        <w:spacing w:before="19"/>
      </w:pPr>
    </w:p>
    <w:p w:rsidR="00487D64" w:rsidRDefault="006F0D93">
      <w:pPr>
        <w:pStyle w:val="BodyText"/>
        <w:tabs>
          <w:tab w:val="left" w:leader="dot" w:pos="9272"/>
        </w:tabs>
        <w:ind w:left="1419"/>
      </w:pPr>
      <w:r>
        <w:rPr>
          <w:w w:val="105"/>
        </w:rPr>
        <w:t>Figure</w:t>
      </w:r>
      <w:r>
        <w:rPr>
          <w:spacing w:val="-16"/>
          <w:w w:val="105"/>
        </w:rPr>
        <w:t xml:space="preserve"> </w:t>
      </w:r>
      <w:r>
        <w:rPr>
          <w:w w:val="105"/>
        </w:rPr>
        <w:t>4.</w:t>
      </w:r>
      <w:r>
        <w:rPr>
          <w:spacing w:val="-7"/>
          <w:w w:val="105"/>
        </w:rPr>
        <w:t xml:space="preserve"> </w:t>
      </w:r>
      <w:r>
        <w:rPr>
          <w:w w:val="105"/>
        </w:rPr>
        <w:t>4:</w:t>
      </w:r>
      <w:r>
        <w:rPr>
          <w:spacing w:val="-14"/>
          <w:w w:val="105"/>
        </w:rPr>
        <w:t xml:space="preserve"> </w:t>
      </w:r>
      <w:r>
        <w:rPr>
          <w:w w:val="105"/>
        </w:rPr>
        <w:t>Bootstrapping;</w:t>
      </w:r>
      <w:r>
        <w:rPr>
          <w:spacing w:val="-13"/>
          <w:w w:val="105"/>
        </w:rPr>
        <w:t xml:space="preserve"> </w:t>
      </w:r>
      <w:r>
        <w:rPr>
          <w:w w:val="105"/>
        </w:rPr>
        <w:t>T</w:t>
      </w:r>
      <w:r>
        <w:rPr>
          <w:spacing w:val="-1"/>
          <w:w w:val="105"/>
        </w:rPr>
        <w:t xml:space="preserve"> </w:t>
      </w:r>
      <w:r>
        <w:rPr>
          <w:w w:val="105"/>
        </w:rPr>
        <w:t>Statistics</w:t>
      </w:r>
      <w:r>
        <w:rPr>
          <w:spacing w:val="-12"/>
          <w:w w:val="105"/>
        </w:rPr>
        <w:t xml:space="preserve"> </w:t>
      </w:r>
      <w:r>
        <w:rPr>
          <w:spacing w:val="-2"/>
          <w:w w:val="105"/>
        </w:rPr>
        <w:t>(|O/STDEV|)</w:t>
      </w:r>
      <w:r>
        <w:tab/>
      </w:r>
      <w:r>
        <w:rPr>
          <w:spacing w:val="-5"/>
          <w:w w:val="105"/>
        </w:rPr>
        <w:t>111</w:t>
      </w:r>
    </w:p>
    <w:p w:rsidR="00487D64" w:rsidRDefault="00487D64">
      <w:pPr>
        <w:pStyle w:val="BodyText"/>
        <w:spacing w:before="25"/>
      </w:pPr>
    </w:p>
    <w:p w:rsidR="00487D64" w:rsidRDefault="006F0D93">
      <w:pPr>
        <w:pStyle w:val="BodyText"/>
        <w:tabs>
          <w:tab w:val="left" w:leader="dot" w:pos="9272"/>
        </w:tabs>
        <w:spacing w:line="504" w:lineRule="auto"/>
        <w:ind w:left="1419" w:right="851"/>
      </w:pPr>
      <w:r>
        <w:rPr>
          <w:w w:val="105"/>
        </w:rPr>
        <w:t>Figure</w:t>
      </w:r>
      <w:r>
        <w:rPr>
          <w:spacing w:val="80"/>
          <w:w w:val="105"/>
        </w:rPr>
        <w:t xml:space="preserve"> </w:t>
      </w:r>
      <w:r>
        <w:rPr>
          <w:w w:val="105"/>
        </w:rPr>
        <w:t>4.</w:t>
      </w:r>
      <w:r>
        <w:rPr>
          <w:spacing w:val="80"/>
          <w:w w:val="105"/>
        </w:rPr>
        <w:t xml:space="preserve"> </w:t>
      </w:r>
      <w:r>
        <w:rPr>
          <w:w w:val="105"/>
        </w:rPr>
        <w:t>5:</w:t>
      </w:r>
      <w:r>
        <w:rPr>
          <w:spacing w:val="80"/>
          <w:w w:val="105"/>
        </w:rPr>
        <w:t xml:space="preserve"> </w:t>
      </w:r>
      <w:r>
        <w:rPr>
          <w:w w:val="105"/>
        </w:rPr>
        <w:t>Interaction</w:t>
      </w:r>
      <w:r>
        <w:rPr>
          <w:spacing w:val="80"/>
          <w:w w:val="105"/>
        </w:rPr>
        <w:t xml:space="preserve"> </w:t>
      </w:r>
      <w:r>
        <w:rPr>
          <w:w w:val="105"/>
        </w:rPr>
        <w:t>term</w:t>
      </w:r>
      <w:r>
        <w:rPr>
          <w:spacing w:val="80"/>
          <w:w w:val="105"/>
        </w:rPr>
        <w:t xml:space="preserve"> </w:t>
      </w:r>
      <w:r>
        <w:rPr>
          <w:w w:val="105"/>
        </w:rPr>
        <w:t>and</w:t>
      </w:r>
      <w:r>
        <w:rPr>
          <w:spacing w:val="80"/>
          <w:w w:val="105"/>
        </w:rPr>
        <w:t xml:space="preserve"> </w:t>
      </w:r>
      <w:r>
        <w:rPr>
          <w:w w:val="105"/>
        </w:rPr>
        <w:t>their</w:t>
      </w:r>
      <w:r>
        <w:rPr>
          <w:spacing w:val="80"/>
          <w:w w:val="105"/>
        </w:rPr>
        <w:t xml:space="preserve"> </w:t>
      </w:r>
      <w:r>
        <w:rPr>
          <w:w w:val="105"/>
        </w:rPr>
        <w:t>influence</w:t>
      </w:r>
      <w:r>
        <w:rPr>
          <w:spacing w:val="80"/>
          <w:w w:val="105"/>
        </w:rPr>
        <w:t xml:space="preserve"> </w:t>
      </w:r>
      <w:r>
        <w:rPr>
          <w:w w:val="105"/>
        </w:rPr>
        <w:t>to</w:t>
      </w:r>
      <w:r>
        <w:rPr>
          <w:spacing w:val="80"/>
          <w:w w:val="105"/>
        </w:rPr>
        <w:t xml:space="preserve"> </w:t>
      </w:r>
      <w:r>
        <w:rPr>
          <w:w w:val="105"/>
        </w:rPr>
        <w:t>the</w:t>
      </w:r>
      <w:r>
        <w:rPr>
          <w:spacing w:val="80"/>
          <w:w w:val="105"/>
        </w:rPr>
        <w:t xml:space="preserve"> </w:t>
      </w:r>
      <w:r>
        <w:rPr>
          <w:w w:val="105"/>
        </w:rPr>
        <w:t>dependent</w:t>
      </w:r>
      <w:r>
        <w:rPr>
          <w:spacing w:val="80"/>
          <w:w w:val="105"/>
        </w:rPr>
        <w:t xml:space="preserve"> </w:t>
      </w:r>
      <w:r>
        <w:rPr>
          <w:w w:val="105"/>
        </w:rPr>
        <w:t xml:space="preserve">construct </w:t>
      </w:r>
      <w:r>
        <w:t>Significant</w:t>
      </w:r>
      <w:r>
        <w:rPr>
          <w:spacing w:val="31"/>
        </w:rPr>
        <w:t xml:space="preserve"> </w:t>
      </w:r>
      <w:r>
        <w:t>at</w:t>
      </w:r>
      <w:r>
        <w:rPr>
          <w:spacing w:val="31"/>
        </w:rPr>
        <w:t xml:space="preserve"> </w:t>
      </w:r>
      <w:r>
        <w:t>P&lt;0.050</w:t>
      </w:r>
      <w:r>
        <w:rPr>
          <w:spacing w:val="28"/>
        </w:rPr>
        <w:t xml:space="preserve"> </w:t>
      </w:r>
      <w:r>
        <w:t>(Two-tailed</w:t>
      </w:r>
      <w:r>
        <w:rPr>
          <w:spacing w:val="19"/>
        </w:rPr>
        <w:t xml:space="preserve"> </w:t>
      </w:r>
      <w:r>
        <w:rPr>
          <w:spacing w:val="-4"/>
        </w:rPr>
        <w:t>Test)</w:t>
      </w:r>
      <w:r>
        <w:tab/>
      </w:r>
      <w:r>
        <w:rPr>
          <w:spacing w:val="-5"/>
        </w:rPr>
        <w:t>115</w:t>
      </w:r>
    </w:p>
    <w:p w:rsidR="00487D64" w:rsidRDefault="006F0D93">
      <w:pPr>
        <w:pStyle w:val="BodyText"/>
        <w:tabs>
          <w:tab w:val="left" w:leader="dot" w:pos="9272"/>
        </w:tabs>
        <w:spacing w:line="256" w:lineRule="exact"/>
        <w:ind w:left="1419"/>
      </w:pPr>
      <w:r>
        <w:rPr>
          <w:w w:val="105"/>
        </w:rPr>
        <w:t>Figure</w:t>
      </w:r>
      <w:r>
        <w:rPr>
          <w:spacing w:val="-13"/>
          <w:w w:val="105"/>
        </w:rPr>
        <w:t xml:space="preserve"> </w:t>
      </w:r>
      <w:r>
        <w:rPr>
          <w:w w:val="105"/>
        </w:rPr>
        <w:t>5.</w:t>
      </w:r>
      <w:r>
        <w:rPr>
          <w:spacing w:val="-4"/>
          <w:w w:val="105"/>
        </w:rPr>
        <w:t xml:space="preserve"> </w:t>
      </w:r>
      <w:r>
        <w:rPr>
          <w:w w:val="105"/>
        </w:rPr>
        <w:t>1:</w:t>
      </w:r>
      <w:r>
        <w:rPr>
          <w:spacing w:val="-10"/>
          <w:w w:val="105"/>
        </w:rPr>
        <w:t xml:space="preserve"> </w:t>
      </w:r>
      <w:r>
        <w:rPr>
          <w:w w:val="105"/>
        </w:rPr>
        <w:t>Final</w:t>
      </w:r>
      <w:r>
        <w:rPr>
          <w:spacing w:val="-3"/>
          <w:w w:val="105"/>
        </w:rPr>
        <w:t xml:space="preserve"> </w:t>
      </w:r>
      <w:r>
        <w:rPr>
          <w:spacing w:val="-2"/>
          <w:w w:val="105"/>
        </w:rPr>
        <w:t>Model</w:t>
      </w:r>
      <w:r>
        <w:tab/>
      </w:r>
      <w:r>
        <w:rPr>
          <w:spacing w:val="-5"/>
          <w:w w:val="105"/>
        </w:rPr>
        <w:t>140</w:t>
      </w:r>
    </w:p>
    <w:p w:rsidR="00487D64" w:rsidRDefault="00487D64">
      <w:pPr>
        <w:pStyle w:val="BodyText"/>
        <w:spacing w:line="256" w:lineRule="exact"/>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4020"/>
        <w:rPr>
          <w:b/>
          <w:sz w:val="23"/>
        </w:rPr>
      </w:pPr>
      <w:bookmarkStart w:id="17" w:name="LIST_OF_ABBREVIATIONS"/>
      <w:bookmarkStart w:id="18" w:name="_bookmark8"/>
      <w:bookmarkEnd w:id="17"/>
      <w:bookmarkEnd w:id="18"/>
      <w:r>
        <w:rPr>
          <w:b/>
          <w:w w:val="105"/>
          <w:sz w:val="23"/>
        </w:rPr>
        <w:t>LIST</w:t>
      </w:r>
      <w:r>
        <w:rPr>
          <w:b/>
          <w:spacing w:val="-9"/>
          <w:w w:val="105"/>
          <w:sz w:val="23"/>
        </w:rPr>
        <w:t xml:space="preserve"> </w:t>
      </w:r>
      <w:r>
        <w:rPr>
          <w:b/>
          <w:w w:val="105"/>
          <w:sz w:val="23"/>
        </w:rPr>
        <w:t>OF</w:t>
      </w:r>
      <w:r>
        <w:rPr>
          <w:b/>
          <w:spacing w:val="-3"/>
          <w:w w:val="105"/>
          <w:sz w:val="23"/>
        </w:rPr>
        <w:t xml:space="preserve"> </w:t>
      </w:r>
      <w:r>
        <w:rPr>
          <w:b/>
          <w:spacing w:val="-2"/>
          <w:w w:val="105"/>
          <w:sz w:val="23"/>
        </w:rPr>
        <w:t>ABBREVIATIONS</w:t>
      </w:r>
    </w:p>
    <w:p w:rsidR="00487D64" w:rsidRDefault="00487D64">
      <w:pPr>
        <w:pStyle w:val="BodyText"/>
        <w:spacing w:before="56"/>
        <w:rPr>
          <w:b/>
          <w:sz w:val="20"/>
        </w:rPr>
      </w:pPr>
    </w:p>
    <w:tbl>
      <w:tblPr>
        <w:tblW w:w="0" w:type="auto"/>
        <w:tblInd w:w="1376" w:type="dxa"/>
        <w:tblLayout w:type="fixed"/>
        <w:tblCellMar>
          <w:left w:w="0" w:type="dxa"/>
          <w:right w:w="0" w:type="dxa"/>
        </w:tblCellMar>
        <w:tblLook w:val="01E0" w:firstRow="1" w:lastRow="1" w:firstColumn="1" w:lastColumn="1" w:noHBand="0" w:noVBand="0"/>
      </w:tblPr>
      <w:tblGrid>
        <w:gridCol w:w="1673"/>
        <w:gridCol w:w="6275"/>
      </w:tblGrid>
      <w:tr w:rsidR="00487D64">
        <w:trPr>
          <w:trHeight w:val="405"/>
        </w:trPr>
        <w:tc>
          <w:tcPr>
            <w:tcW w:w="1673" w:type="dxa"/>
          </w:tcPr>
          <w:p w:rsidR="00487D64" w:rsidRDefault="006F0D93">
            <w:pPr>
              <w:pStyle w:val="TableParagraph"/>
              <w:spacing w:line="261" w:lineRule="exact"/>
              <w:ind w:left="50"/>
              <w:rPr>
                <w:sz w:val="23"/>
              </w:rPr>
            </w:pPr>
            <w:r>
              <w:rPr>
                <w:spacing w:val="-4"/>
                <w:w w:val="105"/>
                <w:sz w:val="23"/>
              </w:rPr>
              <w:t>AGPO</w:t>
            </w:r>
          </w:p>
        </w:tc>
        <w:tc>
          <w:tcPr>
            <w:tcW w:w="6275" w:type="dxa"/>
          </w:tcPr>
          <w:p w:rsidR="00487D64" w:rsidRDefault="006F0D93">
            <w:pPr>
              <w:pStyle w:val="TableParagraph"/>
              <w:spacing w:line="261" w:lineRule="exact"/>
              <w:ind w:left="538"/>
              <w:rPr>
                <w:sz w:val="23"/>
              </w:rPr>
            </w:pPr>
            <w:r>
              <w:rPr>
                <w:sz w:val="23"/>
              </w:rPr>
              <w:t>Access</w:t>
            </w:r>
            <w:r>
              <w:rPr>
                <w:spacing w:val="29"/>
                <w:sz w:val="23"/>
              </w:rPr>
              <w:t xml:space="preserve"> </w:t>
            </w:r>
            <w:r>
              <w:rPr>
                <w:sz w:val="23"/>
              </w:rPr>
              <w:t>to</w:t>
            </w:r>
            <w:r>
              <w:rPr>
                <w:spacing w:val="24"/>
                <w:sz w:val="23"/>
              </w:rPr>
              <w:t xml:space="preserve"> </w:t>
            </w:r>
            <w:r>
              <w:rPr>
                <w:sz w:val="23"/>
              </w:rPr>
              <w:t>Government</w:t>
            </w:r>
            <w:r>
              <w:rPr>
                <w:spacing w:val="26"/>
                <w:sz w:val="23"/>
              </w:rPr>
              <w:t xml:space="preserve"> </w:t>
            </w:r>
            <w:r>
              <w:rPr>
                <w:sz w:val="23"/>
              </w:rPr>
              <w:t>Procurement</w:t>
            </w:r>
            <w:r>
              <w:rPr>
                <w:spacing w:val="37"/>
                <w:sz w:val="23"/>
              </w:rPr>
              <w:t xml:space="preserve"> </w:t>
            </w:r>
            <w:r>
              <w:rPr>
                <w:spacing w:val="-2"/>
                <w:sz w:val="23"/>
              </w:rPr>
              <w:t>Opportunities</w:t>
            </w:r>
          </w:p>
        </w:tc>
      </w:tr>
      <w:tr w:rsidR="00487D64">
        <w:trPr>
          <w:trHeight w:val="551"/>
        </w:trPr>
        <w:tc>
          <w:tcPr>
            <w:tcW w:w="1673" w:type="dxa"/>
          </w:tcPr>
          <w:p w:rsidR="00487D64" w:rsidRDefault="006F0D93">
            <w:pPr>
              <w:pStyle w:val="TableParagraph"/>
              <w:spacing w:before="139"/>
              <w:ind w:left="50"/>
              <w:rPr>
                <w:sz w:val="23"/>
              </w:rPr>
            </w:pPr>
            <w:r>
              <w:rPr>
                <w:spacing w:val="-5"/>
                <w:w w:val="105"/>
                <w:sz w:val="23"/>
              </w:rPr>
              <w:t>AVE</w:t>
            </w:r>
          </w:p>
        </w:tc>
        <w:tc>
          <w:tcPr>
            <w:tcW w:w="6275" w:type="dxa"/>
          </w:tcPr>
          <w:p w:rsidR="00487D64" w:rsidRDefault="006F0D93">
            <w:pPr>
              <w:pStyle w:val="TableParagraph"/>
              <w:spacing w:before="139"/>
              <w:ind w:left="538"/>
              <w:rPr>
                <w:sz w:val="23"/>
              </w:rPr>
            </w:pPr>
            <w:r>
              <w:rPr>
                <w:sz w:val="23"/>
              </w:rPr>
              <w:t>Average</w:t>
            </w:r>
            <w:r>
              <w:rPr>
                <w:spacing w:val="28"/>
                <w:sz w:val="23"/>
              </w:rPr>
              <w:t xml:space="preserve"> </w:t>
            </w:r>
            <w:r>
              <w:rPr>
                <w:sz w:val="23"/>
              </w:rPr>
              <w:t>Variance</w:t>
            </w:r>
            <w:r>
              <w:rPr>
                <w:spacing w:val="28"/>
                <w:sz w:val="23"/>
              </w:rPr>
              <w:t xml:space="preserve"> </w:t>
            </w:r>
            <w:r>
              <w:rPr>
                <w:spacing w:val="-2"/>
                <w:sz w:val="23"/>
              </w:rPr>
              <w:t>Extracted</w:t>
            </w:r>
          </w:p>
        </w:tc>
      </w:tr>
      <w:tr w:rsidR="00487D64">
        <w:trPr>
          <w:trHeight w:val="554"/>
        </w:trPr>
        <w:tc>
          <w:tcPr>
            <w:tcW w:w="1673" w:type="dxa"/>
          </w:tcPr>
          <w:p w:rsidR="00487D64" w:rsidRDefault="006F0D93">
            <w:pPr>
              <w:pStyle w:val="TableParagraph"/>
              <w:spacing w:before="143"/>
              <w:ind w:left="50"/>
              <w:rPr>
                <w:sz w:val="23"/>
              </w:rPr>
            </w:pPr>
            <w:r>
              <w:rPr>
                <w:spacing w:val="-5"/>
                <w:w w:val="105"/>
                <w:sz w:val="23"/>
              </w:rPr>
              <w:t>CAG</w:t>
            </w:r>
          </w:p>
        </w:tc>
        <w:tc>
          <w:tcPr>
            <w:tcW w:w="6275" w:type="dxa"/>
          </w:tcPr>
          <w:p w:rsidR="00487D64" w:rsidRDefault="006F0D93">
            <w:pPr>
              <w:pStyle w:val="TableParagraph"/>
              <w:spacing w:before="143"/>
              <w:ind w:left="538"/>
              <w:rPr>
                <w:sz w:val="23"/>
              </w:rPr>
            </w:pPr>
            <w:r>
              <w:rPr>
                <w:sz w:val="23"/>
              </w:rPr>
              <w:t>Controller</w:t>
            </w:r>
            <w:r>
              <w:rPr>
                <w:spacing w:val="31"/>
                <w:sz w:val="23"/>
              </w:rPr>
              <w:t xml:space="preserve"> </w:t>
            </w:r>
            <w:r>
              <w:rPr>
                <w:sz w:val="23"/>
              </w:rPr>
              <w:t>Auditor</w:t>
            </w:r>
            <w:r>
              <w:rPr>
                <w:spacing w:val="22"/>
                <w:sz w:val="23"/>
              </w:rPr>
              <w:t xml:space="preserve"> </w:t>
            </w:r>
            <w:r>
              <w:rPr>
                <w:spacing w:val="-2"/>
                <w:sz w:val="23"/>
              </w:rPr>
              <w:t>General</w:t>
            </w:r>
          </w:p>
        </w:tc>
      </w:tr>
      <w:tr w:rsidR="00487D64">
        <w:trPr>
          <w:trHeight w:val="551"/>
        </w:trPr>
        <w:tc>
          <w:tcPr>
            <w:tcW w:w="1673" w:type="dxa"/>
          </w:tcPr>
          <w:p w:rsidR="00487D64" w:rsidRDefault="006F0D93">
            <w:pPr>
              <w:pStyle w:val="TableParagraph"/>
              <w:spacing w:before="142"/>
              <w:ind w:left="50"/>
              <w:rPr>
                <w:sz w:val="23"/>
              </w:rPr>
            </w:pPr>
            <w:r>
              <w:rPr>
                <w:spacing w:val="-5"/>
                <w:w w:val="105"/>
                <w:sz w:val="23"/>
              </w:rPr>
              <w:t>CO</w:t>
            </w:r>
          </w:p>
        </w:tc>
        <w:tc>
          <w:tcPr>
            <w:tcW w:w="6275" w:type="dxa"/>
          </w:tcPr>
          <w:p w:rsidR="00487D64" w:rsidRDefault="006F0D93">
            <w:pPr>
              <w:pStyle w:val="TableParagraph"/>
              <w:spacing w:before="142"/>
              <w:ind w:left="538"/>
              <w:rPr>
                <w:sz w:val="23"/>
              </w:rPr>
            </w:pPr>
            <w:r>
              <w:rPr>
                <w:sz w:val="23"/>
              </w:rPr>
              <w:t>Competitor</w:t>
            </w:r>
            <w:r>
              <w:rPr>
                <w:spacing w:val="31"/>
                <w:sz w:val="23"/>
              </w:rPr>
              <w:t xml:space="preserve"> </w:t>
            </w:r>
            <w:r>
              <w:rPr>
                <w:spacing w:val="-2"/>
                <w:sz w:val="23"/>
              </w:rPr>
              <w:t>Orientation</w:t>
            </w:r>
          </w:p>
        </w:tc>
      </w:tr>
      <w:tr w:rsidR="00487D64">
        <w:trPr>
          <w:trHeight w:val="551"/>
        </w:trPr>
        <w:tc>
          <w:tcPr>
            <w:tcW w:w="1673" w:type="dxa"/>
          </w:tcPr>
          <w:p w:rsidR="00487D64" w:rsidRDefault="006F0D93">
            <w:pPr>
              <w:pStyle w:val="TableParagraph"/>
              <w:spacing w:before="139"/>
              <w:ind w:left="50"/>
              <w:rPr>
                <w:sz w:val="23"/>
              </w:rPr>
            </w:pPr>
            <w:r>
              <w:rPr>
                <w:spacing w:val="-2"/>
                <w:w w:val="105"/>
                <w:sz w:val="23"/>
              </w:rPr>
              <w:t>COSTECH</w:t>
            </w:r>
          </w:p>
        </w:tc>
        <w:tc>
          <w:tcPr>
            <w:tcW w:w="6275" w:type="dxa"/>
          </w:tcPr>
          <w:p w:rsidR="00487D64" w:rsidRDefault="006F0D93">
            <w:pPr>
              <w:pStyle w:val="TableParagraph"/>
              <w:spacing w:before="139"/>
              <w:ind w:left="538"/>
              <w:rPr>
                <w:sz w:val="23"/>
              </w:rPr>
            </w:pPr>
            <w:r>
              <w:rPr>
                <w:w w:val="105"/>
                <w:sz w:val="23"/>
              </w:rPr>
              <w:t>Commission</w:t>
            </w:r>
            <w:r>
              <w:rPr>
                <w:spacing w:val="-11"/>
                <w:w w:val="105"/>
                <w:sz w:val="23"/>
              </w:rPr>
              <w:t xml:space="preserve"> </w:t>
            </w:r>
            <w:r>
              <w:rPr>
                <w:w w:val="105"/>
                <w:sz w:val="23"/>
              </w:rPr>
              <w:t>for</w:t>
            </w:r>
            <w:r>
              <w:rPr>
                <w:spacing w:val="-6"/>
                <w:w w:val="105"/>
                <w:sz w:val="23"/>
              </w:rPr>
              <w:t xml:space="preserve"> </w:t>
            </w:r>
            <w:r>
              <w:rPr>
                <w:w w:val="105"/>
                <w:sz w:val="23"/>
              </w:rPr>
              <w:t>Science</w:t>
            </w:r>
            <w:r>
              <w:rPr>
                <w:spacing w:val="-15"/>
                <w:w w:val="105"/>
                <w:sz w:val="23"/>
              </w:rPr>
              <w:t xml:space="preserve"> </w:t>
            </w:r>
            <w:r>
              <w:rPr>
                <w:w w:val="105"/>
                <w:sz w:val="23"/>
              </w:rPr>
              <w:t>and</w:t>
            </w:r>
            <w:r>
              <w:rPr>
                <w:spacing w:val="-12"/>
                <w:w w:val="105"/>
                <w:sz w:val="23"/>
              </w:rPr>
              <w:t xml:space="preserve"> </w:t>
            </w:r>
            <w:r>
              <w:rPr>
                <w:spacing w:val="-2"/>
                <w:w w:val="105"/>
                <w:sz w:val="23"/>
              </w:rPr>
              <w:t>Technology</w:t>
            </w:r>
          </w:p>
        </w:tc>
      </w:tr>
      <w:tr w:rsidR="00487D64">
        <w:trPr>
          <w:trHeight w:val="554"/>
        </w:trPr>
        <w:tc>
          <w:tcPr>
            <w:tcW w:w="1673" w:type="dxa"/>
          </w:tcPr>
          <w:p w:rsidR="00487D64" w:rsidRDefault="006F0D93">
            <w:pPr>
              <w:pStyle w:val="TableParagraph"/>
              <w:spacing w:before="142"/>
              <w:ind w:left="50"/>
              <w:rPr>
                <w:sz w:val="23"/>
              </w:rPr>
            </w:pPr>
            <w:r>
              <w:rPr>
                <w:spacing w:val="-5"/>
                <w:w w:val="105"/>
                <w:sz w:val="23"/>
              </w:rPr>
              <w:t>CR</w:t>
            </w:r>
          </w:p>
        </w:tc>
        <w:tc>
          <w:tcPr>
            <w:tcW w:w="6275" w:type="dxa"/>
          </w:tcPr>
          <w:p w:rsidR="00487D64" w:rsidRDefault="006F0D93">
            <w:pPr>
              <w:pStyle w:val="TableParagraph"/>
              <w:spacing w:before="142"/>
              <w:ind w:left="538"/>
              <w:rPr>
                <w:sz w:val="23"/>
              </w:rPr>
            </w:pPr>
            <w:r>
              <w:rPr>
                <w:sz w:val="23"/>
              </w:rPr>
              <w:t>Composite</w:t>
            </w:r>
            <w:r>
              <w:rPr>
                <w:spacing w:val="32"/>
                <w:sz w:val="23"/>
              </w:rPr>
              <w:t xml:space="preserve"> </w:t>
            </w:r>
            <w:r>
              <w:rPr>
                <w:spacing w:val="-2"/>
                <w:sz w:val="23"/>
              </w:rPr>
              <w:t>Reliability</w:t>
            </w:r>
          </w:p>
        </w:tc>
      </w:tr>
      <w:tr w:rsidR="00487D64">
        <w:trPr>
          <w:trHeight w:val="550"/>
        </w:trPr>
        <w:tc>
          <w:tcPr>
            <w:tcW w:w="1673" w:type="dxa"/>
          </w:tcPr>
          <w:p w:rsidR="00487D64" w:rsidRDefault="006F0D93">
            <w:pPr>
              <w:pStyle w:val="TableParagraph"/>
              <w:spacing w:before="143"/>
              <w:ind w:left="50"/>
              <w:rPr>
                <w:sz w:val="23"/>
              </w:rPr>
            </w:pPr>
            <w:r>
              <w:rPr>
                <w:spacing w:val="-5"/>
                <w:w w:val="105"/>
                <w:sz w:val="23"/>
              </w:rPr>
              <w:t>CU</w:t>
            </w:r>
          </w:p>
        </w:tc>
        <w:tc>
          <w:tcPr>
            <w:tcW w:w="6275" w:type="dxa"/>
          </w:tcPr>
          <w:p w:rsidR="00487D64" w:rsidRDefault="006F0D93">
            <w:pPr>
              <w:pStyle w:val="TableParagraph"/>
              <w:spacing w:before="143"/>
              <w:ind w:left="538"/>
              <w:rPr>
                <w:sz w:val="23"/>
              </w:rPr>
            </w:pPr>
            <w:r>
              <w:rPr>
                <w:sz w:val="23"/>
              </w:rPr>
              <w:t>Customer</w:t>
            </w:r>
            <w:r>
              <w:rPr>
                <w:spacing w:val="28"/>
                <w:sz w:val="23"/>
              </w:rPr>
              <w:t xml:space="preserve"> </w:t>
            </w:r>
            <w:r>
              <w:rPr>
                <w:spacing w:val="-2"/>
                <w:sz w:val="23"/>
              </w:rPr>
              <w:t>Orientation</w:t>
            </w:r>
          </w:p>
        </w:tc>
      </w:tr>
      <w:tr w:rsidR="00487D64">
        <w:trPr>
          <w:trHeight w:val="551"/>
        </w:trPr>
        <w:tc>
          <w:tcPr>
            <w:tcW w:w="1673" w:type="dxa"/>
          </w:tcPr>
          <w:p w:rsidR="00487D64" w:rsidRDefault="006F0D93">
            <w:pPr>
              <w:pStyle w:val="TableParagraph"/>
              <w:spacing w:before="139"/>
              <w:ind w:left="50"/>
              <w:rPr>
                <w:sz w:val="23"/>
              </w:rPr>
            </w:pPr>
            <w:r>
              <w:rPr>
                <w:spacing w:val="-5"/>
                <w:w w:val="105"/>
                <w:sz w:val="23"/>
              </w:rPr>
              <w:t>DCT</w:t>
            </w:r>
          </w:p>
        </w:tc>
        <w:tc>
          <w:tcPr>
            <w:tcW w:w="6275" w:type="dxa"/>
          </w:tcPr>
          <w:p w:rsidR="00487D64" w:rsidRDefault="006F0D93">
            <w:pPr>
              <w:pStyle w:val="TableParagraph"/>
              <w:spacing w:before="139"/>
              <w:ind w:left="538"/>
              <w:rPr>
                <w:sz w:val="23"/>
              </w:rPr>
            </w:pPr>
            <w:r>
              <w:rPr>
                <w:sz w:val="23"/>
              </w:rPr>
              <w:t>Dynamic</w:t>
            </w:r>
            <w:r>
              <w:rPr>
                <w:spacing w:val="30"/>
                <w:sz w:val="23"/>
              </w:rPr>
              <w:t xml:space="preserve"> </w:t>
            </w:r>
            <w:r>
              <w:rPr>
                <w:sz w:val="23"/>
              </w:rPr>
              <w:t>Capability</w:t>
            </w:r>
            <w:r>
              <w:rPr>
                <w:spacing w:val="32"/>
                <w:sz w:val="23"/>
              </w:rPr>
              <w:t xml:space="preserve"> </w:t>
            </w:r>
            <w:r>
              <w:rPr>
                <w:spacing w:val="-2"/>
                <w:sz w:val="23"/>
              </w:rPr>
              <w:t>Theory</w:t>
            </w:r>
          </w:p>
        </w:tc>
      </w:tr>
      <w:tr w:rsidR="00487D64">
        <w:trPr>
          <w:trHeight w:val="554"/>
        </w:trPr>
        <w:tc>
          <w:tcPr>
            <w:tcW w:w="1673" w:type="dxa"/>
          </w:tcPr>
          <w:p w:rsidR="00487D64" w:rsidRDefault="006F0D93">
            <w:pPr>
              <w:pStyle w:val="TableParagraph"/>
              <w:spacing w:before="143"/>
              <w:ind w:left="50"/>
              <w:rPr>
                <w:sz w:val="23"/>
              </w:rPr>
            </w:pPr>
            <w:r>
              <w:rPr>
                <w:spacing w:val="-5"/>
                <w:w w:val="105"/>
                <w:sz w:val="23"/>
              </w:rPr>
              <w:t>EIC</w:t>
            </w:r>
          </w:p>
        </w:tc>
        <w:tc>
          <w:tcPr>
            <w:tcW w:w="6275" w:type="dxa"/>
          </w:tcPr>
          <w:p w:rsidR="00487D64" w:rsidRDefault="006F0D93">
            <w:pPr>
              <w:pStyle w:val="TableParagraph"/>
              <w:spacing w:before="143"/>
              <w:ind w:left="538"/>
              <w:rPr>
                <w:sz w:val="23"/>
              </w:rPr>
            </w:pPr>
            <w:r>
              <w:rPr>
                <w:sz w:val="23"/>
              </w:rPr>
              <w:t>Environmental</w:t>
            </w:r>
            <w:r>
              <w:rPr>
                <w:spacing w:val="41"/>
                <w:sz w:val="23"/>
              </w:rPr>
              <w:t xml:space="preserve"> </w:t>
            </w:r>
            <w:r>
              <w:rPr>
                <w:sz w:val="23"/>
              </w:rPr>
              <w:t>Innovation</w:t>
            </w:r>
            <w:r>
              <w:rPr>
                <w:spacing w:val="37"/>
                <w:sz w:val="23"/>
              </w:rPr>
              <w:t xml:space="preserve"> </w:t>
            </w:r>
            <w:r>
              <w:rPr>
                <w:spacing w:val="-2"/>
                <w:sz w:val="23"/>
              </w:rPr>
              <w:t>Capability</w:t>
            </w:r>
          </w:p>
        </w:tc>
      </w:tr>
      <w:tr w:rsidR="00487D64">
        <w:trPr>
          <w:trHeight w:val="550"/>
        </w:trPr>
        <w:tc>
          <w:tcPr>
            <w:tcW w:w="1673" w:type="dxa"/>
          </w:tcPr>
          <w:p w:rsidR="00487D64" w:rsidRDefault="006F0D93">
            <w:pPr>
              <w:pStyle w:val="TableParagraph"/>
              <w:spacing w:before="142"/>
              <w:ind w:left="50"/>
              <w:rPr>
                <w:sz w:val="23"/>
              </w:rPr>
            </w:pPr>
            <w:r>
              <w:rPr>
                <w:spacing w:val="-5"/>
                <w:w w:val="105"/>
                <w:sz w:val="23"/>
              </w:rPr>
              <w:t>EU</w:t>
            </w:r>
          </w:p>
        </w:tc>
        <w:tc>
          <w:tcPr>
            <w:tcW w:w="6275" w:type="dxa"/>
          </w:tcPr>
          <w:p w:rsidR="00487D64" w:rsidRDefault="006F0D93">
            <w:pPr>
              <w:pStyle w:val="TableParagraph"/>
              <w:spacing w:before="142"/>
              <w:ind w:left="538"/>
              <w:rPr>
                <w:sz w:val="23"/>
              </w:rPr>
            </w:pPr>
            <w:r>
              <w:rPr>
                <w:sz w:val="23"/>
              </w:rPr>
              <w:t>European</w:t>
            </w:r>
            <w:r>
              <w:rPr>
                <w:spacing w:val="33"/>
                <w:sz w:val="23"/>
              </w:rPr>
              <w:t xml:space="preserve"> </w:t>
            </w:r>
            <w:r>
              <w:rPr>
                <w:spacing w:val="-2"/>
                <w:sz w:val="23"/>
              </w:rPr>
              <w:t>Union</w:t>
            </w:r>
          </w:p>
        </w:tc>
      </w:tr>
      <w:tr w:rsidR="00487D64">
        <w:trPr>
          <w:trHeight w:val="551"/>
        </w:trPr>
        <w:tc>
          <w:tcPr>
            <w:tcW w:w="1673" w:type="dxa"/>
          </w:tcPr>
          <w:p w:rsidR="00487D64" w:rsidRDefault="006F0D93">
            <w:pPr>
              <w:pStyle w:val="TableParagraph"/>
              <w:spacing w:before="139"/>
              <w:ind w:left="50"/>
              <w:rPr>
                <w:sz w:val="23"/>
              </w:rPr>
            </w:pPr>
            <w:r>
              <w:rPr>
                <w:spacing w:val="-5"/>
                <w:w w:val="105"/>
                <w:sz w:val="23"/>
              </w:rPr>
              <w:t>FC</w:t>
            </w:r>
          </w:p>
        </w:tc>
        <w:tc>
          <w:tcPr>
            <w:tcW w:w="6275" w:type="dxa"/>
          </w:tcPr>
          <w:p w:rsidR="00487D64" w:rsidRDefault="006F0D93">
            <w:pPr>
              <w:pStyle w:val="TableParagraph"/>
              <w:spacing w:before="139"/>
              <w:ind w:left="538"/>
              <w:rPr>
                <w:sz w:val="23"/>
              </w:rPr>
            </w:pPr>
            <w:r>
              <w:rPr>
                <w:sz w:val="23"/>
              </w:rPr>
              <w:t>Functional</w:t>
            </w:r>
            <w:r>
              <w:rPr>
                <w:spacing w:val="29"/>
                <w:sz w:val="23"/>
              </w:rPr>
              <w:t xml:space="preserve"> </w:t>
            </w:r>
            <w:r>
              <w:rPr>
                <w:spacing w:val="-2"/>
                <w:sz w:val="23"/>
              </w:rPr>
              <w:t>Coordination</w:t>
            </w:r>
          </w:p>
        </w:tc>
      </w:tr>
      <w:tr w:rsidR="00487D64">
        <w:trPr>
          <w:trHeight w:val="554"/>
        </w:trPr>
        <w:tc>
          <w:tcPr>
            <w:tcW w:w="1673" w:type="dxa"/>
          </w:tcPr>
          <w:p w:rsidR="00487D64" w:rsidRDefault="006F0D93">
            <w:pPr>
              <w:pStyle w:val="TableParagraph"/>
              <w:spacing w:before="142"/>
              <w:ind w:left="50"/>
              <w:rPr>
                <w:sz w:val="23"/>
              </w:rPr>
            </w:pPr>
            <w:r>
              <w:rPr>
                <w:spacing w:val="-4"/>
                <w:w w:val="105"/>
                <w:sz w:val="23"/>
              </w:rPr>
              <w:t>HTMT</w:t>
            </w:r>
          </w:p>
        </w:tc>
        <w:tc>
          <w:tcPr>
            <w:tcW w:w="6275" w:type="dxa"/>
          </w:tcPr>
          <w:p w:rsidR="00487D64" w:rsidRDefault="006F0D93">
            <w:pPr>
              <w:pStyle w:val="TableParagraph"/>
              <w:spacing w:before="142"/>
              <w:ind w:left="538"/>
              <w:rPr>
                <w:sz w:val="23"/>
              </w:rPr>
            </w:pPr>
            <w:r>
              <w:rPr>
                <w:sz w:val="23"/>
              </w:rPr>
              <w:t>Heterotrait-</w:t>
            </w:r>
            <w:r>
              <w:rPr>
                <w:spacing w:val="-2"/>
                <w:sz w:val="23"/>
              </w:rPr>
              <w:t>Monotrait</w:t>
            </w:r>
          </w:p>
        </w:tc>
      </w:tr>
      <w:tr w:rsidR="00487D64">
        <w:trPr>
          <w:trHeight w:val="551"/>
        </w:trPr>
        <w:tc>
          <w:tcPr>
            <w:tcW w:w="1673" w:type="dxa"/>
          </w:tcPr>
          <w:p w:rsidR="00487D64" w:rsidRDefault="006F0D93">
            <w:pPr>
              <w:pStyle w:val="TableParagraph"/>
              <w:spacing w:before="143"/>
              <w:ind w:left="50"/>
              <w:rPr>
                <w:sz w:val="23"/>
              </w:rPr>
            </w:pPr>
            <w:r>
              <w:rPr>
                <w:spacing w:val="-4"/>
                <w:w w:val="105"/>
                <w:sz w:val="23"/>
              </w:rPr>
              <w:t>LGAs</w:t>
            </w:r>
          </w:p>
        </w:tc>
        <w:tc>
          <w:tcPr>
            <w:tcW w:w="6275" w:type="dxa"/>
          </w:tcPr>
          <w:p w:rsidR="00487D64" w:rsidRDefault="006F0D93">
            <w:pPr>
              <w:pStyle w:val="TableParagraph"/>
              <w:spacing w:before="143"/>
              <w:ind w:left="538"/>
              <w:rPr>
                <w:sz w:val="23"/>
              </w:rPr>
            </w:pPr>
            <w:r>
              <w:rPr>
                <w:sz w:val="23"/>
              </w:rPr>
              <w:t>Local</w:t>
            </w:r>
            <w:r>
              <w:rPr>
                <w:spacing w:val="26"/>
                <w:sz w:val="23"/>
              </w:rPr>
              <w:t xml:space="preserve"> </w:t>
            </w:r>
            <w:r>
              <w:rPr>
                <w:sz w:val="23"/>
              </w:rPr>
              <w:t>Government</w:t>
            </w:r>
            <w:r>
              <w:rPr>
                <w:spacing w:val="37"/>
                <w:sz w:val="23"/>
              </w:rPr>
              <w:t xml:space="preserve"> </w:t>
            </w:r>
            <w:r>
              <w:rPr>
                <w:spacing w:val="-2"/>
                <w:sz w:val="23"/>
              </w:rPr>
              <w:t>Authority</w:t>
            </w:r>
          </w:p>
        </w:tc>
      </w:tr>
      <w:tr w:rsidR="00487D64">
        <w:trPr>
          <w:trHeight w:val="550"/>
        </w:trPr>
        <w:tc>
          <w:tcPr>
            <w:tcW w:w="1673" w:type="dxa"/>
          </w:tcPr>
          <w:p w:rsidR="00487D64" w:rsidRDefault="006F0D93">
            <w:pPr>
              <w:pStyle w:val="TableParagraph"/>
              <w:spacing w:before="139"/>
              <w:ind w:left="50"/>
              <w:rPr>
                <w:sz w:val="23"/>
              </w:rPr>
            </w:pPr>
            <w:r>
              <w:rPr>
                <w:spacing w:val="-5"/>
                <w:w w:val="105"/>
                <w:sz w:val="23"/>
              </w:rPr>
              <w:t>MO</w:t>
            </w:r>
          </w:p>
        </w:tc>
        <w:tc>
          <w:tcPr>
            <w:tcW w:w="6275" w:type="dxa"/>
          </w:tcPr>
          <w:p w:rsidR="00487D64" w:rsidRDefault="006F0D93">
            <w:pPr>
              <w:pStyle w:val="TableParagraph"/>
              <w:spacing w:before="139"/>
              <w:ind w:left="538"/>
              <w:rPr>
                <w:sz w:val="23"/>
              </w:rPr>
            </w:pPr>
            <w:r>
              <w:rPr>
                <w:w w:val="105"/>
                <w:sz w:val="23"/>
              </w:rPr>
              <w:t>Market</w:t>
            </w:r>
            <w:r>
              <w:rPr>
                <w:spacing w:val="-15"/>
                <w:w w:val="105"/>
                <w:sz w:val="23"/>
              </w:rPr>
              <w:t xml:space="preserve"> </w:t>
            </w:r>
            <w:r>
              <w:rPr>
                <w:spacing w:val="-2"/>
                <w:w w:val="105"/>
                <w:sz w:val="23"/>
              </w:rPr>
              <w:t>Orientation</w:t>
            </w:r>
          </w:p>
        </w:tc>
      </w:tr>
      <w:tr w:rsidR="00487D64">
        <w:trPr>
          <w:trHeight w:val="554"/>
        </w:trPr>
        <w:tc>
          <w:tcPr>
            <w:tcW w:w="1673" w:type="dxa"/>
          </w:tcPr>
          <w:p w:rsidR="00487D64" w:rsidRDefault="006F0D93">
            <w:pPr>
              <w:pStyle w:val="TableParagraph"/>
              <w:spacing w:before="143"/>
              <w:ind w:left="50"/>
              <w:rPr>
                <w:sz w:val="23"/>
              </w:rPr>
            </w:pPr>
            <w:r>
              <w:rPr>
                <w:spacing w:val="-5"/>
                <w:w w:val="105"/>
                <w:sz w:val="23"/>
              </w:rPr>
              <w:t>MOT</w:t>
            </w:r>
          </w:p>
        </w:tc>
        <w:tc>
          <w:tcPr>
            <w:tcW w:w="6275" w:type="dxa"/>
          </w:tcPr>
          <w:p w:rsidR="00487D64" w:rsidRDefault="006F0D93">
            <w:pPr>
              <w:pStyle w:val="TableParagraph"/>
              <w:spacing w:before="143"/>
              <w:ind w:left="538"/>
              <w:rPr>
                <w:sz w:val="23"/>
              </w:rPr>
            </w:pPr>
            <w:r>
              <w:rPr>
                <w:sz w:val="23"/>
              </w:rPr>
              <w:t>Market</w:t>
            </w:r>
            <w:r>
              <w:rPr>
                <w:spacing w:val="30"/>
                <w:sz w:val="23"/>
              </w:rPr>
              <w:t xml:space="preserve"> </w:t>
            </w:r>
            <w:r>
              <w:rPr>
                <w:sz w:val="23"/>
              </w:rPr>
              <w:t>Orientation</w:t>
            </w:r>
            <w:r>
              <w:rPr>
                <w:spacing w:val="28"/>
                <w:sz w:val="23"/>
              </w:rPr>
              <w:t xml:space="preserve"> </w:t>
            </w:r>
            <w:r>
              <w:rPr>
                <w:spacing w:val="-2"/>
                <w:sz w:val="23"/>
              </w:rPr>
              <w:t>Theory</w:t>
            </w:r>
          </w:p>
        </w:tc>
      </w:tr>
      <w:tr w:rsidR="00487D64">
        <w:trPr>
          <w:trHeight w:val="551"/>
        </w:trPr>
        <w:tc>
          <w:tcPr>
            <w:tcW w:w="1673" w:type="dxa"/>
          </w:tcPr>
          <w:p w:rsidR="00487D64" w:rsidRDefault="006F0D93">
            <w:pPr>
              <w:pStyle w:val="TableParagraph"/>
              <w:spacing w:before="142"/>
              <w:ind w:left="50"/>
              <w:rPr>
                <w:sz w:val="23"/>
              </w:rPr>
            </w:pPr>
            <w:r>
              <w:rPr>
                <w:spacing w:val="-4"/>
                <w:w w:val="105"/>
                <w:sz w:val="23"/>
              </w:rPr>
              <w:t>MSEs</w:t>
            </w:r>
          </w:p>
        </w:tc>
        <w:tc>
          <w:tcPr>
            <w:tcW w:w="6275" w:type="dxa"/>
          </w:tcPr>
          <w:p w:rsidR="00487D64" w:rsidRDefault="006F0D93">
            <w:pPr>
              <w:pStyle w:val="TableParagraph"/>
              <w:spacing w:before="142"/>
              <w:ind w:left="538"/>
              <w:rPr>
                <w:sz w:val="23"/>
              </w:rPr>
            </w:pPr>
            <w:r>
              <w:rPr>
                <w:w w:val="105"/>
                <w:sz w:val="23"/>
              </w:rPr>
              <w:t>Micro</w:t>
            </w:r>
            <w:r>
              <w:rPr>
                <w:spacing w:val="-9"/>
                <w:w w:val="105"/>
                <w:sz w:val="23"/>
              </w:rPr>
              <w:t xml:space="preserve"> </w:t>
            </w:r>
            <w:r>
              <w:rPr>
                <w:w w:val="105"/>
                <w:sz w:val="23"/>
              </w:rPr>
              <w:t>and</w:t>
            </w:r>
            <w:r>
              <w:rPr>
                <w:spacing w:val="-9"/>
                <w:w w:val="105"/>
                <w:sz w:val="23"/>
              </w:rPr>
              <w:t xml:space="preserve"> </w:t>
            </w:r>
            <w:r>
              <w:rPr>
                <w:w w:val="105"/>
                <w:sz w:val="23"/>
              </w:rPr>
              <w:t>Small</w:t>
            </w:r>
            <w:r>
              <w:rPr>
                <w:spacing w:val="-8"/>
                <w:w w:val="105"/>
                <w:sz w:val="23"/>
              </w:rPr>
              <w:t xml:space="preserve"> </w:t>
            </w:r>
            <w:r>
              <w:rPr>
                <w:spacing w:val="-2"/>
                <w:w w:val="105"/>
                <w:sz w:val="23"/>
              </w:rPr>
              <w:t>Enterprises</w:t>
            </w:r>
          </w:p>
        </w:tc>
      </w:tr>
      <w:tr w:rsidR="00487D64">
        <w:trPr>
          <w:trHeight w:val="550"/>
        </w:trPr>
        <w:tc>
          <w:tcPr>
            <w:tcW w:w="1673" w:type="dxa"/>
          </w:tcPr>
          <w:p w:rsidR="00487D64" w:rsidRDefault="006F0D93">
            <w:pPr>
              <w:pStyle w:val="TableParagraph"/>
              <w:spacing w:before="139"/>
              <w:ind w:left="50"/>
              <w:rPr>
                <w:sz w:val="23"/>
              </w:rPr>
            </w:pPr>
            <w:r>
              <w:rPr>
                <w:spacing w:val="-4"/>
                <w:w w:val="105"/>
                <w:sz w:val="23"/>
              </w:rPr>
              <w:t>OECD</w:t>
            </w:r>
          </w:p>
        </w:tc>
        <w:tc>
          <w:tcPr>
            <w:tcW w:w="6275" w:type="dxa"/>
          </w:tcPr>
          <w:p w:rsidR="00487D64" w:rsidRDefault="006F0D93">
            <w:pPr>
              <w:pStyle w:val="TableParagraph"/>
              <w:spacing w:before="139"/>
              <w:ind w:left="538"/>
              <w:rPr>
                <w:sz w:val="23"/>
              </w:rPr>
            </w:pPr>
            <w:r>
              <w:rPr>
                <w:sz w:val="23"/>
              </w:rPr>
              <w:t>Organisation</w:t>
            </w:r>
            <w:r>
              <w:rPr>
                <w:spacing w:val="33"/>
                <w:sz w:val="23"/>
              </w:rPr>
              <w:t xml:space="preserve"> </w:t>
            </w:r>
            <w:r>
              <w:rPr>
                <w:sz w:val="23"/>
              </w:rPr>
              <w:t>for</w:t>
            </w:r>
            <w:r>
              <w:rPr>
                <w:spacing w:val="39"/>
                <w:sz w:val="23"/>
              </w:rPr>
              <w:t xml:space="preserve"> </w:t>
            </w:r>
            <w:r>
              <w:rPr>
                <w:sz w:val="23"/>
              </w:rPr>
              <w:t>Economic</w:t>
            </w:r>
            <w:r>
              <w:rPr>
                <w:spacing w:val="21"/>
                <w:sz w:val="23"/>
              </w:rPr>
              <w:t xml:space="preserve"> </w:t>
            </w:r>
            <w:r>
              <w:rPr>
                <w:sz w:val="23"/>
              </w:rPr>
              <w:t>Co-operation</w:t>
            </w:r>
            <w:r>
              <w:rPr>
                <w:spacing w:val="22"/>
                <w:sz w:val="23"/>
              </w:rPr>
              <w:t xml:space="preserve"> </w:t>
            </w:r>
            <w:r>
              <w:rPr>
                <w:sz w:val="23"/>
              </w:rPr>
              <w:t>and</w:t>
            </w:r>
            <w:r>
              <w:rPr>
                <w:spacing w:val="34"/>
                <w:sz w:val="23"/>
              </w:rPr>
              <w:t xml:space="preserve"> </w:t>
            </w:r>
            <w:r>
              <w:rPr>
                <w:spacing w:val="-2"/>
                <w:sz w:val="23"/>
              </w:rPr>
              <w:t>Development</w:t>
            </w:r>
          </w:p>
        </w:tc>
      </w:tr>
      <w:tr w:rsidR="00487D64">
        <w:trPr>
          <w:trHeight w:val="554"/>
        </w:trPr>
        <w:tc>
          <w:tcPr>
            <w:tcW w:w="1673" w:type="dxa"/>
          </w:tcPr>
          <w:p w:rsidR="00487D64" w:rsidRDefault="006F0D93">
            <w:pPr>
              <w:pStyle w:val="TableParagraph"/>
              <w:spacing w:before="142"/>
              <w:ind w:left="50"/>
              <w:rPr>
                <w:sz w:val="23"/>
              </w:rPr>
            </w:pPr>
            <w:r>
              <w:rPr>
                <w:spacing w:val="-5"/>
                <w:w w:val="105"/>
                <w:sz w:val="23"/>
              </w:rPr>
              <w:t>OUT</w:t>
            </w:r>
          </w:p>
        </w:tc>
        <w:tc>
          <w:tcPr>
            <w:tcW w:w="6275" w:type="dxa"/>
          </w:tcPr>
          <w:p w:rsidR="00487D64" w:rsidRDefault="006F0D93">
            <w:pPr>
              <w:pStyle w:val="TableParagraph"/>
              <w:spacing w:before="142"/>
              <w:ind w:left="538"/>
              <w:rPr>
                <w:sz w:val="23"/>
              </w:rPr>
            </w:pPr>
            <w:r>
              <w:rPr>
                <w:w w:val="105"/>
                <w:sz w:val="23"/>
              </w:rPr>
              <w:t>Open</w:t>
            </w:r>
            <w:r>
              <w:rPr>
                <w:spacing w:val="-6"/>
                <w:w w:val="105"/>
                <w:sz w:val="23"/>
              </w:rPr>
              <w:t xml:space="preserve"> </w:t>
            </w:r>
            <w:r>
              <w:rPr>
                <w:w w:val="105"/>
                <w:sz w:val="23"/>
              </w:rPr>
              <w:t>University</w:t>
            </w:r>
            <w:r>
              <w:rPr>
                <w:spacing w:val="-12"/>
                <w:w w:val="105"/>
                <w:sz w:val="23"/>
              </w:rPr>
              <w:t xml:space="preserve"> </w:t>
            </w:r>
            <w:r>
              <w:rPr>
                <w:w w:val="105"/>
                <w:sz w:val="23"/>
              </w:rPr>
              <w:t>of</w:t>
            </w:r>
            <w:r>
              <w:rPr>
                <w:spacing w:val="-13"/>
                <w:w w:val="105"/>
                <w:sz w:val="23"/>
              </w:rPr>
              <w:t xml:space="preserve"> </w:t>
            </w:r>
            <w:r>
              <w:rPr>
                <w:spacing w:val="-2"/>
                <w:w w:val="105"/>
                <w:sz w:val="23"/>
              </w:rPr>
              <w:t>Tanzania</w:t>
            </w:r>
          </w:p>
        </w:tc>
      </w:tr>
      <w:tr w:rsidR="00487D64">
        <w:trPr>
          <w:trHeight w:val="551"/>
        </w:trPr>
        <w:tc>
          <w:tcPr>
            <w:tcW w:w="1673" w:type="dxa"/>
          </w:tcPr>
          <w:p w:rsidR="00487D64" w:rsidRDefault="006F0D93">
            <w:pPr>
              <w:pStyle w:val="TableParagraph"/>
              <w:spacing w:before="143"/>
              <w:ind w:left="50"/>
              <w:rPr>
                <w:sz w:val="23"/>
              </w:rPr>
            </w:pPr>
            <w:r>
              <w:rPr>
                <w:sz w:val="23"/>
              </w:rPr>
              <w:t>PLS-</w:t>
            </w:r>
            <w:r>
              <w:rPr>
                <w:spacing w:val="-5"/>
                <w:sz w:val="23"/>
              </w:rPr>
              <w:t>SEM</w:t>
            </w:r>
          </w:p>
        </w:tc>
        <w:tc>
          <w:tcPr>
            <w:tcW w:w="6275" w:type="dxa"/>
          </w:tcPr>
          <w:p w:rsidR="00487D64" w:rsidRDefault="006F0D93">
            <w:pPr>
              <w:pStyle w:val="TableParagraph"/>
              <w:spacing w:before="143"/>
              <w:ind w:left="538"/>
              <w:rPr>
                <w:sz w:val="23"/>
              </w:rPr>
            </w:pPr>
            <w:r>
              <w:rPr>
                <w:w w:val="105"/>
                <w:sz w:val="23"/>
              </w:rPr>
              <w:t>Partial</w:t>
            </w:r>
            <w:r>
              <w:rPr>
                <w:spacing w:val="-11"/>
                <w:w w:val="105"/>
                <w:sz w:val="23"/>
              </w:rPr>
              <w:t xml:space="preserve"> </w:t>
            </w:r>
            <w:r>
              <w:rPr>
                <w:w w:val="105"/>
                <w:sz w:val="23"/>
              </w:rPr>
              <w:t>Least</w:t>
            </w:r>
            <w:r>
              <w:rPr>
                <w:spacing w:val="-15"/>
                <w:w w:val="105"/>
                <w:sz w:val="23"/>
              </w:rPr>
              <w:t xml:space="preserve"> </w:t>
            </w:r>
            <w:r>
              <w:rPr>
                <w:w w:val="105"/>
                <w:sz w:val="23"/>
              </w:rPr>
              <w:t>Squares</w:t>
            </w:r>
            <w:r>
              <w:rPr>
                <w:spacing w:val="-14"/>
                <w:w w:val="105"/>
                <w:sz w:val="23"/>
              </w:rPr>
              <w:t xml:space="preserve"> </w:t>
            </w:r>
            <w:r>
              <w:rPr>
                <w:w w:val="105"/>
                <w:sz w:val="23"/>
              </w:rPr>
              <w:t>Structural</w:t>
            </w:r>
            <w:r>
              <w:rPr>
                <w:spacing w:val="-10"/>
                <w:w w:val="105"/>
                <w:sz w:val="23"/>
              </w:rPr>
              <w:t xml:space="preserve"> </w:t>
            </w:r>
            <w:r>
              <w:rPr>
                <w:w w:val="105"/>
                <w:sz w:val="23"/>
              </w:rPr>
              <w:t>Equation</w:t>
            </w:r>
            <w:r>
              <w:rPr>
                <w:spacing w:val="-11"/>
                <w:w w:val="105"/>
                <w:sz w:val="23"/>
              </w:rPr>
              <w:t xml:space="preserve"> </w:t>
            </w:r>
            <w:r>
              <w:rPr>
                <w:spacing w:val="-2"/>
                <w:w w:val="105"/>
                <w:sz w:val="23"/>
              </w:rPr>
              <w:t>Modelling</w:t>
            </w:r>
          </w:p>
        </w:tc>
      </w:tr>
      <w:tr w:rsidR="00487D64">
        <w:trPr>
          <w:trHeight w:val="551"/>
        </w:trPr>
        <w:tc>
          <w:tcPr>
            <w:tcW w:w="1673" w:type="dxa"/>
          </w:tcPr>
          <w:p w:rsidR="00487D64" w:rsidRDefault="006F0D93">
            <w:pPr>
              <w:pStyle w:val="TableParagraph"/>
              <w:spacing w:before="139"/>
              <w:ind w:left="50"/>
              <w:rPr>
                <w:sz w:val="23"/>
              </w:rPr>
            </w:pPr>
            <w:r>
              <w:rPr>
                <w:spacing w:val="-5"/>
                <w:w w:val="105"/>
                <w:sz w:val="23"/>
              </w:rPr>
              <w:t>PP</w:t>
            </w:r>
          </w:p>
        </w:tc>
        <w:tc>
          <w:tcPr>
            <w:tcW w:w="6275" w:type="dxa"/>
          </w:tcPr>
          <w:p w:rsidR="00487D64" w:rsidRDefault="006F0D93">
            <w:pPr>
              <w:pStyle w:val="TableParagraph"/>
              <w:spacing w:before="139"/>
              <w:ind w:left="538"/>
              <w:rPr>
                <w:sz w:val="23"/>
              </w:rPr>
            </w:pPr>
            <w:r>
              <w:rPr>
                <w:w w:val="105"/>
                <w:sz w:val="23"/>
              </w:rPr>
              <w:t>Public</w:t>
            </w:r>
            <w:r>
              <w:rPr>
                <w:spacing w:val="-13"/>
                <w:w w:val="105"/>
                <w:sz w:val="23"/>
              </w:rPr>
              <w:t xml:space="preserve"> </w:t>
            </w:r>
            <w:r>
              <w:rPr>
                <w:spacing w:val="-2"/>
                <w:w w:val="105"/>
                <w:sz w:val="23"/>
              </w:rPr>
              <w:t>Procurement</w:t>
            </w:r>
          </w:p>
        </w:tc>
      </w:tr>
      <w:tr w:rsidR="00487D64">
        <w:trPr>
          <w:trHeight w:val="554"/>
        </w:trPr>
        <w:tc>
          <w:tcPr>
            <w:tcW w:w="1673" w:type="dxa"/>
          </w:tcPr>
          <w:p w:rsidR="00487D64" w:rsidRDefault="006F0D93">
            <w:pPr>
              <w:pStyle w:val="TableParagraph"/>
              <w:spacing w:before="143"/>
              <w:ind w:left="50"/>
              <w:rPr>
                <w:sz w:val="23"/>
              </w:rPr>
            </w:pPr>
            <w:r>
              <w:rPr>
                <w:spacing w:val="-5"/>
                <w:w w:val="105"/>
                <w:sz w:val="23"/>
              </w:rPr>
              <w:t>PPA</w:t>
            </w:r>
          </w:p>
        </w:tc>
        <w:tc>
          <w:tcPr>
            <w:tcW w:w="6275" w:type="dxa"/>
          </w:tcPr>
          <w:p w:rsidR="00487D64" w:rsidRDefault="006F0D93">
            <w:pPr>
              <w:pStyle w:val="TableParagraph"/>
              <w:spacing w:before="143"/>
              <w:ind w:left="538"/>
              <w:rPr>
                <w:sz w:val="23"/>
              </w:rPr>
            </w:pPr>
            <w:r>
              <w:rPr>
                <w:sz w:val="23"/>
              </w:rPr>
              <w:t>Public</w:t>
            </w:r>
            <w:r>
              <w:rPr>
                <w:spacing w:val="30"/>
                <w:sz w:val="23"/>
              </w:rPr>
              <w:t xml:space="preserve"> </w:t>
            </w:r>
            <w:r>
              <w:rPr>
                <w:sz w:val="23"/>
              </w:rPr>
              <w:t>Procurement</w:t>
            </w:r>
            <w:r>
              <w:rPr>
                <w:spacing w:val="35"/>
                <w:sz w:val="23"/>
              </w:rPr>
              <w:t xml:space="preserve"> </w:t>
            </w:r>
            <w:r>
              <w:rPr>
                <w:spacing w:val="-5"/>
                <w:sz w:val="23"/>
              </w:rPr>
              <w:t>Act</w:t>
            </w:r>
          </w:p>
        </w:tc>
      </w:tr>
      <w:tr w:rsidR="00487D64">
        <w:trPr>
          <w:trHeight w:val="551"/>
        </w:trPr>
        <w:tc>
          <w:tcPr>
            <w:tcW w:w="1673" w:type="dxa"/>
          </w:tcPr>
          <w:p w:rsidR="00487D64" w:rsidRDefault="006F0D93">
            <w:pPr>
              <w:pStyle w:val="TableParagraph"/>
              <w:spacing w:before="142"/>
              <w:ind w:left="50"/>
              <w:rPr>
                <w:sz w:val="23"/>
              </w:rPr>
            </w:pPr>
            <w:r>
              <w:rPr>
                <w:spacing w:val="-4"/>
                <w:w w:val="105"/>
                <w:sz w:val="23"/>
              </w:rPr>
              <w:t>PPRA</w:t>
            </w:r>
          </w:p>
        </w:tc>
        <w:tc>
          <w:tcPr>
            <w:tcW w:w="6275" w:type="dxa"/>
          </w:tcPr>
          <w:p w:rsidR="00487D64" w:rsidRDefault="006F0D93">
            <w:pPr>
              <w:pStyle w:val="TableParagraph"/>
              <w:spacing w:before="142"/>
              <w:ind w:left="538"/>
              <w:rPr>
                <w:sz w:val="23"/>
              </w:rPr>
            </w:pPr>
            <w:r>
              <w:rPr>
                <w:sz w:val="23"/>
              </w:rPr>
              <w:t>Public</w:t>
            </w:r>
            <w:r>
              <w:rPr>
                <w:spacing w:val="33"/>
                <w:sz w:val="23"/>
              </w:rPr>
              <w:t xml:space="preserve"> </w:t>
            </w:r>
            <w:r>
              <w:rPr>
                <w:sz w:val="23"/>
              </w:rPr>
              <w:t>Procurement</w:t>
            </w:r>
            <w:r>
              <w:rPr>
                <w:spacing w:val="28"/>
                <w:sz w:val="23"/>
              </w:rPr>
              <w:t xml:space="preserve"> </w:t>
            </w:r>
            <w:r>
              <w:rPr>
                <w:sz w:val="23"/>
              </w:rPr>
              <w:t>Regulatory</w:t>
            </w:r>
            <w:r>
              <w:rPr>
                <w:spacing w:val="46"/>
                <w:sz w:val="23"/>
              </w:rPr>
              <w:t xml:space="preserve"> </w:t>
            </w:r>
            <w:r>
              <w:rPr>
                <w:spacing w:val="-2"/>
                <w:sz w:val="23"/>
              </w:rPr>
              <w:t>Authority</w:t>
            </w:r>
          </w:p>
        </w:tc>
      </w:tr>
      <w:tr w:rsidR="00487D64">
        <w:trPr>
          <w:trHeight w:val="405"/>
        </w:trPr>
        <w:tc>
          <w:tcPr>
            <w:tcW w:w="1673" w:type="dxa"/>
          </w:tcPr>
          <w:p w:rsidR="00487D64" w:rsidRDefault="006F0D93">
            <w:pPr>
              <w:pStyle w:val="TableParagraph"/>
              <w:spacing w:before="139" w:line="246" w:lineRule="exact"/>
              <w:ind w:left="50"/>
              <w:rPr>
                <w:sz w:val="23"/>
              </w:rPr>
            </w:pPr>
            <w:r>
              <w:rPr>
                <w:spacing w:val="-5"/>
                <w:w w:val="105"/>
                <w:sz w:val="23"/>
              </w:rPr>
              <w:t>RBV</w:t>
            </w:r>
          </w:p>
        </w:tc>
        <w:tc>
          <w:tcPr>
            <w:tcW w:w="6275" w:type="dxa"/>
          </w:tcPr>
          <w:p w:rsidR="00487D64" w:rsidRDefault="006F0D93">
            <w:pPr>
              <w:pStyle w:val="TableParagraph"/>
              <w:spacing w:before="139" w:line="246" w:lineRule="exact"/>
              <w:ind w:left="538"/>
              <w:rPr>
                <w:sz w:val="23"/>
              </w:rPr>
            </w:pPr>
            <w:r>
              <w:rPr>
                <w:sz w:val="23"/>
              </w:rPr>
              <w:t>Resource-Based</w:t>
            </w:r>
            <w:r>
              <w:rPr>
                <w:spacing w:val="57"/>
                <w:sz w:val="23"/>
              </w:rPr>
              <w:t xml:space="preserve"> </w:t>
            </w:r>
            <w:r>
              <w:rPr>
                <w:spacing w:val="-4"/>
                <w:sz w:val="23"/>
              </w:rPr>
              <w:t>View</w:t>
            </w:r>
          </w:p>
        </w:tc>
      </w:tr>
    </w:tbl>
    <w:p w:rsidR="00487D64" w:rsidRDefault="00487D64">
      <w:pPr>
        <w:pStyle w:val="TableParagraph"/>
        <w:spacing w:line="246" w:lineRule="exact"/>
        <w:rPr>
          <w:sz w:val="23"/>
        </w:rPr>
        <w:sectPr w:rsidR="00487D64">
          <w:pgSz w:w="11910" w:h="16850"/>
          <w:pgMar w:top="980" w:right="566" w:bottom="280" w:left="850" w:header="725" w:footer="0" w:gutter="0"/>
          <w:cols w:space="720"/>
        </w:sect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spacing w:before="142"/>
        <w:rPr>
          <w:b/>
          <w:sz w:val="20"/>
        </w:rPr>
      </w:pPr>
    </w:p>
    <w:tbl>
      <w:tblPr>
        <w:tblW w:w="0" w:type="auto"/>
        <w:tblInd w:w="1376" w:type="dxa"/>
        <w:tblLayout w:type="fixed"/>
        <w:tblCellMar>
          <w:left w:w="0" w:type="dxa"/>
          <w:right w:w="0" w:type="dxa"/>
        </w:tblCellMar>
        <w:tblLook w:val="01E0" w:firstRow="1" w:lastRow="1" w:firstColumn="1" w:lastColumn="1" w:noHBand="0" w:noVBand="0"/>
      </w:tblPr>
      <w:tblGrid>
        <w:gridCol w:w="1473"/>
        <w:gridCol w:w="5848"/>
      </w:tblGrid>
      <w:tr w:rsidR="00487D64">
        <w:trPr>
          <w:trHeight w:val="408"/>
        </w:trPr>
        <w:tc>
          <w:tcPr>
            <w:tcW w:w="1473" w:type="dxa"/>
          </w:tcPr>
          <w:p w:rsidR="00487D64" w:rsidRDefault="006F0D93">
            <w:pPr>
              <w:pStyle w:val="TableParagraph"/>
              <w:spacing w:line="261" w:lineRule="exact"/>
              <w:ind w:left="50"/>
              <w:rPr>
                <w:sz w:val="23"/>
              </w:rPr>
            </w:pPr>
            <w:r>
              <w:rPr>
                <w:spacing w:val="-5"/>
                <w:w w:val="105"/>
                <w:sz w:val="23"/>
              </w:rPr>
              <w:t>SC</w:t>
            </w:r>
          </w:p>
        </w:tc>
        <w:tc>
          <w:tcPr>
            <w:tcW w:w="5848" w:type="dxa"/>
          </w:tcPr>
          <w:p w:rsidR="00487D64" w:rsidRDefault="006F0D93">
            <w:pPr>
              <w:pStyle w:val="TableParagraph"/>
              <w:spacing w:line="261" w:lineRule="exact"/>
              <w:ind w:left="738"/>
              <w:rPr>
                <w:sz w:val="23"/>
              </w:rPr>
            </w:pPr>
            <w:r>
              <w:rPr>
                <w:sz w:val="23"/>
              </w:rPr>
              <w:t>Sustainable</w:t>
            </w:r>
            <w:r>
              <w:rPr>
                <w:spacing w:val="38"/>
                <w:sz w:val="23"/>
              </w:rPr>
              <w:t xml:space="preserve"> </w:t>
            </w:r>
            <w:r>
              <w:rPr>
                <w:spacing w:val="-2"/>
                <w:sz w:val="23"/>
              </w:rPr>
              <w:t>competitiveness</w:t>
            </w:r>
          </w:p>
        </w:tc>
      </w:tr>
      <w:tr w:rsidR="00487D64">
        <w:trPr>
          <w:trHeight w:val="550"/>
        </w:trPr>
        <w:tc>
          <w:tcPr>
            <w:tcW w:w="1473" w:type="dxa"/>
          </w:tcPr>
          <w:p w:rsidR="00487D64" w:rsidRDefault="006F0D93">
            <w:pPr>
              <w:pStyle w:val="TableParagraph"/>
              <w:spacing w:before="143"/>
              <w:ind w:left="50"/>
              <w:rPr>
                <w:sz w:val="23"/>
              </w:rPr>
            </w:pPr>
            <w:r>
              <w:rPr>
                <w:spacing w:val="-4"/>
                <w:w w:val="105"/>
                <w:sz w:val="23"/>
              </w:rPr>
              <w:t>SDGs</w:t>
            </w:r>
          </w:p>
        </w:tc>
        <w:tc>
          <w:tcPr>
            <w:tcW w:w="5848" w:type="dxa"/>
          </w:tcPr>
          <w:p w:rsidR="00487D64" w:rsidRDefault="006F0D93">
            <w:pPr>
              <w:pStyle w:val="TableParagraph"/>
              <w:spacing w:before="143"/>
              <w:ind w:left="738"/>
              <w:rPr>
                <w:sz w:val="23"/>
              </w:rPr>
            </w:pPr>
            <w:r>
              <w:rPr>
                <w:sz w:val="23"/>
              </w:rPr>
              <w:t>Sustainable</w:t>
            </w:r>
            <w:r>
              <w:rPr>
                <w:spacing w:val="36"/>
                <w:sz w:val="23"/>
              </w:rPr>
              <w:t xml:space="preserve"> </w:t>
            </w:r>
            <w:r>
              <w:rPr>
                <w:sz w:val="23"/>
              </w:rPr>
              <w:t>Development</w:t>
            </w:r>
            <w:r>
              <w:rPr>
                <w:spacing w:val="42"/>
                <w:sz w:val="23"/>
              </w:rPr>
              <w:t xml:space="preserve"> </w:t>
            </w:r>
            <w:r>
              <w:rPr>
                <w:spacing w:val="-4"/>
                <w:sz w:val="23"/>
              </w:rPr>
              <w:t>Goals</w:t>
            </w:r>
          </w:p>
        </w:tc>
      </w:tr>
      <w:tr w:rsidR="00487D64">
        <w:trPr>
          <w:trHeight w:val="551"/>
        </w:trPr>
        <w:tc>
          <w:tcPr>
            <w:tcW w:w="1473" w:type="dxa"/>
          </w:tcPr>
          <w:p w:rsidR="00487D64" w:rsidRDefault="006F0D93">
            <w:pPr>
              <w:pStyle w:val="TableParagraph"/>
              <w:spacing w:before="139"/>
              <w:ind w:left="50"/>
              <w:rPr>
                <w:sz w:val="23"/>
              </w:rPr>
            </w:pPr>
            <w:r>
              <w:rPr>
                <w:spacing w:val="-5"/>
                <w:w w:val="105"/>
                <w:sz w:val="23"/>
              </w:rPr>
              <w:t>SEM</w:t>
            </w:r>
          </w:p>
        </w:tc>
        <w:tc>
          <w:tcPr>
            <w:tcW w:w="5848" w:type="dxa"/>
          </w:tcPr>
          <w:p w:rsidR="00487D64" w:rsidRDefault="006F0D93">
            <w:pPr>
              <w:pStyle w:val="TableParagraph"/>
              <w:spacing w:before="139"/>
              <w:ind w:left="738"/>
              <w:rPr>
                <w:sz w:val="23"/>
              </w:rPr>
            </w:pPr>
            <w:r>
              <w:rPr>
                <w:sz w:val="23"/>
              </w:rPr>
              <w:t>Structural</w:t>
            </w:r>
            <w:r>
              <w:rPr>
                <w:spacing w:val="26"/>
                <w:sz w:val="23"/>
              </w:rPr>
              <w:t xml:space="preserve"> </w:t>
            </w:r>
            <w:r>
              <w:rPr>
                <w:sz w:val="23"/>
              </w:rPr>
              <w:t>Equation</w:t>
            </w:r>
            <w:r>
              <w:rPr>
                <w:spacing w:val="35"/>
                <w:sz w:val="23"/>
              </w:rPr>
              <w:t xml:space="preserve"> </w:t>
            </w:r>
            <w:r>
              <w:rPr>
                <w:spacing w:val="-4"/>
                <w:sz w:val="23"/>
              </w:rPr>
              <w:t>Model</w:t>
            </w:r>
          </w:p>
        </w:tc>
      </w:tr>
      <w:tr w:rsidR="00487D64">
        <w:trPr>
          <w:trHeight w:val="554"/>
        </w:trPr>
        <w:tc>
          <w:tcPr>
            <w:tcW w:w="1473" w:type="dxa"/>
          </w:tcPr>
          <w:p w:rsidR="00487D64" w:rsidRDefault="006F0D93">
            <w:pPr>
              <w:pStyle w:val="TableParagraph"/>
              <w:spacing w:before="143"/>
              <w:ind w:left="50"/>
              <w:rPr>
                <w:sz w:val="23"/>
              </w:rPr>
            </w:pPr>
            <w:r>
              <w:rPr>
                <w:spacing w:val="-5"/>
                <w:w w:val="105"/>
                <w:sz w:val="23"/>
              </w:rPr>
              <w:t>SF</w:t>
            </w:r>
          </w:p>
        </w:tc>
        <w:tc>
          <w:tcPr>
            <w:tcW w:w="5848" w:type="dxa"/>
          </w:tcPr>
          <w:p w:rsidR="00487D64" w:rsidRDefault="006F0D93">
            <w:pPr>
              <w:pStyle w:val="TableParagraph"/>
              <w:spacing w:before="143"/>
              <w:ind w:left="738"/>
              <w:rPr>
                <w:sz w:val="23"/>
              </w:rPr>
            </w:pPr>
            <w:r>
              <w:rPr>
                <w:sz w:val="23"/>
              </w:rPr>
              <w:t>Strategic</w:t>
            </w:r>
            <w:r>
              <w:rPr>
                <w:spacing w:val="24"/>
                <w:sz w:val="23"/>
              </w:rPr>
              <w:t xml:space="preserve"> </w:t>
            </w:r>
            <w:r>
              <w:rPr>
                <w:spacing w:val="-2"/>
                <w:sz w:val="23"/>
              </w:rPr>
              <w:t>Flexibility</w:t>
            </w:r>
          </w:p>
        </w:tc>
      </w:tr>
      <w:tr w:rsidR="00487D64">
        <w:trPr>
          <w:trHeight w:val="551"/>
        </w:trPr>
        <w:tc>
          <w:tcPr>
            <w:tcW w:w="1473" w:type="dxa"/>
          </w:tcPr>
          <w:p w:rsidR="00487D64" w:rsidRDefault="006F0D93">
            <w:pPr>
              <w:pStyle w:val="TableParagraph"/>
              <w:spacing w:before="142"/>
              <w:ind w:left="50"/>
              <w:rPr>
                <w:sz w:val="23"/>
              </w:rPr>
            </w:pPr>
            <w:r>
              <w:rPr>
                <w:spacing w:val="-5"/>
                <w:w w:val="105"/>
                <w:sz w:val="23"/>
              </w:rPr>
              <w:t>SGE</w:t>
            </w:r>
          </w:p>
        </w:tc>
        <w:tc>
          <w:tcPr>
            <w:tcW w:w="5848" w:type="dxa"/>
          </w:tcPr>
          <w:p w:rsidR="00487D64" w:rsidRDefault="006F0D93">
            <w:pPr>
              <w:pStyle w:val="TableParagraph"/>
              <w:spacing w:before="142"/>
              <w:ind w:left="738"/>
              <w:rPr>
                <w:sz w:val="23"/>
              </w:rPr>
            </w:pPr>
            <w:r>
              <w:rPr>
                <w:sz w:val="23"/>
              </w:rPr>
              <w:t>Special</w:t>
            </w:r>
            <w:r>
              <w:rPr>
                <w:spacing w:val="23"/>
                <w:sz w:val="23"/>
              </w:rPr>
              <w:t xml:space="preserve"> </w:t>
            </w:r>
            <w:r>
              <w:rPr>
                <w:sz w:val="23"/>
              </w:rPr>
              <w:t>Group</w:t>
            </w:r>
            <w:r>
              <w:rPr>
                <w:spacing w:val="20"/>
                <w:sz w:val="23"/>
              </w:rPr>
              <w:t xml:space="preserve"> </w:t>
            </w:r>
            <w:r>
              <w:rPr>
                <w:spacing w:val="-2"/>
                <w:sz w:val="23"/>
              </w:rPr>
              <w:t>Enterprises</w:t>
            </w:r>
          </w:p>
        </w:tc>
      </w:tr>
      <w:tr w:rsidR="00487D64">
        <w:trPr>
          <w:trHeight w:val="551"/>
        </w:trPr>
        <w:tc>
          <w:tcPr>
            <w:tcW w:w="1473" w:type="dxa"/>
          </w:tcPr>
          <w:p w:rsidR="00487D64" w:rsidRDefault="006F0D93">
            <w:pPr>
              <w:pStyle w:val="TableParagraph"/>
              <w:spacing w:before="139"/>
              <w:ind w:left="50"/>
              <w:rPr>
                <w:sz w:val="23"/>
              </w:rPr>
            </w:pPr>
            <w:r>
              <w:rPr>
                <w:spacing w:val="-4"/>
                <w:w w:val="105"/>
                <w:sz w:val="23"/>
              </w:rPr>
              <w:t>SMEs</w:t>
            </w:r>
          </w:p>
        </w:tc>
        <w:tc>
          <w:tcPr>
            <w:tcW w:w="5848" w:type="dxa"/>
          </w:tcPr>
          <w:p w:rsidR="00487D64" w:rsidRDefault="006F0D93">
            <w:pPr>
              <w:pStyle w:val="TableParagraph"/>
              <w:spacing w:before="139"/>
              <w:ind w:left="738"/>
              <w:rPr>
                <w:sz w:val="23"/>
              </w:rPr>
            </w:pPr>
            <w:r>
              <w:rPr>
                <w:sz w:val="23"/>
              </w:rPr>
              <w:t>Small</w:t>
            </w:r>
            <w:r>
              <w:rPr>
                <w:spacing w:val="25"/>
                <w:sz w:val="23"/>
              </w:rPr>
              <w:t xml:space="preserve"> </w:t>
            </w:r>
            <w:r>
              <w:rPr>
                <w:sz w:val="23"/>
              </w:rPr>
              <w:t>and</w:t>
            </w:r>
            <w:r>
              <w:rPr>
                <w:spacing w:val="33"/>
                <w:sz w:val="23"/>
              </w:rPr>
              <w:t xml:space="preserve"> </w:t>
            </w:r>
            <w:r>
              <w:rPr>
                <w:sz w:val="23"/>
              </w:rPr>
              <w:t>Medium-Sized</w:t>
            </w:r>
            <w:r>
              <w:rPr>
                <w:spacing w:val="23"/>
                <w:sz w:val="23"/>
              </w:rPr>
              <w:t xml:space="preserve"> </w:t>
            </w:r>
            <w:r>
              <w:rPr>
                <w:spacing w:val="-2"/>
                <w:sz w:val="23"/>
              </w:rPr>
              <w:t>Businesses</w:t>
            </w:r>
          </w:p>
        </w:tc>
      </w:tr>
      <w:tr w:rsidR="00487D64">
        <w:trPr>
          <w:trHeight w:val="554"/>
        </w:trPr>
        <w:tc>
          <w:tcPr>
            <w:tcW w:w="1473" w:type="dxa"/>
          </w:tcPr>
          <w:p w:rsidR="00487D64" w:rsidRDefault="006F0D93">
            <w:pPr>
              <w:pStyle w:val="TableParagraph"/>
              <w:spacing w:before="142"/>
              <w:ind w:left="50"/>
              <w:rPr>
                <w:sz w:val="23"/>
              </w:rPr>
            </w:pPr>
            <w:r>
              <w:rPr>
                <w:spacing w:val="-5"/>
                <w:w w:val="105"/>
                <w:sz w:val="23"/>
              </w:rPr>
              <w:t>SPP</w:t>
            </w:r>
          </w:p>
        </w:tc>
        <w:tc>
          <w:tcPr>
            <w:tcW w:w="5848" w:type="dxa"/>
          </w:tcPr>
          <w:p w:rsidR="00487D64" w:rsidRDefault="006F0D93">
            <w:pPr>
              <w:pStyle w:val="TableParagraph"/>
              <w:spacing w:before="142"/>
              <w:ind w:left="738"/>
              <w:rPr>
                <w:sz w:val="23"/>
              </w:rPr>
            </w:pPr>
            <w:r>
              <w:rPr>
                <w:sz w:val="23"/>
              </w:rPr>
              <w:t>Sustainable</w:t>
            </w:r>
            <w:r>
              <w:rPr>
                <w:spacing w:val="28"/>
                <w:sz w:val="23"/>
              </w:rPr>
              <w:t xml:space="preserve"> </w:t>
            </w:r>
            <w:r>
              <w:rPr>
                <w:sz w:val="23"/>
              </w:rPr>
              <w:t>Public</w:t>
            </w:r>
            <w:r>
              <w:rPr>
                <w:spacing w:val="29"/>
                <w:sz w:val="23"/>
              </w:rPr>
              <w:t xml:space="preserve"> </w:t>
            </w:r>
            <w:r>
              <w:rPr>
                <w:spacing w:val="-2"/>
                <w:sz w:val="23"/>
              </w:rPr>
              <w:t>Procurement</w:t>
            </w:r>
          </w:p>
        </w:tc>
      </w:tr>
      <w:tr w:rsidR="00487D64">
        <w:trPr>
          <w:trHeight w:val="550"/>
        </w:trPr>
        <w:tc>
          <w:tcPr>
            <w:tcW w:w="1473" w:type="dxa"/>
          </w:tcPr>
          <w:p w:rsidR="00487D64" w:rsidRDefault="006F0D93">
            <w:pPr>
              <w:pStyle w:val="TableParagraph"/>
              <w:spacing w:before="143"/>
              <w:ind w:left="50"/>
              <w:rPr>
                <w:sz w:val="23"/>
              </w:rPr>
            </w:pPr>
            <w:r>
              <w:rPr>
                <w:spacing w:val="-5"/>
                <w:w w:val="105"/>
                <w:sz w:val="23"/>
              </w:rPr>
              <w:t>TZS</w:t>
            </w:r>
          </w:p>
        </w:tc>
        <w:tc>
          <w:tcPr>
            <w:tcW w:w="5848" w:type="dxa"/>
          </w:tcPr>
          <w:p w:rsidR="00487D64" w:rsidRDefault="006F0D93">
            <w:pPr>
              <w:pStyle w:val="TableParagraph"/>
              <w:spacing w:before="143"/>
              <w:ind w:left="738"/>
              <w:rPr>
                <w:sz w:val="23"/>
              </w:rPr>
            </w:pPr>
            <w:r>
              <w:rPr>
                <w:sz w:val="23"/>
              </w:rPr>
              <w:t>Tanzanian</w:t>
            </w:r>
            <w:r>
              <w:rPr>
                <w:spacing w:val="34"/>
                <w:sz w:val="23"/>
              </w:rPr>
              <w:t xml:space="preserve"> </w:t>
            </w:r>
            <w:r>
              <w:rPr>
                <w:spacing w:val="-2"/>
                <w:sz w:val="23"/>
              </w:rPr>
              <w:t>Shillings</w:t>
            </w:r>
          </w:p>
        </w:tc>
      </w:tr>
      <w:tr w:rsidR="00487D64">
        <w:trPr>
          <w:trHeight w:val="551"/>
        </w:trPr>
        <w:tc>
          <w:tcPr>
            <w:tcW w:w="1473" w:type="dxa"/>
          </w:tcPr>
          <w:p w:rsidR="00487D64" w:rsidRDefault="006F0D93">
            <w:pPr>
              <w:pStyle w:val="TableParagraph"/>
              <w:spacing w:before="139"/>
              <w:ind w:left="50"/>
              <w:rPr>
                <w:sz w:val="23"/>
              </w:rPr>
            </w:pPr>
            <w:r>
              <w:rPr>
                <w:spacing w:val="-5"/>
                <w:w w:val="105"/>
                <w:sz w:val="23"/>
              </w:rPr>
              <w:t>US</w:t>
            </w:r>
          </w:p>
        </w:tc>
        <w:tc>
          <w:tcPr>
            <w:tcW w:w="5848" w:type="dxa"/>
          </w:tcPr>
          <w:p w:rsidR="00487D64" w:rsidRDefault="006F0D93">
            <w:pPr>
              <w:pStyle w:val="TableParagraph"/>
              <w:spacing w:before="139"/>
              <w:ind w:left="738"/>
              <w:rPr>
                <w:sz w:val="23"/>
              </w:rPr>
            </w:pPr>
            <w:r>
              <w:rPr>
                <w:w w:val="105"/>
                <w:sz w:val="23"/>
              </w:rPr>
              <w:t>United</w:t>
            </w:r>
            <w:r>
              <w:rPr>
                <w:spacing w:val="-12"/>
                <w:w w:val="105"/>
                <w:sz w:val="23"/>
              </w:rPr>
              <w:t xml:space="preserve"> </w:t>
            </w:r>
            <w:r>
              <w:rPr>
                <w:spacing w:val="-2"/>
                <w:w w:val="105"/>
                <w:sz w:val="23"/>
              </w:rPr>
              <w:t>States</w:t>
            </w:r>
          </w:p>
        </w:tc>
      </w:tr>
      <w:tr w:rsidR="00487D64">
        <w:trPr>
          <w:trHeight w:val="554"/>
        </w:trPr>
        <w:tc>
          <w:tcPr>
            <w:tcW w:w="1473" w:type="dxa"/>
          </w:tcPr>
          <w:p w:rsidR="00487D64" w:rsidRDefault="006F0D93">
            <w:pPr>
              <w:pStyle w:val="TableParagraph"/>
              <w:spacing w:before="143"/>
              <w:ind w:left="107"/>
              <w:rPr>
                <w:sz w:val="23"/>
              </w:rPr>
            </w:pPr>
            <w:r>
              <w:rPr>
                <w:spacing w:val="-5"/>
                <w:w w:val="105"/>
                <w:sz w:val="23"/>
              </w:rPr>
              <w:t>VIF</w:t>
            </w:r>
          </w:p>
        </w:tc>
        <w:tc>
          <w:tcPr>
            <w:tcW w:w="5848" w:type="dxa"/>
          </w:tcPr>
          <w:p w:rsidR="00487D64" w:rsidRDefault="006F0D93">
            <w:pPr>
              <w:pStyle w:val="TableParagraph"/>
              <w:spacing w:before="143"/>
              <w:ind w:left="738"/>
              <w:rPr>
                <w:sz w:val="23"/>
              </w:rPr>
            </w:pPr>
            <w:r>
              <w:rPr>
                <w:sz w:val="23"/>
              </w:rPr>
              <w:t>Variance</w:t>
            </w:r>
            <w:r>
              <w:rPr>
                <w:spacing w:val="27"/>
                <w:sz w:val="23"/>
              </w:rPr>
              <w:t xml:space="preserve"> </w:t>
            </w:r>
            <w:r>
              <w:rPr>
                <w:sz w:val="23"/>
              </w:rPr>
              <w:t>Inflation</w:t>
            </w:r>
            <w:r>
              <w:rPr>
                <w:spacing w:val="29"/>
                <w:sz w:val="23"/>
              </w:rPr>
              <w:t xml:space="preserve"> </w:t>
            </w:r>
            <w:r>
              <w:rPr>
                <w:spacing w:val="-2"/>
                <w:sz w:val="23"/>
              </w:rPr>
              <w:t>Factor</w:t>
            </w:r>
          </w:p>
        </w:tc>
      </w:tr>
      <w:tr w:rsidR="00487D64">
        <w:trPr>
          <w:trHeight w:val="550"/>
        </w:trPr>
        <w:tc>
          <w:tcPr>
            <w:tcW w:w="1473" w:type="dxa"/>
          </w:tcPr>
          <w:p w:rsidR="00487D64" w:rsidRDefault="006F0D93">
            <w:pPr>
              <w:pStyle w:val="TableParagraph"/>
              <w:spacing w:before="142"/>
              <w:ind w:left="50"/>
              <w:rPr>
                <w:sz w:val="23"/>
              </w:rPr>
            </w:pPr>
            <w:r>
              <w:rPr>
                <w:spacing w:val="-4"/>
                <w:w w:val="105"/>
                <w:sz w:val="23"/>
              </w:rPr>
              <w:t>VRIN</w:t>
            </w:r>
          </w:p>
        </w:tc>
        <w:tc>
          <w:tcPr>
            <w:tcW w:w="5848" w:type="dxa"/>
          </w:tcPr>
          <w:p w:rsidR="00487D64" w:rsidRDefault="006F0D93">
            <w:pPr>
              <w:pStyle w:val="TableParagraph"/>
              <w:spacing w:before="142"/>
              <w:ind w:left="738"/>
              <w:rPr>
                <w:sz w:val="23"/>
              </w:rPr>
            </w:pPr>
            <w:r>
              <w:rPr>
                <w:sz w:val="23"/>
              </w:rPr>
              <w:t>Value,</w:t>
            </w:r>
            <w:r>
              <w:rPr>
                <w:spacing w:val="32"/>
                <w:sz w:val="23"/>
              </w:rPr>
              <w:t xml:space="preserve"> </w:t>
            </w:r>
            <w:r>
              <w:rPr>
                <w:sz w:val="23"/>
              </w:rPr>
              <w:t>Rarity,</w:t>
            </w:r>
            <w:r>
              <w:rPr>
                <w:spacing w:val="32"/>
                <w:sz w:val="23"/>
              </w:rPr>
              <w:t xml:space="preserve"> </w:t>
            </w:r>
            <w:r>
              <w:rPr>
                <w:sz w:val="23"/>
              </w:rPr>
              <w:t>Inimitability,</w:t>
            </w:r>
            <w:r>
              <w:rPr>
                <w:spacing w:val="32"/>
                <w:sz w:val="23"/>
              </w:rPr>
              <w:t xml:space="preserve"> </w:t>
            </w:r>
            <w:r>
              <w:rPr>
                <w:sz w:val="23"/>
              </w:rPr>
              <w:t>and</w:t>
            </w:r>
            <w:r>
              <w:rPr>
                <w:spacing w:val="29"/>
                <w:sz w:val="23"/>
              </w:rPr>
              <w:t xml:space="preserve"> </w:t>
            </w:r>
            <w:r>
              <w:rPr>
                <w:sz w:val="23"/>
              </w:rPr>
              <w:t>Non-</w:t>
            </w:r>
            <w:r>
              <w:rPr>
                <w:spacing w:val="-2"/>
                <w:sz w:val="23"/>
              </w:rPr>
              <w:t>substitutability</w:t>
            </w:r>
          </w:p>
        </w:tc>
      </w:tr>
      <w:tr w:rsidR="00487D64">
        <w:trPr>
          <w:trHeight w:val="405"/>
        </w:trPr>
        <w:tc>
          <w:tcPr>
            <w:tcW w:w="1473" w:type="dxa"/>
          </w:tcPr>
          <w:p w:rsidR="00487D64" w:rsidRDefault="006F0D93">
            <w:pPr>
              <w:pStyle w:val="TableParagraph"/>
              <w:spacing w:before="139" w:line="246" w:lineRule="exact"/>
              <w:ind w:left="50"/>
              <w:rPr>
                <w:sz w:val="23"/>
              </w:rPr>
            </w:pPr>
            <w:r>
              <w:rPr>
                <w:spacing w:val="-4"/>
                <w:w w:val="105"/>
                <w:sz w:val="23"/>
              </w:rPr>
              <w:t>WOSB</w:t>
            </w:r>
          </w:p>
        </w:tc>
        <w:tc>
          <w:tcPr>
            <w:tcW w:w="5848" w:type="dxa"/>
          </w:tcPr>
          <w:p w:rsidR="00487D64" w:rsidRDefault="006F0D93">
            <w:pPr>
              <w:pStyle w:val="TableParagraph"/>
              <w:spacing w:before="139" w:line="246" w:lineRule="exact"/>
              <w:ind w:left="738"/>
              <w:rPr>
                <w:sz w:val="23"/>
              </w:rPr>
            </w:pPr>
            <w:r>
              <w:rPr>
                <w:sz w:val="23"/>
              </w:rPr>
              <w:t>Women-Owned</w:t>
            </w:r>
            <w:r>
              <w:rPr>
                <w:spacing w:val="36"/>
                <w:sz w:val="23"/>
              </w:rPr>
              <w:t xml:space="preserve"> </w:t>
            </w:r>
            <w:r>
              <w:rPr>
                <w:sz w:val="23"/>
              </w:rPr>
              <w:t>Small</w:t>
            </w:r>
            <w:r>
              <w:rPr>
                <w:spacing w:val="40"/>
                <w:sz w:val="23"/>
              </w:rPr>
              <w:t xml:space="preserve"> </w:t>
            </w:r>
            <w:r>
              <w:rPr>
                <w:spacing w:val="-2"/>
                <w:sz w:val="23"/>
              </w:rPr>
              <w:t>Business</w:t>
            </w:r>
          </w:p>
        </w:tc>
      </w:tr>
    </w:tbl>
    <w:p w:rsidR="00487D64" w:rsidRDefault="00487D64">
      <w:pPr>
        <w:pStyle w:val="TableParagraph"/>
        <w:spacing w:line="246" w:lineRule="exact"/>
        <w:rPr>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spacing w:before="1" w:line="504" w:lineRule="auto"/>
        <w:ind w:left="4567" w:right="4011" w:firstLine="10"/>
        <w:jc w:val="center"/>
        <w:rPr>
          <w:b/>
          <w:sz w:val="23"/>
        </w:rPr>
      </w:pPr>
      <w:r>
        <w:rPr>
          <w:b/>
          <w:w w:val="105"/>
          <w:sz w:val="23"/>
        </w:rPr>
        <w:t>CHAPTSER</w:t>
      </w:r>
      <w:r>
        <w:rPr>
          <w:b/>
          <w:spacing w:val="-16"/>
          <w:w w:val="105"/>
          <w:sz w:val="23"/>
        </w:rPr>
        <w:t xml:space="preserve"> </w:t>
      </w:r>
      <w:r>
        <w:rPr>
          <w:b/>
          <w:w w:val="105"/>
          <w:sz w:val="23"/>
        </w:rPr>
        <w:t xml:space="preserve">ONE </w:t>
      </w:r>
      <w:bookmarkStart w:id="19" w:name="INTRODUCTION"/>
      <w:bookmarkStart w:id="20" w:name="_bookmark9"/>
      <w:bookmarkEnd w:id="19"/>
      <w:bookmarkEnd w:id="20"/>
      <w:r>
        <w:rPr>
          <w:b/>
          <w:spacing w:val="-2"/>
          <w:sz w:val="23"/>
        </w:rPr>
        <w:t>INTRODUCTION</w:t>
      </w:r>
    </w:p>
    <w:p w:rsidR="00487D64" w:rsidRDefault="00487D64">
      <w:pPr>
        <w:pStyle w:val="BodyText"/>
        <w:rPr>
          <w:b/>
        </w:rPr>
      </w:pPr>
    </w:p>
    <w:p w:rsidR="00487D64" w:rsidRDefault="00487D64">
      <w:pPr>
        <w:pStyle w:val="BodyText"/>
        <w:spacing w:before="17"/>
        <w:rPr>
          <w:b/>
        </w:rPr>
      </w:pPr>
    </w:p>
    <w:p w:rsidR="00487D64" w:rsidRDefault="006F0D93">
      <w:pPr>
        <w:pStyle w:val="ListParagraph"/>
        <w:numPr>
          <w:ilvl w:val="1"/>
          <w:numId w:val="17"/>
        </w:numPr>
        <w:tabs>
          <w:tab w:val="left" w:pos="2139"/>
        </w:tabs>
        <w:ind w:left="2139" w:hanging="720"/>
        <w:rPr>
          <w:b/>
          <w:sz w:val="23"/>
        </w:rPr>
      </w:pPr>
      <w:bookmarkStart w:id="21" w:name="1.1__Chapter_Overview"/>
      <w:bookmarkStart w:id="22" w:name="_bookmark10"/>
      <w:bookmarkEnd w:id="21"/>
      <w:bookmarkEnd w:id="22"/>
      <w:r>
        <w:rPr>
          <w:b/>
          <w:sz w:val="23"/>
        </w:rPr>
        <w:t>Chapter</w:t>
      </w:r>
      <w:r>
        <w:rPr>
          <w:b/>
          <w:spacing w:val="25"/>
          <w:sz w:val="23"/>
        </w:rPr>
        <w:t xml:space="preserve"> </w:t>
      </w:r>
      <w:r>
        <w:rPr>
          <w:b/>
          <w:spacing w:val="-2"/>
          <w:sz w:val="23"/>
        </w:rPr>
        <w:t>Overview</w:t>
      </w:r>
    </w:p>
    <w:p w:rsidR="00487D64" w:rsidRDefault="00487D64">
      <w:pPr>
        <w:pStyle w:val="BodyText"/>
        <w:spacing w:before="18"/>
        <w:rPr>
          <w:b/>
        </w:rPr>
      </w:pPr>
    </w:p>
    <w:p w:rsidR="00487D64" w:rsidRDefault="006F0D93">
      <w:pPr>
        <w:pStyle w:val="BodyText"/>
        <w:spacing w:line="499" w:lineRule="auto"/>
        <w:ind w:left="1419" w:right="855"/>
        <w:jc w:val="both"/>
      </w:pPr>
      <w:r>
        <w:rPr>
          <w:w w:val="105"/>
        </w:rPr>
        <w:t>This chapter gives context and describes the research problem that led to</w:t>
      </w:r>
      <w:r>
        <w:rPr>
          <w:w w:val="105"/>
        </w:rPr>
        <w:t xml:space="preserve"> this investigation. It then goes on to explain how the idea is implemented and the aims and justification of the study.</w:t>
      </w:r>
    </w:p>
    <w:p w:rsidR="00487D64" w:rsidRDefault="00487D64">
      <w:pPr>
        <w:pStyle w:val="BodyText"/>
      </w:pPr>
    </w:p>
    <w:p w:rsidR="00487D64" w:rsidRDefault="00487D64">
      <w:pPr>
        <w:pStyle w:val="BodyText"/>
        <w:spacing w:before="32"/>
      </w:pPr>
    </w:p>
    <w:p w:rsidR="00487D64" w:rsidRDefault="006F0D93">
      <w:pPr>
        <w:pStyle w:val="ListParagraph"/>
        <w:numPr>
          <w:ilvl w:val="1"/>
          <w:numId w:val="17"/>
        </w:numPr>
        <w:tabs>
          <w:tab w:val="left" w:pos="2139"/>
        </w:tabs>
        <w:ind w:left="2139" w:hanging="720"/>
        <w:rPr>
          <w:b/>
          <w:sz w:val="23"/>
        </w:rPr>
      </w:pPr>
      <w:bookmarkStart w:id="23" w:name="1.2__Background_of_the_Study"/>
      <w:bookmarkStart w:id="24" w:name="_bookmark11"/>
      <w:bookmarkEnd w:id="23"/>
      <w:bookmarkEnd w:id="24"/>
      <w:r>
        <w:rPr>
          <w:b/>
          <w:w w:val="105"/>
          <w:sz w:val="23"/>
        </w:rPr>
        <w:t>Background</w:t>
      </w:r>
      <w:r>
        <w:rPr>
          <w:b/>
          <w:spacing w:val="-13"/>
          <w:w w:val="105"/>
          <w:sz w:val="23"/>
        </w:rPr>
        <w:t xml:space="preserve"> </w:t>
      </w:r>
      <w:r>
        <w:rPr>
          <w:b/>
          <w:w w:val="105"/>
          <w:sz w:val="23"/>
        </w:rPr>
        <w:t>of</w:t>
      </w:r>
      <w:r>
        <w:rPr>
          <w:b/>
          <w:spacing w:val="-11"/>
          <w:w w:val="105"/>
          <w:sz w:val="23"/>
        </w:rPr>
        <w:t xml:space="preserve"> </w:t>
      </w:r>
      <w:r>
        <w:rPr>
          <w:b/>
          <w:w w:val="105"/>
          <w:sz w:val="23"/>
        </w:rPr>
        <w:t>the</w:t>
      </w:r>
      <w:r>
        <w:rPr>
          <w:b/>
          <w:spacing w:val="1"/>
          <w:w w:val="105"/>
          <w:sz w:val="23"/>
        </w:rPr>
        <w:t xml:space="preserve"> </w:t>
      </w:r>
      <w:r>
        <w:rPr>
          <w:b/>
          <w:spacing w:val="-2"/>
          <w:w w:val="105"/>
          <w:sz w:val="23"/>
        </w:rPr>
        <w:t>Study</w:t>
      </w:r>
    </w:p>
    <w:p w:rsidR="00487D64" w:rsidRDefault="00487D64">
      <w:pPr>
        <w:pStyle w:val="BodyText"/>
        <w:spacing w:before="19"/>
        <w:rPr>
          <w:b/>
        </w:rPr>
      </w:pPr>
    </w:p>
    <w:p w:rsidR="00487D64" w:rsidRDefault="006F0D93">
      <w:pPr>
        <w:pStyle w:val="BodyText"/>
        <w:spacing w:line="501" w:lineRule="auto"/>
        <w:ind w:left="1419" w:right="852"/>
        <w:jc w:val="both"/>
      </w:pPr>
      <w:r>
        <w:rPr>
          <w:w w:val="105"/>
        </w:rPr>
        <w:t>Special Group Small and Medium Enterprises (SMEs) play a crucial role in promoting inclusive economic growth</w:t>
      </w:r>
      <w:r>
        <w:rPr>
          <w:w w:val="105"/>
        </w:rPr>
        <w:t xml:space="preserve"> and equitable participation in development. These enterprises are owned by women, youth, persons with disabilities, and the elderly, groups</w:t>
      </w:r>
      <w:r>
        <w:rPr>
          <w:spacing w:val="-2"/>
          <w:w w:val="105"/>
        </w:rPr>
        <w:t xml:space="preserve"> </w:t>
      </w:r>
      <w:r>
        <w:rPr>
          <w:w w:val="105"/>
        </w:rPr>
        <w:t>that have</w:t>
      </w:r>
      <w:r>
        <w:rPr>
          <w:spacing w:val="-1"/>
          <w:w w:val="105"/>
        </w:rPr>
        <w:t xml:space="preserve"> </w:t>
      </w:r>
      <w:r>
        <w:rPr>
          <w:w w:val="105"/>
        </w:rPr>
        <w:t>historically faced social, financial,</w:t>
      </w:r>
      <w:r>
        <w:rPr>
          <w:spacing w:val="-5"/>
          <w:w w:val="105"/>
        </w:rPr>
        <w:t xml:space="preserve"> </w:t>
      </w:r>
      <w:r>
        <w:rPr>
          <w:w w:val="105"/>
        </w:rPr>
        <w:t>and</w:t>
      </w:r>
      <w:r>
        <w:rPr>
          <w:spacing w:val="-7"/>
          <w:w w:val="105"/>
        </w:rPr>
        <w:t xml:space="preserve"> </w:t>
      </w:r>
      <w:r>
        <w:rPr>
          <w:w w:val="105"/>
        </w:rPr>
        <w:t>institutional</w:t>
      </w:r>
      <w:r>
        <w:rPr>
          <w:spacing w:val="-5"/>
          <w:w w:val="105"/>
        </w:rPr>
        <w:t xml:space="preserve"> </w:t>
      </w:r>
      <w:r>
        <w:rPr>
          <w:w w:val="105"/>
        </w:rPr>
        <w:t>barriers to economic participation.</w:t>
      </w:r>
      <w:r>
        <w:rPr>
          <w:w w:val="105"/>
        </w:rPr>
        <w:t xml:space="preserve"> Their inclusion in public procurement is not merely a social obligation but a strategic approach to reducing inequality, enhancing innovation, and broadening the national economic base. According to the Public Procurement Regulatory Authority (PPRA, 2020)</w:t>
      </w:r>
      <w:r>
        <w:rPr>
          <w:w w:val="105"/>
        </w:rPr>
        <w:t xml:space="preserve">, these groups are granted preferential treatment to empower them and ensure equitable access to procurement </w:t>
      </w:r>
      <w:r>
        <w:rPr>
          <w:spacing w:val="-2"/>
          <w:w w:val="105"/>
        </w:rPr>
        <w:t>opportunities.</w:t>
      </w:r>
    </w:p>
    <w:p w:rsidR="00487D64" w:rsidRDefault="006F0D93">
      <w:pPr>
        <w:pStyle w:val="BodyText"/>
        <w:spacing w:before="235" w:line="501" w:lineRule="auto"/>
        <w:ind w:left="1419" w:right="856"/>
        <w:jc w:val="both"/>
      </w:pPr>
      <w:r>
        <w:rPr>
          <w:w w:val="105"/>
        </w:rPr>
        <w:t>Special group SMEs are particularly important because they stimulate employment creation, promote local production, and contribute t</w:t>
      </w:r>
      <w:r>
        <w:rPr>
          <w:w w:val="105"/>
        </w:rPr>
        <w:t>o poverty reduction in communities where formal employment opportunities are limited. Women and youth-owned</w:t>
      </w:r>
      <w:r>
        <w:rPr>
          <w:spacing w:val="31"/>
          <w:w w:val="105"/>
        </w:rPr>
        <w:t xml:space="preserve"> </w:t>
      </w:r>
      <w:r>
        <w:rPr>
          <w:w w:val="105"/>
        </w:rPr>
        <w:t>enterprises,</w:t>
      </w:r>
      <w:r>
        <w:rPr>
          <w:spacing w:val="32"/>
          <w:w w:val="105"/>
        </w:rPr>
        <w:t xml:space="preserve"> </w:t>
      </w:r>
      <w:r>
        <w:rPr>
          <w:w w:val="105"/>
        </w:rPr>
        <w:t>for</w:t>
      </w:r>
      <w:r>
        <w:rPr>
          <w:spacing w:val="33"/>
          <w:w w:val="105"/>
        </w:rPr>
        <w:t xml:space="preserve"> </w:t>
      </w:r>
      <w:r>
        <w:rPr>
          <w:w w:val="105"/>
        </w:rPr>
        <w:t>example,</w:t>
      </w:r>
      <w:r>
        <w:rPr>
          <w:spacing w:val="26"/>
          <w:w w:val="105"/>
        </w:rPr>
        <w:t xml:space="preserve"> </w:t>
      </w:r>
      <w:r>
        <w:rPr>
          <w:w w:val="105"/>
        </w:rPr>
        <w:t>account</w:t>
      </w:r>
      <w:r>
        <w:rPr>
          <w:spacing w:val="33"/>
          <w:w w:val="105"/>
        </w:rPr>
        <w:t xml:space="preserve"> </w:t>
      </w:r>
      <w:r>
        <w:rPr>
          <w:w w:val="105"/>
        </w:rPr>
        <w:t>for</w:t>
      </w:r>
      <w:r>
        <w:rPr>
          <w:spacing w:val="28"/>
          <w:w w:val="105"/>
        </w:rPr>
        <w:t xml:space="preserve"> </w:t>
      </w:r>
      <w:r>
        <w:rPr>
          <w:w w:val="105"/>
        </w:rPr>
        <w:t>a</w:t>
      </w:r>
      <w:r>
        <w:rPr>
          <w:spacing w:val="36"/>
          <w:w w:val="105"/>
        </w:rPr>
        <w:t xml:space="preserve"> </w:t>
      </w:r>
      <w:r>
        <w:rPr>
          <w:w w:val="105"/>
        </w:rPr>
        <w:t>growing</w:t>
      </w:r>
      <w:r>
        <w:rPr>
          <w:spacing w:val="31"/>
          <w:w w:val="105"/>
        </w:rPr>
        <w:t xml:space="preserve"> </w:t>
      </w:r>
      <w:r>
        <w:rPr>
          <w:w w:val="105"/>
        </w:rPr>
        <w:t>share</w:t>
      </w:r>
      <w:r>
        <w:rPr>
          <w:spacing w:val="29"/>
          <w:w w:val="105"/>
        </w:rPr>
        <w:t xml:space="preserve"> </w:t>
      </w:r>
      <w:r>
        <w:rPr>
          <w:w w:val="105"/>
        </w:rPr>
        <w:t>of</w:t>
      </w:r>
      <w:r>
        <w:rPr>
          <w:spacing w:val="22"/>
          <w:w w:val="105"/>
        </w:rPr>
        <w:t xml:space="preserve"> </w:t>
      </w:r>
      <w:r>
        <w:rPr>
          <w:spacing w:val="-2"/>
          <w:w w:val="105"/>
        </w:rPr>
        <w:t>Tanzania’s</w:t>
      </w:r>
    </w:p>
    <w:p w:rsidR="00487D64" w:rsidRDefault="00487D64">
      <w:pPr>
        <w:pStyle w:val="BodyText"/>
        <w:spacing w:line="501" w:lineRule="auto"/>
        <w:jc w:val="both"/>
        <w:sectPr w:rsidR="00487D64">
          <w:headerReference w:type="default" r:id="rId8"/>
          <w:pgSz w:w="11910" w:h="16850"/>
          <w:pgMar w:top="980" w:right="566" w:bottom="280" w:left="850" w:header="725" w:footer="0" w:gutter="0"/>
          <w:pgNumType w:start="1"/>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9"/>
        <w:jc w:val="both"/>
      </w:pPr>
      <w:r>
        <w:rPr>
          <w:w w:val="105"/>
        </w:rPr>
        <w:t>informal and microeconomic activit</w:t>
      </w:r>
      <w:r>
        <w:rPr>
          <w:w w:val="105"/>
        </w:rPr>
        <w:t>ies but remain underrepresented in public contracts. Empowering these groups through procurement ensures that government expenditure directly contributes to social inclusion and national competitiveness. Conversely, excluding them from public procurement p</w:t>
      </w:r>
      <w:r>
        <w:rPr>
          <w:w w:val="105"/>
        </w:rPr>
        <w:t>erpetuates economic marginalization, limits national productivity, and undermines the goals of Vision 2025 and the Sustainable Development Goals (SDGs), especially Goal 8 (Decent Work and Economic Growth) and Goal 10 (Reduced Inequalities).</w:t>
      </w:r>
    </w:p>
    <w:p w:rsidR="00487D64" w:rsidRDefault="006F0D93">
      <w:pPr>
        <w:pStyle w:val="BodyText"/>
        <w:spacing w:before="237" w:line="501" w:lineRule="auto"/>
        <w:ind w:left="1419" w:right="850"/>
        <w:jc w:val="both"/>
      </w:pPr>
      <w:r>
        <w:rPr>
          <w:w w:val="105"/>
        </w:rPr>
        <w:t>Globally, devel</w:t>
      </w:r>
      <w:r>
        <w:rPr>
          <w:w w:val="105"/>
        </w:rPr>
        <w:t>oped countries have demonstrated</w:t>
      </w:r>
      <w:r>
        <w:rPr>
          <w:spacing w:val="-1"/>
          <w:w w:val="105"/>
        </w:rPr>
        <w:t xml:space="preserve"> </w:t>
      </w:r>
      <w:r>
        <w:rPr>
          <w:w w:val="105"/>
        </w:rPr>
        <w:t>the economic</w:t>
      </w:r>
      <w:r>
        <w:rPr>
          <w:spacing w:val="-2"/>
          <w:w w:val="105"/>
        </w:rPr>
        <w:t xml:space="preserve"> </w:t>
      </w:r>
      <w:r>
        <w:rPr>
          <w:w w:val="105"/>
        </w:rPr>
        <w:t>benefits of inclusive procurement. For instance, the United States Small Business Act and the Women- Owned Small Business (WOSB) Program have significantly increased women’s participation in government contract</w:t>
      </w:r>
      <w:r>
        <w:rPr>
          <w:w w:val="105"/>
        </w:rPr>
        <w:t>s, while the European Union’s 2014 Procurement Directives integrate social objectives into procurement law. Similarly, Kenya’s Access to Government Procurement Opportunities (AGPO) initiative reserves 30% of public contracts for special groups, aiming to s</w:t>
      </w:r>
      <w:r>
        <w:rPr>
          <w:w w:val="105"/>
        </w:rPr>
        <w:t>trengthen inclusion and local capacity. Despite these global and regional efforts, evidence indicates that implementation challenges such as limited technical capacity, corruption, and rigid procedures often constrain the realization of inclusive procureme</w:t>
      </w:r>
      <w:r>
        <w:rPr>
          <w:w w:val="105"/>
        </w:rPr>
        <w:t>nt objectives (Mohamed &amp; Senelwa, 2020; Ojok &amp; Mukasa, 2024).</w:t>
      </w:r>
    </w:p>
    <w:p w:rsidR="00487D64" w:rsidRDefault="006F0D93">
      <w:pPr>
        <w:pStyle w:val="BodyText"/>
        <w:spacing w:before="237" w:line="499" w:lineRule="auto"/>
        <w:ind w:left="1419" w:right="854"/>
        <w:jc w:val="both"/>
      </w:pPr>
      <w:r>
        <w:rPr>
          <w:w w:val="105"/>
        </w:rPr>
        <w:t>In</w:t>
      </w:r>
      <w:r>
        <w:rPr>
          <w:spacing w:val="-12"/>
          <w:w w:val="105"/>
        </w:rPr>
        <w:t xml:space="preserve"> </w:t>
      </w:r>
      <w:r>
        <w:rPr>
          <w:w w:val="105"/>
        </w:rPr>
        <w:t>Tanzania,</w:t>
      </w:r>
      <w:r>
        <w:rPr>
          <w:spacing w:val="-10"/>
          <w:w w:val="105"/>
        </w:rPr>
        <w:t xml:space="preserve"> </w:t>
      </w:r>
      <w:r>
        <w:rPr>
          <w:w w:val="105"/>
        </w:rPr>
        <w:t>legal</w:t>
      </w:r>
      <w:r>
        <w:rPr>
          <w:spacing w:val="-10"/>
          <w:w w:val="105"/>
        </w:rPr>
        <w:t xml:space="preserve"> </w:t>
      </w:r>
      <w:r>
        <w:rPr>
          <w:w w:val="105"/>
        </w:rPr>
        <w:t>reforms</w:t>
      </w:r>
      <w:r>
        <w:rPr>
          <w:spacing w:val="-7"/>
          <w:w w:val="105"/>
        </w:rPr>
        <w:t xml:space="preserve"> </w:t>
      </w:r>
      <w:r>
        <w:rPr>
          <w:w w:val="105"/>
        </w:rPr>
        <w:t>such</w:t>
      </w:r>
      <w:r>
        <w:rPr>
          <w:spacing w:val="-5"/>
          <w:w w:val="105"/>
        </w:rPr>
        <w:t xml:space="preserve"> </w:t>
      </w:r>
      <w:r>
        <w:rPr>
          <w:w w:val="105"/>
        </w:rPr>
        <w:t>as</w:t>
      </w:r>
      <w:r>
        <w:rPr>
          <w:spacing w:val="-8"/>
          <w:w w:val="105"/>
        </w:rPr>
        <w:t xml:space="preserve"> </w:t>
      </w:r>
      <w:r>
        <w:rPr>
          <w:w w:val="105"/>
        </w:rPr>
        <w:t>the</w:t>
      </w:r>
      <w:r>
        <w:rPr>
          <w:spacing w:val="-6"/>
          <w:w w:val="105"/>
        </w:rPr>
        <w:t xml:space="preserve"> </w:t>
      </w:r>
      <w:r>
        <w:rPr>
          <w:w w:val="105"/>
        </w:rPr>
        <w:t>Public</w:t>
      </w:r>
      <w:r>
        <w:rPr>
          <w:spacing w:val="-6"/>
          <w:w w:val="105"/>
        </w:rPr>
        <w:t xml:space="preserve"> </w:t>
      </w:r>
      <w:r>
        <w:rPr>
          <w:w w:val="105"/>
        </w:rPr>
        <w:t>Procurement</w:t>
      </w:r>
      <w:r>
        <w:rPr>
          <w:spacing w:val="-10"/>
          <w:w w:val="105"/>
        </w:rPr>
        <w:t xml:space="preserve"> </w:t>
      </w:r>
      <w:r>
        <w:rPr>
          <w:w w:val="105"/>
        </w:rPr>
        <w:t>(Amendment)</w:t>
      </w:r>
      <w:r>
        <w:rPr>
          <w:spacing w:val="-2"/>
          <w:w w:val="105"/>
        </w:rPr>
        <w:t xml:space="preserve"> </w:t>
      </w:r>
      <w:r>
        <w:rPr>
          <w:w w:val="105"/>
        </w:rPr>
        <w:t>Act</w:t>
      </w:r>
      <w:r>
        <w:rPr>
          <w:spacing w:val="-10"/>
          <w:w w:val="105"/>
        </w:rPr>
        <w:t xml:space="preserve"> </w:t>
      </w:r>
      <w:r>
        <w:rPr>
          <w:w w:val="105"/>
        </w:rPr>
        <w:t>of</w:t>
      </w:r>
      <w:r>
        <w:rPr>
          <w:spacing w:val="-8"/>
          <w:w w:val="105"/>
        </w:rPr>
        <w:t xml:space="preserve"> </w:t>
      </w:r>
      <w:r>
        <w:rPr>
          <w:w w:val="105"/>
        </w:rPr>
        <w:t>2016 require all procuring entities to allocate at least 30% of their annual procurement budget to special group</w:t>
      </w:r>
      <w:r>
        <w:rPr>
          <w:w w:val="105"/>
        </w:rPr>
        <w:t xml:space="preserve"> SMEs. However, reports by the Controller and Auditor General (CAG, 2021) and PPRA (2022) consistently show that actual participation remains below 10%, revealing a significant gap between policy intent and practical</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54"/>
        <w:jc w:val="both"/>
      </w:pPr>
      <w:r>
        <w:rPr>
          <w:w w:val="105"/>
        </w:rPr>
        <w:t>outcomes.</w:t>
      </w:r>
      <w:r>
        <w:rPr>
          <w:spacing w:val="-6"/>
          <w:w w:val="105"/>
        </w:rPr>
        <w:t xml:space="preserve"> </w:t>
      </w:r>
      <w:r>
        <w:rPr>
          <w:w w:val="105"/>
        </w:rPr>
        <w:t>Prior studies</w:t>
      </w:r>
      <w:r>
        <w:rPr>
          <w:spacing w:val="-10"/>
          <w:w w:val="105"/>
        </w:rPr>
        <w:t xml:space="preserve"> </w:t>
      </w:r>
      <w:r>
        <w:rPr>
          <w:w w:val="105"/>
        </w:rPr>
        <w:t>(Karani</w:t>
      </w:r>
      <w:r>
        <w:rPr>
          <w:spacing w:val="-6"/>
          <w:w w:val="105"/>
        </w:rPr>
        <w:t xml:space="preserve"> </w:t>
      </w:r>
      <w:r>
        <w:rPr>
          <w:w w:val="105"/>
        </w:rPr>
        <w:t>&amp;</w:t>
      </w:r>
      <w:r>
        <w:rPr>
          <w:spacing w:val="-2"/>
          <w:w w:val="105"/>
        </w:rPr>
        <w:t xml:space="preserve"> </w:t>
      </w:r>
      <w:r>
        <w:rPr>
          <w:w w:val="105"/>
        </w:rPr>
        <w:t>Moronge,</w:t>
      </w:r>
      <w:r>
        <w:rPr>
          <w:spacing w:val="-6"/>
          <w:w w:val="105"/>
        </w:rPr>
        <w:t xml:space="preserve"> </w:t>
      </w:r>
      <w:r>
        <w:rPr>
          <w:w w:val="105"/>
        </w:rPr>
        <w:t>2017;</w:t>
      </w:r>
      <w:r>
        <w:rPr>
          <w:spacing w:val="-6"/>
          <w:w w:val="105"/>
        </w:rPr>
        <w:t xml:space="preserve"> </w:t>
      </w:r>
      <w:r>
        <w:rPr>
          <w:w w:val="105"/>
        </w:rPr>
        <w:t>Adefare</w:t>
      </w:r>
      <w:r>
        <w:rPr>
          <w:spacing w:val="-9"/>
          <w:w w:val="105"/>
        </w:rPr>
        <w:t xml:space="preserve"> </w:t>
      </w:r>
      <w:r>
        <w:rPr>
          <w:w w:val="105"/>
        </w:rPr>
        <w:t>et</w:t>
      </w:r>
      <w:r>
        <w:rPr>
          <w:spacing w:val="-6"/>
          <w:w w:val="105"/>
        </w:rPr>
        <w:t xml:space="preserve"> </w:t>
      </w:r>
      <w:r>
        <w:rPr>
          <w:w w:val="105"/>
        </w:rPr>
        <w:t>al.,</w:t>
      </w:r>
      <w:r>
        <w:rPr>
          <w:spacing w:val="-12"/>
          <w:w w:val="105"/>
        </w:rPr>
        <w:t xml:space="preserve"> </w:t>
      </w:r>
      <w:r>
        <w:rPr>
          <w:w w:val="105"/>
        </w:rPr>
        <w:t>2024) attribute</w:t>
      </w:r>
      <w:r>
        <w:rPr>
          <w:spacing w:val="-15"/>
          <w:w w:val="105"/>
        </w:rPr>
        <w:t xml:space="preserve"> </w:t>
      </w:r>
      <w:r>
        <w:rPr>
          <w:w w:val="105"/>
        </w:rPr>
        <w:t>this low participation to limited financial capacity, lack of tendering knowledge, and inadequate institutional support.</w:t>
      </w:r>
    </w:p>
    <w:p w:rsidR="00487D64" w:rsidRDefault="006F0D93">
      <w:pPr>
        <w:pStyle w:val="BodyText"/>
        <w:spacing w:before="245" w:line="501" w:lineRule="auto"/>
        <w:ind w:left="1419" w:right="846"/>
        <w:jc w:val="both"/>
      </w:pPr>
      <w:r>
        <w:rPr>
          <w:w w:val="105"/>
        </w:rPr>
        <w:t>What remains less understood, however, is how internal strategic</w:t>
      </w:r>
      <w:r>
        <w:rPr>
          <w:w w:val="105"/>
        </w:rPr>
        <w:t xml:space="preserve"> factors such as market orientation (MO) and strategic flexibility (SF) influence the ability of these enterprises to remain competitive and sustainable within the public procurement system. While studies in other contexts</w:t>
      </w:r>
      <w:r>
        <w:rPr>
          <w:spacing w:val="-7"/>
          <w:w w:val="105"/>
        </w:rPr>
        <w:t xml:space="preserve"> </w:t>
      </w:r>
      <w:r>
        <w:rPr>
          <w:w w:val="105"/>
        </w:rPr>
        <w:t>(Narver &amp; Slater,</w:t>
      </w:r>
      <w:r>
        <w:rPr>
          <w:spacing w:val="-3"/>
          <w:w w:val="105"/>
        </w:rPr>
        <w:t xml:space="preserve"> </w:t>
      </w:r>
      <w:r>
        <w:rPr>
          <w:w w:val="105"/>
        </w:rPr>
        <w:t>1990;</w:t>
      </w:r>
      <w:r>
        <w:rPr>
          <w:spacing w:val="-3"/>
          <w:w w:val="105"/>
        </w:rPr>
        <w:t xml:space="preserve"> </w:t>
      </w:r>
      <w:r>
        <w:rPr>
          <w:w w:val="105"/>
        </w:rPr>
        <w:t>Morgan et</w:t>
      </w:r>
      <w:r>
        <w:rPr>
          <w:w w:val="105"/>
        </w:rPr>
        <w:t xml:space="preserve"> al.,</w:t>
      </w:r>
      <w:r>
        <w:rPr>
          <w:spacing w:val="-3"/>
          <w:w w:val="105"/>
        </w:rPr>
        <w:t xml:space="preserve"> </w:t>
      </w:r>
      <w:r>
        <w:rPr>
          <w:w w:val="105"/>
        </w:rPr>
        <w:t>2019; Royo-Vela et al., 2022) confirm that MO enhances performance through customer orientation, competitor analysis, and functional coordination, empirical evidence in the</w:t>
      </w:r>
      <w:r>
        <w:rPr>
          <w:spacing w:val="-9"/>
          <w:w w:val="105"/>
        </w:rPr>
        <w:t xml:space="preserve"> </w:t>
      </w:r>
      <w:r>
        <w:rPr>
          <w:w w:val="105"/>
        </w:rPr>
        <w:t>Tanzanian</w:t>
      </w:r>
      <w:r>
        <w:rPr>
          <w:spacing w:val="-2"/>
          <w:w w:val="105"/>
        </w:rPr>
        <w:t xml:space="preserve"> </w:t>
      </w:r>
      <w:r>
        <w:rPr>
          <w:w w:val="105"/>
        </w:rPr>
        <w:t>public</w:t>
      </w:r>
      <w:r>
        <w:rPr>
          <w:spacing w:val="-9"/>
          <w:w w:val="105"/>
        </w:rPr>
        <w:t xml:space="preserve"> </w:t>
      </w:r>
      <w:r>
        <w:rPr>
          <w:w w:val="105"/>
        </w:rPr>
        <w:t>procurement setting</w:t>
      </w:r>
      <w:r>
        <w:rPr>
          <w:spacing w:val="-8"/>
          <w:w w:val="105"/>
        </w:rPr>
        <w:t xml:space="preserve"> </w:t>
      </w:r>
      <w:r>
        <w:rPr>
          <w:w w:val="105"/>
        </w:rPr>
        <w:t>remains</w:t>
      </w:r>
      <w:r>
        <w:rPr>
          <w:spacing w:val="-10"/>
          <w:w w:val="105"/>
        </w:rPr>
        <w:t xml:space="preserve"> </w:t>
      </w:r>
      <w:r>
        <w:rPr>
          <w:w w:val="105"/>
        </w:rPr>
        <w:t>limited. Moreover,</w:t>
      </w:r>
      <w:r>
        <w:rPr>
          <w:spacing w:val="-6"/>
          <w:w w:val="105"/>
        </w:rPr>
        <w:t xml:space="preserve"> </w:t>
      </w:r>
      <w:r>
        <w:rPr>
          <w:w w:val="105"/>
        </w:rPr>
        <w:t>the</w:t>
      </w:r>
      <w:r>
        <w:rPr>
          <w:spacing w:val="-3"/>
          <w:w w:val="105"/>
        </w:rPr>
        <w:t xml:space="preserve"> </w:t>
      </w:r>
      <w:r>
        <w:rPr>
          <w:w w:val="105"/>
        </w:rPr>
        <w:t>moderatin</w:t>
      </w:r>
      <w:r>
        <w:rPr>
          <w:w w:val="105"/>
        </w:rPr>
        <w:t>g influence of strategic flexibility, a dynamic capability that enables firms to adapt to changing regulations</w:t>
      </w:r>
      <w:r>
        <w:rPr>
          <w:spacing w:val="-2"/>
          <w:w w:val="105"/>
        </w:rPr>
        <w:t xml:space="preserve"> </w:t>
      </w:r>
      <w:r>
        <w:rPr>
          <w:w w:val="105"/>
        </w:rPr>
        <w:t>and market environments, has not been adequately examined.</w:t>
      </w:r>
    </w:p>
    <w:p w:rsidR="00487D64" w:rsidRDefault="006F0D93">
      <w:pPr>
        <w:pStyle w:val="BodyText"/>
        <w:spacing w:before="240" w:line="501" w:lineRule="auto"/>
        <w:ind w:left="1419" w:right="848"/>
        <w:jc w:val="both"/>
      </w:pPr>
      <w:r>
        <w:rPr>
          <w:w w:val="105"/>
        </w:rPr>
        <w:t>Therefore, the current study addresses these gaps by investigating the impact of marke</w:t>
      </w:r>
      <w:r>
        <w:rPr>
          <w:w w:val="105"/>
        </w:rPr>
        <w:t>t orientation on the sustainable competitiveness of special group SMEs in public</w:t>
      </w:r>
      <w:r>
        <w:rPr>
          <w:spacing w:val="-9"/>
          <w:w w:val="105"/>
        </w:rPr>
        <w:t xml:space="preserve"> </w:t>
      </w:r>
      <w:r>
        <w:rPr>
          <w:w w:val="105"/>
        </w:rPr>
        <w:t>procurement,</w:t>
      </w:r>
      <w:r>
        <w:rPr>
          <w:spacing w:val="-6"/>
          <w:w w:val="105"/>
        </w:rPr>
        <w:t xml:space="preserve"> </w:t>
      </w:r>
      <w:r>
        <w:rPr>
          <w:w w:val="105"/>
        </w:rPr>
        <w:t>with</w:t>
      </w:r>
      <w:r>
        <w:rPr>
          <w:spacing w:val="-2"/>
          <w:w w:val="105"/>
        </w:rPr>
        <w:t xml:space="preserve"> </w:t>
      </w:r>
      <w:r>
        <w:rPr>
          <w:w w:val="105"/>
        </w:rPr>
        <w:t>strategic</w:t>
      </w:r>
      <w:r>
        <w:rPr>
          <w:spacing w:val="-9"/>
          <w:w w:val="105"/>
        </w:rPr>
        <w:t xml:space="preserve"> </w:t>
      </w:r>
      <w:r>
        <w:rPr>
          <w:w w:val="105"/>
        </w:rPr>
        <w:t>flexibility</w:t>
      </w:r>
      <w:r>
        <w:rPr>
          <w:spacing w:val="-8"/>
          <w:w w:val="105"/>
        </w:rPr>
        <w:t xml:space="preserve"> </w:t>
      </w:r>
      <w:r>
        <w:rPr>
          <w:w w:val="105"/>
        </w:rPr>
        <w:t>as</w:t>
      </w:r>
      <w:r>
        <w:rPr>
          <w:spacing w:val="-16"/>
          <w:w w:val="105"/>
        </w:rPr>
        <w:t xml:space="preserve"> </w:t>
      </w:r>
      <w:r>
        <w:rPr>
          <w:w w:val="105"/>
        </w:rPr>
        <w:t>a</w:t>
      </w:r>
      <w:r>
        <w:rPr>
          <w:spacing w:val="-2"/>
          <w:w w:val="105"/>
        </w:rPr>
        <w:t xml:space="preserve"> </w:t>
      </w:r>
      <w:r>
        <w:rPr>
          <w:w w:val="105"/>
        </w:rPr>
        <w:t>moderating</w:t>
      </w:r>
      <w:r>
        <w:rPr>
          <w:spacing w:val="-8"/>
          <w:w w:val="105"/>
        </w:rPr>
        <w:t xml:space="preserve"> </w:t>
      </w:r>
      <w:r>
        <w:rPr>
          <w:w w:val="105"/>
        </w:rPr>
        <w:t>variable.</w:t>
      </w:r>
      <w:r>
        <w:rPr>
          <w:spacing w:val="-6"/>
          <w:w w:val="105"/>
        </w:rPr>
        <w:t xml:space="preserve"> </w:t>
      </w:r>
      <w:r>
        <w:rPr>
          <w:w w:val="105"/>
        </w:rPr>
        <w:t>By</w:t>
      </w:r>
      <w:r>
        <w:rPr>
          <w:spacing w:val="-14"/>
          <w:w w:val="105"/>
        </w:rPr>
        <w:t xml:space="preserve"> </w:t>
      </w:r>
      <w:r>
        <w:rPr>
          <w:w w:val="105"/>
        </w:rPr>
        <w:t>integrating the Market Orientation Theory (MOT) and the Dynamic Capability Theory (DCT), the study advances understanding of how market-driven and adaptive strategies can enhance the competitiveness and sustainability of enterprises operating under inclusi</w:t>
      </w:r>
      <w:r>
        <w:rPr>
          <w:w w:val="105"/>
        </w:rPr>
        <w:t>ve procurement frameworks.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12"/>
      </w:pPr>
    </w:p>
    <w:p w:rsidR="00487D64" w:rsidRDefault="006F0D93">
      <w:pPr>
        <w:pStyle w:val="ListParagraph"/>
        <w:numPr>
          <w:ilvl w:val="1"/>
          <w:numId w:val="17"/>
        </w:numPr>
        <w:tabs>
          <w:tab w:val="left" w:pos="2139"/>
        </w:tabs>
        <w:ind w:left="2139" w:hanging="720"/>
        <w:rPr>
          <w:b/>
          <w:sz w:val="23"/>
        </w:rPr>
      </w:pPr>
      <w:bookmarkStart w:id="25" w:name="1.3__Statement_of_the_Problem"/>
      <w:bookmarkStart w:id="26" w:name="_bookmark12"/>
      <w:bookmarkEnd w:id="25"/>
      <w:bookmarkEnd w:id="26"/>
      <w:r>
        <w:rPr>
          <w:b/>
          <w:w w:val="105"/>
          <w:sz w:val="23"/>
        </w:rPr>
        <w:t>Statement</w:t>
      </w:r>
      <w:r>
        <w:rPr>
          <w:b/>
          <w:spacing w:val="-8"/>
          <w:w w:val="105"/>
          <w:sz w:val="23"/>
        </w:rPr>
        <w:t xml:space="preserve"> </w:t>
      </w:r>
      <w:r>
        <w:rPr>
          <w:b/>
          <w:w w:val="105"/>
          <w:sz w:val="23"/>
        </w:rPr>
        <w:t>of</w:t>
      </w:r>
      <w:r>
        <w:rPr>
          <w:b/>
          <w:spacing w:val="-12"/>
          <w:w w:val="105"/>
          <w:sz w:val="23"/>
        </w:rPr>
        <w:t xml:space="preserve"> </w:t>
      </w:r>
      <w:r>
        <w:rPr>
          <w:b/>
          <w:w w:val="105"/>
          <w:sz w:val="23"/>
        </w:rPr>
        <w:t>the</w:t>
      </w:r>
      <w:r>
        <w:rPr>
          <w:b/>
          <w:spacing w:val="-4"/>
          <w:w w:val="105"/>
          <w:sz w:val="23"/>
        </w:rPr>
        <w:t xml:space="preserve"> </w:t>
      </w:r>
      <w:r>
        <w:rPr>
          <w:b/>
          <w:spacing w:val="-2"/>
          <w:w w:val="105"/>
          <w:sz w:val="23"/>
        </w:rPr>
        <w:t>Problem</w:t>
      </w:r>
    </w:p>
    <w:p w:rsidR="00487D64" w:rsidRDefault="00487D64">
      <w:pPr>
        <w:pStyle w:val="BodyText"/>
        <w:spacing w:before="18"/>
        <w:rPr>
          <w:b/>
        </w:rPr>
      </w:pPr>
    </w:p>
    <w:p w:rsidR="00487D64" w:rsidRDefault="006F0D93">
      <w:pPr>
        <w:pStyle w:val="BodyText"/>
        <w:spacing w:line="501" w:lineRule="auto"/>
        <w:ind w:left="1419" w:right="857"/>
        <w:jc w:val="both"/>
      </w:pPr>
      <w:r>
        <w:rPr>
          <w:w w:val="105"/>
        </w:rPr>
        <w:t>Public procurement is recognized globally as a powerful instrument for promoting inclusivity and economic empowerment of marginalized groups. In Tanzania, the Public Procurement</w:t>
      </w:r>
      <w:r>
        <w:rPr>
          <w:w w:val="105"/>
        </w:rPr>
        <w:t xml:space="preserve"> Act (2011, as amended in 2016) mandates that 30% of public procurement opportunities be reserved for special group SMEs, including women, youth, elders,</w:t>
      </w:r>
      <w:r>
        <w:rPr>
          <w:spacing w:val="-6"/>
          <w:w w:val="105"/>
        </w:rPr>
        <w:t xml:space="preserve"> </w:t>
      </w:r>
      <w:r>
        <w:rPr>
          <w:w w:val="105"/>
        </w:rPr>
        <w:t>and</w:t>
      </w:r>
      <w:r>
        <w:rPr>
          <w:spacing w:val="-2"/>
          <w:w w:val="105"/>
        </w:rPr>
        <w:t xml:space="preserve"> </w:t>
      </w:r>
      <w:r>
        <w:rPr>
          <w:w w:val="105"/>
        </w:rPr>
        <w:t>persons</w:t>
      </w:r>
      <w:r>
        <w:rPr>
          <w:spacing w:val="-3"/>
          <w:w w:val="105"/>
        </w:rPr>
        <w:t xml:space="preserve"> </w:t>
      </w:r>
      <w:r>
        <w:rPr>
          <w:w w:val="105"/>
        </w:rPr>
        <w:t>with</w:t>
      </w:r>
      <w:r>
        <w:rPr>
          <w:spacing w:val="-2"/>
          <w:w w:val="105"/>
        </w:rPr>
        <w:t xml:space="preserve"> </w:t>
      </w:r>
      <w:r>
        <w:rPr>
          <w:w w:val="105"/>
        </w:rPr>
        <w:t>disabilities.</w:t>
      </w:r>
      <w:r>
        <w:rPr>
          <w:spacing w:val="-6"/>
          <w:w w:val="105"/>
        </w:rPr>
        <w:t xml:space="preserve"> </w:t>
      </w:r>
      <w:r>
        <w:rPr>
          <w:w w:val="105"/>
        </w:rPr>
        <w:t>Despite</w:t>
      </w:r>
      <w:r>
        <w:rPr>
          <w:spacing w:val="-9"/>
          <w:w w:val="105"/>
        </w:rPr>
        <w:t xml:space="preserve"> </w:t>
      </w:r>
      <w:r>
        <w:rPr>
          <w:w w:val="105"/>
        </w:rPr>
        <w:t>these</w:t>
      </w:r>
      <w:r>
        <w:rPr>
          <w:spacing w:val="-9"/>
          <w:w w:val="105"/>
        </w:rPr>
        <w:t xml:space="preserve"> </w:t>
      </w:r>
      <w:r>
        <w:rPr>
          <w:w w:val="105"/>
        </w:rPr>
        <w:t>legal provisions,</w:t>
      </w:r>
      <w:r>
        <w:rPr>
          <w:spacing w:val="-6"/>
          <w:w w:val="105"/>
        </w:rPr>
        <w:t xml:space="preserve"> </w:t>
      </w:r>
      <w:r>
        <w:rPr>
          <w:w w:val="105"/>
        </w:rPr>
        <w:t>reports</w:t>
      </w:r>
      <w:r>
        <w:rPr>
          <w:spacing w:val="-3"/>
          <w:w w:val="105"/>
        </w:rPr>
        <w:t xml:space="preserve"> </w:t>
      </w:r>
      <w:r>
        <w:rPr>
          <w:w w:val="105"/>
        </w:rPr>
        <w:t>by the Public Procurement Regul</w:t>
      </w:r>
      <w:r>
        <w:rPr>
          <w:w w:val="105"/>
        </w:rPr>
        <w:t>atory Authority (PPRA, 2022) and the Controller and Auditor</w:t>
      </w:r>
      <w:r>
        <w:rPr>
          <w:spacing w:val="-1"/>
          <w:w w:val="105"/>
        </w:rPr>
        <w:t xml:space="preserve"> </w:t>
      </w:r>
      <w:r>
        <w:rPr>
          <w:w w:val="105"/>
        </w:rPr>
        <w:t>General</w:t>
      </w:r>
      <w:r>
        <w:rPr>
          <w:spacing w:val="-3"/>
          <w:w w:val="105"/>
        </w:rPr>
        <w:t xml:space="preserve"> </w:t>
      </w:r>
      <w:r>
        <w:rPr>
          <w:w w:val="105"/>
        </w:rPr>
        <w:t>(CAG,</w:t>
      </w:r>
      <w:r>
        <w:rPr>
          <w:spacing w:val="-3"/>
          <w:w w:val="105"/>
        </w:rPr>
        <w:t xml:space="preserve"> </w:t>
      </w:r>
      <w:r>
        <w:rPr>
          <w:w w:val="105"/>
        </w:rPr>
        <w:t>2021)</w:t>
      </w:r>
      <w:r>
        <w:rPr>
          <w:spacing w:val="-1"/>
          <w:w w:val="105"/>
        </w:rPr>
        <w:t xml:space="preserve"> </w:t>
      </w:r>
      <w:r>
        <w:rPr>
          <w:w w:val="105"/>
        </w:rPr>
        <w:t>reveal that less</w:t>
      </w:r>
      <w:r>
        <w:rPr>
          <w:spacing w:val="-6"/>
          <w:w w:val="105"/>
        </w:rPr>
        <w:t xml:space="preserve"> </w:t>
      </w:r>
      <w:r>
        <w:rPr>
          <w:w w:val="105"/>
        </w:rPr>
        <w:t>than 10% of</w:t>
      </w:r>
      <w:r>
        <w:rPr>
          <w:spacing w:val="-1"/>
          <w:w w:val="105"/>
        </w:rPr>
        <w:t xml:space="preserve"> </w:t>
      </w:r>
      <w:r>
        <w:rPr>
          <w:w w:val="105"/>
        </w:rPr>
        <w:t>the reserved contracts are accessed</w:t>
      </w:r>
      <w:r>
        <w:rPr>
          <w:spacing w:val="-6"/>
          <w:w w:val="105"/>
        </w:rPr>
        <w:t xml:space="preserve"> </w:t>
      </w:r>
      <w:r>
        <w:rPr>
          <w:w w:val="105"/>
        </w:rPr>
        <w:t>by</w:t>
      </w:r>
      <w:r>
        <w:rPr>
          <w:spacing w:val="-6"/>
          <w:w w:val="105"/>
        </w:rPr>
        <w:t xml:space="preserve"> </w:t>
      </w:r>
      <w:r>
        <w:rPr>
          <w:w w:val="105"/>
        </w:rPr>
        <w:t>these</w:t>
      </w:r>
      <w:r>
        <w:rPr>
          <w:spacing w:val="-7"/>
          <w:w w:val="105"/>
        </w:rPr>
        <w:t xml:space="preserve"> </w:t>
      </w:r>
      <w:r>
        <w:rPr>
          <w:w w:val="105"/>
        </w:rPr>
        <w:t>enterprises.</w:t>
      </w:r>
      <w:r>
        <w:rPr>
          <w:spacing w:val="-4"/>
          <w:w w:val="105"/>
        </w:rPr>
        <w:t xml:space="preserve"> </w:t>
      </w:r>
      <w:r>
        <w:rPr>
          <w:w w:val="105"/>
        </w:rPr>
        <w:t>This</w:t>
      </w:r>
      <w:r>
        <w:rPr>
          <w:spacing w:val="-9"/>
          <w:w w:val="105"/>
        </w:rPr>
        <w:t xml:space="preserve"> </w:t>
      </w:r>
      <w:r>
        <w:rPr>
          <w:w w:val="105"/>
        </w:rPr>
        <w:t>reflects</w:t>
      </w:r>
      <w:r>
        <w:rPr>
          <w:spacing w:val="-14"/>
          <w:w w:val="105"/>
        </w:rPr>
        <w:t xml:space="preserve"> </w:t>
      </w:r>
      <w:r>
        <w:rPr>
          <w:w w:val="105"/>
        </w:rPr>
        <w:t>a persistent</w:t>
      </w:r>
      <w:r>
        <w:rPr>
          <w:spacing w:val="-4"/>
          <w:w w:val="105"/>
        </w:rPr>
        <w:t xml:space="preserve"> </w:t>
      </w:r>
      <w:r>
        <w:rPr>
          <w:w w:val="105"/>
        </w:rPr>
        <w:t>gap between</w:t>
      </w:r>
      <w:r>
        <w:rPr>
          <w:spacing w:val="-6"/>
          <w:w w:val="105"/>
        </w:rPr>
        <w:t xml:space="preserve"> </w:t>
      </w:r>
      <w:r>
        <w:rPr>
          <w:w w:val="105"/>
        </w:rPr>
        <w:t>policy</w:t>
      </w:r>
      <w:r>
        <w:rPr>
          <w:spacing w:val="-6"/>
          <w:w w:val="105"/>
        </w:rPr>
        <w:t xml:space="preserve"> </w:t>
      </w:r>
      <w:r>
        <w:rPr>
          <w:w w:val="105"/>
        </w:rPr>
        <w:t>intent</w:t>
      </w:r>
      <w:r>
        <w:rPr>
          <w:spacing w:val="-11"/>
          <w:w w:val="105"/>
        </w:rPr>
        <w:t xml:space="preserve"> </w:t>
      </w:r>
      <w:r>
        <w:rPr>
          <w:w w:val="105"/>
        </w:rPr>
        <w:t>and practical implementation, limiting the economic empowerment of special groups.</w:t>
      </w:r>
    </w:p>
    <w:p w:rsidR="00487D64" w:rsidRDefault="006F0D93">
      <w:pPr>
        <w:pStyle w:val="BodyText"/>
        <w:spacing w:before="234" w:line="501" w:lineRule="auto"/>
        <w:ind w:left="1419" w:right="850"/>
        <w:jc w:val="both"/>
      </w:pPr>
      <w:r>
        <w:rPr>
          <w:w w:val="105"/>
        </w:rPr>
        <w:t>Existing studies (Karani &amp; Moronge, 2017; Adefare et al., 2024) highlight several challenges contributing to this gap, such as limited financial capacity, low tendering know</w:t>
      </w:r>
      <w:r>
        <w:rPr>
          <w:w w:val="105"/>
        </w:rPr>
        <w:t>ledge,</w:t>
      </w:r>
      <w:r>
        <w:rPr>
          <w:spacing w:val="-9"/>
          <w:w w:val="105"/>
        </w:rPr>
        <w:t xml:space="preserve"> </w:t>
      </w:r>
      <w:r>
        <w:rPr>
          <w:w w:val="105"/>
        </w:rPr>
        <w:t>inadequate</w:t>
      </w:r>
      <w:r>
        <w:rPr>
          <w:spacing w:val="-5"/>
          <w:w w:val="105"/>
        </w:rPr>
        <w:t xml:space="preserve"> </w:t>
      </w:r>
      <w:r>
        <w:rPr>
          <w:w w:val="105"/>
        </w:rPr>
        <w:t>technical</w:t>
      </w:r>
      <w:r>
        <w:rPr>
          <w:spacing w:val="-9"/>
          <w:w w:val="105"/>
        </w:rPr>
        <w:t xml:space="preserve"> </w:t>
      </w:r>
      <w:r>
        <w:rPr>
          <w:w w:val="105"/>
        </w:rPr>
        <w:t>readiness,</w:t>
      </w:r>
      <w:r>
        <w:rPr>
          <w:spacing w:val="-9"/>
          <w:w w:val="105"/>
        </w:rPr>
        <w:t xml:space="preserve"> </w:t>
      </w:r>
      <w:r>
        <w:rPr>
          <w:w w:val="105"/>
        </w:rPr>
        <w:t>and weak</w:t>
      </w:r>
      <w:r>
        <w:rPr>
          <w:spacing w:val="-5"/>
          <w:w w:val="105"/>
        </w:rPr>
        <w:t xml:space="preserve"> </w:t>
      </w:r>
      <w:r>
        <w:rPr>
          <w:w w:val="105"/>
        </w:rPr>
        <w:t>institutional</w:t>
      </w:r>
      <w:r>
        <w:rPr>
          <w:spacing w:val="-3"/>
          <w:w w:val="105"/>
        </w:rPr>
        <w:t xml:space="preserve"> </w:t>
      </w:r>
      <w:r>
        <w:rPr>
          <w:w w:val="105"/>
        </w:rPr>
        <w:t>support.</w:t>
      </w:r>
      <w:r>
        <w:rPr>
          <w:spacing w:val="-3"/>
          <w:w w:val="105"/>
        </w:rPr>
        <w:t xml:space="preserve"> </w:t>
      </w:r>
      <w:r>
        <w:rPr>
          <w:w w:val="105"/>
        </w:rPr>
        <w:t>However, beyond these operational barriers lies a strategic challenge that many special group SMEs lack the market orientation and adaptive capabilities required to sustain competitiven</w:t>
      </w:r>
      <w:r>
        <w:rPr>
          <w:w w:val="105"/>
        </w:rPr>
        <w:t>ess in a dynamic and regulated procurement environment.</w:t>
      </w:r>
    </w:p>
    <w:p w:rsidR="00487D64" w:rsidRDefault="006F0D93">
      <w:pPr>
        <w:pStyle w:val="BodyText"/>
        <w:spacing w:before="241" w:line="501" w:lineRule="auto"/>
        <w:ind w:left="1419" w:right="847"/>
        <w:jc w:val="both"/>
      </w:pPr>
      <w:r>
        <w:rPr>
          <w:w w:val="105"/>
        </w:rPr>
        <w:t>Market orientation (MO) through customer, competitor, and functional coordination has been widely recognized as a key driver of firm performance and long-term success (Narver &amp; Slater, 1990; Royo-Vela</w:t>
      </w:r>
      <w:r>
        <w:rPr>
          <w:w w:val="105"/>
        </w:rPr>
        <w:t xml:space="preserve"> et al., 2022). Yet, limited empirical research has examined how MO influences sustainable competitiveness (SC) within Tanzania’s public procurement context, especially for enterprises operating under preferential</w:t>
      </w:r>
      <w:r>
        <w:rPr>
          <w:spacing w:val="-9"/>
          <w:w w:val="105"/>
        </w:rPr>
        <w:t xml:space="preserve"> </w:t>
      </w:r>
      <w:r>
        <w:rPr>
          <w:w w:val="105"/>
        </w:rPr>
        <w:t>schemes.</w:t>
      </w:r>
      <w:r>
        <w:rPr>
          <w:spacing w:val="-9"/>
          <w:w w:val="105"/>
        </w:rPr>
        <w:t xml:space="preserve"> </w:t>
      </w:r>
      <w:r>
        <w:rPr>
          <w:w w:val="105"/>
        </w:rPr>
        <w:t>Furthermore,</w:t>
      </w:r>
      <w:r>
        <w:rPr>
          <w:spacing w:val="-3"/>
          <w:w w:val="105"/>
        </w:rPr>
        <w:t xml:space="preserve"> </w:t>
      </w:r>
      <w:r>
        <w:rPr>
          <w:w w:val="105"/>
        </w:rPr>
        <w:t>while</w:t>
      </w:r>
      <w:r>
        <w:rPr>
          <w:spacing w:val="-5"/>
          <w:w w:val="105"/>
        </w:rPr>
        <w:t xml:space="preserve"> </w:t>
      </w:r>
      <w:r>
        <w:rPr>
          <w:w w:val="105"/>
        </w:rPr>
        <w:t>strategic</w:t>
      </w:r>
      <w:r>
        <w:rPr>
          <w:spacing w:val="-5"/>
          <w:w w:val="105"/>
        </w:rPr>
        <w:t xml:space="preserve"> </w:t>
      </w:r>
      <w:r>
        <w:rPr>
          <w:w w:val="105"/>
        </w:rPr>
        <w:t>flex</w:t>
      </w:r>
      <w:r>
        <w:rPr>
          <w:w w:val="105"/>
        </w:rPr>
        <w:t>ibility</w:t>
      </w:r>
      <w:r>
        <w:rPr>
          <w:spacing w:val="-10"/>
          <w:w w:val="105"/>
        </w:rPr>
        <w:t xml:space="preserve"> </w:t>
      </w:r>
      <w:r>
        <w:rPr>
          <w:w w:val="105"/>
        </w:rPr>
        <w:t>(SF)</w:t>
      </w:r>
      <w:r>
        <w:rPr>
          <w:spacing w:val="-1"/>
          <w:w w:val="105"/>
        </w:rPr>
        <w:t xml:space="preserve"> </w:t>
      </w:r>
      <w:r>
        <w:rPr>
          <w:w w:val="105"/>
        </w:rPr>
        <w:t>has</w:t>
      </w:r>
      <w:r>
        <w:rPr>
          <w:spacing w:val="-6"/>
          <w:w w:val="105"/>
        </w:rPr>
        <w:t xml:space="preserve"> </w:t>
      </w:r>
      <w:r>
        <w:rPr>
          <w:w w:val="105"/>
        </w:rPr>
        <w:t>been</w:t>
      </w:r>
      <w:r>
        <w:rPr>
          <w:spacing w:val="-10"/>
          <w:w w:val="105"/>
        </w:rPr>
        <w:t xml:space="preserve"> </w:t>
      </w:r>
      <w:r>
        <w:rPr>
          <w:w w:val="105"/>
        </w:rPr>
        <w:t>identified as</w:t>
      </w:r>
      <w:r>
        <w:rPr>
          <w:spacing w:val="70"/>
          <w:w w:val="105"/>
        </w:rPr>
        <w:t xml:space="preserve"> </w:t>
      </w:r>
      <w:r>
        <w:rPr>
          <w:w w:val="105"/>
        </w:rPr>
        <w:t>an</w:t>
      </w:r>
      <w:r>
        <w:rPr>
          <w:spacing w:val="80"/>
          <w:w w:val="105"/>
        </w:rPr>
        <w:t xml:space="preserve"> </w:t>
      </w:r>
      <w:r>
        <w:rPr>
          <w:w w:val="105"/>
        </w:rPr>
        <w:t>essential</w:t>
      </w:r>
      <w:r>
        <w:rPr>
          <w:spacing w:val="75"/>
          <w:w w:val="105"/>
        </w:rPr>
        <w:t xml:space="preserve"> </w:t>
      </w:r>
      <w:r>
        <w:rPr>
          <w:w w:val="105"/>
        </w:rPr>
        <w:t>capability</w:t>
      </w:r>
      <w:r>
        <w:rPr>
          <w:spacing w:val="72"/>
          <w:w w:val="105"/>
        </w:rPr>
        <w:t xml:space="preserve"> </w:t>
      </w:r>
      <w:r>
        <w:rPr>
          <w:w w:val="105"/>
        </w:rPr>
        <w:t>that</w:t>
      </w:r>
      <w:r>
        <w:rPr>
          <w:spacing w:val="75"/>
          <w:w w:val="105"/>
        </w:rPr>
        <w:t xml:space="preserve"> </w:t>
      </w:r>
      <w:r>
        <w:rPr>
          <w:w w:val="105"/>
        </w:rPr>
        <w:t>enables</w:t>
      </w:r>
      <w:r>
        <w:rPr>
          <w:spacing w:val="78"/>
          <w:w w:val="105"/>
        </w:rPr>
        <w:t xml:space="preserve"> </w:t>
      </w:r>
      <w:r>
        <w:rPr>
          <w:w w:val="105"/>
        </w:rPr>
        <w:t>firms</w:t>
      </w:r>
      <w:r>
        <w:rPr>
          <w:spacing w:val="78"/>
          <w:w w:val="105"/>
        </w:rPr>
        <w:t xml:space="preserve"> </w:t>
      </w:r>
      <w:r>
        <w:rPr>
          <w:w w:val="105"/>
        </w:rPr>
        <w:t>to</w:t>
      </w:r>
      <w:r>
        <w:rPr>
          <w:spacing w:val="72"/>
          <w:w w:val="105"/>
        </w:rPr>
        <w:t xml:space="preserve"> </w:t>
      </w:r>
      <w:r>
        <w:rPr>
          <w:w w:val="105"/>
        </w:rPr>
        <w:t>respond</w:t>
      </w:r>
      <w:r>
        <w:rPr>
          <w:spacing w:val="73"/>
          <w:w w:val="105"/>
        </w:rPr>
        <w:t xml:space="preserve"> </w:t>
      </w:r>
      <w:r>
        <w:rPr>
          <w:w w:val="105"/>
        </w:rPr>
        <w:t>to</w:t>
      </w:r>
      <w:r>
        <w:rPr>
          <w:spacing w:val="80"/>
          <w:w w:val="105"/>
        </w:rPr>
        <w:t xml:space="preserve"> </w:t>
      </w:r>
      <w:r>
        <w:rPr>
          <w:w w:val="105"/>
        </w:rPr>
        <w:t>environmental</w:t>
      </w:r>
      <w:r>
        <w:rPr>
          <w:spacing w:val="75"/>
          <w:w w:val="105"/>
        </w:rPr>
        <w:t xml:space="preserve"> </w:t>
      </w:r>
      <w:r>
        <w:rPr>
          <w:w w:val="105"/>
        </w:rPr>
        <w:t>and</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1"/>
        <w:jc w:val="both"/>
      </w:pPr>
      <w:r>
        <w:rPr>
          <w:w w:val="105"/>
        </w:rPr>
        <w:t>regulatory changes</w:t>
      </w:r>
      <w:r>
        <w:rPr>
          <w:spacing w:val="-1"/>
          <w:w w:val="105"/>
        </w:rPr>
        <w:t xml:space="preserve"> </w:t>
      </w:r>
      <w:r>
        <w:rPr>
          <w:w w:val="105"/>
        </w:rPr>
        <w:t>(Brozovic, 2023), its</w:t>
      </w:r>
      <w:r>
        <w:rPr>
          <w:spacing w:val="-1"/>
          <w:w w:val="105"/>
        </w:rPr>
        <w:t xml:space="preserve"> </w:t>
      </w:r>
      <w:r>
        <w:rPr>
          <w:w w:val="105"/>
        </w:rPr>
        <w:t>role in moderating the relationship between MO and SC remains underexplored.</w:t>
      </w:r>
    </w:p>
    <w:p w:rsidR="00487D64" w:rsidRDefault="006F0D93">
      <w:pPr>
        <w:pStyle w:val="BodyText"/>
        <w:spacing w:before="236" w:line="501" w:lineRule="auto"/>
        <w:ind w:left="1419" w:right="855"/>
        <w:jc w:val="both"/>
      </w:pPr>
      <w:r>
        <w:rPr>
          <w:w w:val="105"/>
        </w:rPr>
        <w:t>This gap suggests that efforts to enhance the participation of special group SMEs in public procurement will</w:t>
      </w:r>
      <w:r>
        <w:rPr>
          <w:spacing w:val="-6"/>
          <w:w w:val="105"/>
        </w:rPr>
        <w:t xml:space="preserve"> </w:t>
      </w:r>
      <w:r>
        <w:rPr>
          <w:w w:val="105"/>
        </w:rPr>
        <w:t>remain</w:t>
      </w:r>
      <w:r>
        <w:rPr>
          <w:spacing w:val="-2"/>
          <w:w w:val="105"/>
        </w:rPr>
        <w:t xml:space="preserve"> </w:t>
      </w:r>
      <w:r>
        <w:rPr>
          <w:w w:val="105"/>
        </w:rPr>
        <w:t>inadequate</w:t>
      </w:r>
      <w:r>
        <w:rPr>
          <w:spacing w:val="-9"/>
          <w:w w:val="105"/>
        </w:rPr>
        <w:t xml:space="preserve"> </w:t>
      </w:r>
      <w:r>
        <w:rPr>
          <w:w w:val="105"/>
        </w:rPr>
        <w:t>unless</w:t>
      </w:r>
      <w:r>
        <w:rPr>
          <w:spacing w:val="-4"/>
          <w:w w:val="105"/>
        </w:rPr>
        <w:t xml:space="preserve"> </w:t>
      </w:r>
      <w:r>
        <w:rPr>
          <w:w w:val="105"/>
        </w:rPr>
        <w:t>strategic orientations</w:t>
      </w:r>
      <w:r>
        <w:rPr>
          <w:spacing w:val="-4"/>
          <w:w w:val="105"/>
        </w:rPr>
        <w:t xml:space="preserve"> </w:t>
      </w:r>
      <w:r>
        <w:rPr>
          <w:w w:val="105"/>
        </w:rPr>
        <w:t>and</w:t>
      </w:r>
      <w:r>
        <w:rPr>
          <w:spacing w:val="-2"/>
          <w:w w:val="105"/>
        </w:rPr>
        <w:t xml:space="preserve"> </w:t>
      </w:r>
      <w:r>
        <w:rPr>
          <w:w w:val="105"/>
        </w:rPr>
        <w:t>adaptive capabilities are integrated into their business models. Therefore, this study investig</w:t>
      </w:r>
      <w:r>
        <w:rPr>
          <w:w w:val="105"/>
        </w:rPr>
        <w:t>ates the impact of market orientation on the sustainable competitiveness of special group</w:t>
      </w:r>
      <w:r>
        <w:rPr>
          <w:spacing w:val="-1"/>
          <w:w w:val="105"/>
        </w:rPr>
        <w:t xml:space="preserve"> </w:t>
      </w:r>
      <w:r>
        <w:rPr>
          <w:w w:val="105"/>
        </w:rPr>
        <w:t>SMEs</w:t>
      </w:r>
      <w:r>
        <w:rPr>
          <w:spacing w:val="-3"/>
          <w:w w:val="105"/>
        </w:rPr>
        <w:t xml:space="preserve"> </w:t>
      </w:r>
      <w:r>
        <w:rPr>
          <w:w w:val="105"/>
        </w:rPr>
        <w:t>in</w:t>
      </w:r>
      <w:r>
        <w:rPr>
          <w:spacing w:val="-1"/>
          <w:w w:val="105"/>
        </w:rPr>
        <w:t xml:space="preserve"> </w:t>
      </w:r>
      <w:r>
        <w:rPr>
          <w:w w:val="105"/>
        </w:rPr>
        <w:t>public procurement, with</w:t>
      </w:r>
      <w:r>
        <w:rPr>
          <w:spacing w:val="-1"/>
          <w:w w:val="105"/>
        </w:rPr>
        <w:t xml:space="preserve"> </w:t>
      </w:r>
      <w:r>
        <w:rPr>
          <w:w w:val="105"/>
        </w:rPr>
        <w:t>strategic flexibility</w:t>
      </w:r>
      <w:r>
        <w:rPr>
          <w:spacing w:val="-1"/>
          <w:w w:val="105"/>
        </w:rPr>
        <w:t xml:space="preserve"> </w:t>
      </w:r>
      <w:r>
        <w:rPr>
          <w:w w:val="105"/>
        </w:rPr>
        <w:t>as</w:t>
      </w:r>
      <w:r>
        <w:rPr>
          <w:spacing w:val="-9"/>
          <w:w w:val="105"/>
        </w:rPr>
        <w:t xml:space="preserve"> </w:t>
      </w:r>
      <w:r>
        <w:rPr>
          <w:w w:val="105"/>
        </w:rPr>
        <w:t xml:space="preserve">a moderating variable. The findings are expected to provide both theoretical insights and policy directions </w:t>
      </w:r>
      <w:r>
        <w:rPr>
          <w:w w:val="105"/>
        </w:rPr>
        <w:t xml:space="preserve">to strengthen inclusive procurement and sustainable competitiveness in </w:t>
      </w:r>
      <w:r>
        <w:rPr>
          <w:spacing w:val="-2"/>
          <w:w w:val="105"/>
        </w:rPr>
        <w:t>Tanzania.</w:t>
      </w:r>
    </w:p>
    <w:p w:rsidR="00487D64" w:rsidRDefault="00487D64">
      <w:pPr>
        <w:pStyle w:val="BodyText"/>
      </w:pPr>
    </w:p>
    <w:p w:rsidR="00487D64" w:rsidRDefault="00487D64">
      <w:pPr>
        <w:pStyle w:val="BodyText"/>
        <w:spacing w:before="27"/>
      </w:pPr>
    </w:p>
    <w:p w:rsidR="00487D64" w:rsidRDefault="006F0D93">
      <w:pPr>
        <w:pStyle w:val="ListParagraph"/>
        <w:numPr>
          <w:ilvl w:val="1"/>
          <w:numId w:val="17"/>
        </w:numPr>
        <w:tabs>
          <w:tab w:val="left" w:pos="2139"/>
        </w:tabs>
        <w:ind w:left="2139" w:hanging="720"/>
        <w:rPr>
          <w:b/>
          <w:sz w:val="23"/>
        </w:rPr>
      </w:pPr>
      <w:bookmarkStart w:id="27" w:name="1.4__Objectives_of_the_Study"/>
      <w:bookmarkStart w:id="28" w:name="_bookmark13"/>
      <w:bookmarkEnd w:id="27"/>
      <w:bookmarkEnd w:id="28"/>
      <w:r>
        <w:rPr>
          <w:b/>
          <w:w w:val="105"/>
          <w:sz w:val="23"/>
        </w:rPr>
        <w:t>Objectives</w:t>
      </w:r>
      <w:r>
        <w:rPr>
          <w:b/>
          <w:spacing w:val="-11"/>
          <w:w w:val="105"/>
          <w:sz w:val="23"/>
        </w:rPr>
        <w:t xml:space="preserve"> </w:t>
      </w:r>
      <w:r>
        <w:rPr>
          <w:b/>
          <w:w w:val="105"/>
          <w:sz w:val="23"/>
        </w:rPr>
        <w:t>of</w:t>
      </w:r>
      <w:r>
        <w:rPr>
          <w:b/>
          <w:spacing w:val="-11"/>
          <w:w w:val="105"/>
          <w:sz w:val="23"/>
        </w:rPr>
        <w:t xml:space="preserve"> </w:t>
      </w:r>
      <w:r>
        <w:rPr>
          <w:b/>
          <w:w w:val="105"/>
          <w:sz w:val="23"/>
        </w:rPr>
        <w:t>the</w:t>
      </w:r>
      <w:r>
        <w:rPr>
          <w:b/>
          <w:spacing w:val="-3"/>
          <w:w w:val="105"/>
          <w:sz w:val="23"/>
        </w:rPr>
        <w:t xml:space="preserve"> </w:t>
      </w:r>
      <w:r>
        <w:rPr>
          <w:b/>
          <w:spacing w:val="-4"/>
          <w:w w:val="105"/>
          <w:sz w:val="23"/>
        </w:rPr>
        <w:t>Study</w:t>
      </w:r>
    </w:p>
    <w:p w:rsidR="00487D64" w:rsidRDefault="00487D64">
      <w:pPr>
        <w:pStyle w:val="BodyText"/>
        <w:spacing w:before="18"/>
        <w:rPr>
          <w:b/>
        </w:rPr>
      </w:pPr>
    </w:p>
    <w:p w:rsidR="00487D64" w:rsidRDefault="006F0D93">
      <w:pPr>
        <w:pStyle w:val="ListParagraph"/>
        <w:numPr>
          <w:ilvl w:val="2"/>
          <w:numId w:val="17"/>
        </w:numPr>
        <w:tabs>
          <w:tab w:val="left" w:pos="2139"/>
        </w:tabs>
        <w:ind w:left="2139" w:hanging="720"/>
        <w:rPr>
          <w:b/>
          <w:sz w:val="23"/>
        </w:rPr>
      </w:pPr>
      <w:bookmarkStart w:id="29" w:name="1.4.1__General_Objective"/>
      <w:bookmarkStart w:id="30" w:name="_bookmark14"/>
      <w:bookmarkEnd w:id="29"/>
      <w:bookmarkEnd w:id="30"/>
      <w:r>
        <w:rPr>
          <w:b/>
          <w:sz w:val="23"/>
        </w:rPr>
        <w:t>General</w:t>
      </w:r>
      <w:r>
        <w:rPr>
          <w:b/>
          <w:spacing w:val="22"/>
          <w:sz w:val="23"/>
        </w:rPr>
        <w:t xml:space="preserve"> </w:t>
      </w:r>
      <w:r>
        <w:rPr>
          <w:b/>
          <w:spacing w:val="-2"/>
          <w:sz w:val="23"/>
        </w:rPr>
        <w:t>Objective</w:t>
      </w:r>
    </w:p>
    <w:p w:rsidR="00487D64" w:rsidRDefault="00487D64">
      <w:pPr>
        <w:pStyle w:val="BodyText"/>
        <w:spacing w:before="19"/>
        <w:rPr>
          <w:b/>
        </w:rPr>
      </w:pPr>
    </w:p>
    <w:p w:rsidR="00487D64" w:rsidRDefault="006F0D93">
      <w:pPr>
        <w:pStyle w:val="BodyText"/>
        <w:spacing w:line="499" w:lineRule="auto"/>
        <w:ind w:left="1419" w:right="847"/>
        <w:jc w:val="both"/>
      </w:pPr>
      <w:r>
        <w:rPr>
          <w:w w:val="105"/>
        </w:rPr>
        <w:t>The main objective of the study is to assess the impact of market orientation on the sustainable competitiveness of Special Group SMEs in public procurement with the moderation of strategic flexibility.</w:t>
      </w:r>
    </w:p>
    <w:p w:rsidR="00487D64" w:rsidRDefault="00487D64">
      <w:pPr>
        <w:pStyle w:val="BodyText"/>
        <w:spacing w:before="23"/>
      </w:pPr>
    </w:p>
    <w:p w:rsidR="00487D64" w:rsidRDefault="006F0D93">
      <w:pPr>
        <w:pStyle w:val="ListParagraph"/>
        <w:numPr>
          <w:ilvl w:val="2"/>
          <w:numId w:val="17"/>
        </w:numPr>
        <w:tabs>
          <w:tab w:val="left" w:pos="2125"/>
        </w:tabs>
        <w:ind w:left="2125" w:hanging="706"/>
        <w:rPr>
          <w:b/>
          <w:sz w:val="23"/>
        </w:rPr>
      </w:pPr>
      <w:bookmarkStart w:id="31" w:name="1.4.2__Specific_Objectives"/>
      <w:bookmarkStart w:id="32" w:name="_bookmark15"/>
      <w:bookmarkEnd w:id="31"/>
      <w:bookmarkEnd w:id="32"/>
      <w:r>
        <w:rPr>
          <w:b/>
          <w:sz w:val="23"/>
        </w:rPr>
        <w:t>Specific</w:t>
      </w:r>
      <w:r>
        <w:rPr>
          <w:b/>
          <w:spacing w:val="17"/>
          <w:sz w:val="23"/>
        </w:rPr>
        <w:t xml:space="preserve"> </w:t>
      </w:r>
      <w:r>
        <w:rPr>
          <w:b/>
          <w:spacing w:val="-2"/>
          <w:sz w:val="23"/>
        </w:rPr>
        <w:t>Objectives</w:t>
      </w:r>
    </w:p>
    <w:p w:rsidR="00487D64" w:rsidRDefault="00487D64">
      <w:pPr>
        <w:pStyle w:val="BodyText"/>
        <w:spacing w:before="18"/>
        <w:rPr>
          <w:b/>
        </w:rPr>
      </w:pPr>
    </w:p>
    <w:p w:rsidR="00487D64" w:rsidRDefault="006F0D93">
      <w:pPr>
        <w:pStyle w:val="BodyText"/>
        <w:ind w:left="1419"/>
        <w:jc w:val="both"/>
      </w:pPr>
      <w:r>
        <w:rPr>
          <w:w w:val="105"/>
        </w:rPr>
        <w:t>The</w:t>
      </w:r>
      <w:r>
        <w:rPr>
          <w:spacing w:val="-9"/>
          <w:w w:val="105"/>
        </w:rPr>
        <w:t xml:space="preserve"> </w:t>
      </w:r>
      <w:r>
        <w:rPr>
          <w:w w:val="105"/>
        </w:rPr>
        <w:t>specific</w:t>
      </w:r>
      <w:r>
        <w:rPr>
          <w:spacing w:val="-9"/>
          <w:w w:val="105"/>
        </w:rPr>
        <w:t xml:space="preserve"> </w:t>
      </w:r>
      <w:r>
        <w:rPr>
          <w:w w:val="105"/>
        </w:rPr>
        <w:t>objectives</w:t>
      </w:r>
      <w:r>
        <w:rPr>
          <w:spacing w:val="-10"/>
          <w:w w:val="105"/>
        </w:rPr>
        <w:t xml:space="preserve"> </w:t>
      </w:r>
      <w:r>
        <w:rPr>
          <w:w w:val="105"/>
        </w:rPr>
        <w:t>of</w:t>
      </w:r>
      <w:r>
        <w:rPr>
          <w:spacing w:val="-10"/>
          <w:w w:val="105"/>
        </w:rPr>
        <w:t xml:space="preserve"> </w:t>
      </w:r>
      <w:r>
        <w:rPr>
          <w:w w:val="105"/>
        </w:rPr>
        <w:t>this</w:t>
      </w:r>
      <w:r>
        <w:rPr>
          <w:spacing w:val="-10"/>
          <w:w w:val="105"/>
        </w:rPr>
        <w:t xml:space="preserve"> </w:t>
      </w:r>
      <w:r>
        <w:rPr>
          <w:w w:val="105"/>
        </w:rPr>
        <w:t>study</w:t>
      </w:r>
      <w:r>
        <w:rPr>
          <w:spacing w:val="-7"/>
          <w:w w:val="105"/>
        </w:rPr>
        <w:t xml:space="preserve"> </w:t>
      </w:r>
      <w:r>
        <w:rPr>
          <w:w w:val="105"/>
        </w:rPr>
        <w:t>are</w:t>
      </w:r>
      <w:r>
        <w:rPr>
          <w:spacing w:val="-9"/>
          <w:w w:val="105"/>
        </w:rPr>
        <w:t xml:space="preserve"> </w:t>
      </w:r>
      <w:r>
        <w:rPr>
          <w:w w:val="105"/>
        </w:rPr>
        <w:t>to</w:t>
      </w:r>
      <w:r>
        <w:rPr>
          <w:spacing w:val="-7"/>
          <w:w w:val="105"/>
        </w:rPr>
        <w:t xml:space="preserve"> </w:t>
      </w:r>
      <w:r>
        <w:rPr>
          <w:w w:val="105"/>
        </w:rPr>
        <w:t>determine</w:t>
      </w:r>
      <w:r>
        <w:rPr>
          <w:spacing w:val="-9"/>
          <w:w w:val="105"/>
        </w:rPr>
        <w:t xml:space="preserve"> </w:t>
      </w:r>
      <w:r>
        <w:rPr>
          <w:w w:val="105"/>
        </w:rPr>
        <w:t>the</w:t>
      </w:r>
      <w:r>
        <w:rPr>
          <w:spacing w:val="-8"/>
          <w:w w:val="105"/>
        </w:rPr>
        <w:t xml:space="preserve"> </w:t>
      </w:r>
      <w:r>
        <w:rPr>
          <w:w w:val="105"/>
        </w:rPr>
        <w:t>effect</w:t>
      </w:r>
      <w:r>
        <w:rPr>
          <w:spacing w:val="-6"/>
          <w:w w:val="105"/>
        </w:rPr>
        <w:t xml:space="preserve"> </w:t>
      </w:r>
      <w:r>
        <w:rPr>
          <w:spacing w:val="-5"/>
          <w:w w:val="105"/>
        </w:rPr>
        <w:t>of:</w:t>
      </w:r>
    </w:p>
    <w:p w:rsidR="00487D64" w:rsidRDefault="00487D64">
      <w:pPr>
        <w:pStyle w:val="BodyText"/>
        <w:spacing w:before="26"/>
      </w:pPr>
    </w:p>
    <w:p w:rsidR="00487D64" w:rsidRDefault="006F0D93">
      <w:pPr>
        <w:pStyle w:val="ListParagraph"/>
        <w:numPr>
          <w:ilvl w:val="3"/>
          <w:numId w:val="17"/>
        </w:numPr>
        <w:tabs>
          <w:tab w:val="left" w:pos="2139"/>
        </w:tabs>
        <w:ind w:left="2139" w:hanging="490"/>
        <w:jc w:val="left"/>
        <w:rPr>
          <w:sz w:val="23"/>
        </w:rPr>
      </w:pPr>
      <w:r>
        <w:rPr>
          <w:sz w:val="23"/>
        </w:rPr>
        <w:t>Customer</w:t>
      </w:r>
      <w:r>
        <w:rPr>
          <w:spacing w:val="25"/>
          <w:sz w:val="23"/>
        </w:rPr>
        <w:t xml:space="preserve"> </w:t>
      </w:r>
      <w:r>
        <w:rPr>
          <w:sz w:val="23"/>
        </w:rPr>
        <w:t>Orientation</w:t>
      </w:r>
      <w:r>
        <w:rPr>
          <w:spacing w:val="29"/>
          <w:sz w:val="23"/>
        </w:rPr>
        <w:t xml:space="preserve"> </w:t>
      </w:r>
      <w:r>
        <w:rPr>
          <w:sz w:val="23"/>
        </w:rPr>
        <w:t>on</w:t>
      </w:r>
      <w:r>
        <w:rPr>
          <w:spacing w:val="45"/>
          <w:sz w:val="23"/>
        </w:rPr>
        <w:t xml:space="preserve"> </w:t>
      </w:r>
      <w:r>
        <w:rPr>
          <w:sz w:val="23"/>
        </w:rPr>
        <w:t>sustainable</w:t>
      </w:r>
      <w:r>
        <w:rPr>
          <w:spacing w:val="28"/>
          <w:sz w:val="23"/>
        </w:rPr>
        <w:t xml:space="preserve"> </w:t>
      </w:r>
      <w:r>
        <w:rPr>
          <w:sz w:val="23"/>
        </w:rPr>
        <w:t>competitiveness</w:t>
      </w:r>
      <w:r>
        <w:rPr>
          <w:spacing w:val="17"/>
          <w:sz w:val="23"/>
        </w:rPr>
        <w:t xml:space="preserve"> </w:t>
      </w:r>
      <w:r>
        <w:rPr>
          <w:sz w:val="23"/>
        </w:rPr>
        <w:t>in</w:t>
      </w:r>
      <w:r>
        <w:rPr>
          <w:spacing w:val="29"/>
          <w:sz w:val="23"/>
        </w:rPr>
        <w:t xml:space="preserve"> </w:t>
      </w:r>
      <w:r>
        <w:rPr>
          <w:sz w:val="23"/>
        </w:rPr>
        <w:t>Special</w:t>
      </w:r>
      <w:r>
        <w:rPr>
          <w:spacing w:val="32"/>
          <w:sz w:val="23"/>
        </w:rPr>
        <w:t xml:space="preserve"> </w:t>
      </w:r>
      <w:r>
        <w:rPr>
          <w:sz w:val="23"/>
        </w:rPr>
        <w:t>group</w:t>
      </w:r>
      <w:r>
        <w:rPr>
          <w:spacing w:val="20"/>
          <w:sz w:val="23"/>
        </w:rPr>
        <w:t xml:space="preserve"> </w:t>
      </w:r>
      <w:r>
        <w:rPr>
          <w:spacing w:val="-4"/>
          <w:sz w:val="23"/>
        </w:rPr>
        <w:t>SMEs</w:t>
      </w:r>
    </w:p>
    <w:p w:rsidR="00487D64" w:rsidRDefault="00487D64">
      <w:pPr>
        <w:pStyle w:val="BodyText"/>
        <w:spacing w:before="18"/>
      </w:pPr>
    </w:p>
    <w:p w:rsidR="00487D64" w:rsidRDefault="006F0D93">
      <w:pPr>
        <w:pStyle w:val="ListParagraph"/>
        <w:numPr>
          <w:ilvl w:val="3"/>
          <w:numId w:val="17"/>
        </w:numPr>
        <w:tabs>
          <w:tab w:val="left" w:pos="2140"/>
        </w:tabs>
        <w:spacing w:line="504" w:lineRule="auto"/>
        <w:ind w:right="850" w:hanging="555"/>
        <w:jc w:val="left"/>
        <w:rPr>
          <w:sz w:val="23"/>
        </w:rPr>
      </w:pPr>
      <w:r>
        <w:rPr>
          <w:w w:val="105"/>
          <w:sz w:val="23"/>
        </w:rPr>
        <w:t>Competitor</w:t>
      </w:r>
      <w:r>
        <w:rPr>
          <w:spacing w:val="40"/>
          <w:w w:val="105"/>
          <w:sz w:val="23"/>
        </w:rPr>
        <w:t xml:space="preserve"> </w:t>
      </w:r>
      <w:r>
        <w:rPr>
          <w:w w:val="105"/>
          <w:sz w:val="23"/>
        </w:rPr>
        <w:t>Orientation</w:t>
      </w:r>
      <w:r>
        <w:rPr>
          <w:spacing w:val="40"/>
          <w:w w:val="105"/>
          <w:sz w:val="23"/>
        </w:rPr>
        <w:t xml:space="preserve"> </w:t>
      </w:r>
      <w:r>
        <w:rPr>
          <w:w w:val="105"/>
          <w:sz w:val="23"/>
        </w:rPr>
        <w:t>on</w:t>
      </w:r>
      <w:r>
        <w:rPr>
          <w:spacing w:val="40"/>
          <w:w w:val="105"/>
          <w:sz w:val="23"/>
        </w:rPr>
        <w:t xml:space="preserve"> </w:t>
      </w:r>
      <w:r>
        <w:rPr>
          <w:w w:val="105"/>
          <w:sz w:val="23"/>
        </w:rPr>
        <w:t>sustainable</w:t>
      </w:r>
      <w:r>
        <w:rPr>
          <w:spacing w:val="40"/>
          <w:w w:val="105"/>
          <w:sz w:val="23"/>
        </w:rPr>
        <w:t xml:space="preserve"> </w:t>
      </w:r>
      <w:r>
        <w:rPr>
          <w:w w:val="105"/>
          <w:sz w:val="23"/>
        </w:rPr>
        <w:t>competitiveness</w:t>
      </w:r>
      <w:r>
        <w:rPr>
          <w:spacing w:val="40"/>
          <w:w w:val="105"/>
          <w:sz w:val="23"/>
        </w:rPr>
        <w:t xml:space="preserve"> </w:t>
      </w:r>
      <w:r>
        <w:rPr>
          <w:w w:val="105"/>
          <w:sz w:val="23"/>
        </w:rPr>
        <w:t>in</w:t>
      </w:r>
      <w:r>
        <w:rPr>
          <w:spacing w:val="40"/>
          <w:w w:val="105"/>
          <w:sz w:val="23"/>
        </w:rPr>
        <w:t xml:space="preserve"> </w:t>
      </w:r>
      <w:r>
        <w:rPr>
          <w:w w:val="105"/>
          <w:sz w:val="23"/>
        </w:rPr>
        <w:t>Special</w:t>
      </w:r>
      <w:r>
        <w:rPr>
          <w:spacing w:val="40"/>
          <w:w w:val="105"/>
          <w:sz w:val="23"/>
        </w:rPr>
        <w:t xml:space="preserve"> </w:t>
      </w:r>
      <w:r>
        <w:rPr>
          <w:w w:val="105"/>
          <w:sz w:val="23"/>
        </w:rPr>
        <w:t>group</w:t>
      </w:r>
      <w:r>
        <w:rPr>
          <w:spacing w:val="40"/>
          <w:w w:val="105"/>
          <w:sz w:val="23"/>
        </w:rPr>
        <w:t xml:space="preserve"> </w:t>
      </w:r>
      <w:r>
        <w:rPr>
          <w:spacing w:val="-4"/>
          <w:w w:val="105"/>
          <w:sz w:val="23"/>
        </w:rPr>
        <w:t>SMEs</w:t>
      </w:r>
    </w:p>
    <w:p w:rsidR="00487D64" w:rsidRDefault="006F0D93">
      <w:pPr>
        <w:pStyle w:val="ListParagraph"/>
        <w:numPr>
          <w:ilvl w:val="3"/>
          <w:numId w:val="17"/>
        </w:numPr>
        <w:tabs>
          <w:tab w:val="left" w:pos="2140"/>
        </w:tabs>
        <w:spacing w:line="496" w:lineRule="auto"/>
        <w:ind w:right="850" w:hanging="620"/>
        <w:jc w:val="left"/>
        <w:rPr>
          <w:sz w:val="23"/>
        </w:rPr>
      </w:pPr>
      <w:r>
        <w:rPr>
          <w:w w:val="105"/>
          <w:sz w:val="23"/>
        </w:rPr>
        <w:t>Functional</w:t>
      </w:r>
      <w:r>
        <w:rPr>
          <w:spacing w:val="40"/>
          <w:w w:val="105"/>
          <w:sz w:val="23"/>
        </w:rPr>
        <w:t xml:space="preserve"> </w:t>
      </w:r>
      <w:r>
        <w:rPr>
          <w:w w:val="105"/>
          <w:sz w:val="23"/>
        </w:rPr>
        <w:t>coordination</w:t>
      </w:r>
      <w:r>
        <w:rPr>
          <w:spacing w:val="40"/>
          <w:w w:val="105"/>
          <w:sz w:val="23"/>
        </w:rPr>
        <w:t xml:space="preserve"> </w:t>
      </w:r>
      <w:r>
        <w:rPr>
          <w:w w:val="105"/>
          <w:sz w:val="23"/>
        </w:rPr>
        <w:t>on</w:t>
      </w:r>
      <w:r>
        <w:rPr>
          <w:spacing w:val="40"/>
          <w:w w:val="105"/>
          <w:sz w:val="23"/>
        </w:rPr>
        <w:t xml:space="preserve"> </w:t>
      </w:r>
      <w:r>
        <w:rPr>
          <w:w w:val="105"/>
          <w:sz w:val="23"/>
        </w:rPr>
        <w:t>sustainable</w:t>
      </w:r>
      <w:r>
        <w:rPr>
          <w:spacing w:val="40"/>
          <w:w w:val="105"/>
          <w:sz w:val="23"/>
        </w:rPr>
        <w:t xml:space="preserve"> </w:t>
      </w:r>
      <w:r>
        <w:rPr>
          <w:w w:val="105"/>
          <w:sz w:val="23"/>
        </w:rPr>
        <w:t>competitiveness</w:t>
      </w:r>
      <w:r>
        <w:rPr>
          <w:spacing w:val="40"/>
          <w:w w:val="105"/>
          <w:sz w:val="23"/>
        </w:rPr>
        <w:t xml:space="preserve"> </w:t>
      </w:r>
      <w:r>
        <w:rPr>
          <w:w w:val="105"/>
          <w:sz w:val="23"/>
        </w:rPr>
        <w:t>in</w:t>
      </w:r>
      <w:r>
        <w:rPr>
          <w:spacing w:val="40"/>
          <w:w w:val="105"/>
          <w:sz w:val="23"/>
        </w:rPr>
        <w:t xml:space="preserve"> </w:t>
      </w:r>
      <w:r>
        <w:rPr>
          <w:w w:val="105"/>
          <w:sz w:val="23"/>
        </w:rPr>
        <w:t>Special</w:t>
      </w:r>
      <w:r>
        <w:rPr>
          <w:spacing w:val="40"/>
          <w:w w:val="105"/>
          <w:sz w:val="23"/>
        </w:rPr>
        <w:t xml:space="preserve"> </w:t>
      </w:r>
      <w:r>
        <w:rPr>
          <w:w w:val="105"/>
          <w:sz w:val="23"/>
        </w:rPr>
        <w:t xml:space="preserve">group </w:t>
      </w:r>
      <w:r>
        <w:rPr>
          <w:spacing w:val="-4"/>
          <w:w w:val="105"/>
          <w:sz w:val="23"/>
        </w:rPr>
        <w:t>SMEs</w:t>
      </w:r>
    </w:p>
    <w:p w:rsidR="00487D64" w:rsidRDefault="00487D64">
      <w:pPr>
        <w:pStyle w:val="ListParagraph"/>
        <w:spacing w:line="496" w:lineRule="auto"/>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ListParagraph"/>
        <w:numPr>
          <w:ilvl w:val="3"/>
          <w:numId w:val="17"/>
        </w:numPr>
        <w:tabs>
          <w:tab w:val="left" w:pos="2140"/>
        </w:tabs>
        <w:spacing w:line="496" w:lineRule="auto"/>
        <w:ind w:right="865" w:hanging="548"/>
        <w:jc w:val="left"/>
        <w:rPr>
          <w:rFonts w:ascii="Calibri"/>
          <w:sz w:val="20"/>
        </w:rPr>
      </w:pPr>
      <w:r>
        <w:rPr>
          <w:w w:val="105"/>
          <w:sz w:val="23"/>
        </w:rPr>
        <w:t>Strategic</w:t>
      </w:r>
      <w:r>
        <w:rPr>
          <w:spacing w:val="76"/>
          <w:w w:val="105"/>
          <w:sz w:val="23"/>
        </w:rPr>
        <w:t xml:space="preserve"> </w:t>
      </w:r>
      <w:r>
        <w:rPr>
          <w:w w:val="105"/>
          <w:sz w:val="23"/>
        </w:rPr>
        <w:t>flexibility</w:t>
      </w:r>
      <w:r>
        <w:rPr>
          <w:spacing w:val="40"/>
          <w:w w:val="105"/>
          <w:sz w:val="23"/>
        </w:rPr>
        <w:t xml:space="preserve"> </w:t>
      </w:r>
      <w:r>
        <w:rPr>
          <w:w w:val="105"/>
          <w:sz w:val="23"/>
        </w:rPr>
        <w:t>as</w:t>
      </w:r>
      <w:r>
        <w:rPr>
          <w:spacing w:val="40"/>
          <w:w w:val="105"/>
          <w:sz w:val="23"/>
        </w:rPr>
        <w:t xml:space="preserve"> </w:t>
      </w:r>
      <w:r>
        <w:rPr>
          <w:w w:val="105"/>
          <w:sz w:val="23"/>
        </w:rPr>
        <w:t>a</w:t>
      </w:r>
      <w:r>
        <w:rPr>
          <w:spacing w:val="76"/>
          <w:w w:val="105"/>
          <w:sz w:val="23"/>
        </w:rPr>
        <w:t xml:space="preserve"> </w:t>
      </w:r>
      <w:r>
        <w:rPr>
          <w:w w:val="105"/>
          <w:sz w:val="23"/>
        </w:rPr>
        <w:t>moderator</w:t>
      </w:r>
      <w:r>
        <w:rPr>
          <w:spacing w:val="40"/>
          <w:w w:val="105"/>
          <w:sz w:val="23"/>
        </w:rPr>
        <w:t xml:space="preserve"> </w:t>
      </w:r>
      <w:r>
        <w:rPr>
          <w:w w:val="105"/>
          <w:sz w:val="23"/>
        </w:rPr>
        <w:t>on</w:t>
      </w:r>
      <w:r>
        <w:rPr>
          <w:spacing w:val="40"/>
          <w:w w:val="105"/>
          <w:sz w:val="23"/>
        </w:rPr>
        <w:t xml:space="preserve"> </w:t>
      </w:r>
      <w:r>
        <w:rPr>
          <w:w w:val="105"/>
          <w:sz w:val="23"/>
        </w:rPr>
        <w:t>the</w:t>
      </w:r>
      <w:r>
        <w:rPr>
          <w:spacing w:val="40"/>
          <w:w w:val="105"/>
          <w:sz w:val="23"/>
        </w:rPr>
        <w:t xml:space="preserve"> </w:t>
      </w:r>
      <w:r>
        <w:rPr>
          <w:w w:val="105"/>
          <w:sz w:val="23"/>
        </w:rPr>
        <w:t>relationship</w:t>
      </w:r>
      <w:r>
        <w:rPr>
          <w:spacing w:val="40"/>
          <w:w w:val="105"/>
          <w:sz w:val="23"/>
        </w:rPr>
        <w:t xml:space="preserve"> </w:t>
      </w:r>
      <w:r>
        <w:rPr>
          <w:w w:val="105"/>
          <w:sz w:val="23"/>
        </w:rPr>
        <w:t>between</w:t>
      </w:r>
      <w:r>
        <w:rPr>
          <w:spacing w:val="77"/>
          <w:w w:val="105"/>
          <w:sz w:val="23"/>
        </w:rPr>
        <w:t xml:space="preserve"> </w:t>
      </w:r>
      <w:r>
        <w:rPr>
          <w:w w:val="105"/>
          <w:sz w:val="23"/>
        </w:rPr>
        <w:t>market orientation and sustainable competitiveness in Special group SMEs</w:t>
      </w:r>
    </w:p>
    <w:p w:rsidR="00487D64" w:rsidRDefault="00487D64">
      <w:pPr>
        <w:pStyle w:val="BodyText"/>
      </w:pPr>
    </w:p>
    <w:p w:rsidR="00487D64" w:rsidRDefault="00487D64">
      <w:pPr>
        <w:pStyle w:val="BodyText"/>
        <w:spacing w:before="1"/>
      </w:pPr>
    </w:p>
    <w:p w:rsidR="00487D64" w:rsidRDefault="006F0D93">
      <w:pPr>
        <w:pStyle w:val="ListParagraph"/>
        <w:numPr>
          <w:ilvl w:val="1"/>
          <w:numId w:val="17"/>
        </w:numPr>
        <w:tabs>
          <w:tab w:val="left" w:pos="1988"/>
        </w:tabs>
        <w:ind w:left="1988" w:hanging="569"/>
        <w:rPr>
          <w:b/>
          <w:sz w:val="23"/>
        </w:rPr>
      </w:pPr>
      <w:bookmarkStart w:id="33" w:name="1.5__Significance_of_the_Study"/>
      <w:bookmarkStart w:id="34" w:name="_bookmark16"/>
      <w:bookmarkEnd w:id="33"/>
      <w:bookmarkEnd w:id="34"/>
      <w:r>
        <w:rPr>
          <w:b/>
          <w:w w:val="105"/>
          <w:sz w:val="23"/>
        </w:rPr>
        <w:t>Significance</w:t>
      </w:r>
      <w:r>
        <w:rPr>
          <w:b/>
          <w:spacing w:val="-12"/>
          <w:w w:val="105"/>
          <w:sz w:val="23"/>
        </w:rPr>
        <w:t xml:space="preserve"> </w:t>
      </w:r>
      <w:r>
        <w:rPr>
          <w:b/>
          <w:w w:val="105"/>
          <w:sz w:val="23"/>
        </w:rPr>
        <w:t>of</w:t>
      </w:r>
      <w:r>
        <w:rPr>
          <w:b/>
          <w:spacing w:val="-12"/>
          <w:w w:val="105"/>
          <w:sz w:val="23"/>
        </w:rPr>
        <w:t xml:space="preserve"> </w:t>
      </w:r>
      <w:r>
        <w:rPr>
          <w:b/>
          <w:w w:val="105"/>
          <w:sz w:val="23"/>
        </w:rPr>
        <w:t>the</w:t>
      </w:r>
      <w:r>
        <w:rPr>
          <w:b/>
          <w:spacing w:val="-6"/>
          <w:w w:val="105"/>
          <w:sz w:val="23"/>
        </w:rPr>
        <w:t xml:space="preserve"> </w:t>
      </w:r>
      <w:r>
        <w:rPr>
          <w:b/>
          <w:spacing w:val="-4"/>
          <w:w w:val="105"/>
          <w:sz w:val="23"/>
        </w:rPr>
        <w:t>Study</w:t>
      </w:r>
    </w:p>
    <w:p w:rsidR="00487D64" w:rsidRDefault="00487D64">
      <w:pPr>
        <w:pStyle w:val="BodyText"/>
        <w:spacing w:before="18"/>
        <w:rPr>
          <w:b/>
        </w:rPr>
      </w:pPr>
    </w:p>
    <w:p w:rsidR="00487D64" w:rsidRDefault="006F0D93">
      <w:pPr>
        <w:pStyle w:val="BodyText"/>
        <w:spacing w:line="501" w:lineRule="auto"/>
        <w:ind w:left="1419" w:right="856"/>
        <w:jc w:val="both"/>
      </w:pPr>
      <w:r>
        <w:rPr>
          <w:w w:val="105"/>
        </w:rPr>
        <w:t>Theoretically, the study contributes to the advancement</w:t>
      </w:r>
      <w:r>
        <w:rPr>
          <w:w w:val="105"/>
        </w:rPr>
        <w:t xml:space="preserve"> of Market Orientation Theory (MOT)</w:t>
      </w:r>
      <w:r>
        <w:rPr>
          <w:spacing w:val="-1"/>
          <w:w w:val="105"/>
        </w:rPr>
        <w:t xml:space="preserve"> </w:t>
      </w:r>
      <w:r>
        <w:rPr>
          <w:w w:val="105"/>
        </w:rPr>
        <w:t>and</w:t>
      </w:r>
      <w:r>
        <w:rPr>
          <w:spacing w:val="-4"/>
          <w:w w:val="105"/>
        </w:rPr>
        <w:t xml:space="preserve"> </w:t>
      </w:r>
      <w:r>
        <w:rPr>
          <w:w w:val="105"/>
        </w:rPr>
        <w:t>Dynamic Capability</w:t>
      </w:r>
      <w:r>
        <w:rPr>
          <w:spacing w:val="-4"/>
          <w:w w:val="105"/>
        </w:rPr>
        <w:t xml:space="preserve"> </w:t>
      </w:r>
      <w:r>
        <w:rPr>
          <w:w w:val="105"/>
        </w:rPr>
        <w:t>Theory</w:t>
      </w:r>
      <w:r>
        <w:rPr>
          <w:spacing w:val="-4"/>
          <w:w w:val="105"/>
        </w:rPr>
        <w:t xml:space="preserve"> </w:t>
      </w:r>
      <w:r>
        <w:rPr>
          <w:w w:val="105"/>
        </w:rPr>
        <w:t>(DCT)</w:t>
      </w:r>
      <w:r>
        <w:rPr>
          <w:spacing w:val="-1"/>
          <w:w w:val="105"/>
        </w:rPr>
        <w:t xml:space="preserve"> </w:t>
      </w:r>
      <w:r>
        <w:rPr>
          <w:w w:val="105"/>
        </w:rPr>
        <w:t>by integrating the concept of strategic flexibility</w:t>
      </w:r>
      <w:r>
        <w:rPr>
          <w:spacing w:val="-3"/>
          <w:w w:val="105"/>
        </w:rPr>
        <w:t xml:space="preserve"> </w:t>
      </w:r>
      <w:r>
        <w:rPr>
          <w:w w:val="105"/>
        </w:rPr>
        <w:t>as</w:t>
      </w:r>
      <w:r>
        <w:rPr>
          <w:spacing w:val="-5"/>
          <w:w w:val="105"/>
        </w:rPr>
        <w:t xml:space="preserve"> </w:t>
      </w:r>
      <w:r>
        <w:rPr>
          <w:w w:val="105"/>
        </w:rPr>
        <w:t>a moderating variable.</w:t>
      </w:r>
      <w:r>
        <w:rPr>
          <w:spacing w:val="-1"/>
          <w:w w:val="105"/>
        </w:rPr>
        <w:t xml:space="preserve"> </w:t>
      </w:r>
      <w:r>
        <w:rPr>
          <w:w w:val="105"/>
        </w:rPr>
        <w:t>While</w:t>
      </w:r>
      <w:r>
        <w:rPr>
          <w:spacing w:val="-4"/>
          <w:w w:val="105"/>
        </w:rPr>
        <w:t xml:space="preserve"> </w:t>
      </w:r>
      <w:r>
        <w:rPr>
          <w:w w:val="105"/>
        </w:rPr>
        <w:t>MOT emphasizes how customer orientation, competitor orientation, and functional coordination drive</w:t>
      </w:r>
      <w:r>
        <w:rPr>
          <w:w w:val="105"/>
        </w:rPr>
        <w:t xml:space="preserve"> organizational competitiveness, it often overlooks how firms adapt these strategies in dynamic</w:t>
      </w:r>
      <w:r>
        <w:rPr>
          <w:spacing w:val="-2"/>
          <w:w w:val="105"/>
        </w:rPr>
        <w:t xml:space="preserve"> </w:t>
      </w:r>
      <w:r>
        <w:rPr>
          <w:w w:val="105"/>
        </w:rPr>
        <w:t>and regulated environments. By demonstrating how strategic flexibility enhances the relationship between market orientation and sustainable competitiveness, thi</w:t>
      </w:r>
      <w:r>
        <w:rPr>
          <w:w w:val="105"/>
        </w:rPr>
        <w:t>s study extends both theories, providing an integrated framework that explains how SMEs sustain competitive advantage under resource and institutional constraints.</w:t>
      </w:r>
    </w:p>
    <w:p w:rsidR="00487D64" w:rsidRDefault="006F0D93">
      <w:pPr>
        <w:pStyle w:val="BodyText"/>
        <w:spacing w:before="233" w:line="501" w:lineRule="auto"/>
        <w:ind w:left="1419" w:right="858"/>
        <w:jc w:val="both"/>
      </w:pPr>
      <w:r>
        <w:rPr>
          <w:w w:val="105"/>
        </w:rPr>
        <w:t>Practically, the study provides valuable insights to SME owners and managers, particularly t</w:t>
      </w:r>
      <w:r>
        <w:rPr>
          <w:w w:val="105"/>
        </w:rPr>
        <w:t xml:space="preserve">hose within special groups, on how market-oriented behavior can improve their performance and long-term competitiveness in public procurement. The findings reveal that customer and competitor orientations significantly enhance sustainable competitiveness, </w:t>
      </w:r>
      <w:r>
        <w:rPr>
          <w:w w:val="105"/>
        </w:rPr>
        <w:t>while functional coordination remains a weakness that requires managerial improvement. SMEs can</w:t>
      </w:r>
      <w:r>
        <w:rPr>
          <w:spacing w:val="-1"/>
          <w:w w:val="105"/>
        </w:rPr>
        <w:t xml:space="preserve"> </w:t>
      </w:r>
      <w:r>
        <w:rPr>
          <w:w w:val="105"/>
        </w:rPr>
        <w:t>apply these</w:t>
      </w:r>
      <w:r>
        <w:rPr>
          <w:spacing w:val="-2"/>
          <w:w w:val="105"/>
        </w:rPr>
        <w:t xml:space="preserve"> </w:t>
      </w:r>
      <w:r>
        <w:rPr>
          <w:w w:val="105"/>
        </w:rPr>
        <w:t>insights</w:t>
      </w:r>
      <w:r>
        <w:rPr>
          <w:spacing w:val="-3"/>
          <w:w w:val="105"/>
        </w:rPr>
        <w:t xml:space="preserve"> </w:t>
      </w:r>
      <w:r>
        <w:rPr>
          <w:w w:val="105"/>
        </w:rPr>
        <w:t>to strengthen</w:t>
      </w:r>
      <w:r>
        <w:rPr>
          <w:spacing w:val="-1"/>
          <w:w w:val="105"/>
        </w:rPr>
        <w:t xml:space="preserve"> </w:t>
      </w:r>
      <w:r>
        <w:rPr>
          <w:w w:val="105"/>
        </w:rPr>
        <w:t>their marketing intelligence, improve internal collaboration, and develop adaptive capabilities necessary to respond to chang</w:t>
      </w:r>
      <w:r>
        <w:rPr>
          <w:w w:val="105"/>
        </w:rPr>
        <w:t>ing procurement requirements. The study therefore offers</w:t>
      </w:r>
      <w:r>
        <w:rPr>
          <w:spacing w:val="-2"/>
          <w:w w:val="105"/>
        </w:rPr>
        <w:t xml:space="preserve"> </w:t>
      </w:r>
      <w:r>
        <w:rPr>
          <w:w w:val="105"/>
        </w:rPr>
        <w:t>a practical roadmap for SMEs to</w:t>
      </w:r>
      <w:r>
        <w:rPr>
          <w:spacing w:val="-1"/>
          <w:w w:val="105"/>
        </w:rPr>
        <w:t xml:space="preserve"> </w:t>
      </w:r>
      <w:r>
        <w:rPr>
          <w:w w:val="105"/>
        </w:rPr>
        <w:t>achieve</w:t>
      </w:r>
      <w:r>
        <w:rPr>
          <w:spacing w:val="-1"/>
          <w:w w:val="105"/>
        </w:rPr>
        <w:t xml:space="preserve"> </w:t>
      </w:r>
      <w:r>
        <w:rPr>
          <w:w w:val="105"/>
        </w:rPr>
        <w:t>both economic growth</w:t>
      </w:r>
      <w:r>
        <w:rPr>
          <w:spacing w:val="-1"/>
          <w:w w:val="105"/>
        </w:rPr>
        <w:t xml:space="preserve"> </w:t>
      </w:r>
      <w:r>
        <w:rPr>
          <w:w w:val="105"/>
        </w:rPr>
        <w:t>and sustainability through strategic flexibility.</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57"/>
      </w:pPr>
    </w:p>
    <w:p w:rsidR="00487D64" w:rsidRDefault="006F0D93">
      <w:pPr>
        <w:pStyle w:val="BodyText"/>
        <w:spacing w:line="501" w:lineRule="auto"/>
        <w:ind w:left="1419" w:right="847"/>
        <w:jc w:val="both"/>
      </w:pPr>
      <w:r>
        <w:rPr>
          <w:w w:val="105"/>
        </w:rPr>
        <w:t>From a policy perspective, the findings provide evidence-based</w:t>
      </w:r>
      <w:r>
        <w:rPr>
          <w:w w:val="105"/>
        </w:rPr>
        <w:t xml:space="preserve"> guidance to policymakers, regulators, and supporting</w:t>
      </w:r>
      <w:r>
        <w:rPr>
          <w:spacing w:val="-2"/>
          <w:w w:val="105"/>
        </w:rPr>
        <w:t xml:space="preserve"> </w:t>
      </w:r>
      <w:r>
        <w:rPr>
          <w:w w:val="105"/>
        </w:rPr>
        <w:t>institutions such</w:t>
      </w:r>
      <w:r>
        <w:rPr>
          <w:spacing w:val="-2"/>
          <w:w w:val="105"/>
        </w:rPr>
        <w:t xml:space="preserve"> </w:t>
      </w:r>
      <w:r>
        <w:rPr>
          <w:w w:val="105"/>
        </w:rPr>
        <w:t>as</w:t>
      </w:r>
      <w:r>
        <w:rPr>
          <w:spacing w:val="-3"/>
          <w:w w:val="105"/>
        </w:rPr>
        <w:t xml:space="preserve"> </w:t>
      </w:r>
      <w:r>
        <w:rPr>
          <w:w w:val="105"/>
        </w:rPr>
        <w:t>the Public Procurement Regulatory Authority (PPRA), Small Industries Development Organization (SIDO), and Tanzania Chamber of Commerce, Industry and Agriculture (TCCIA). Strengtheni</w:t>
      </w:r>
      <w:r>
        <w:rPr>
          <w:w w:val="105"/>
        </w:rPr>
        <w:t>ng capacity-building programs, simplifying procurement procedures,</w:t>
      </w:r>
      <w:r>
        <w:rPr>
          <w:spacing w:val="-5"/>
          <w:w w:val="105"/>
        </w:rPr>
        <w:t xml:space="preserve"> </w:t>
      </w:r>
      <w:r>
        <w:rPr>
          <w:w w:val="105"/>
        </w:rPr>
        <w:t>and promoting digital platforms are essential for enhancing transparency and inclusion. The results also inform future revisions of procurement policies to ensure that preferential</w:t>
      </w:r>
      <w:r>
        <w:rPr>
          <w:spacing w:val="-6"/>
          <w:w w:val="105"/>
        </w:rPr>
        <w:t xml:space="preserve"> </w:t>
      </w:r>
      <w:r>
        <w:rPr>
          <w:w w:val="105"/>
        </w:rPr>
        <w:t>treatmen</w:t>
      </w:r>
      <w:r>
        <w:rPr>
          <w:w w:val="105"/>
        </w:rPr>
        <w:t>t for special group</w:t>
      </w:r>
      <w:r>
        <w:rPr>
          <w:spacing w:val="-2"/>
          <w:w w:val="105"/>
        </w:rPr>
        <w:t xml:space="preserve"> </w:t>
      </w:r>
      <w:r>
        <w:rPr>
          <w:w w:val="105"/>
        </w:rPr>
        <w:t>SMEs</w:t>
      </w:r>
      <w:r>
        <w:rPr>
          <w:spacing w:val="-4"/>
          <w:w w:val="105"/>
        </w:rPr>
        <w:t xml:space="preserve"> </w:t>
      </w:r>
      <w:r>
        <w:rPr>
          <w:w w:val="105"/>
        </w:rPr>
        <w:t>translates</w:t>
      </w:r>
      <w:r>
        <w:rPr>
          <w:spacing w:val="-4"/>
          <w:w w:val="105"/>
        </w:rPr>
        <w:t xml:space="preserve"> </w:t>
      </w:r>
      <w:r>
        <w:rPr>
          <w:w w:val="105"/>
        </w:rPr>
        <w:t>into</w:t>
      </w:r>
      <w:r>
        <w:rPr>
          <w:spacing w:val="-2"/>
          <w:w w:val="105"/>
        </w:rPr>
        <w:t xml:space="preserve"> </w:t>
      </w:r>
      <w:r>
        <w:rPr>
          <w:w w:val="105"/>
        </w:rPr>
        <w:t>measurable</w:t>
      </w:r>
      <w:r>
        <w:rPr>
          <w:spacing w:val="-3"/>
          <w:w w:val="105"/>
        </w:rPr>
        <w:t xml:space="preserve"> </w:t>
      </w:r>
      <w:r>
        <w:rPr>
          <w:w w:val="105"/>
        </w:rPr>
        <w:t>competitive and sustainable outcomes.</w:t>
      </w:r>
    </w:p>
    <w:p w:rsidR="00487D64" w:rsidRDefault="006F0D93">
      <w:pPr>
        <w:pStyle w:val="BodyText"/>
        <w:spacing w:before="233" w:line="501" w:lineRule="auto"/>
        <w:ind w:left="1419" w:right="855"/>
        <w:jc w:val="both"/>
      </w:pPr>
      <w:r>
        <w:rPr>
          <w:w w:val="105"/>
        </w:rPr>
        <w:t>Contextually, the study fills a knowledge gap in Tanzania’s public procurement literature by empirically linking market orientation, strategic flexibility, and sustai</w:t>
      </w:r>
      <w:r>
        <w:rPr>
          <w:w w:val="105"/>
        </w:rPr>
        <w:t>nable competitiveness among special group SMEs, a relationship that had not been previously explored. Consequently, the study not only contributes to academic literature</w:t>
      </w:r>
      <w:r>
        <w:rPr>
          <w:spacing w:val="-2"/>
          <w:w w:val="105"/>
        </w:rPr>
        <w:t xml:space="preserve"> </w:t>
      </w:r>
      <w:r>
        <w:rPr>
          <w:w w:val="105"/>
        </w:rPr>
        <w:t>but</w:t>
      </w:r>
      <w:r>
        <w:rPr>
          <w:spacing w:val="-5"/>
          <w:w w:val="105"/>
        </w:rPr>
        <w:t xml:space="preserve"> </w:t>
      </w:r>
      <w:r>
        <w:rPr>
          <w:w w:val="105"/>
        </w:rPr>
        <w:t>also</w:t>
      </w:r>
      <w:r>
        <w:rPr>
          <w:spacing w:val="-1"/>
          <w:w w:val="105"/>
        </w:rPr>
        <w:t xml:space="preserve"> </w:t>
      </w:r>
      <w:r>
        <w:rPr>
          <w:w w:val="105"/>
        </w:rPr>
        <w:t>supports</w:t>
      </w:r>
      <w:r>
        <w:rPr>
          <w:spacing w:val="-3"/>
          <w:w w:val="105"/>
        </w:rPr>
        <w:t xml:space="preserve"> </w:t>
      </w:r>
      <w:r>
        <w:rPr>
          <w:w w:val="105"/>
        </w:rPr>
        <w:t>the</w:t>
      </w:r>
      <w:r>
        <w:rPr>
          <w:spacing w:val="-2"/>
          <w:w w:val="105"/>
        </w:rPr>
        <w:t xml:space="preserve"> </w:t>
      </w:r>
      <w:r>
        <w:rPr>
          <w:w w:val="105"/>
        </w:rPr>
        <w:t>national</w:t>
      </w:r>
      <w:r>
        <w:rPr>
          <w:spacing w:val="-5"/>
          <w:w w:val="105"/>
        </w:rPr>
        <w:t xml:space="preserve"> </w:t>
      </w:r>
      <w:r>
        <w:rPr>
          <w:w w:val="105"/>
        </w:rPr>
        <w:t>agenda of</w:t>
      </w:r>
      <w:r>
        <w:rPr>
          <w:spacing w:val="-10"/>
          <w:w w:val="105"/>
        </w:rPr>
        <w:t xml:space="preserve"> </w:t>
      </w:r>
      <w:r>
        <w:rPr>
          <w:w w:val="105"/>
        </w:rPr>
        <w:t>inclusive</w:t>
      </w:r>
      <w:r>
        <w:rPr>
          <w:spacing w:val="-2"/>
          <w:w w:val="105"/>
        </w:rPr>
        <w:t xml:space="preserve"> </w:t>
      </w:r>
      <w:r>
        <w:rPr>
          <w:w w:val="105"/>
        </w:rPr>
        <w:t>economic</w:t>
      </w:r>
      <w:r>
        <w:rPr>
          <w:spacing w:val="-2"/>
          <w:w w:val="105"/>
        </w:rPr>
        <w:t xml:space="preserve"> </w:t>
      </w:r>
      <w:r>
        <w:rPr>
          <w:w w:val="105"/>
        </w:rPr>
        <w:t>empowerment, poverty</w:t>
      </w:r>
      <w:r>
        <w:rPr>
          <w:spacing w:val="-6"/>
          <w:w w:val="105"/>
        </w:rPr>
        <w:t xml:space="preserve"> </w:t>
      </w:r>
      <w:r>
        <w:rPr>
          <w:w w:val="105"/>
        </w:rPr>
        <w:t>reduc</w:t>
      </w:r>
      <w:r>
        <w:rPr>
          <w:w w:val="105"/>
        </w:rPr>
        <w:t>tion, and the</w:t>
      </w:r>
      <w:r>
        <w:rPr>
          <w:spacing w:val="-1"/>
          <w:w w:val="105"/>
        </w:rPr>
        <w:t xml:space="preserve"> </w:t>
      </w:r>
      <w:r>
        <w:rPr>
          <w:w w:val="105"/>
        </w:rPr>
        <w:t>realization of</w:t>
      </w:r>
      <w:r>
        <w:rPr>
          <w:spacing w:val="-2"/>
          <w:w w:val="105"/>
        </w:rPr>
        <w:t xml:space="preserve"> </w:t>
      </w:r>
      <w:r>
        <w:rPr>
          <w:w w:val="105"/>
        </w:rPr>
        <w:t>Tanzania’s Vision</w:t>
      </w:r>
      <w:r>
        <w:rPr>
          <w:spacing w:val="-6"/>
          <w:w w:val="105"/>
        </w:rPr>
        <w:t xml:space="preserve"> </w:t>
      </w:r>
      <w:r>
        <w:rPr>
          <w:w w:val="105"/>
        </w:rPr>
        <w:t>2025 and the</w:t>
      </w:r>
      <w:r>
        <w:rPr>
          <w:spacing w:val="-1"/>
          <w:w w:val="105"/>
        </w:rPr>
        <w:t xml:space="preserve"> </w:t>
      </w:r>
      <w:r>
        <w:rPr>
          <w:w w:val="105"/>
        </w:rPr>
        <w:t>Sustainable Development Goals (SDGs).</w:t>
      </w:r>
    </w:p>
    <w:p w:rsidR="00487D64" w:rsidRDefault="00487D64">
      <w:pPr>
        <w:pStyle w:val="BodyText"/>
      </w:pPr>
    </w:p>
    <w:p w:rsidR="00487D64" w:rsidRDefault="00487D64">
      <w:pPr>
        <w:pStyle w:val="BodyText"/>
        <w:spacing w:before="24"/>
      </w:pPr>
    </w:p>
    <w:p w:rsidR="00487D64" w:rsidRDefault="006F0D93">
      <w:pPr>
        <w:pStyle w:val="ListParagraph"/>
        <w:numPr>
          <w:ilvl w:val="1"/>
          <w:numId w:val="17"/>
        </w:numPr>
        <w:tabs>
          <w:tab w:val="left" w:pos="2139"/>
        </w:tabs>
        <w:ind w:left="2139" w:hanging="720"/>
        <w:rPr>
          <w:b/>
          <w:sz w:val="23"/>
        </w:rPr>
      </w:pPr>
      <w:bookmarkStart w:id="35" w:name="1.6__Organization_of_the_Study"/>
      <w:bookmarkStart w:id="36" w:name="_bookmark17"/>
      <w:bookmarkEnd w:id="35"/>
      <w:bookmarkEnd w:id="36"/>
      <w:r>
        <w:rPr>
          <w:b/>
          <w:w w:val="105"/>
          <w:sz w:val="23"/>
        </w:rPr>
        <w:t>Organization</w:t>
      </w:r>
      <w:r>
        <w:rPr>
          <w:b/>
          <w:spacing w:val="-14"/>
          <w:w w:val="105"/>
          <w:sz w:val="23"/>
        </w:rPr>
        <w:t xml:space="preserve"> </w:t>
      </w:r>
      <w:r>
        <w:rPr>
          <w:b/>
          <w:w w:val="105"/>
          <w:sz w:val="23"/>
        </w:rPr>
        <w:t>of</w:t>
      </w:r>
      <w:r>
        <w:rPr>
          <w:b/>
          <w:spacing w:val="-11"/>
          <w:w w:val="105"/>
          <w:sz w:val="23"/>
        </w:rPr>
        <w:t xml:space="preserve"> </w:t>
      </w:r>
      <w:r>
        <w:rPr>
          <w:b/>
          <w:w w:val="105"/>
          <w:sz w:val="23"/>
        </w:rPr>
        <w:t xml:space="preserve">the </w:t>
      </w:r>
      <w:r>
        <w:rPr>
          <w:b/>
          <w:spacing w:val="-4"/>
          <w:w w:val="105"/>
          <w:sz w:val="23"/>
        </w:rPr>
        <w:t>Study</w:t>
      </w:r>
    </w:p>
    <w:p w:rsidR="00487D64" w:rsidRDefault="00487D64">
      <w:pPr>
        <w:pStyle w:val="BodyText"/>
        <w:spacing w:before="19"/>
        <w:rPr>
          <w:b/>
        </w:rPr>
      </w:pPr>
    </w:p>
    <w:p w:rsidR="00487D64" w:rsidRDefault="006F0D93">
      <w:pPr>
        <w:pStyle w:val="BodyText"/>
        <w:spacing w:line="501" w:lineRule="auto"/>
        <w:ind w:left="1419" w:right="851"/>
        <w:jc w:val="both"/>
      </w:pPr>
      <w:r>
        <w:rPr>
          <w:w w:val="105"/>
        </w:rPr>
        <w:t>This study is organized into six chapters: Chapter one covers the background to the study, statement of</w:t>
      </w:r>
      <w:r>
        <w:rPr>
          <w:spacing w:val="-3"/>
          <w:w w:val="105"/>
        </w:rPr>
        <w:t xml:space="preserve"> </w:t>
      </w:r>
      <w:r>
        <w:rPr>
          <w:w w:val="105"/>
        </w:rPr>
        <w:t>the</w:t>
      </w:r>
      <w:r>
        <w:rPr>
          <w:spacing w:val="-1"/>
          <w:w w:val="105"/>
        </w:rPr>
        <w:t xml:space="preserve"> </w:t>
      </w:r>
      <w:r>
        <w:rPr>
          <w:w w:val="105"/>
        </w:rPr>
        <w:t>research problem, research objectives, rationale of the study, scope, limitations,</w:t>
      </w:r>
      <w:r>
        <w:rPr>
          <w:spacing w:val="-5"/>
          <w:w w:val="105"/>
        </w:rPr>
        <w:t xml:space="preserve"> </w:t>
      </w:r>
      <w:r>
        <w:rPr>
          <w:w w:val="105"/>
        </w:rPr>
        <w:t>and</w:t>
      </w:r>
      <w:r>
        <w:rPr>
          <w:spacing w:val="-1"/>
          <w:w w:val="105"/>
        </w:rPr>
        <w:t xml:space="preserve"> </w:t>
      </w:r>
      <w:r>
        <w:rPr>
          <w:w w:val="105"/>
        </w:rPr>
        <w:t>delimitations</w:t>
      </w:r>
      <w:r>
        <w:rPr>
          <w:spacing w:val="-2"/>
          <w:w w:val="105"/>
        </w:rPr>
        <w:t xml:space="preserve"> </w:t>
      </w:r>
      <w:r>
        <w:rPr>
          <w:w w:val="105"/>
        </w:rPr>
        <w:t>of</w:t>
      </w:r>
      <w:r>
        <w:rPr>
          <w:spacing w:val="-3"/>
          <w:w w:val="105"/>
        </w:rPr>
        <w:t xml:space="preserve"> </w:t>
      </w:r>
      <w:r>
        <w:rPr>
          <w:w w:val="105"/>
        </w:rPr>
        <w:t>the</w:t>
      </w:r>
      <w:r>
        <w:rPr>
          <w:spacing w:val="-2"/>
          <w:w w:val="105"/>
        </w:rPr>
        <w:t xml:space="preserve"> </w:t>
      </w:r>
      <w:r>
        <w:rPr>
          <w:w w:val="105"/>
        </w:rPr>
        <w:t>study. Chapter two covers</w:t>
      </w:r>
      <w:r>
        <w:rPr>
          <w:spacing w:val="-2"/>
          <w:w w:val="105"/>
        </w:rPr>
        <w:t xml:space="preserve"> </w:t>
      </w:r>
      <w:r>
        <w:rPr>
          <w:w w:val="105"/>
        </w:rPr>
        <w:t>theoretical and empirical</w:t>
      </w:r>
      <w:r>
        <w:rPr>
          <w:spacing w:val="-5"/>
          <w:w w:val="105"/>
        </w:rPr>
        <w:t xml:space="preserve"> </w:t>
      </w:r>
      <w:r>
        <w:rPr>
          <w:w w:val="105"/>
        </w:rPr>
        <w:t>literature</w:t>
      </w:r>
      <w:r>
        <w:rPr>
          <w:spacing w:val="-7"/>
          <w:w w:val="105"/>
        </w:rPr>
        <w:t xml:space="preserve"> </w:t>
      </w:r>
      <w:r>
        <w:rPr>
          <w:w w:val="105"/>
        </w:rPr>
        <w:t>reviews,</w:t>
      </w:r>
      <w:r>
        <w:rPr>
          <w:spacing w:val="-4"/>
          <w:w w:val="105"/>
        </w:rPr>
        <w:t xml:space="preserve"> </w:t>
      </w:r>
      <w:r>
        <w:rPr>
          <w:w w:val="105"/>
        </w:rPr>
        <w:t>as</w:t>
      </w:r>
      <w:r>
        <w:rPr>
          <w:spacing w:val="-2"/>
          <w:w w:val="105"/>
        </w:rPr>
        <w:t xml:space="preserve"> </w:t>
      </w:r>
      <w:r>
        <w:rPr>
          <w:w w:val="105"/>
        </w:rPr>
        <w:t>well</w:t>
      </w:r>
      <w:r>
        <w:rPr>
          <w:spacing w:val="-4"/>
          <w:w w:val="105"/>
        </w:rPr>
        <w:t xml:space="preserve"> </w:t>
      </w:r>
      <w:r>
        <w:rPr>
          <w:w w:val="105"/>
        </w:rPr>
        <w:t>as</w:t>
      </w:r>
      <w:r>
        <w:rPr>
          <w:spacing w:val="-8"/>
          <w:w w:val="105"/>
        </w:rPr>
        <w:t xml:space="preserve"> </w:t>
      </w:r>
      <w:r>
        <w:rPr>
          <w:w w:val="105"/>
        </w:rPr>
        <w:t>a</w:t>
      </w:r>
      <w:r>
        <w:rPr>
          <w:spacing w:val="-1"/>
          <w:w w:val="105"/>
        </w:rPr>
        <w:t xml:space="preserve"> </w:t>
      </w:r>
      <w:r>
        <w:rPr>
          <w:w w:val="105"/>
        </w:rPr>
        <w:t>research</w:t>
      </w:r>
      <w:r>
        <w:rPr>
          <w:spacing w:val="1"/>
          <w:w w:val="105"/>
        </w:rPr>
        <w:t xml:space="preserve"> </w:t>
      </w:r>
      <w:r>
        <w:rPr>
          <w:w w:val="105"/>
        </w:rPr>
        <w:t>gap.</w:t>
      </w:r>
      <w:r>
        <w:rPr>
          <w:spacing w:val="2"/>
          <w:w w:val="105"/>
        </w:rPr>
        <w:t xml:space="preserve"> </w:t>
      </w:r>
      <w:r>
        <w:rPr>
          <w:w w:val="105"/>
        </w:rPr>
        <w:t>In</w:t>
      </w:r>
      <w:r>
        <w:rPr>
          <w:spacing w:val="-6"/>
          <w:w w:val="105"/>
        </w:rPr>
        <w:t xml:space="preserve"> </w:t>
      </w:r>
      <w:r>
        <w:rPr>
          <w:w w:val="105"/>
        </w:rPr>
        <w:t>Chapter</w:t>
      </w:r>
      <w:r>
        <w:rPr>
          <w:spacing w:val="6"/>
          <w:w w:val="105"/>
        </w:rPr>
        <w:t xml:space="preserve"> </w:t>
      </w:r>
      <w:r>
        <w:rPr>
          <w:w w:val="105"/>
        </w:rPr>
        <w:t>Three,</w:t>
      </w:r>
      <w:r>
        <w:rPr>
          <w:spacing w:val="-4"/>
          <w:w w:val="105"/>
        </w:rPr>
        <w:t xml:space="preserve"> </w:t>
      </w:r>
      <w:r>
        <w:rPr>
          <w:w w:val="105"/>
        </w:rPr>
        <w:t>the</w:t>
      </w:r>
      <w:r>
        <w:rPr>
          <w:spacing w:val="-1"/>
          <w:w w:val="105"/>
        </w:rPr>
        <w:t xml:space="preserve"> </w:t>
      </w:r>
      <w:r>
        <w:rPr>
          <w:spacing w:val="-2"/>
          <w:w w:val="105"/>
        </w:rPr>
        <w:t>research</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6"/>
        <w:jc w:val="both"/>
      </w:pPr>
      <w:r>
        <w:rPr>
          <w:w w:val="105"/>
        </w:rPr>
        <w:t>approach used to address the study problem is presented.</w:t>
      </w:r>
      <w:r>
        <w:rPr>
          <w:spacing w:val="40"/>
          <w:w w:val="105"/>
        </w:rPr>
        <w:t xml:space="preserve"> </w:t>
      </w:r>
      <w:r>
        <w:rPr>
          <w:w w:val="105"/>
        </w:rPr>
        <w:t>Chapter Four presents the descriptive and empirical results pertaining to four specific objectives of the study. Chapter Five is dedicated to providing in-depth discussions</w:t>
      </w:r>
      <w:r>
        <w:rPr>
          <w:spacing w:val="-1"/>
          <w:w w:val="105"/>
        </w:rPr>
        <w:t xml:space="preserve"> </w:t>
      </w:r>
      <w:r>
        <w:rPr>
          <w:w w:val="105"/>
        </w:rPr>
        <w:t>of</w:t>
      </w:r>
      <w:r>
        <w:rPr>
          <w:spacing w:val="-2"/>
          <w:w w:val="105"/>
        </w:rPr>
        <w:t xml:space="preserve"> </w:t>
      </w:r>
      <w:r>
        <w:rPr>
          <w:w w:val="105"/>
        </w:rPr>
        <w:t>the</w:t>
      </w:r>
      <w:r>
        <w:rPr>
          <w:spacing w:val="-6"/>
          <w:w w:val="105"/>
        </w:rPr>
        <w:t xml:space="preserve"> </w:t>
      </w:r>
      <w:r>
        <w:rPr>
          <w:w w:val="105"/>
        </w:rPr>
        <w:t>results</w:t>
      </w:r>
      <w:r>
        <w:rPr>
          <w:spacing w:val="-1"/>
          <w:w w:val="105"/>
        </w:rPr>
        <w:t xml:space="preserve"> </w:t>
      </w:r>
      <w:r>
        <w:rPr>
          <w:w w:val="105"/>
        </w:rPr>
        <w:t>reported in Chapter Four. Finally, chapter six shows the study's conclusion, recommendations, implications, and areas for further research.</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line="504" w:lineRule="auto"/>
        <w:ind w:left="4207" w:right="3643" w:hanging="8"/>
        <w:jc w:val="center"/>
        <w:rPr>
          <w:b/>
          <w:sz w:val="23"/>
        </w:rPr>
      </w:pPr>
      <w:r>
        <w:rPr>
          <w:b/>
          <w:w w:val="105"/>
          <w:sz w:val="23"/>
        </w:rPr>
        <w:t xml:space="preserve">CHAPTER TWO </w:t>
      </w:r>
      <w:r>
        <w:rPr>
          <w:b/>
          <w:sz w:val="23"/>
        </w:rPr>
        <w:t>LITERATURE REVIEW</w:t>
      </w:r>
    </w:p>
    <w:p w:rsidR="00487D64" w:rsidRDefault="00487D64">
      <w:pPr>
        <w:pStyle w:val="BodyText"/>
        <w:rPr>
          <w:b/>
        </w:rPr>
      </w:pPr>
    </w:p>
    <w:p w:rsidR="00487D64" w:rsidRDefault="00487D64">
      <w:pPr>
        <w:pStyle w:val="BodyText"/>
        <w:spacing w:before="17"/>
        <w:rPr>
          <w:b/>
        </w:rPr>
      </w:pPr>
    </w:p>
    <w:p w:rsidR="00487D64" w:rsidRDefault="006F0D93">
      <w:pPr>
        <w:pStyle w:val="ListParagraph"/>
        <w:numPr>
          <w:ilvl w:val="1"/>
          <w:numId w:val="16"/>
        </w:numPr>
        <w:tabs>
          <w:tab w:val="left" w:pos="2860"/>
        </w:tabs>
        <w:rPr>
          <w:b/>
          <w:sz w:val="23"/>
        </w:rPr>
      </w:pPr>
      <w:r>
        <w:rPr>
          <w:b/>
          <w:sz w:val="23"/>
        </w:rPr>
        <w:t>Chapter</w:t>
      </w:r>
      <w:r>
        <w:rPr>
          <w:b/>
          <w:spacing w:val="25"/>
          <w:sz w:val="23"/>
        </w:rPr>
        <w:t xml:space="preserve"> </w:t>
      </w:r>
      <w:r>
        <w:rPr>
          <w:b/>
          <w:spacing w:val="-2"/>
          <w:sz w:val="23"/>
        </w:rPr>
        <w:t>Overview</w:t>
      </w:r>
    </w:p>
    <w:p w:rsidR="00487D64" w:rsidRDefault="00487D64">
      <w:pPr>
        <w:pStyle w:val="BodyText"/>
        <w:spacing w:before="18"/>
        <w:rPr>
          <w:b/>
        </w:rPr>
      </w:pPr>
    </w:p>
    <w:p w:rsidR="00487D64" w:rsidRDefault="006F0D93">
      <w:pPr>
        <w:pStyle w:val="BodyText"/>
        <w:spacing w:line="499" w:lineRule="auto"/>
        <w:ind w:left="1419" w:right="847"/>
        <w:jc w:val="both"/>
      </w:pPr>
      <w:r>
        <w:rPr>
          <w:w w:val="105"/>
        </w:rPr>
        <w:t>The</w:t>
      </w:r>
      <w:r>
        <w:rPr>
          <w:spacing w:val="-8"/>
          <w:w w:val="105"/>
        </w:rPr>
        <w:t xml:space="preserve"> </w:t>
      </w:r>
      <w:r>
        <w:rPr>
          <w:w w:val="105"/>
        </w:rPr>
        <w:t>review</w:t>
      </w:r>
      <w:r>
        <w:rPr>
          <w:spacing w:val="-2"/>
          <w:w w:val="105"/>
        </w:rPr>
        <w:t xml:space="preserve"> </w:t>
      </w:r>
      <w:r>
        <w:rPr>
          <w:w w:val="105"/>
        </w:rPr>
        <w:t>of</w:t>
      </w:r>
      <w:r>
        <w:rPr>
          <w:spacing w:val="-10"/>
          <w:w w:val="105"/>
        </w:rPr>
        <w:t xml:space="preserve"> </w:t>
      </w:r>
      <w:r>
        <w:rPr>
          <w:w w:val="105"/>
        </w:rPr>
        <w:t>literature</w:t>
      </w:r>
      <w:r>
        <w:rPr>
          <w:spacing w:val="-1"/>
          <w:w w:val="105"/>
        </w:rPr>
        <w:t xml:space="preserve"> </w:t>
      </w:r>
      <w:r>
        <w:rPr>
          <w:w w:val="105"/>
        </w:rPr>
        <w:t>covers</w:t>
      </w:r>
      <w:r>
        <w:rPr>
          <w:spacing w:val="-2"/>
          <w:w w:val="105"/>
        </w:rPr>
        <w:t xml:space="preserve"> </w:t>
      </w:r>
      <w:r>
        <w:rPr>
          <w:w w:val="105"/>
        </w:rPr>
        <w:t>seven</w:t>
      </w:r>
      <w:r>
        <w:rPr>
          <w:spacing w:val="-1"/>
          <w:w w:val="105"/>
        </w:rPr>
        <w:t xml:space="preserve"> </w:t>
      </w:r>
      <w:r>
        <w:rPr>
          <w:w w:val="105"/>
        </w:rPr>
        <w:t>main</w:t>
      </w:r>
      <w:r>
        <w:rPr>
          <w:spacing w:val="-7"/>
          <w:w w:val="105"/>
        </w:rPr>
        <w:t xml:space="preserve"> </w:t>
      </w:r>
      <w:r>
        <w:rPr>
          <w:w w:val="105"/>
        </w:rPr>
        <w:t>parts:</w:t>
      </w:r>
      <w:r>
        <w:rPr>
          <w:spacing w:val="-4"/>
          <w:w w:val="105"/>
        </w:rPr>
        <w:t xml:space="preserve"> </w:t>
      </w:r>
      <w:r>
        <w:rPr>
          <w:w w:val="105"/>
        </w:rPr>
        <w:t>conceptual</w:t>
      </w:r>
      <w:r>
        <w:rPr>
          <w:spacing w:val="-5"/>
          <w:w w:val="105"/>
        </w:rPr>
        <w:t xml:space="preserve"> </w:t>
      </w:r>
      <w:r>
        <w:rPr>
          <w:w w:val="105"/>
        </w:rPr>
        <w:t>definitions,</w:t>
      </w:r>
      <w:r>
        <w:rPr>
          <w:spacing w:val="-5"/>
          <w:w w:val="105"/>
        </w:rPr>
        <w:t xml:space="preserve"> </w:t>
      </w:r>
      <w:r>
        <w:rPr>
          <w:w w:val="105"/>
        </w:rPr>
        <w:t>presentation of the underpinning theoretical framework of this study, review of previous studies on the impact of MO and SC on special group SMEs research gap, synthesis of theoretical and empirical literature review, theoret</w:t>
      </w:r>
      <w:r>
        <w:rPr>
          <w:w w:val="105"/>
        </w:rPr>
        <w:t>ical model of the study, and the operational definitions of the constructs.</w:t>
      </w:r>
    </w:p>
    <w:p w:rsidR="00487D64" w:rsidRDefault="00487D64">
      <w:pPr>
        <w:pStyle w:val="BodyText"/>
      </w:pPr>
    </w:p>
    <w:p w:rsidR="00487D64" w:rsidRDefault="00487D64">
      <w:pPr>
        <w:pStyle w:val="BodyText"/>
        <w:spacing w:before="41"/>
      </w:pPr>
    </w:p>
    <w:p w:rsidR="00487D64" w:rsidRDefault="006F0D93">
      <w:pPr>
        <w:pStyle w:val="ListParagraph"/>
        <w:numPr>
          <w:ilvl w:val="1"/>
          <w:numId w:val="16"/>
        </w:numPr>
        <w:tabs>
          <w:tab w:val="left" w:pos="2860"/>
        </w:tabs>
        <w:rPr>
          <w:b/>
          <w:sz w:val="23"/>
        </w:rPr>
      </w:pPr>
      <w:r>
        <w:rPr>
          <w:b/>
          <w:sz w:val="23"/>
        </w:rPr>
        <w:t>Conceptual</w:t>
      </w:r>
      <w:r>
        <w:rPr>
          <w:b/>
          <w:spacing w:val="32"/>
          <w:sz w:val="23"/>
        </w:rPr>
        <w:t xml:space="preserve"> </w:t>
      </w:r>
      <w:r>
        <w:rPr>
          <w:b/>
          <w:spacing w:val="-2"/>
          <w:sz w:val="23"/>
        </w:rPr>
        <w:t>Definitions</w:t>
      </w:r>
    </w:p>
    <w:p w:rsidR="00487D64" w:rsidRDefault="00487D64">
      <w:pPr>
        <w:pStyle w:val="BodyText"/>
        <w:spacing w:before="19"/>
        <w:rPr>
          <w:b/>
        </w:rPr>
      </w:pPr>
    </w:p>
    <w:p w:rsidR="00487D64" w:rsidRDefault="006F0D93">
      <w:pPr>
        <w:pStyle w:val="ListParagraph"/>
        <w:numPr>
          <w:ilvl w:val="2"/>
          <w:numId w:val="16"/>
        </w:numPr>
        <w:tabs>
          <w:tab w:val="left" w:pos="2860"/>
        </w:tabs>
        <w:rPr>
          <w:b/>
          <w:sz w:val="23"/>
        </w:rPr>
      </w:pPr>
      <w:r>
        <w:rPr>
          <w:b/>
          <w:w w:val="105"/>
          <w:sz w:val="23"/>
        </w:rPr>
        <w:t>Market</w:t>
      </w:r>
      <w:r>
        <w:rPr>
          <w:b/>
          <w:spacing w:val="-15"/>
          <w:w w:val="105"/>
          <w:sz w:val="23"/>
        </w:rPr>
        <w:t xml:space="preserve"> </w:t>
      </w:r>
      <w:r>
        <w:rPr>
          <w:b/>
          <w:spacing w:val="-2"/>
          <w:w w:val="105"/>
          <w:sz w:val="23"/>
        </w:rPr>
        <w:t>Orientation</w:t>
      </w:r>
    </w:p>
    <w:p w:rsidR="00487D64" w:rsidRDefault="00487D64">
      <w:pPr>
        <w:pStyle w:val="BodyText"/>
        <w:spacing w:before="18"/>
        <w:rPr>
          <w:b/>
        </w:rPr>
      </w:pPr>
    </w:p>
    <w:p w:rsidR="00487D64" w:rsidRDefault="006F0D93">
      <w:pPr>
        <w:pStyle w:val="BodyText"/>
        <w:spacing w:line="501" w:lineRule="auto"/>
        <w:ind w:left="1419" w:right="850"/>
        <w:jc w:val="both"/>
      </w:pPr>
      <w:r>
        <w:rPr>
          <w:w w:val="105"/>
        </w:rPr>
        <w:t>Jaworski &amp; Kohli (1993) defined market orientation as a set of organizational processes focused on generating, disseminating, and resp</w:t>
      </w:r>
      <w:r>
        <w:rPr>
          <w:w w:val="105"/>
        </w:rPr>
        <w:t>onding to market intelligence. Their framework highlights three core processes: the ability to collect market information, share it across the organization, and use it to make informed decisions</w:t>
      </w:r>
      <w:r>
        <w:rPr>
          <w:spacing w:val="-9"/>
          <w:w w:val="105"/>
        </w:rPr>
        <w:t xml:space="preserve"> </w:t>
      </w:r>
      <w:r>
        <w:rPr>
          <w:w w:val="105"/>
        </w:rPr>
        <w:t>and</w:t>
      </w:r>
      <w:r>
        <w:rPr>
          <w:spacing w:val="-13"/>
          <w:w w:val="105"/>
        </w:rPr>
        <w:t xml:space="preserve"> </w:t>
      </w:r>
      <w:r>
        <w:rPr>
          <w:w w:val="105"/>
        </w:rPr>
        <w:t>actions.</w:t>
      </w:r>
      <w:r>
        <w:rPr>
          <w:spacing w:val="-4"/>
          <w:w w:val="105"/>
        </w:rPr>
        <w:t xml:space="preserve"> </w:t>
      </w:r>
      <w:r>
        <w:rPr>
          <w:w w:val="105"/>
        </w:rPr>
        <w:t>For</w:t>
      </w:r>
      <w:r>
        <w:rPr>
          <w:spacing w:val="-3"/>
          <w:w w:val="105"/>
        </w:rPr>
        <w:t xml:space="preserve"> </w:t>
      </w:r>
      <w:r>
        <w:rPr>
          <w:w w:val="105"/>
        </w:rPr>
        <w:t>this</w:t>
      </w:r>
      <w:r>
        <w:rPr>
          <w:spacing w:val="-9"/>
          <w:w w:val="105"/>
        </w:rPr>
        <w:t xml:space="preserve"> </w:t>
      </w:r>
      <w:r>
        <w:rPr>
          <w:w w:val="105"/>
        </w:rPr>
        <w:t>study, we</w:t>
      </w:r>
      <w:r>
        <w:rPr>
          <w:spacing w:val="-7"/>
          <w:w w:val="105"/>
        </w:rPr>
        <w:t xml:space="preserve"> </w:t>
      </w:r>
      <w:r>
        <w:rPr>
          <w:w w:val="105"/>
        </w:rPr>
        <w:t>will</w:t>
      </w:r>
      <w:r>
        <w:rPr>
          <w:spacing w:val="-4"/>
          <w:w w:val="105"/>
        </w:rPr>
        <w:t xml:space="preserve"> </w:t>
      </w:r>
      <w:r>
        <w:rPr>
          <w:w w:val="105"/>
        </w:rPr>
        <w:t>adopt</w:t>
      </w:r>
      <w:r>
        <w:rPr>
          <w:spacing w:val="-4"/>
          <w:w w:val="105"/>
        </w:rPr>
        <w:t xml:space="preserve"> </w:t>
      </w:r>
      <w:r>
        <w:rPr>
          <w:w w:val="105"/>
        </w:rPr>
        <w:t>the</w:t>
      </w:r>
      <w:r>
        <w:rPr>
          <w:spacing w:val="-7"/>
          <w:w w:val="105"/>
        </w:rPr>
        <w:t xml:space="preserve"> </w:t>
      </w:r>
      <w:r>
        <w:rPr>
          <w:w w:val="105"/>
        </w:rPr>
        <w:t>definition provided by</w:t>
      </w:r>
      <w:r>
        <w:rPr>
          <w:spacing w:val="-6"/>
          <w:w w:val="105"/>
        </w:rPr>
        <w:t xml:space="preserve"> </w:t>
      </w:r>
      <w:r>
        <w:rPr>
          <w:w w:val="105"/>
        </w:rPr>
        <w:t>Narver and Slater (1990) since it fits the aspects of the study</w:t>
      </w:r>
      <w:r>
        <w:rPr>
          <w:b/>
          <w:w w:val="105"/>
        </w:rPr>
        <w:t xml:space="preserve">. </w:t>
      </w:r>
      <w:r>
        <w:rPr>
          <w:w w:val="105"/>
        </w:rPr>
        <w:t>They conceptualized market orientation as a business culture that fosters the creation of superior value for customers. This definition is measured through three key be</w:t>
      </w:r>
      <w:r>
        <w:rPr>
          <w:w w:val="105"/>
        </w:rPr>
        <w:t>havioral components: customer orientation, competitor orientation, and cross-functional coordination. Narver and Slater's approach emphasizes the role of these components in achieving superior performance and competitive advantage.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2"/>
          <w:numId w:val="16"/>
        </w:numPr>
        <w:tabs>
          <w:tab w:val="left" w:pos="2860"/>
        </w:tabs>
        <w:spacing w:before="1"/>
        <w:rPr>
          <w:b/>
          <w:sz w:val="23"/>
        </w:rPr>
      </w:pPr>
      <w:r>
        <w:rPr>
          <w:b/>
          <w:w w:val="105"/>
          <w:sz w:val="23"/>
        </w:rPr>
        <w:t>Special</w:t>
      </w:r>
      <w:r>
        <w:rPr>
          <w:b/>
          <w:spacing w:val="-10"/>
          <w:w w:val="105"/>
          <w:sz w:val="23"/>
        </w:rPr>
        <w:t xml:space="preserve"> </w:t>
      </w:r>
      <w:r>
        <w:rPr>
          <w:b/>
          <w:w w:val="105"/>
          <w:sz w:val="23"/>
        </w:rPr>
        <w:t>Group</w:t>
      </w:r>
      <w:r>
        <w:rPr>
          <w:b/>
          <w:spacing w:val="-15"/>
          <w:w w:val="105"/>
          <w:sz w:val="23"/>
        </w:rPr>
        <w:t xml:space="preserve"> </w:t>
      </w:r>
      <w:r>
        <w:rPr>
          <w:b/>
          <w:spacing w:val="-4"/>
          <w:w w:val="105"/>
          <w:sz w:val="23"/>
        </w:rPr>
        <w:t>SMEs</w:t>
      </w:r>
    </w:p>
    <w:p w:rsidR="00487D64" w:rsidRDefault="00487D64">
      <w:pPr>
        <w:pStyle w:val="BodyText"/>
        <w:spacing w:before="18"/>
        <w:rPr>
          <w:b/>
        </w:rPr>
      </w:pPr>
    </w:p>
    <w:p w:rsidR="00487D64" w:rsidRDefault="006F0D93">
      <w:pPr>
        <w:pStyle w:val="BodyText"/>
        <w:spacing w:line="501" w:lineRule="auto"/>
        <w:ind w:left="1419" w:right="846"/>
        <w:jc w:val="both"/>
      </w:pPr>
      <w:r>
        <w:rPr>
          <w:w w:val="105"/>
        </w:rPr>
        <w:t>According to PPRA (2020), special group SME is a general term that includes women, youth, the elderly, and persons with disability as defined in respective laws and</w:t>
      </w:r>
      <w:r>
        <w:rPr>
          <w:spacing w:val="-5"/>
          <w:w w:val="105"/>
        </w:rPr>
        <w:t xml:space="preserve"> </w:t>
      </w:r>
      <w:r>
        <w:rPr>
          <w:w w:val="105"/>
        </w:rPr>
        <w:t>policies.</w:t>
      </w:r>
      <w:r>
        <w:rPr>
          <w:spacing w:val="-10"/>
          <w:w w:val="105"/>
        </w:rPr>
        <w:t xml:space="preserve"> </w:t>
      </w:r>
      <w:r>
        <w:rPr>
          <w:w w:val="105"/>
        </w:rPr>
        <w:t>The</w:t>
      </w:r>
      <w:r>
        <w:rPr>
          <w:spacing w:val="-3"/>
          <w:w w:val="105"/>
        </w:rPr>
        <w:t xml:space="preserve"> </w:t>
      </w:r>
      <w:r>
        <w:rPr>
          <w:w w:val="105"/>
        </w:rPr>
        <w:t>SME</w:t>
      </w:r>
      <w:r>
        <w:rPr>
          <w:spacing w:val="-2"/>
          <w:w w:val="105"/>
        </w:rPr>
        <w:t xml:space="preserve"> </w:t>
      </w:r>
      <w:r>
        <w:rPr>
          <w:w w:val="105"/>
        </w:rPr>
        <w:t>is</w:t>
      </w:r>
      <w:r>
        <w:rPr>
          <w:spacing w:val="-8"/>
          <w:w w:val="105"/>
        </w:rPr>
        <w:t xml:space="preserve"> </w:t>
      </w:r>
      <w:r>
        <w:rPr>
          <w:w w:val="105"/>
        </w:rPr>
        <w:t>given</w:t>
      </w:r>
      <w:r>
        <w:rPr>
          <w:spacing w:val="-10"/>
          <w:w w:val="105"/>
        </w:rPr>
        <w:t xml:space="preserve"> </w:t>
      </w:r>
      <w:r>
        <w:rPr>
          <w:w w:val="105"/>
        </w:rPr>
        <w:t>a sole</w:t>
      </w:r>
      <w:r>
        <w:rPr>
          <w:spacing w:val="-12"/>
          <w:w w:val="105"/>
        </w:rPr>
        <w:t xml:space="preserve"> </w:t>
      </w:r>
      <w:r>
        <w:rPr>
          <w:w w:val="105"/>
        </w:rPr>
        <w:t>advantage by setting</w:t>
      </w:r>
      <w:r>
        <w:rPr>
          <w:spacing w:val="-11"/>
          <w:w w:val="105"/>
        </w:rPr>
        <w:t xml:space="preserve"> </w:t>
      </w:r>
      <w:r>
        <w:rPr>
          <w:w w:val="105"/>
        </w:rPr>
        <w:t>aside</w:t>
      </w:r>
      <w:r>
        <w:rPr>
          <w:spacing w:val="-12"/>
          <w:w w:val="105"/>
        </w:rPr>
        <w:t xml:space="preserve"> </w:t>
      </w:r>
      <w:r>
        <w:rPr>
          <w:w w:val="105"/>
        </w:rPr>
        <w:t>a certain</w:t>
      </w:r>
      <w:r>
        <w:rPr>
          <w:spacing w:val="-5"/>
          <w:w w:val="105"/>
        </w:rPr>
        <w:t xml:space="preserve"> </w:t>
      </w:r>
      <w:r>
        <w:rPr>
          <w:w w:val="105"/>
        </w:rPr>
        <w:t xml:space="preserve">percentage of the procurement of goods, works, and services. Moreover, the term SME can be defined as a group of people who have a particular demand and who try to influence political decisions involving them (Wamoto, 2017). Different terms are often used </w:t>
      </w:r>
      <w:r>
        <w:rPr>
          <w:w w:val="105"/>
        </w:rPr>
        <w:t>interchangeably</w:t>
      </w:r>
      <w:r>
        <w:rPr>
          <w:spacing w:val="-3"/>
          <w:w w:val="105"/>
        </w:rPr>
        <w:t xml:space="preserve"> </w:t>
      </w:r>
      <w:r>
        <w:rPr>
          <w:w w:val="105"/>
        </w:rPr>
        <w:t>with</w:t>
      </w:r>
      <w:r>
        <w:rPr>
          <w:spacing w:val="-3"/>
          <w:w w:val="105"/>
        </w:rPr>
        <w:t xml:space="preserve"> </w:t>
      </w:r>
      <w:r>
        <w:rPr>
          <w:w w:val="105"/>
        </w:rPr>
        <w:t>the</w:t>
      </w:r>
      <w:r>
        <w:rPr>
          <w:spacing w:val="-4"/>
          <w:w w:val="105"/>
        </w:rPr>
        <w:t xml:space="preserve"> </w:t>
      </w:r>
      <w:r>
        <w:rPr>
          <w:w w:val="105"/>
        </w:rPr>
        <w:t>term</w:t>
      </w:r>
      <w:r>
        <w:rPr>
          <w:spacing w:val="-1"/>
          <w:w w:val="105"/>
        </w:rPr>
        <w:t xml:space="preserve"> </w:t>
      </w:r>
      <w:r>
        <w:rPr>
          <w:w w:val="105"/>
        </w:rPr>
        <w:t>SME.</w:t>
      </w:r>
      <w:r>
        <w:rPr>
          <w:spacing w:val="-1"/>
          <w:w w:val="105"/>
        </w:rPr>
        <w:t xml:space="preserve"> </w:t>
      </w:r>
      <w:r>
        <w:rPr>
          <w:w w:val="105"/>
        </w:rPr>
        <w:t>These</w:t>
      </w:r>
      <w:r>
        <w:rPr>
          <w:spacing w:val="-4"/>
          <w:w w:val="105"/>
        </w:rPr>
        <w:t xml:space="preserve"> </w:t>
      </w:r>
      <w:r>
        <w:rPr>
          <w:w w:val="105"/>
        </w:rPr>
        <w:t>include</w:t>
      </w:r>
      <w:r>
        <w:rPr>
          <w:spacing w:val="-10"/>
          <w:w w:val="105"/>
        </w:rPr>
        <w:t xml:space="preserve"> </w:t>
      </w:r>
      <w:r>
        <w:rPr>
          <w:w w:val="105"/>
        </w:rPr>
        <w:t>vulnerable</w:t>
      </w:r>
      <w:r>
        <w:rPr>
          <w:spacing w:val="-4"/>
          <w:w w:val="105"/>
        </w:rPr>
        <w:t xml:space="preserve"> </w:t>
      </w:r>
      <w:r>
        <w:rPr>
          <w:w w:val="105"/>
        </w:rPr>
        <w:t>groups,</w:t>
      </w:r>
      <w:r>
        <w:rPr>
          <w:spacing w:val="-1"/>
          <w:w w:val="105"/>
        </w:rPr>
        <w:t xml:space="preserve"> </w:t>
      </w:r>
      <w:r>
        <w:rPr>
          <w:w w:val="105"/>
        </w:rPr>
        <w:t>disadvantaged groups, marginalized groups, and underrepresented groups.</w:t>
      </w:r>
      <w:r>
        <w:rPr>
          <w:spacing w:val="40"/>
          <w:w w:val="105"/>
        </w:rPr>
        <w:t xml:space="preserve"> </w:t>
      </w:r>
      <w:r>
        <w:rPr>
          <w:w w:val="105"/>
        </w:rPr>
        <w:t>In this study,</w:t>
      </w:r>
      <w:r>
        <w:rPr>
          <w:w w:val="105"/>
        </w:rPr>
        <w:t xml:space="preserve"> the term Special group enterprise means any group registered and published by PPRA as the supplier, service provider, or contractor.</w:t>
      </w:r>
    </w:p>
    <w:p w:rsidR="00487D64" w:rsidRDefault="00487D64">
      <w:pPr>
        <w:pStyle w:val="BodyText"/>
      </w:pPr>
    </w:p>
    <w:p w:rsidR="00487D64" w:rsidRDefault="00487D64">
      <w:pPr>
        <w:pStyle w:val="BodyText"/>
        <w:spacing w:before="23"/>
      </w:pPr>
    </w:p>
    <w:p w:rsidR="00487D64" w:rsidRDefault="006F0D93">
      <w:pPr>
        <w:pStyle w:val="ListParagraph"/>
        <w:numPr>
          <w:ilvl w:val="2"/>
          <w:numId w:val="16"/>
        </w:numPr>
        <w:tabs>
          <w:tab w:val="left" w:pos="2860"/>
        </w:tabs>
        <w:rPr>
          <w:b/>
          <w:sz w:val="23"/>
        </w:rPr>
      </w:pPr>
      <w:r>
        <w:rPr>
          <w:b/>
          <w:w w:val="105"/>
          <w:sz w:val="23"/>
        </w:rPr>
        <w:t>Participation</w:t>
      </w:r>
      <w:r>
        <w:rPr>
          <w:b/>
          <w:spacing w:val="-13"/>
          <w:w w:val="105"/>
          <w:sz w:val="23"/>
        </w:rPr>
        <w:t xml:space="preserve"> </w:t>
      </w:r>
      <w:r>
        <w:rPr>
          <w:b/>
          <w:w w:val="105"/>
          <w:sz w:val="23"/>
        </w:rPr>
        <w:t>in</w:t>
      </w:r>
      <w:r>
        <w:rPr>
          <w:b/>
          <w:spacing w:val="-13"/>
          <w:w w:val="105"/>
          <w:sz w:val="23"/>
        </w:rPr>
        <w:t xml:space="preserve"> </w:t>
      </w:r>
      <w:r>
        <w:rPr>
          <w:b/>
          <w:w w:val="105"/>
          <w:sz w:val="23"/>
        </w:rPr>
        <w:t>Public</w:t>
      </w:r>
      <w:r>
        <w:rPr>
          <w:b/>
          <w:spacing w:val="-10"/>
          <w:w w:val="105"/>
          <w:sz w:val="23"/>
        </w:rPr>
        <w:t xml:space="preserve"> </w:t>
      </w:r>
      <w:r>
        <w:rPr>
          <w:b/>
          <w:spacing w:val="-2"/>
          <w:w w:val="105"/>
          <w:sz w:val="23"/>
        </w:rPr>
        <w:t>Procurement</w:t>
      </w:r>
    </w:p>
    <w:p w:rsidR="00487D64" w:rsidRDefault="00487D64">
      <w:pPr>
        <w:pStyle w:val="BodyText"/>
        <w:spacing w:before="19"/>
        <w:rPr>
          <w:b/>
        </w:rPr>
      </w:pPr>
    </w:p>
    <w:p w:rsidR="00487D64" w:rsidRDefault="006F0D93">
      <w:pPr>
        <w:pStyle w:val="BodyText"/>
        <w:spacing w:line="501" w:lineRule="auto"/>
        <w:ind w:left="1419" w:right="853"/>
        <w:jc w:val="both"/>
      </w:pPr>
      <w:r>
        <w:rPr>
          <w:w w:val="105"/>
        </w:rPr>
        <w:t>The Public Procurement Regulatory Authority (PPRA) of Tanzania defines participatio</w:t>
      </w:r>
      <w:r>
        <w:rPr>
          <w:w w:val="105"/>
        </w:rPr>
        <w:t>n in public procurement as the organized and policy-driven involvement of special groups, including women, young people, and people with disabilities, in procurement procedures. This entails reserving tenders that are only available to certain groups, allo</w:t>
      </w:r>
      <w:r>
        <w:rPr>
          <w:w w:val="105"/>
        </w:rPr>
        <w:t>cating at least 30% of procurement opportunities to them exclusively, and streamlining processes to reduce entrance barriers. According to PPRA (2023), participation in this context is more than just placing bids; it also involves establishing an atmospher</w:t>
      </w:r>
      <w:r>
        <w:rPr>
          <w:w w:val="105"/>
        </w:rPr>
        <w:t>e that allows special groups to compete solely, submit quotes, and win contracts without being dominated by larger or more established enterprises.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2"/>
        <w:jc w:val="both"/>
      </w:pPr>
      <w:r>
        <w:rPr>
          <w:w w:val="105"/>
        </w:rPr>
        <w:t>Hence</w:t>
      </w:r>
      <w:r>
        <w:rPr>
          <w:spacing w:val="-3"/>
          <w:w w:val="105"/>
        </w:rPr>
        <w:t xml:space="preserve"> </w:t>
      </w:r>
      <w:r>
        <w:rPr>
          <w:w w:val="105"/>
        </w:rPr>
        <w:t>when</w:t>
      </w:r>
      <w:r>
        <w:rPr>
          <w:spacing w:val="-8"/>
          <w:w w:val="105"/>
        </w:rPr>
        <w:t xml:space="preserve"> </w:t>
      </w:r>
      <w:r>
        <w:rPr>
          <w:w w:val="105"/>
        </w:rPr>
        <w:t>we</w:t>
      </w:r>
      <w:r>
        <w:rPr>
          <w:spacing w:val="-3"/>
          <w:w w:val="105"/>
        </w:rPr>
        <w:t xml:space="preserve"> </w:t>
      </w:r>
      <w:r>
        <w:rPr>
          <w:w w:val="105"/>
        </w:rPr>
        <w:t>speak</w:t>
      </w:r>
      <w:r>
        <w:rPr>
          <w:spacing w:val="-2"/>
          <w:w w:val="105"/>
        </w:rPr>
        <w:t xml:space="preserve"> </w:t>
      </w:r>
      <w:r>
        <w:rPr>
          <w:w w:val="105"/>
        </w:rPr>
        <w:t>of</w:t>
      </w:r>
      <w:r>
        <w:rPr>
          <w:spacing w:val="-7"/>
          <w:w w:val="105"/>
        </w:rPr>
        <w:t xml:space="preserve"> </w:t>
      </w:r>
      <w:r>
        <w:rPr>
          <w:w w:val="105"/>
        </w:rPr>
        <w:t>participation</w:t>
      </w:r>
      <w:r>
        <w:rPr>
          <w:spacing w:val="-8"/>
          <w:w w:val="105"/>
        </w:rPr>
        <w:t xml:space="preserve"> </w:t>
      </w:r>
      <w:r>
        <w:rPr>
          <w:w w:val="105"/>
        </w:rPr>
        <w:t>in</w:t>
      </w:r>
      <w:r>
        <w:rPr>
          <w:spacing w:val="-8"/>
          <w:w w:val="105"/>
        </w:rPr>
        <w:t xml:space="preserve"> </w:t>
      </w:r>
      <w:r>
        <w:rPr>
          <w:w w:val="105"/>
        </w:rPr>
        <w:t>public</w:t>
      </w:r>
      <w:r>
        <w:rPr>
          <w:spacing w:val="-9"/>
          <w:w w:val="105"/>
        </w:rPr>
        <w:t xml:space="preserve"> </w:t>
      </w:r>
      <w:r>
        <w:rPr>
          <w:w w:val="105"/>
        </w:rPr>
        <w:t>procurement in</w:t>
      </w:r>
      <w:r>
        <w:rPr>
          <w:spacing w:val="-8"/>
          <w:w w:val="105"/>
        </w:rPr>
        <w:t xml:space="preserve"> </w:t>
      </w:r>
      <w:r>
        <w:rPr>
          <w:w w:val="105"/>
        </w:rPr>
        <w:t>the</w:t>
      </w:r>
      <w:r>
        <w:rPr>
          <w:spacing w:val="-9"/>
          <w:w w:val="105"/>
        </w:rPr>
        <w:t xml:space="preserve"> </w:t>
      </w:r>
      <w:r>
        <w:rPr>
          <w:w w:val="105"/>
        </w:rPr>
        <w:t>context of</w:t>
      </w:r>
      <w:r>
        <w:rPr>
          <w:spacing w:val="-11"/>
          <w:w w:val="105"/>
        </w:rPr>
        <w:t xml:space="preserve"> </w:t>
      </w:r>
      <w:r>
        <w:rPr>
          <w:w w:val="105"/>
        </w:rPr>
        <w:t>special groups SMEs, we are referring to a comprehensive and policy-driven engagement that guarantees visibility, access, application, and success in procurement processes. It</w:t>
      </w:r>
      <w:r>
        <w:rPr>
          <w:spacing w:val="-1"/>
          <w:w w:val="105"/>
        </w:rPr>
        <w:t xml:space="preserve"> </w:t>
      </w:r>
      <w:r>
        <w:rPr>
          <w:w w:val="105"/>
        </w:rPr>
        <w:t>is</w:t>
      </w:r>
      <w:r>
        <w:rPr>
          <w:spacing w:val="-5"/>
          <w:w w:val="105"/>
        </w:rPr>
        <w:t xml:space="preserve"> </w:t>
      </w:r>
      <w:r>
        <w:rPr>
          <w:w w:val="105"/>
        </w:rPr>
        <w:t>a strategic tool for inclusive development, not just</w:t>
      </w:r>
      <w:r>
        <w:rPr>
          <w:spacing w:val="-1"/>
          <w:w w:val="105"/>
        </w:rPr>
        <w:t xml:space="preserve"> </w:t>
      </w:r>
      <w:r>
        <w:rPr>
          <w:w w:val="105"/>
        </w:rPr>
        <w:t>a procedural formality.</w:t>
      </w:r>
    </w:p>
    <w:p w:rsidR="00487D64" w:rsidRDefault="00487D64">
      <w:pPr>
        <w:pStyle w:val="BodyText"/>
      </w:pPr>
    </w:p>
    <w:p w:rsidR="00487D64" w:rsidRDefault="00487D64">
      <w:pPr>
        <w:pStyle w:val="BodyText"/>
        <w:spacing w:before="26"/>
      </w:pPr>
    </w:p>
    <w:p w:rsidR="00487D64" w:rsidRDefault="006F0D93">
      <w:pPr>
        <w:pStyle w:val="ListParagraph"/>
        <w:numPr>
          <w:ilvl w:val="2"/>
          <w:numId w:val="16"/>
        </w:numPr>
        <w:tabs>
          <w:tab w:val="left" w:pos="2860"/>
        </w:tabs>
        <w:spacing w:before="1"/>
        <w:rPr>
          <w:b/>
          <w:sz w:val="23"/>
        </w:rPr>
      </w:pPr>
      <w:bookmarkStart w:id="37" w:name="2.2.4____Sustainable_Competitiveness_(SC"/>
      <w:bookmarkStart w:id="38" w:name="_bookmark18"/>
      <w:bookmarkEnd w:id="37"/>
      <w:bookmarkEnd w:id="38"/>
      <w:r>
        <w:rPr>
          <w:b/>
          <w:sz w:val="23"/>
        </w:rPr>
        <w:t>Sustainable</w:t>
      </w:r>
      <w:r>
        <w:rPr>
          <w:b/>
          <w:spacing w:val="48"/>
          <w:sz w:val="23"/>
        </w:rPr>
        <w:t xml:space="preserve"> </w:t>
      </w:r>
      <w:r>
        <w:rPr>
          <w:b/>
          <w:sz w:val="23"/>
        </w:rPr>
        <w:t>Competitiveness</w:t>
      </w:r>
      <w:r>
        <w:rPr>
          <w:b/>
          <w:spacing w:val="45"/>
          <w:sz w:val="23"/>
        </w:rPr>
        <w:t xml:space="preserve"> </w:t>
      </w:r>
      <w:r>
        <w:rPr>
          <w:b/>
          <w:spacing w:val="-4"/>
          <w:sz w:val="23"/>
        </w:rPr>
        <w:t>(SC)</w:t>
      </w:r>
    </w:p>
    <w:p w:rsidR="00487D64" w:rsidRDefault="00487D64">
      <w:pPr>
        <w:pStyle w:val="BodyText"/>
        <w:spacing w:before="18"/>
        <w:rPr>
          <w:b/>
        </w:rPr>
      </w:pPr>
    </w:p>
    <w:p w:rsidR="00487D64" w:rsidRDefault="006F0D93">
      <w:pPr>
        <w:pStyle w:val="BodyText"/>
        <w:spacing w:line="501" w:lineRule="auto"/>
        <w:ind w:left="1419" w:right="847"/>
        <w:jc w:val="both"/>
      </w:pPr>
      <w:r>
        <w:rPr>
          <w:w w:val="105"/>
        </w:rPr>
        <w:t>Porter (1985) defines SC as strategies (cost leadership, differentiation, and focus) relevant to achieving the long-term market advantage. Coyne (1986) contributed to the construct by proposing that to possess an SC,</w:t>
      </w:r>
      <w:r>
        <w:rPr>
          <w:w w:val="105"/>
        </w:rPr>
        <w:t xml:space="preserve"> consumers must perceive some difference</w:t>
      </w:r>
      <w:r>
        <w:rPr>
          <w:spacing w:val="-2"/>
          <w:w w:val="105"/>
        </w:rPr>
        <w:t xml:space="preserve"> </w:t>
      </w:r>
      <w:r>
        <w:rPr>
          <w:w w:val="105"/>
        </w:rPr>
        <w:t>between</w:t>
      </w:r>
      <w:r>
        <w:rPr>
          <w:spacing w:val="-1"/>
          <w:w w:val="105"/>
        </w:rPr>
        <w:t xml:space="preserve"> </w:t>
      </w:r>
      <w:r>
        <w:rPr>
          <w:w w:val="105"/>
        </w:rPr>
        <w:t>a firm’s product offering</w:t>
      </w:r>
      <w:r>
        <w:rPr>
          <w:spacing w:val="-1"/>
          <w:w w:val="105"/>
        </w:rPr>
        <w:t xml:space="preserve"> </w:t>
      </w:r>
      <w:r>
        <w:rPr>
          <w:w w:val="105"/>
        </w:rPr>
        <w:t>and</w:t>
      </w:r>
      <w:r>
        <w:rPr>
          <w:spacing w:val="-1"/>
          <w:w w:val="105"/>
        </w:rPr>
        <w:t xml:space="preserve"> </w:t>
      </w:r>
      <w:r>
        <w:rPr>
          <w:w w:val="105"/>
        </w:rPr>
        <w:t>the</w:t>
      </w:r>
      <w:r>
        <w:rPr>
          <w:spacing w:val="-2"/>
          <w:w w:val="105"/>
        </w:rPr>
        <w:t xml:space="preserve"> </w:t>
      </w:r>
      <w:r>
        <w:rPr>
          <w:w w:val="105"/>
        </w:rPr>
        <w:t>competitors offering. However, for this study, a comprehensive definition by Murphy (2013) is adopted. He defined SC for</w:t>
      </w:r>
      <w:r>
        <w:rPr>
          <w:spacing w:val="-3"/>
          <w:w w:val="105"/>
        </w:rPr>
        <w:t xml:space="preserve"> </w:t>
      </w:r>
      <w:r>
        <w:rPr>
          <w:w w:val="105"/>
        </w:rPr>
        <w:t>a small business</w:t>
      </w:r>
      <w:r>
        <w:rPr>
          <w:spacing w:val="-3"/>
          <w:w w:val="105"/>
        </w:rPr>
        <w:t xml:space="preserve"> </w:t>
      </w:r>
      <w:r>
        <w:rPr>
          <w:w w:val="105"/>
        </w:rPr>
        <w:t>entails conducting</w:t>
      </w:r>
      <w:r>
        <w:rPr>
          <w:spacing w:val="-1"/>
          <w:w w:val="105"/>
        </w:rPr>
        <w:t xml:space="preserve"> </w:t>
      </w:r>
      <w:r>
        <w:rPr>
          <w:w w:val="105"/>
        </w:rPr>
        <w:t>business</w:t>
      </w:r>
      <w:r>
        <w:rPr>
          <w:spacing w:val="-3"/>
          <w:w w:val="105"/>
        </w:rPr>
        <w:t xml:space="preserve"> </w:t>
      </w:r>
      <w:r>
        <w:rPr>
          <w:w w:val="105"/>
        </w:rPr>
        <w:t>while</w:t>
      </w:r>
      <w:r>
        <w:rPr>
          <w:spacing w:val="-2"/>
          <w:w w:val="105"/>
        </w:rPr>
        <w:t xml:space="preserve"> </w:t>
      </w:r>
      <w:r>
        <w:rPr>
          <w:w w:val="105"/>
        </w:rPr>
        <w:t>d</w:t>
      </w:r>
      <w:r>
        <w:rPr>
          <w:w w:val="105"/>
        </w:rPr>
        <w:t>emonstrating</w:t>
      </w:r>
      <w:r>
        <w:rPr>
          <w:spacing w:val="-7"/>
          <w:w w:val="105"/>
        </w:rPr>
        <w:t xml:space="preserve"> </w:t>
      </w:r>
      <w:r>
        <w:rPr>
          <w:w w:val="105"/>
        </w:rPr>
        <w:t>a</w:t>
      </w:r>
      <w:r>
        <w:rPr>
          <w:spacing w:val="-2"/>
          <w:w w:val="105"/>
        </w:rPr>
        <w:t xml:space="preserve"> </w:t>
      </w:r>
      <w:r>
        <w:rPr>
          <w:w w:val="105"/>
        </w:rPr>
        <w:t>long-term commitment and responsibility to maintaining a balance between social, economic, and environmental concerns, rather than a commitment to maximizing immediate financial gains.</w:t>
      </w:r>
      <w:r>
        <w:rPr>
          <w:spacing w:val="-5"/>
          <w:w w:val="105"/>
        </w:rPr>
        <w:t xml:space="preserve"> </w:t>
      </w:r>
      <w:r>
        <w:rPr>
          <w:w w:val="105"/>
        </w:rPr>
        <w:t>The</w:t>
      </w:r>
      <w:r>
        <w:rPr>
          <w:spacing w:val="-1"/>
          <w:w w:val="105"/>
        </w:rPr>
        <w:t xml:space="preserve"> </w:t>
      </w:r>
      <w:r>
        <w:rPr>
          <w:w w:val="105"/>
        </w:rPr>
        <w:t>definition matches</w:t>
      </w:r>
      <w:r>
        <w:rPr>
          <w:spacing w:val="-2"/>
          <w:w w:val="105"/>
        </w:rPr>
        <w:t xml:space="preserve"> </w:t>
      </w:r>
      <w:r>
        <w:rPr>
          <w:w w:val="105"/>
        </w:rPr>
        <w:t>the current study since</w:t>
      </w:r>
      <w:r>
        <w:rPr>
          <w:spacing w:val="-1"/>
          <w:w w:val="105"/>
        </w:rPr>
        <w:t xml:space="preserve"> </w:t>
      </w:r>
      <w:r>
        <w:rPr>
          <w:w w:val="105"/>
        </w:rPr>
        <w:t>it is</w:t>
      </w:r>
      <w:r>
        <w:rPr>
          <w:spacing w:val="-2"/>
          <w:w w:val="105"/>
        </w:rPr>
        <w:t xml:space="preserve"> </w:t>
      </w:r>
      <w:r>
        <w:rPr>
          <w:w w:val="105"/>
        </w:rPr>
        <w:t>art</w:t>
      </w:r>
      <w:r>
        <w:rPr>
          <w:w w:val="105"/>
        </w:rPr>
        <w:t>iculated on the premises of a small business.</w:t>
      </w:r>
    </w:p>
    <w:p w:rsidR="00487D64" w:rsidRDefault="00487D64">
      <w:pPr>
        <w:pStyle w:val="BodyText"/>
      </w:pPr>
    </w:p>
    <w:p w:rsidR="00487D64" w:rsidRDefault="00487D64">
      <w:pPr>
        <w:pStyle w:val="BodyText"/>
        <w:spacing w:before="23"/>
      </w:pPr>
    </w:p>
    <w:p w:rsidR="00487D64" w:rsidRDefault="006F0D93">
      <w:pPr>
        <w:pStyle w:val="ListParagraph"/>
        <w:numPr>
          <w:ilvl w:val="2"/>
          <w:numId w:val="16"/>
        </w:numPr>
        <w:tabs>
          <w:tab w:val="left" w:pos="2860"/>
        </w:tabs>
        <w:rPr>
          <w:b/>
          <w:sz w:val="23"/>
        </w:rPr>
      </w:pPr>
      <w:bookmarkStart w:id="39" w:name="2.2.5____Public_Procurement_(PP)"/>
      <w:bookmarkStart w:id="40" w:name="_bookmark19"/>
      <w:bookmarkEnd w:id="39"/>
      <w:bookmarkEnd w:id="40"/>
      <w:r>
        <w:rPr>
          <w:b/>
          <w:sz w:val="23"/>
        </w:rPr>
        <w:t>Public</w:t>
      </w:r>
      <w:r>
        <w:rPr>
          <w:b/>
          <w:spacing w:val="32"/>
          <w:sz w:val="23"/>
        </w:rPr>
        <w:t xml:space="preserve"> </w:t>
      </w:r>
      <w:r>
        <w:rPr>
          <w:b/>
          <w:sz w:val="23"/>
        </w:rPr>
        <w:t>Procurement</w:t>
      </w:r>
      <w:r>
        <w:rPr>
          <w:b/>
          <w:spacing w:val="30"/>
          <w:sz w:val="23"/>
        </w:rPr>
        <w:t xml:space="preserve"> </w:t>
      </w:r>
      <w:r>
        <w:rPr>
          <w:b/>
          <w:spacing w:val="-4"/>
          <w:sz w:val="23"/>
        </w:rPr>
        <w:t>(PP)</w:t>
      </w:r>
    </w:p>
    <w:p w:rsidR="00487D64" w:rsidRDefault="00487D64">
      <w:pPr>
        <w:pStyle w:val="BodyText"/>
        <w:spacing w:before="18"/>
        <w:rPr>
          <w:b/>
        </w:rPr>
      </w:pPr>
    </w:p>
    <w:p w:rsidR="00487D64" w:rsidRDefault="006F0D93">
      <w:pPr>
        <w:pStyle w:val="BodyText"/>
        <w:spacing w:line="501" w:lineRule="auto"/>
        <w:ind w:left="1419" w:right="853"/>
        <w:jc w:val="both"/>
      </w:pPr>
      <w:r>
        <w:rPr>
          <w:w w:val="105"/>
        </w:rPr>
        <w:t>PP</w:t>
      </w:r>
      <w:r>
        <w:rPr>
          <w:spacing w:val="-4"/>
          <w:w w:val="105"/>
        </w:rPr>
        <w:t xml:space="preserve"> </w:t>
      </w:r>
      <w:r>
        <w:rPr>
          <w:w w:val="105"/>
        </w:rPr>
        <w:t>is</w:t>
      </w:r>
      <w:r>
        <w:rPr>
          <w:spacing w:val="-8"/>
          <w:w w:val="105"/>
        </w:rPr>
        <w:t xml:space="preserve"> </w:t>
      </w:r>
      <w:r>
        <w:rPr>
          <w:w w:val="105"/>
        </w:rPr>
        <w:t>defined</w:t>
      </w:r>
      <w:r>
        <w:rPr>
          <w:spacing w:val="-12"/>
          <w:w w:val="105"/>
        </w:rPr>
        <w:t xml:space="preserve"> </w:t>
      </w:r>
      <w:r>
        <w:rPr>
          <w:w w:val="105"/>
        </w:rPr>
        <w:t>as</w:t>
      </w:r>
      <w:r>
        <w:rPr>
          <w:spacing w:val="-4"/>
          <w:w w:val="105"/>
        </w:rPr>
        <w:t xml:space="preserve"> </w:t>
      </w:r>
      <w:r>
        <w:rPr>
          <w:w w:val="105"/>
        </w:rPr>
        <w:t>the</w:t>
      </w:r>
      <w:r>
        <w:rPr>
          <w:spacing w:val="-6"/>
          <w:w w:val="105"/>
        </w:rPr>
        <w:t xml:space="preserve"> </w:t>
      </w:r>
      <w:r>
        <w:rPr>
          <w:w w:val="105"/>
        </w:rPr>
        <w:t>acquisition of</w:t>
      </w:r>
      <w:r>
        <w:rPr>
          <w:spacing w:val="-8"/>
          <w:w w:val="105"/>
        </w:rPr>
        <w:t xml:space="preserve"> </w:t>
      </w:r>
      <w:r>
        <w:rPr>
          <w:w w:val="105"/>
        </w:rPr>
        <w:t>goods</w:t>
      </w:r>
      <w:r>
        <w:rPr>
          <w:spacing w:val="-8"/>
          <w:w w:val="105"/>
        </w:rPr>
        <w:t xml:space="preserve"> </w:t>
      </w:r>
      <w:r>
        <w:rPr>
          <w:w w:val="105"/>
        </w:rPr>
        <w:t>and services</w:t>
      </w:r>
      <w:r>
        <w:rPr>
          <w:spacing w:val="-8"/>
          <w:w w:val="105"/>
        </w:rPr>
        <w:t xml:space="preserve"> </w:t>
      </w:r>
      <w:r>
        <w:rPr>
          <w:w w:val="105"/>
        </w:rPr>
        <w:t>by</w:t>
      </w:r>
      <w:r>
        <w:rPr>
          <w:spacing w:val="-5"/>
          <w:w w:val="105"/>
        </w:rPr>
        <w:t xml:space="preserve"> </w:t>
      </w:r>
      <w:r>
        <w:rPr>
          <w:w w:val="105"/>
        </w:rPr>
        <w:t>government</w:t>
      </w:r>
      <w:r>
        <w:rPr>
          <w:spacing w:val="-4"/>
          <w:w w:val="105"/>
        </w:rPr>
        <w:t xml:space="preserve"> </w:t>
      </w:r>
      <w:r>
        <w:rPr>
          <w:w w:val="105"/>
        </w:rPr>
        <w:t>or public sector organizations and is considered to be one of the main economic transactions of a government,</w:t>
      </w:r>
      <w:r>
        <w:rPr>
          <w:spacing w:val="-5"/>
          <w:w w:val="105"/>
        </w:rPr>
        <w:t xml:space="preserve"> </w:t>
      </w:r>
      <w:r>
        <w:rPr>
          <w:w w:val="105"/>
        </w:rPr>
        <w:t>where</w:t>
      </w:r>
      <w:r>
        <w:rPr>
          <w:spacing w:val="-7"/>
          <w:w w:val="105"/>
        </w:rPr>
        <w:t xml:space="preserve"> </w:t>
      </w:r>
      <w:r>
        <w:rPr>
          <w:w w:val="105"/>
        </w:rPr>
        <w:t>governmental</w:t>
      </w:r>
      <w:r>
        <w:rPr>
          <w:spacing w:val="-5"/>
          <w:w w:val="105"/>
        </w:rPr>
        <w:t xml:space="preserve"> </w:t>
      </w:r>
      <w:r>
        <w:rPr>
          <w:w w:val="105"/>
        </w:rPr>
        <w:t>bodies</w:t>
      </w:r>
      <w:r>
        <w:rPr>
          <w:spacing w:val="-9"/>
          <w:w w:val="105"/>
        </w:rPr>
        <w:t xml:space="preserve"> </w:t>
      </w:r>
      <w:r>
        <w:rPr>
          <w:w w:val="105"/>
        </w:rPr>
        <w:t>acquire</w:t>
      </w:r>
      <w:r>
        <w:rPr>
          <w:spacing w:val="-1"/>
          <w:w w:val="105"/>
        </w:rPr>
        <w:t xml:space="preserve"> </w:t>
      </w:r>
      <w:r>
        <w:rPr>
          <w:w w:val="105"/>
        </w:rPr>
        <w:t>goods</w:t>
      </w:r>
      <w:r>
        <w:rPr>
          <w:spacing w:val="-15"/>
          <w:w w:val="105"/>
        </w:rPr>
        <w:t xml:space="preserve"> </w:t>
      </w:r>
      <w:r>
        <w:rPr>
          <w:w w:val="105"/>
        </w:rPr>
        <w:t>and services</w:t>
      </w:r>
      <w:r>
        <w:rPr>
          <w:spacing w:val="-15"/>
          <w:w w:val="105"/>
        </w:rPr>
        <w:t xml:space="preserve"> </w:t>
      </w:r>
      <w:r>
        <w:rPr>
          <w:w w:val="105"/>
        </w:rPr>
        <w:t>through</w:t>
      </w:r>
      <w:r>
        <w:rPr>
          <w:spacing w:val="-13"/>
          <w:w w:val="105"/>
        </w:rPr>
        <w:t xml:space="preserve"> </w:t>
      </w:r>
      <w:r>
        <w:rPr>
          <w:w w:val="105"/>
        </w:rPr>
        <w:t>a public contract (Uyarra, Edler, and Estevez, 2014). Public procurement is defined as a process of acquiring goods, services and works by the public sector for the welfare and</w:t>
      </w:r>
      <w:r>
        <w:rPr>
          <w:spacing w:val="32"/>
          <w:w w:val="105"/>
        </w:rPr>
        <w:t xml:space="preserve"> </w:t>
      </w:r>
      <w:r>
        <w:rPr>
          <w:w w:val="105"/>
        </w:rPr>
        <w:t>interests</w:t>
      </w:r>
      <w:r>
        <w:rPr>
          <w:spacing w:val="30"/>
          <w:w w:val="105"/>
        </w:rPr>
        <w:t xml:space="preserve"> </w:t>
      </w:r>
      <w:r>
        <w:rPr>
          <w:w w:val="105"/>
        </w:rPr>
        <w:t>of</w:t>
      </w:r>
      <w:r>
        <w:rPr>
          <w:spacing w:val="22"/>
          <w:w w:val="105"/>
        </w:rPr>
        <w:t xml:space="preserve"> </w:t>
      </w:r>
      <w:r>
        <w:rPr>
          <w:w w:val="105"/>
        </w:rPr>
        <w:t>the</w:t>
      </w:r>
      <w:r>
        <w:rPr>
          <w:spacing w:val="31"/>
          <w:w w:val="105"/>
        </w:rPr>
        <w:t xml:space="preserve"> </w:t>
      </w:r>
      <w:r>
        <w:rPr>
          <w:w w:val="105"/>
        </w:rPr>
        <w:t>p</w:t>
      </w:r>
      <w:r>
        <w:rPr>
          <w:w w:val="105"/>
        </w:rPr>
        <w:t>ublic,</w:t>
      </w:r>
      <w:r>
        <w:rPr>
          <w:spacing w:val="27"/>
          <w:w w:val="105"/>
        </w:rPr>
        <w:t xml:space="preserve"> </w:t>
      </w:r>
      <w:r>
        <w:rPr>
          <w:w w:val="105"/>
        </w:rPr>
        <w:t>the</w:t>
      </w:r>
      <w:r>
        <w:rPr>
          <w:spacing w:val="31"/>
          <w:w w:val="105"/>
        </w:rPr>
        <w:t xml:space="preserve"> </w:t>
      </w:r>
      <w:r>
        <w:rPr>
          <w:w w:val="105"/>
        </w:rPr>
        <w:t>process</w:t>
      </w:r>
      <w:r>
        <w:rPr>
          <w:spacing w:val="30"/>
          <w:w w:val="105"/>
        </w:rPr>
        <w:t xml:space="preserve"> </w:t>
      </w:r>
      <w:r>
        <w:rPr>
          <w:w w:val="105"/>
        </w:rPr>
        <w:t>encompasses</w:t>
      </w:r>
      <w:r>
        <w:rPr>
          <w:spacing w:val="23"/>
          <w:w w:val="105"/>
        </w:rPr>
        <w:t xml:space="preserve"> </w:t>
      </w:r>
      <w:r>
        <w:rPr>
          <w:w w:val="105"/>
        </w:rPr>
        <w:t>the</w:t>
      </w:r>
      <w:r>
        <w:rPr>
          <w:spacing w:val="31"/>
          <w:w w:val="105"/>
        </w:rPr>
        <w:t xml:space="preserve"> </w:t>
      </w:r>
      <w:r>
        <w:rPr>
          <w:w w:val="105"/>
        </w:rPr>
        <w:t>purchase</w:t>
      </w:r>
      <w:r>
        <w:rPr>
          <w:spacing w:val="31"/>
          <w:w w:val="105"/>
        </w:rPr>
        <w:t xml:space="preserve"> </w:t>
      </w:r>
      <w:r>
        <w:rPr>
          <w:w w:val="105"/>
        </w:rPr>
        <w:t>of</w:t>
      </w:r>
      <w:r>
        <w:rPr>
          <w:spacing w:val="29"/>
          <w:w w:val="105"/>
        </w:rPr>
        <w:t xml:space="preserve"> </w:t>
      </w:r>
      <w:r>
        <w:rPr>
          <w:w w:val="105"/>
        </w:rPr>
        <w:t>office</w:t>
      </w:r>
      <w:r>
        <w:rPr>
          <w:spacing w:val="31"/>
          <w:w w:val="105"/>
        </w:rPr>
        <w:t xml:space="preserve"> </w:t>
      </w:r>
      <w:r>
        <w:rPr>
          <w:w w:val="105"/>
        </w:rPr>
        <w:t>paper,</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5"/>
        <w:jc w:val="both"/>
      </w:pPr>
      <w:r>
        <w:rPr>
          <w:w w:val="105"/>
        </w:rPr>
        <w:t>contracting</w:t>
      </w:r>
      <w:r>
        <w:rPr>
          <w:spacing w:val="-7"/>
          <w:w w:val="105"/>
        </w:rPr>
        <w:t xml:space="preserve"> </w:t>
      </w:r>
      <w:r>
        <w:rPr>
          <w:w w:val="105"/>
        </w:rPr>
        <w:t>for</w:t>
      </w:r>
      <w:r>
        <w:rPr>
          <w:spacing w:val="-3"/>
          <w:w w:val="105"/>
        </w:rPr>
        <w:t xml:space="preserve"> </w:t>
      </w:r>
      <w:r>
        <w:rPr>
          <w:w w:val="105"/>
        </w:rPr>
        <w:t>the</w:t>
      </w:r>
      <w:r>
        <w:rPr>
          <w:spacing w:val="-14"/>
          <w:w w:val="105"/>
        </w:rPr>
        <w:t xml:space="preserve"> </w:t>
      </w:r>
      <w:r>
        <w:rPr>
          <w:w w:val="105"/>
        </w:rPr>
        <w:t>regular</w:t>
      </w:r>
      <w:r>
        <w:rPr>
          <w:spacing w:val="-3"/>
          <w:w w:val="105"/>
        </w:rPr>
        <w:t xml:space="preserve"> </w:t>
      </w:r>
      <w:r>
        <w:rPr>
          <w:w w:val="105"/>
        </w:rPr>
        <w:t>maintenance</w:t>
      </w:r>
      <w:r>
        <w:rPr>
          <w:spacing w:val="-1"/>
          <w:w w:val="105"/>
        </w:rPr>
        <w:t xml:space="preserve"> </w:t>
      </w:r>
      <w:r>
        <w:rPr>
          <w:w w:val="105"/>
        </w:rPr>
        <w:t>of</w:t>
      </w:r>
      <w:r>
        <w:rPr>
          <w:spacing w:val="-16"/>
          <w:w w:val="105"/>
        </w:rPr>
        <w:t xml:space="preserve"> </w:t>
      </w:r>
      <w:r>
        <w:rPr>
          <w:w w:val="105"/>
        </w:rPr>
        <w:t>roads,</w:t>
      </w:r>
      <w:r>
        <w:rPr>
          <w:spacing w:val="-4"/>
          <w:w w:val="105"/>
        </w:rPr>
        <w:t xml:space="preserve"> </w:t>
      </w:r>
      <w:r>
        <w:rPr>
          <w:w w:val="105"/>
        </w:rPr>
        <w:t>construction</w:t>
      </w:r>
      <w:r>
        <w:rPr>
          <w:spacing w:val="-7"/>
          <w:w w:val="105"/>
        </w:rPr>
        <w:t xml:space="preserve"> </w:t>
      </w:r>
      <w:r>
        <w:rPr>
          <w:w w:val="105"/>
        </w:rPr>
        <w:t>of</w:t>
      </w:r>
      <w:r>
        <w:rPr>
          <w:spacing w:val="-3"/>
          <w:w w:val="105"/>
        </w:rPr>
        <w:t xml:space="preserve"> </w:t>
      </w:r>
      <w:r>
        <w:rPr>
          <w:w w:val="105"/>
        </w:rPr>
        <w:t>schools,</w:t>
      </w:r>
      <w:r>
        <w:rPr>
          <w:spacing w:val="-5"/>
          <w:w w:val="105"/>
        </w:rPr>
        <w:t xml:space="preserve"> </w:t>
      </w:r>
      <w:r>
        <w:rPr>
          <w:w w:val="105"/>
        </w:rPr>
        <w:t>purchase</w:t>
      </w:r>
      <w:r>
        <w:rPr>
          <w:spacing w:val="-7"/>
          <w:w w:val="105"/>
        </w:rPr>
        <w:t xml:space="preserve"> </w:t>
      </w:r>
      <w:r>
        <w:rPr>
          <w:w w:val="105"/>
        </w:rPr>
        <w:t>of hospital supplies, renewal of the fleet of city buses or secure computer services</w:t>
      </w:r>
      <w:r>
        <w:rPr>
          <w:w w:val="105"/>
        </w:rPr>
        <w:t xml:space="preserve"> in public buildings (Komakech, 2016). The European Union defines public procurement as the process by which public authorities, such as government departments or local authorities, purchase work, goods, or services from companies (EUROPA,</w:t>
      </w:r>
      <w:r>
        <w:rPr>
          <w:spacing w:val="-2"/>
          <w:w w:val="105"/>
        </w:rPr>
        <w:t xml:space="preserve"> </w:t>
      </w:r>
      <w:r>
        <w:rPr>
          <w:w w:val="105"/>
        </w:rPr>
        <w:t>2020).</w:t>
      </w:r>
      <w:r>
        <w:rPr>
          <w:spacing w:val="-2"/>
          <w:w w:val="105"/>
        </w:rPr>
        <w:t xml:space="preserve"> </w:t>
      </w:r>
      <w:r>
        <w:rPr>
          <w:w w:val="105"/>
        </w:rPr>
        <w:t>This stud</w:t>
      </w:r>
      <w:r>
        <w:rPr>
          <w:w w:val="105"/>
        </w:rPr>
        <w:t>y</w:t>
      </w:r>
      <w:r>
        <w:rPr>
          <w:spacing w:val="-4"/>
          <w:w w:val="105"/>
        </w:rPr>
        <w:t xml:space="preserve"> </w:t>
      </w:r>
      <w:r>
        <w:rPr>
          <w:w w:val="105"/>
        </w:rPr>
        <w:t>adopted</w:t>
      </w:r>
      <w:r>
        <w:rPr>
          <w:spacing w:val="-4"/>
          <w:w w:val="105"/>
        </w:rPr>
        <w:t xml:space="preserve"> </w:t>
      </w:r>
      <w:r>
        <w:rPr>
          <w:w w:val="105"/>
        </w:rPr>
        <w:t>this definition since it seems</w:t>
      </w:r>
      <w:r>
        <w:rPr>
          <w:spacing w:val="-6"/>
          <w:w w:val="105"/>
        </w:rPr>
        <w:t xml:space="preserve"> </w:t>
      </w:r>
      <w:r>
        <w:rPr>
          <w:w w:val="105"/>
        </w:rPr>
        <w:t>to be current</w:t>
      </w:r>
      <w:r>
        <w:rPr>
          <w:spacing w:val="-2"/>
          <w:w w:val="105"/>
        </w:rPr>
        <w:t xml:space="preserve"> </w:t>
      </w:r>
      <w:r>
        <w:rPr>
          <w:w w:val="105"/>
        </w:rPr>
        <w:t>and focuses on</w:t>
      </w:r>
      <w:r>
        <w:rPr>
          <w:spacing w:val="-3"/>
          <w:w w:val="105"/>
        </w:rPr>
        <w:t xml:space="preserve"> </w:t>
      </w:r>
      <w:r>
        <w:rPr>
          <w:w w:val="105"/>
        </w:rPr>
        <w:t>the public sector buying goods</w:t>
      </w:r>
      <w:r>
        <w:rPr>
          <w:spacing w:val="-5"/>
          <w:w w:val="105"/>
        </w:rPr>
        <w:t xml:space="preserve"> </w:t>
      </w:r>
      <w:r>
        <w:rPr>
          <w:w w:val="105"/>
        </w:rPr>
        <w:t>and services from the private sector.</w:t>
      </w:r>
    </w:p>
    <w:p w:rsidR="00487D64" w:rsidRDefault="00487D64">
      <w:pPr>
        <w:pStyle w:val="BodyText"/>
      </w:pPr>
    </w:p>
    <w:p w:rsidR="00487D64" w:rsidRDefault="00487D64">
      <w:pPr>
        <w:pStyle w:val="BodyText"/>
        <w:spacing w:before="25"/>
      </w:pPr>
    </w:p>
    <w:p w:rsidR="00487D64" w:rsidRDefault="006F0D93">
      <w:pPr>
        <w:pStyle w:val="ListParagraph"/>
        <w:numPr>
          <w:ilvl w:val="2"/>
          <w:numId w:val="16"/>
        </w:numPr>
        <w:tabs>
          <w:tab w:val="left" w:pos="2860"/>
        </w:tabs>
        <w:rPr>
          <w:b/>
          <w:sz w:val="23"/>
        </w:rPr>
      </w:pPr>
      <w:bookmarkStart w:id="41" w:name="2.2.6____Strategic_Flexibility"/>
      <w:bookmarkStart w:id="42" w:name="_bookmark20"/>
      <w:bookmarkEnd w:id="41"/>
      <w:bookmarkEnd w:id="42"/>
      <w:r>
        <w:rPr>
          <w:b/>
          <w:sz w:val="23"/>
        </w:rPr>
        <w:t>Strategic</w:t>
      </w:r>
      <w:r>
        <w:rPr>
          <w:b/>
          <w:spacing w:val="26"/>
          <w:sz w:val="23"/>
        </w:rPr>
        <w:t xml:space="preserve"> </w:t>
      </w:r>
      <w:r>
        <w:rPr>
          <w:b/>
          <w:spacing w:val="-2"/>
          <w:sz w:val="23"/>
        </w:rPr>
        <w:t>Flexibility</w:t>
      </w:r>
    </w:p>
    <w:p w:rsidR="00487D64" w:rsidRDefault="00487D64">
      <w:pPr>
        <w:pStyle w:val="BodyText"/>
        <w:spacing w:before="18"/>
        <w:rPr>
          <w:b/>
        </w:rPr>
      </w:pPr>
    </w:p>
    <w:p w:rsidR="00487D64" w:rsidRDefault="006F0D93">
      <w:pPr>
        <w:pStyle w:val="BodyText"/>
        <w:spacing w:before="1" w:line="501" w:lineRule="auto"/>
        <w:ind w:left="1419" w:right="857"/>
        <w:jc w:val="both"/>
      </w:pPr>
      <w:r>
        <w:rPr>
          <w:w w:val="105"/>
        </w:rPr>
        <w:t>Strategic flexibility is defined as the ability to handle change (Zhou and Wu 2010), has eme</w:t>
      </w:r>
      <w:r>
        <w:rPr>
          <w:w w:val="105"/>
        </w:rPr>
        <w:t>rged as a crucial organizational requirement for actors to thrive in such environments (Morgan et al., 2020) defined SF as an organizations capability to identify major changes in the external environment to quickly commit resources to new courses of</w:t>
      </w:r>
      <w:r>
        <w:rPr>
          <w:spacing w:val="-8"/>
          <w:w w:val="105"/>
        </w:rPr>
        <w:t xml:space="preserve"> </w:t>
      </w:r>
      <w:r>
        <w:rPr>
          <w:w w:val="105"/>
        </w:rPr>
        <w:t>actio</w:t>
      </w:r>
      <w:r>
        <w:rPr>
          <w:w w:val="105"/>
        </w:rPr>
        <w:t>n in response to change</w:t>
      </w:r>
      <w:r>
        <w:rPr>
          <w:spacing w:val="-6"/>
          <w:w w:val="105"/>
        </w:rPr>
        <w:t xml:space="preserve"> </w:t>
      </w:r>
      <w:r>
        <w:rPr>
          <w:w w:val="105"/>
        </w:rPr>
        <w:t>and to</w:t>
      </w:r>
      <w:r>
        <w:rPr>
          <w:spacing w:val="-5"/>
          <w:w w:val="105"/>
        </w:rPr>
        <w:t xml:space="preserve"> </w:t>
      </w:r>
      <w:r>
        <w:rPr>
          <w:w w:val="105"/>
        </w:rPr>
        <w:t>recognize</w:t>
      </w:r>
      <w:r>
        <w:rPr>
          <w:spacing w:val="-6"/>
          <w:w w:val="105"/>
        </w:rPr>
        <w:t xml:space="preserve"> </w:t>
      </w:r>
      <w:r>
        <w:rPr>
          <w:w w:val="105"/>
        </w:rPr>
        <w:t>and</w:t>
      </w:r>
      <w:r>
        <w:rPr>
          <w:spacing w:val="-5"/>
          <w:w w:val="105"/>
        </w:rPr>
        <w:t xml:space="preserve"> </w:t>
      </w:r>
      <w:r>
        <w:rPr>
          <w:w w:val="105"/>
        </w:rPr>
        <w:t>act promptly when it is time to halt or reverse such resource commitments.</w:t>
      </w:r>
    </w:p>
    <w:p w:rsidR="00487D64" w:rsidRDefault="006F0D93">
      <w:pPr>
        <w:pStyle w:val="BodyText"/>
        <w:spacing w:before="234" w:line="501" w:lineRule="auto"/>
        <w:ind w:left="1419" w:right="847"/>
        <w:jc w:val="both"/>
      </w:pPr>
      <w:r>
        <w:rPr>
          <w:w w:val="105"/>
        </w:rPr>
        <w:t>Awais et al. (2023) defined SF as the ability of the organization to adapt to substantial, uncertain, and fast-occurring (relative to th</w:t>
      </w:r>
      <w:r>
        <w:rPr>
          <w:w w:val="105"/>
        </w:rPr>
        <w:t>e required reaction time) environmental changes that have a meaningful impact on the organizations performance. This study adopted the definition by Awais et al. (2023) as it is the current definition that suits the discussion since it applied the three di</w:t>
      </w:r>
      <w:r>
        <w:rPr>
          <w:w w:val="105"/>
        </w:rPr>
        <w:t>mensions (l.e, Planning flexibility, resource flexibility, and coordination flexibility) that have been used in the study.</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1"/>
          <w:numId w:val="16"/>
        </w:numPr>
        <w:tabs>
          <w:tab w:val="left" w:pos="2860"/>
        </w:tabs>
        <w:spacing w:before="1"/>
        <w:rPr>
          <w:b/>
          <w:sz w:val="23"/>
        </w:rPr>
      </w:pPr>
      <w:bookmarkStart w:id="43" w:name="2.3____Theoretical_Literature_Review"/>
      <w:bookmarkStart w:id="44" w:name="_bookmark21"/>
      <w:bookmarkEnd w:id="43"/>
      <w:bookmarkEnd w:id="44"/>
      <w:r>
        <w:rPr>
          <w:b/>
          <w:sz w:val="23"/>
        </w:rPr>
        <w:t>Theoretical</w:t>
      </w:r>
      <w:r>
        <w:rPr>
          <w:b/>
          <w:spacing w:val="34"/>
          <w:sz w:val="23"/>
        </w:rPr>
        <w:t xml:space="preserve"> </w:t>
      </w:r>
      <w:r>
        <w:rPr>
          <w:b/>
          <w:sz w:val="23"/>
        </w:rPr>
        <w:t>Literature</w:t>
      </w:r>
      <w:r>
        <w:rPr>
          <w:b/>
          <w:spacing w:val="42"/>
          <w:sz w:val="23"/>
        </w:rPr>
        <w:t xml:space="preserve"> </w:t>
      </w:r>
      <w:r>
        <w:rPr>
          <w:b/>
          <w:spacing w:val="-2"/>
          <w:sz w:val="23"/>
        </w:rPr>
        <w:t>Review</w:t>
      </w:r>
    </w:p>
    <w:p w:rsidR="00487D64" w:rsidRDefault="00487D64">
      <w:pPr>
        <w:pStyle w:val="BodyText"/>
        <w:spacing w:before="25"/>
        <w:rPr>
          <w:b/>
        </w:rPr>
      </w:pPr>
    </w:p>
    <w:p w:rsidR="00487D64" w:rsidRDefault="006F0D93">
      <w:pPr>
        <w:pStyle w:val="ListParagraph"/>
        <w:numPr>
          <w:ilvl w:val="2"/>
          <w:numId w:val="16"/>
        </w:numPr>
        <w:tabs>
          <w:tab w:val="left" w:pos="2860"/>
        </w:tabs>
        <w:spacing w:before="1"/>
        <w:rPr>
          <w:b/>
          <w:sz w:val="23"/>
        </w:rPr>
      </w:pPr>
      <w:bookmarkStart w:id="45" w:name="2.3.1____Market_Orientation_Theory_(MOT)"/>
      <w:bookmarkStart w:id="46" w:name="_bookmark22"/>
      <w:bookmarkEnd w:id="45"/>
      <w:bookmarkEnd w:id="46"/>
      <w:r>
        <w:rPr>
          <w:b/>
          <w:w w:val="105"/>
          <w:sz w:val="23"/>
        </w:rPr>
        <w:t>Market</w:t>
      </w:r>
      <w:r>
        <w:rPr>
          <w:b/>
          <w:spacing w:val="-13"/>
          <w:w w:val="105"/>
          <w:sz w:val="23"/>
        </w:rPr>
        <w:t xml:space="preserve"> </w:t>
      </w:r>
      <w:r>
        <w:rPr>
          <w:b/>
          <w:w w:val="105"/>
          <w:sz w:val="23"/>
        </w:rPr>
        <w:t>Orientation</w:t>
      </w:r>
      <w:r>
        <w:rPr>
          <w:b/>
          <w:spacing w:val="-12"/>
          <w:w w:val="105"/>
          <w:sz w:val="23"/>
        </w:rPr>
        <w:t xml:space="preserve"> </w:t>
      </w:r>
      <w:r>
        <w:rPr>
          <w:b/>
          <w:w w:val="105"/>
          <w:sz w:val="23"/>
        </w:rPr>
        <w:t>Theory</w:t>
      </w:r>
      <w:r>
        <w:rPr>
          <w:b/>
          <w:spacing w:val="-14"/>
          <w:w w:val="105"/>
          <w:sz w:val="23"/>
        </w:rPr>
        <w:t xml:space="preserve"> </w:t>
      </w:r>
      <w:r>
        <w:rPr>
          <w:b/>
          <w:spacing w:val="-2"/>
          <w:w w:val="105"/>
          <w:sz w:val="23"/>
        </w:rPr>
        <w:t>(MOT)</w:t>
      </w:r>
    </w:p>
    <w:p w:rsidR="00487D64" w:rsidRDefault="00487D64">
      <w:pPr>
        <w:pStyle w:val="BodyText"/>
        <w:spacing w:before="10"/>
        <w:rPr>
          <w:b/>
        </w:rPr>
      </w:pPr>
    </w:p>
    <w:p w:rsidR="00487D64" w:rsidRDefault="006F0D93">
      <w:pPr>
        <w:pStyle w:val="BodyText"/>
        <w:spacing w:before="1" w:line="501" w:lineRule="auto"/>
        <w:ind w:left="1419" w:right="849"/>
        <w:jc w:val="both"/>
      </w:pPr>
      <w:r>
        <w:rPr>
          <w:w w:val="105"/>
        </w:rPr>
        <w:t>Market Orientation Theory (MOT), advanced by</w:t>
      </w:r>
      <w:r>
        <w:rPr>
          <w:w w:val="105"/>
        </w:rPr>
        <w:t xml:space="preserve"> Narver and Slater (1990), underscores</w:t>
      </w:r>
      <w:r>
        <w:rPr>
          <w:spacing w:val="-11"/>
          <w:w w:val="105"/>
        </w:rPr>
        <w:t xml:space="preserve"> </w:t>
      </w:r>
      <w:r>
        <w:rPr>
          <w:w w:val="105"/>
        </w:rPr>
        <w:t>the</w:t>
      </w:r>
      <w:r>
        <w:rPr>
          <w:spacing w:val="-8"/>
          <w:w w:val="105"/>
        </w:rPr>
        <w:t xml:space="preserve"> </w:t>
      </w:r>
      <w:r>
        <w:rPr>
          <w:w w:val="105"/>
        </w:rPr>
        <w:t>importance</w:t>
      </w:r>
      <w:r>
        <w:rPr>
          <w:spacing w:val="-8"/>
          <w:w w:val="105"/>
        </w:rPr>
        <w:t xml:space="preserve"> </w:t>
      </w:r>
      <w:r>
        <w:rPr>
          <w:w w:val="105"/>
        </w:rPr>
        <w:t>of</w:t>
      </w:r>
      <w:r>
        <w:rPr>
          <w:spacing w:val="-16"/>
          <w:w w:val="105"/>
        </w:rPr>
        <w:t xml:space="preserve"> </w:t>
      </w:r>
      <w:r>
        <w:rPr>
          <w:w w:val="105"/>
        </w:rPr>
        <w:t>aligning</w:t>
      </w:r>
      <w:r>
        <w:rPr>
          <w:spacing w:val="-6"/>
          <w:w w:val="105"/>
        </w:rPr>
        <w:t xml:space="preserve"> </w:t>
      </w:r>
      <w:r>
        <w:rPr>
          <w:w w:val="105"/>
        </w:rPr>
        <w:t>organizational</w:t>
      </w:r>
      <w:r>
        <w:rPr>
          <w:spacing w:val="-5"/>
          <w:w w:val="105"/>
        </w:rPr>
        <w:t xml:space="preserve"> </w:t>
      </w:r>
      <w:r>
        <w:rPr>
          <w:w w:val="105"/>
        </w:rPr>
        <w:t>strategies</w:t>
      </w:r>
      <w:r>
        <w:rPr>
          <w:spacing w:val="-3"/>
          <w:w w:val="105"/>
        </w:rPr>
        <w:t xml:space="preserve"> </w:t>
      </w:r>
      <w:r>
        <w:rPr>
          <w:w w:val="105"/>
        </w:rPr>
        <w:t>with</w:t>
      </w:r>
      <w:r>
        <w:rPr>
          <w:spacing w:val="-7"/>
          <w:w w:val="105"/>
        </w:rPr>
        <w:t xml:space="preserve"> </w:t>
      </w:r>
      <w:r>
        <w:rPr>
          <w:w w:val="105"/>
        </w:rPr>
        <w:t>market</w:t>
      </w:r>
      <w:r>
        <w:rPr>
          <w:spacing w:val="-5"/>
          <w:w w:val="105"/>
        </w:rPr>
        <w:t xml:space="preserve"> </w:t>
      </w:r>
      <w:r>
        <w:rPr>
          <w:w w:val="105"/>
        </w:rPr>
        <w:t>needs</w:t>
      </w:r>
      <w:r>
        <w:rPr>
          <w:spacing w:val="-10"/>
          <w:w w:val="105"/>
        </w:rPr>
        <w:t xml:space="preserve"> </w:t>
      </w:r>
      <w:r>
        <w:rPr>
          <w:w w:val="105"/>
        </w:rPr>
        <w:t>to achieve</w:t>
      </w:r>
      <w:r>
        <w:rPr>
          <w:spacing w:val="-6"/>
          <w:w w:val="105"/>
        </w:rPr>
        <w:t xml:space="preserve"> </w:t>
      </w:r>
      <w:r>
        <w:rPr>
          <w:w w:val="105"/>
        </w:rPr>
        <w:t>superior</w:t>
      </w:r>
      <w:r>
        <w:rPr>
          <w:spacing w:val="-1"/>
          <w:w w:val="105"/>
        </w:rPr>
        <w:t xml:space="preserve"> </w:t>
      </w:r>
      <w:r>
        <w:rPr>
          <w:w w:val="105"/>
        </w:rPr>
        <w:t>performance.</w:t>
      </w:r>
      <w:r>
        <w:rPr>
          <w:spacing w:val="-3"/>
          <w:w w:val="105"/>
        </w:rPr>
        <w:t xml:space="preserve"> </w:t>
      </w:r>
      <w:r>
        <w:rPr>
          <w:w w:val="105"/>
        </w:rPr>
        <w:t>It</w:t>
      </w:r>
      <w:r>
        <w:rPr>
          <w:spacing w:val="-3"/>
          <w:w w:val="105"/>
        </w:rPr>
        <w:t xml:space="preserve"> </w:t>
      </w:r>
      <w:r>
        <w:rPr>
          <w:w w:val="105"/>
        </w:rPr>
        <w:t>emphasizes</w:t>
      </w:r>
      <w:r>
        <w:rPr>
          <w:spacing w:val="-6"/>
          <w:w w:val="105"/>
        </w:rPr>
        <w:t xml:space="preserve"> </w:t>
      </w:r>
      <w:r>
        <w:rPr>
          <w:w w:val="105"/>
        </w:rPr>
        <w:t>three</w:t>
      </w:r>
      <w:r>
        <w:rPr>
          <w:spacing w:val="-6"/>
          <w:w w:val="105"/>
        </w:rPr>
        <w:t xml:space="preserve"> </w:t>
      </w:r>
      <w:r>
        <w:rPr>
          <w:w w:val="105"/>
        </w:rPr>
        <w:t>dimensions: customer</w:t>
      </w:r>
      <w:r>
        <w:rPr>
          <w:spacing w:val="-1"/>
          <w:w w:val="105"/>
        </w:rPr>
        <w:t xml:space="preserve"> </w:t>
      </w:r>
      <w:r>
        <w:rPr>
          <w:w w:val="105"/>
        </w:rPr>
        <w:t>orientation, which focuses on identifying and satisfying customer needs;</w:t>
      </w:r>
      <w:r>
        <w:rPr>
          <w:w w:val="105"/>
        </w:rPr>
        <w:t xml:space="preserve"> competitor orientation, which involves analyzing competitors’ actions to detect threats and opportunities; and inter-functional coordination, which ensures effective collaboration across departments to respond to market demands (Schulze et al., 2022).</w:t>
      </w:r>
    </w:p>
    <w:p w:rsidR="00487D64" w:rsidRDefault="006F0D93">
      <w:pPr>
        <w:pStyle w:val="BodyText"/>
        <w:spacing w:before="236" w:line="501" w:lineRule="auto"/>
        <w:ind w:left="1419" w:right="847"/>
        <w:jc w:val="both"/>
      </w:pPr>
      <w:r>
        <w:rPr>
          <w:w w:val="105"/>
        </w:rPr>
        <w:t>MOT</w:t>
      </w:r>
      <w:r>
        <w:rPr>
          <w:w w:val="105"/>
        </w:rPr>
        <w:t xml:space="preserve"> practical relevance as numerous studies have verified its positive impact </w:t>
      </w:r>
      <w:r>
        <w:rPr>
          <w:spacing w:val="12"/>
          <w:w w:val="105"/>
        </w:rPr>
        <w:t xml:space="preserve">on </w:t>
      </w:r>
      <w:r>
        <w:rPr>
          <w:w w:val="105"/>
        </w:rPr>
        <w:t>firm performance in a variety of contexts, including SMEs (Okello &amp; Luttah, 2022; Suri, 2019; Slater &amp; Narver, 1994). It provides managers with a transparent framework for facili</w:t>
      </w:r>
      <w:r>
        <w:rPr>
          <w:w w:val="105"/>
        </w:rPr>
        <w:t>tating the formulation of market-driven strategies and the guidance of decision-making, thereby enhancing the long-term viability of the business. However, a notable weakness is its limited consideration of how firms develop and adapt resources in response</w:t>
      </w:r>
      <w:r>
        <w:rPr>
          <w:w w:val="105"/>
        </w:rPr>
        <w:t xml:space="preserve"> to highly regulated environments and rapid market changes over extended periods.</w:t>
      </w:r>
    </w:p>
    <w:p w:rsidR="00487D64" w:rsidRDefault="006F0D93">
      <w:pPr>
        <w:pStyle w:val="BodyText"/>
        <w:spacing w:before="238" w:line="501" w:lineRule="auto"/>
        <w:ind w:left="1419" w:right="861"/>
        <w:jc w:val="both"/>
      </w:pPr>
      <w:r>
        <w:rPr>
          <w:w w:val="105"/>
        </w:rPr>
        <w:t>Over time, MOT has undergone refinements. Scholars have extended it to dynamic and digital environments, linking it to innovation, knowledge sharing, and adaptability</w:t>
      </w:r>
      <w:r>
        <w:rPr>
          <w:b/>
          <w:w w:val="105"/>
        </w:rPr>
        <w:t xml:space="preserve">, </w:t>
      </w:r>
      <w:r>
        <w:rPr>
          <w:w w:val="105"/>
        </w:rPr>
        <w:t xml:space="preserve">which </w:t>
      </w:r>
      <w:r>
        <w:rPr>
          <w:w w:val="105"/>
        </w:rPr>
        <w:t>are all critical for sustainable competitiveness (Morgan et al., 2019; Schulze et al., 2022). Such developments demonstrate that MOT has evolved beyond a static orientation to one that enables firms to continuously create superior</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49"/>
        <w:jc w:val="both"/>
      </w:pPr>
      <w:r>
        <w:rPr>
          <w:w w:val="105"/>
        </w:rPr>
        <w:t>val</w:t>
      </w:r>
      <w:r>
        <w:rPr>
          <w:w w:val="105"/>
        </w:rPr>
        <w:t>ue even under uncertainty. This makes it highly relevant in ongoing studies on competitiveness and sustainability.</w:t>
      </w:r>
    </w:p>
    <w:p w:rsidR="00487D64" w:rsidRDefault="006F0D93">
      <w:pPr>
        <w:pStyle w:val="BodyText"/>
        <w:spacing w:before="236" w:line="501" w:lineRule="auto"/>
        <w:ind w:left="1419" w:right="848"/>
        <w:jc w:val="both"/>
      </w:pPr>
      <w:r>
        <w:rPr>
          <w:w w:val="105"/>
        </w:rPr>
        <w:t>The adoption of MOT in this study is intentional. To begin with, the theory offers a solid</w:t>
      </w:r>
      <w:r>
        <w:rPr>
          <w:spacing w:val="-8"/>
          <w:w w:val="105"/>
        </w:rPr>
        <w:t xml:space="preserve"> </w:t>
      </w:r>
      <w:r>
        <w:rPr>
          <w:w w:val="105"/>
        </w:rPr>
        <w:t>foundation</w:t>
      </w:r>
      <w:r>
        <w:rPr>
          <w:spacing w:val="-8"/>
          <w:w w:val="105"/>
        </w:rPr>
        <w:t xml:space="preserve"> </w:t>
      </w:r>
      <w:r>
        <w:rPr>
          <w:w w:val="105"/>
        </w:rPr>
        <w:t>for</w:t>
      </w:r>
      <w:r>
        <w:rPr>
          <w:spacing w:val="-11"/>
          <w:w w:val="105"/>
        </w:rPr>
        <w:t xml:space="preserve"> </w:t>
      </w:r>
      <w:r>
        <w:rPr>
          <w:w w:val="105"/>
        </w:rPr>
        <w:t>analyzing</w:t>
      </w:r>
      <w:r>
        <w:rPr>
          <w:spacing w:val="-8"/>
          <w:w w:val="105"/>
        </w:rPr>
        <w:t xml:space="preserve"> </w:t>
      </w:r>
      <w:r>
        <w:rPr>
          <w:w w:val="105"/>
        </w:rPr>
        <w:t>how</w:t>
      </w:r>
      <w:r>
        <w:rPr>
          <w:spacing w:val="-4"/>
          <w:w w:val="105"/>
        </w:rPr>
        <w:t xml:space="preserve"> </w:t>
      </w:r>
      <w:r>
        <w:rPr>
          <w:w w:val="105"/>
        </w:rPr>
        <w:t>special</w:t>
      </w:r>
      <w:r>
        <w:rPr>
          <w:spacing w:val="-6"/>
          <w:w w:val="105"/>
        </w:rPr>
        <w:t xml:space="preserve"> </w:t>
      </w:r>
      <w:r>
        <w:rPr>
          <w:w w:val="105"/>
        </w:rPr>
        <w:t>group</w:t>
      </w:r>
      <w:r>
        <w:rPr>
          <w:spacing w:val="-8"/>
          <w:w w:val="105"/>
        </w:rPr>
        <w:t xml:space="preserve"> </w:t>
      </w:r>
      <w:r>
        <w:rPr>
          <w:w w:val="105"/>
        </w:rPr>
        <w:t>SMEs</w:t>
      </w:r>
      <w:r>
        <w:rPr>
          <w:spacing w:val="-11"/>
          <w:w w:val="105"/>
        </w:rPr>
        <w:t xml:space="preserve"> </w:t>
      </w:r>
      <w:r>
        <w:rPr>
          <w:w w:val="105"/>
        </w:rPr>
        <w:t>ca</w:t>
      </w:r>
      <w:r>
        <w:rPr>
          <w:w w:val="105"/>
        </w:rPr>
        <w:t>n</w:t>
      </w:r>
      <w:r>
        <w:rPr>
          <w:spacing w:val="-8"/>
          <w:w w:val="105"/>
        </w:rPr>
        <w:t xml:space="preserve"> </w:t>
      </w:r>
      <w:r>
        <w:rPr>
          <w:w w:val="105"/>
        </w:rPr>
        <w:t>meet</w:t>
      </w:r>
      <w:r>
        <w:rPr>
          <w:spacing w:val="-6"/>
          <w:w w:val="105"/>
        </w:rPr>
        <w:t xml:space="preserve"> </w:t>
      </w:r>
      <w:r>
        <w:rPr>
          <w:w w:val="105"/>
        </w:rPr>
        <w:t>public</w:t>
      </w:r>
      <w:r>
        <w:rPr>
          <w:spacing w:val="-9"/>
          <w:w w:val="105"/>
        </w:rPr>
        <w:t xml:space="preserve"> </w:t>
      </w:r>
      <w:r>
        <w:rPr>
          <w:w w:val="105"/>
        </w:rPr>
        <w:t>procurement demands by identifying customer needs, responding to competitors, and ensuring inter-functional collaboration. Such practices are essential for enhancing resilience, optimizing resources, and ensuring long-term survival, key</w:t>
      </w:r>
      <w:r>
        <w:rPr>
          <w:w w:val="105"/>
        </w:rPr>
        <w:t xml:space="preserve"> aspects of sustainable competitiveness. Furthermore, although MOT highlights the market-oriented practices that drive competitiveness, it does not fully explain how firms adapt their strategies in fast-changing procurement environments. This gap justifies</w:t>
      </w:r>
      <w:r>
        <w:rPr>
          <w:w w:val="105"/>
        </w:rPr>
        <w:t xml:space="preserve"> the incorporation</w:t>
      </w:r>
      <w:r>
        <w:rPr>
          <w:spacing w:val="-1"/>
          <w:w w:val="105"/>
        </w:rPr>
        <w:t xml:space="preserve"> </w:t>
      </w:r>
      <w:r>
        <w:rPr>
          <w:w w:val="105"/>
        </w:rPr>
        <w:t>of</w:t>
      </w:r>
      <w:r>
        <w:rPr>
          <w:spacing w:val="-4"/>
          <w:w w:val="105"/>
        </w:rPr>
        <w:t xml:space="preserve"> </w:t>
      </w:r>
      <w:r>
        <w:rPr>
          <w:w w:val="105"/>
        </w:rPr>
        <w:t>Dynamic</w:t>
      </w:r>
      <w:r>
        <w:rPr>
          <w:spacing w:val="-2"/>
          <w:w w:val="105"/>
        </w:rPr>
        <w:t xml:space="preserve"> </w:t>
      </w:r>
      <w:r>
        <w:rPr>
          <w:w w:val="105"/>
        </w:rPr>
        <w:t>Capabilities</w:t>
      </w:r>
      <w:r>
        <w:rPr>
          <w:spacing w:val="-3"/>
          <w:w w:val="105"/>
        </w:rPr>
        <w:t xml:space="preserve"> </w:t>
      </w:r>
      <w:r>
        <w:rPr>
          <w:w w:val="105"/>
        </w:rPr>
        <w:t>Theory, which extends</w:t>
      </w:r>
      <w:r>
        <w:rPr>
          <w:spacing w:val="-3"/>
          <w:w w:val="105"/>
        </w:rPr>
        <w:t xml:space="preserve"> </w:t>
      </w:r>
      <w:r>
        <w:rPr>
          <w:w w:val="105"/>
        </w:rPr>
        <w:t>MOT by emphasizing the adaptive processes that enable SMEs to maintain competitive advantage in dynamic contexts.</w:t>
      </w:r>
    </w:p>
    <w:p w:rsidR="00487D64" w:rsidRDefault="006F0D93">
      <w:pPr>
        <w:pStyle w:val="BodyText"/>
        <w:spacing w:before="230" w:line="501" w:lineRule="auto"/>
        <w:ind w:left="1419" w:right="855"/>
        <w:jc w:val="both"/>
      </w:pPr>
      <w:r>
        <w:rPr>
          <w:w w:val="105"/>
        </w:rPr>
        <w:t>This study contributes to Market Orientation Theory by contextualizing its ap</w:t>
      </w:r>
      <w:r>
        <w:rPr>
          <w:w w:val="105"/>
        </w:rPr>
        <w:t xml:space="preserve">plicability in regulated and inclusive procurement environments, a setting rarely explored in prior literature. It demonstrates that market orientation remains relevant not only in competitive markets but also in public procurement systems that prioritize </w:t>
      </w:r>
      <w:r>
        <w:rPr>
          <w:w w:val="105"/>
        </w:rPr>
        <w:t>inclusivity</w:t>
      </w:r>
      <w:r>
        <w:rPr>
          <w:spacing w:val="-2"/>
          <w:w w:val="105"/>
        </w:rPr>
        <w:t xml:space="preserve"> </w:t>
      </w:r>
      <w:r>
        <w:rPr>
          <w:w w:val="105"/>
        </w:rPr>
        <w:t>and compliance. By empirically testing the effects of customer, competitor, and functional coordination orientations on sustainable competitiveness among special group SMEs, the study extends MOT beyond its traditional commercial context. Moreo</w:t>
      </w:r>
      <w:r>
        <w:rPr>
          <w:w w:val="105"/>
        </w:rPr>
        <w:t>ver, it reveals that the strength of market orientation outcomes</w:t>
      </w:r>
      <w:r>
        <w:rPr>
          <w:spacing w:val="40"/>
          <w:w w:val="105"/>
        </w:rPr>
        <w:t xml:space="preserve"> </w:t>
      </w:r>
      <w:r>
        <w:rPr>
          <w:w w:val="105"/>
        </w:rPr>
        <w:t>depends</w:t>
      </w:r>
      <w:r>
        <w:rPr>
          <w:spacing w:val="40"/>
          <w:w w:val="105"/>
        </w:rPr>
        <w:t xml:space="preserve"> </w:t>
      </w:r>
      <w:r>
        <w:rPr>
          <w:w w:val="105"/>
        </w:rPr>
        <w:t>on</w:t>
      </w:r>
      <w:r>
        <w:rPr>
          <w:spacing w:val="40"/>
          <w:w w:val="105"/>
        </w:rPr>
        <w:t xml:space="preserve"> </w:t>
      </w:r>
      <w:r>
        <w:rPr>
          <w:w w:val="105"/>
        </w:rPr>
        <w:t>adaptive</w:t>
      </w:r>
      <w:r>
        <w:rPr>
          <w:spacing w:val="40"/>
          <w:w w:val="105"/>
        </w:rPr>
        <w:t xml:space="preserve"> </w:t>
      </w:r>
      <w:r>
        <w:rPr>
          <w:w w:val="105"/>
        </w:rPr>
        <w:t>capabilities,</w:t>
      </w:r>
      <w:r>
        <w:rPr>
          <w:spacing w:val="40"/>
          <w:w w:val="105"/>
        </w:rPr>
        <w:t xml:space="preserve"> </w:t>
      </w:r>
      <w:r>
        <w:rPr>
          <w:w w:val="105"/>
        </w:rPr>
        <w:t>thereby</w:t>
      </w:r>
      <w:r>
        <w:rPr>
          <w:spacing w:val="40"/>
          <w:w w:val="105"/>
        </w:rPr>
        <w:t xml:space="preserve"> </w:t>
      </w:r>
      <w:r>
        <w:rPr>
          <w:w w:val="105"/>
        </w:rPr>
        <w:t>identifying</w:t>
      </w:r>
      <w:r>
        <w:rPr>
          <w:spacing w:val="40"/>
          <w:w w:val="105"/>
        </w:rPr>
        <w:t xml:space="preserve"> </w:t>
      </w:r>
      <w:r>
        <w:rPr>
          <w:w w:val="105"/>
        </w:rPr>
        <w:t>a</w:t>
      </w:r>
      <w:r>
        <w:rPr>
          <w:spacing w:val="40"/>
          <w:w w:val="105"/>
        </w:rPr>
        <w:t xml:space="preserve"> </w:t>
      </w:r>
      <w:r>
        <w:rPr>
          <w:w w:val="105"/>
        </w:rPr>
        <w:t>theoretical</w:t>
      </w:r>
      <w:r>
        <w:rPr>
          <w:spacing w:val="40"/>
          <w:w w:val="105"/>
        </w:rPr>
        <w:t xml:space="preserve"> </w:t>
      </w:r>
      <w:r>
        <w:rPr>
          <w:w w:val="105"/>
        </w:rPr>
        <w:t>link</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4"/>
        <w:jc w:val="both"/>
      </w:pPr>
      <w:r>
        <w:rPr>
          <w:w w:val="105"/>
        </w:rPr>
        <w:t>between MOT and dynamic capabilities, an integration that refines the</w:t>
      </w:r>
      <w:r>
        <w:rPr>
          <w:w w:val="105"/>
        </w:rPr>
        <w:t xml:space="preserve"> explanatory power of MOT in resource-constrained and policy-driven environments.</w:t>
      </w:r>
    </w:p>
    <w:p w:rsidR="00487D64" w:rsidRDefault="006F0D93">
      <w:pPr>
        <w:pStyle w:val="BodyText"/>
        <w:spacing w:before="236" w:line="501" w:lineRule="auto"/>
        <w:ind w:left="1419" w:right="855"/>
        <w:jc w:val="both"/>
      </w:pPr>
      <w:r>
        <w:rPr>
          <w:w w:val="105"/>
        </w:rPr>
        <w:t>Hence, MOT</w:t>
      </w:r>
      <w:r>
        <w:rPr>
          <w:spacing w:val="-2"/>
          <w:w w:val="105"/>
        </w:rPr>
        <w:t xml:space="preserve"> </w:t>
      </w:r>
      <w:r>
        <w:rPr>
          <w:w w:val="105"/>
        </w:rPr>
        <w:t>remains</w:t>
      </w:r>
      <w:r>
        <w:rPr>
          <w:spacing w:val="-6"/>
          <w:w w:val="105"/>
        </w:rPr>
        <w:t xml:space="preserve"> </w:t>
      </w:r>
      <w:r>
        <w:rPr>
          <w:w w:val="105"/>
        </w:rPr>
        <w:t>indispensable</w:t>
      </w:r>
      <w:r>
        <w:rPr>
          <w:spacing w:val="-5"/>
          <w:w w:val="105"/>
        </w:rPr>
        <w:t xml:space="preserve"> </w:t>
      </w:r>
      <w:r>
        <w:rPr>
          <w:w w:val="105"/>
        </w:rPr>
        <w:t>for</w:t>
      </w:r>
      <w:r>
        <w:rPr>
          <w:spacing w:val="-1"/>
          <w:w w:val="105"/>
        </w:rPr>
        <w:t xml:space="preserve"> </w:t>
      </w:r>
      <w:r>
        <w:rPr>
          <w:w w:val="105"/>
        </w:rPr>
        <w:t>linking market</w:t>
      </w:r>
      <w:r>
        <w:rPr>
          <w:spacing w:val="-2"/>
          <w:w w:val="105"/>
        </w:rPr>
        <w:t xml:space="preserve"> </w:t>
      </w:r>
      <w:r>
        <w:rPr>
          <w:w w:val="105"/>
        </w:rPr>
        <w:t>responsiveness</w:t>
      </w:r>
      <w:r>
        <w:rPr>
          <w:spacing w:val="-2"/>
          <w:w w:val="105"/>
        </w:rPr>
        <w:t xml:space="preserve"> </w:t>
      </w:r>
      <w:r>
        <w:rPr>
          <w:w w:val="105"/>
        </w:rPr>
        <w:t>to</w:t>
      </w:r>
      <w:r>
        <w:rPr>
          <w:spacing w:val="-3"/>
          <w:w w:val="105"/>
        </w:rPr>
        <w:t xml:space="preserve"> </w:t>
      </w:r>
      <w:r>
        <w:rPr>
          <w:w w:val="105"/>
        </w:rPr>
        <w:t>sustainable competitiveness, particularly in public procurement, where SMEs must balance short-term perf</w:t>
      </w:r>
      <w:r>
        <w:rPr>
          <w:w w:val="105"/>
        </w:rPr>
        <w:t>ormance with long-term viability. The integration of these concepts from the perspective of MOT is central to the study's objectives.</w:t>
      </w:r>
    </w:p>
    <w:p w:rsidR="00487D64" w:rsidRDefault="00487D64">
      <w:pPr>
        <w:pStyle w:val="BodyText"/>
      </w:pPr>
    </w:p>
    <w:p w:rsidR="00487D64" w:rsidRDefault="00487D64">
      <w:pPr>
        <w:pStyle w:val="BodyText"/>
        <w:spacing w:before="26"/>
      </w:pPr>
    </w:p>
    <w:p w:rsidR="00487D64" w:rsidRDefault="006F0D93">
      <w:pPr>
        <w:pStyle w:val="ListParagraph"/>
        <w:numPr>
          <w:ilvl w:val="2"/>
          <w:numId w:val="16"/>
        </w:numPr>
        <w:tabs>
          <w:tab w:val="left" w:pos="2860"/>
        </w:tabs>
        <w:spacing w:before="1"/>
        <w:rPr>
          <w:b/>
          <w:sz w:val="23"/>
        </w:rPr>
      </w:pPr>
      <w:bookmarkStart w:id="47" w:name="2.3.2___Dynamic_Capability_Theory_(DCT)"/>
      <w:bookmarkStart w:id="48" w:name="_bookmark23"/>
      <w:bookmarkEnd w:id="47"/>
      <w:bookmarkEnd w:id="48"/>
      <w:r>
        <w:rPr>
          <w:b/>
          <w:sz w:val="23"/>
        </w:rPr>
        <w:t>Dynamic</w:t>
      </w:r>
      <w:r>
        <w:rPr>
          <w:b/>
          <w:spacing w:val="32"/>
          <w:sz w:val="23"/>
        </w:rPr>
        <w:t xml:space="preserve"> </w:t>
      </w:r>
      <w:r>
        <w:rPr>
          <w:b/>
          <w:sz w:val="23"/>
        </w:rPr>
        <w:t>Capability</w:t>
      </w:r>
      <w:r>
        <w:rPr>
          <w:b/>
          <w:spacing w:val="32"/>
          <w:sz w:val="23"/>
        </w:rPr>
        <w:t xml:space="preserve"> </w:t>
      </w:r>
      <w:r>
        <w:rPr>
          <w:b/>
          <w:sz w:val="23"/>
        </w:rPr>
        <w:t>Theory</w:t>
      </w:r>
      <w:r>
        <w:rPr>
          <w:b/>
          <w:spacing w:val="36"/>
          <w:sz w:val="23"/>
        </w:rPr>
        <w:t xml:space="preserve"> </w:t>
      </w:r>
      <w:r>
        <w:rPr>
          <w:b/>
          <w:spacing w:val="-2"/>
          <w:sz w:val="23"/>
        </w:rPr>
        <w:t>(DCT)</w:t>
      </w:r>
    </w:p>
    <w:p w:rsidR="00487D64" w:rsidRDefault="00487D64">
      <w:pPr>
        <w:pStyle w:val="BodyText"/>
        <w:spacing w:before="18"/>
        <w:rPr>
          <w:b/>
        </w:rPr>
      </w:pPr>
    </w:p>
    <w:p w:rsidR="00487D64" w:rsidRDefault="006F0D93">
      <w:pPr>
        <w:pStyle w:val="BodyText"/>
        <w:spacing w:line="501" w:lineRule="auto"/>
        <w:ind w:left="1419" w:right="842"/>
        <w:jc w:val="both"/>
      </w:pPr>
      <w:r>
        <w:rPr>
          <w:w w:val="105"/>
        </w:rPr>
        <w:t>Dynamic Capability Theory (DCT), introduced by Teece, Pisano,</w:t>
      </w:r>
      <w:r>
        <w:rPr>
          <w:spacing w:val="-4"/>
          <w:w w:val="105"/>
        </w:rPr>
        <w:t xml:space="preserve"> </w:t>
      </w:r>
      <w:r>
        <w:rPr>
          <w:w w:val="105"/>
        </w:rPr>
        <w:t>and Shuen (1997), explain</w:t>
      </w:r>
      <w:r>
        <w:rPr>
          <w:w w:val="105"/>
        </w:rPr>
        <w:t>s how firms build, integrate, and reconfigure internal and external resources to respond effectively to rapidly changing environments. At its core, the theory assumes</w:t>
      </w:r>
      <w:r>
        <w:rPr>
          <w:spacing w:val="-8"/>
          <w:w w:val="105"/>
        </w:rPr>
        <w:t xml:space="preserve"> </w:t>
      </w:r>
      <w:r>
        <w:rPr>
          <w:w w:val="105"/>
        </w:rPr>
        <w:t>that</w:t>
      </w:r>
      <w:r>
        <w:rPr>
          <w:spacing w:val="-5"/>
          <w:w w:val="105"/>
        </w:rPr>
        <w:t xml:space="preserve"> </w:t>
      </w:r>
      <w:r>
        <w:rPr>
          <w:w w:val="105"/>
        </w:rPr>
        <w:t>achieving</w:t>
      </w:r>
      <w:r>
        <w:rPr>
          <w:spacing w:val="-6"/>
          <w:w w:val="105"/>
        </w:rPr>
        <w:t xml:space="preserve"> </w:t>
      </w:r>
      <w:r>
        <w:rPr>
          <w:w w:val="105"/>
        </w:rPr>
        <w:t>and</w:t>
      </w:r>
      <w:r>
        <w:rPr>
          <w:spacing w:val="-6"/>
          <w:w w:val="105"/>
        </w:rPr>
        <w:t xml:space="preserve"> </w:t>
      </w:r>
      <w:r>
        <w:rPr>
          <w:w w:val="105"/>
        </w:rPr>
        <w:t>sustaining</w:t>
      </w:r>
      <w:r>
        <w:rPr>
          <w:spacing w:val="-6"/>
          <w:w w:val="105"/>
        </w:rPr>
        <w:t xml:space="preserve"> </w:t>
      </w:r>
      <w:r>
        <w:rPr>
          <w:w w:val="105"/>
        </w:rPr>
        <w:t>a</w:t>
      </w:r>
      <w:r>
        <w:rPr>
          <w:spacing w:val="-1"/>
          <w:w w:val="105"/>
        </w:rPr>
        <w:t xml:space="preserve"> </w:t>
      </w:r>
      <w:r>
        <w:rPr>
          <w:w w:val="105"/>
        </w:rPr>
        <w:t>competitive</w:t>
      </w:r>
      <w:r>
        <w:rPr>
          <w:spacing w:val="-7"/>
          <w:w w:val="105"/>
        </w:rPr>
        <w:t xml:space="preserve"> </w:t>
      </w:r>
      <w:r>
        <w:rPr>
          <w:w w:val="105"/>
        </w:rPr>
        <w:t>advantage</w:t>
      </w:r>
      <w:r>
        <w:rPr>
          <w:spacing w:val="-14"/>
          <w:w w:val="105"/>
        </w:rPr>
        <w:t xml:space="preserve"> </w:t>
      </w:r>
      <w:r>
        <w:rPr>
          <w:w w:val="105"/>
        </w:rPr>
        <w:t>in</w:t>
      </w:r>
      <w:r>
        <w:rPr>
          <w:spacing w:val="-6"/>
          <w:w w:val="105"/>
        </w:rPr>
        <w:t xml:space="preserve"> </w:t>
      </w:r>
      <w:r>
        <w:rPr>
          <w:w w:val="105"/>
        </w:rPr>
        <w:t>dynamic</w:t>
      </w:r>
      <w:r>
        <w:rPr>
          <w:spacing w:val="-7"/>
          <w:w w:val="105"/>
        </w:rPr>
        <w:t xml:space="preserve"> </w:t>
      </w:r>
      <w:r>
        <w:rPr>
          <w:w w:val="105"/>
        </w:rPr>
        <w:t>markets</w:t>
      </w:r>
      <w:r>
        <w:rPr>
          <w:spacing w:val="-14"/>
          <w:w w:val="105"/>
        </w:rPr>
        <w:t xml:space="preserve"> </w:t>
      </w:r>
      <w:r>
        <w:rPr>
          <w:w w:val="105"/>
        </w:rPr>
        <w:t>is not solely based on resource possession but on the firm’s ability to adapt, learn, and transform capabilities continuously (Teece et al., 1997; Teece, 2007). Dynamic capabilities enable firms to sense opportunities and threats, seize them through resour</w:t>
      </w:r>
      <w:r>
        <w:rPr>
          <w:w w:val="105"/>
        </w:rPr>
        <w:t>ce mobilization, and reconfigure assets to maintain competitiveness. These assumptions directly relate to the key constructs of this study: strategic flexibility (SF) and sustainable competitiveness (SC).</w:t>
      </w:r>
    </w:p>
    <w:p w:rsidR="00487D64" w:rsidRDefault="006F0D93">
      <w:pPr>
        <w:pStyle w:val="BodyText"/>
        <w:spacing w:before="235" w:line="499" w:lineRule="auto"/>
        <w:ind w:left="1419" w:right="846"/>
        <w:jc w:val="both"/>
      </w:pPr>
      <w:r>
        <w:rPr>
          <w:w w:val="105"/>
        </w:rPr>
        <w:t xml:space="preserve">Strategic flexibility reflects a firm's ability to </w:t>
      </w:r>
      <w:r>
        <w:rPr>
          <w:w w:val="105"/>
        </w:rPr>
        <w:t>make timely adjustments to resources and processes in response to environmental shifts (Brozovic, 2023). For Special Group SMEs in public procurement, where</w:t>
      </w:r>
      <w:r>
        <w:rPr>
          <w:spacing w:val="-1"/>
          <w:w w:val="105"/>
        </w:rPr>
        <w:t xml:space="preserve"> </w:t>
      </w:r>
      <w:r>
        <w:rPr>
          <w:w w:val="105"/>
        </w:rPr>
        <w:t>regulations, tendering requirements, and market expectations frequently evolve, SF acts as a dynami</w:t>
      </w:r>
      <w:r>
        <w:rPr>
          <w:w w:val="105"/>
        </w:rPr>
        <w:t>c capability that allows these</w:t>
      </w:r>
      <w:r>
        <w:rPr>
          <w:spacing w:val="4"/>
          <w:w w:val="105"/>
        </w:rPr>
        <w:t xml:space="preserve"> </w:t>
      </w:r>
      <w:r>
        <w:rPr>
          <w:w w:val="105"/>
        </w:rPr>
        <w:t>firms</w:t>
      </w:r>
      <w:r>
        <w:rPr>
          <w:spacing w:val="-9"/>
          <w:w w:val="105"/>
        </w:rPr>
        <w:t xml:space="preserve"> </w:t>
      </w:r>
      <w:r>
        <w:rPr>
          <w:w w:val="105"/>
        </w:rPr>
        <w:t>to</w:t>
      </w:r>
      <w:r>
        <w:rPr>
          <w:spacing w:val="-8"/>
          <w:w w:val="105"/>
        </w:rPr>
        <w:t xml:space="preserve"> </w:t>
      </w:r>
      <w:r>
        <w:rPr>
          <w:w w:val="105"/>
        </w:rPr>
        <w:t>adapt</w:t>
      </w:r>
      <w:r>
        <w:rPr>
          <w:spacing w:val="2"/>
          <w:w w:val="105"/>
        </w:rPr>
        <w:t xml:space="preserve"> </w:t>
      </w:r>
      <w:r>
        <w:rPr>
          <w:w w:val="105"/>
        </w:rPr>
        <w:t>procurement</w:t>
      </w:r>
      <w:r>
        <w:rPr>
          <w:spacing w:val="1"/>
          <w:w w:val="105"/>
        </w:rPr>
        <w:t xml:space="preserve"> </w:t>
      </w:r>
      <w:r>
        <w:rPr>
          <w:w w:val="105"/>
        </w:rPr>
        <w:t>strategies,</w:t>
      </w:r>
      <w:r>
        <w:rPr>
          <w:spacing w:val="-5"/>
          <w:w w:val="105"/>
        </w:rPr>
        <w:t xml:space="preserve"> </w:t>
      </w:r>
      <w:r>
        <w:rPr>
          <w:w w:val="105"/>
        </w:rPr>
        <w:t>reorganize</w:t>
      </w:r>
      <w:r>
        <w:rPr>
          <w:spacing w:val="-9"/>
          <w:w w:val="105"/>
        </w:rPr>
        <w:t xml:space="preserve"> </w:t>
      </w:r>
      <w:r>
        <w:rPr>
          <w:w w:val="105"/>
        </w:rPr>
        <w:t>resources</w:t>
      </w:r>
      <w:r>
        <w:rPr>
          <w:spacing w:val="-9"/>
          <w:w w:val="105"/>
        </w:rPr>
        <w:t xml:space="preserve"> </w:t>
      </w:r>
      <w:r>
        <w:rPr>
          <w:w w:val="105"/>
        </w:rPr>
        <w:t>to</w:t>
      </w:r>
      <w:r>
        <w:rPr>
          <w:spacing w:val="5"/>
          <w:w w:val="105"/>
        </w:rPr>
        <w:t xml:space="preserve"> </w:t>
      </w:r>
      <w:r>
        <w:rPr>
          <w:w w:val="105"/>
        </w:rPr>
        <w:t>meet</w:t>
      </w:r>
      <w:r>
        <w:rPr>
          <w:spacing w:val="1"/>
          <w:w w:val="105"/>
        </w:rPr>
        <w:t xml:space="preserve"> </w:t>
      </w:r>
      <w:r>
        <w:rPr>
          <w:spacing w:val="-2"/>
          <w:w w:val="105"/>
        </w:rPr>
        <w:t>compliance</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4"/>
        <w:jc w:val="both"/>
      </w:pPr>
      <w:r>
        <w:rPr>
          <w:w w:val="105"/>
        </w:rPr>
        <w:t>demands. This aligns with reports from CAG (2022) and PPRA (2023), which highlight financial, procedural, and knowledge barr</w:t>
      </w:r>
      <w:r>
        <w:rPr>
          <w:w w:val="105"/>
        </w:rPr>
        <w:t>iers that limit SMEs' competitiveness in procurement markets. Thus, SF operationalizes the theory's principle of reconfiguring assets</w:t>
      </w:r>
      <w:r>
        <w:rPr>
          <w:spacing w:val="-2"/>
          <w:w w:val="105"/>
        </w:rPr>
        <w:t xml:space="preserve"> </w:t>
      </w:r>
      <w:r>
        <w:rPr>
          <w:w w:val="105"/>
        </w:rPr>
        <w:t>to capture opportunities, particularly in competitive and regulated environments.</w:t>
      </w:r>
    </w:p>
    <w:p w:rsidR="00487D64" w:rsidRDefault="006F0D93">
      <w:pPr>
        <w:pStyle w:val="BodyText"/>
        <w:spacing w:before="240" w:line="501" w:lineRule="auto"/>
        <w:ind w:left="1419" w:right="847"/>
        <w:jc w:val="both"/>
      </w:pPr>
      <w:r>
        <w:rPr>
          <w:w w:val="105"/>
        </w:rPr>
        <w:t>Also, DCT assumes that sustained success</w:t>
      </w:r>
      <w:r>
        <w:rPr>
          <w:w w:val="105"/>
        </w:rPr>
        <w:t xml:space="preserve"> depends on organizational learning and resource alignment, which corresponds to sustainable competitiveness (SC) in this study. SC encompasses the ability of SMEs to maintain performance over time through</w:t>
      </w:r>
      <w:r>
        <w:rPr>
          <w:spacing w:val="-8"/>
          <w:w w:val="105"/>
        </w:rPr>
        <w:t xml:space="preserve"> </w:t>
      </w:r>
      <w:r>
        <w:rPr>
          <w:w w:val="105"/>
        </w:rPr>
        <w:t>efficiency,</w:t>
      </w:r>
      <w:r>
        <w:rPr>
          <w:spacing w:val="-7"/>
          <w:w w:val="105"/>
        </w:rPr>
        <w:t xml:space="preserve"> </w:t>
      </w:r>
      <w:r>
        <w:rPr>
          <w:w w:val="105"/>
        </w:rPr>
        <w:t>innovation,</w:t>
      </w:r>
      <w:r>
        <w:rPr>
          <w:spacing w:val="-7"/>
          <w:w w:val="105"/>
        </w:rPr>
        <w:t xml:space="preserve"> </w:t>
      </w:r>
      <w:r>
        <w:rPr>
          <w:w w:val="105"/>
        </w:rPr>
        <w:t>and</w:t>
      </w:r>
      <w:r>
        <w:rPr>
          <w:spacing w:val="-8"/>
          <w:w w:val="105"/>
        </w:rPr>
        <w:t xml:space="preserve"> </w:t>
      </w:r>
      <w:r>
        <w:rPr>
          <w:w w:val="105"/>
        </w:rPr>
        <w:t>adaptability</w:t>
      </w:r>
      <w:r>
        <w:rPr>
          <w:spacing w:val="-8"/>
          <w:w w:val="105"/>
        </w:rPr>
        <w:t xml:space="preserve"> </w:t>
      </w:r>
      <w:r>
        <w:rPr>
          <w:w w:val="105"/>
        </w:rPr>
        <w:t>(Chung,</w:t>
      </w:r>
      <w:r>
        <w:rPr>
          <w:spacing w:val="-6"/>
          <w:w w:val="105"/>
        </w:rPr>
        <w:t xml:space="preserve"> </w:t>
      </w:r>
      <w:r>
        <w:rPr>
          <w:w w:val="105"/>
        </w:rPr>
        <w:t>2</w:t>
      </w:r>
      <w:r>
        <w:rPr>
          <w:w w:val="105"/>
        </w:rPr>
        <w:t>019).</w:t>
      </w:r>
      <w:r>
        <w:rPr>
          <w:spacing w:val="-5"/>
          <w:w w:val="105"/>
        </w:rPr>
        <w:t xml:space="preserve"> </w:t>
      </w:r>
      <w:r>
        <w:rPr>
          <w:w w:val="105"/>
        </w:rPr>
        <w:t>Dynamic</w:t>
      </w:r>
      <w:r>
        <w:rPr>
          <w:spacing w:val="-3"/>
          <w:w w:val="105"/>
        </w:rPr>
        <w:t xml:space="preserve"> </w:t>
      </w:r>
      <w:r>
        <w:rPr>
          <w:w w:val="105"/>
        </w:rPr>
        <w:t>capabilities support SC by enabling firms to develop learning mechanisms, build procurement expertise, and innovate processes to align with tender requirements and customer needs. For instance, organizational learning, a key pillar of dynamic</w:t>
      </w:r>
      <w:r>
        <w:rPr>
          <w:w w:val="105"/>
        </w:rPr>
        <w:t xml:space="preserve"> capabilities, facilitates cost optimization, differentiation strategies, and compliance with procurement regulations</w:t>
      </w:r>
      <w:r>
        <w:rPr>
          <w:spacing w:val="-10"/>
          <w:w w:val="105"/>
        </w:rPr>
        <w:t xml:space="preserve"> </w:t>
      </w:r>
      <w:r>
        <w:rPr>
          <w:w w:val="105"/>
        </w:rPr>
        <w:t>(Brozovic,</w:t>
      </w:r>
      <w:r>
        <w:rPr>
          <w:spacing w:val="-4"/>
          <w:w w:val="105"/>
        </w:rPr>
        <w:t xml:space="preserve"> </w:t>
      </w:r>
      <w:r>
        <w:rPr>
          <w:w w:val="105"/>
        </w:rPr>
        <w:t>2023).</w:t>
      </w:r>
      <w:r>
        <w:rPr>
          <w:spacing w:val="-6"/>
          <w:w w:val="105"/>
        </w:rPr>
        <w:t xml:space="preserve"> </w:t>
      </w:r>
      <w:r>
        <w:rPr>
          <w:w w:val="105"/>
        </w:rPr>
        <w:t>This</w:t>
      </w:r>
      <w:r>
        <w:rPr>
          <w:spacing w:val="-3"/>
          <w:w w:val="105"/>
        </w:rPr>
        <w:t xml:space="preserve"> </w:t>
      </w:r>
      <w:r>
        <w:rPr>
          <w:w w:val="105"/>
        </w:rPr>
        <w:t>learning</w:t>
      </w:r>
      <w:r>
        <w:rPr>
          <w:spacing w:val="-2"/>
          <w:w w:val="105"/>
        </w:rPr>
        <w:t xml:space="preserve"> </w:t>
      </w:r>
      <w:r>
        <w:rPr>
          <w:w w:val="105"/>
        </w:rPr>
        <w:t>process</w:t>
      </w:r>
      <w:r>
        <w:rPr>
          <w:spacing w:val="-3"/>
          <w:w w:val="105"/>
        </w:rPr>
        <w:t xml:space="preserve"> </w:t>
      </w:r>
      <w:r>
        <w:rPr>
          <w:w w:val="105"/>
        </w:rPr>
        <w:t>is critical for SMEs in Tanzania, given their historical exclusion from procurement markets and</w:t>
      </w:r>
      <w:r>
        <w:rPr>
          <w:w w:val="105"/>
        </w:rPr>
        <w:t xml:space="preserve"> the knowledge gaps highlighted in PPRA evaluations.</w:t>
      </w:r>
    </w:p>
    <w:p w:rsidR="00487D64" w:rsidRDefault="006F0D93">
      <w:pPr>
        <w:pStyle w:val="BodyText"/>
        <w:spacing w:before="230" w:line="501" w:lineRule="auto"/>
        <w:ind w:left="1419" w:right="849"/>
        <w:jc w:val="both"/>
      </w:pPr>
      <w:r>
        <w:rPr>
          <w:w w:val="105"/>
        </w:rPr>
        <w:t>Furthermore, the theory emphasizes how crucial it is to maintain strategy alignment in the face of uncertainty. This is especially important for SMEs that work in procurement systems that have high compl</w:t>
      </w:r>
      <w:r>
        <w:rPr>
          <w:w w:val="105"/>
        </w:rPr>
        <w:t>iance requirements and shifting possibilities.</w:t>
      </w:r>
      <w:r>
        <w:rPr>
          <w:spacing w:val="-7"/>
          <w:w w:val="105"/>
        </w:rPr>
        <w:t xml:space="preserve"> </w:t>
      </w:r>
      <w:r>
        <w:rPr>
          <w:w w:val="105"/>
        </w:rPr>
        <w:t>The</w:t>
      </w:r>
      <w:r>
        <w:rPr>
          <w:spacing w:val="-10"/>
          <w:w w:val="105"/>
        </w:rPr>
        <w:t xml:space="preserve"> </w:t>
      </w:r>
      <w:r>
        <w:rPr>
          <w:w w:val="105"/>
        </w:rPr>
        <w:t>relationship</w:t>
      </w:r>
      <w:r>
        <w:rPr>
          <w:spacing w:val="-3"/>
          <w:w w:val="105"/>
        </w:rPr>
        <w:t xml:space="preserve"> </w:t>
      </w:r>
      <w:r>
        <w:rPr>
          <w:w w:val="105"/>
        </w:rPr>
        <w:t>between</w:t>
      </w:r>
      <w:r>
        <w:rPr>
          <w:spacing w:val="-3"/>
          <w:w w:val="105"/>
        </w:rPr>
        <w:t xml:space="preserve"> </w:t>
      </w:r>
      <w:r>
        <w:rPr>
          <w:w w:val="105"/>
        </w:rPr>
        <w:t>market</w:t>
      </w:r>
      <w:r>
        <w:rPr>
          <w:spacing w:val="-1"/>
          <w:w w:val="105"/>
        </w:rPr>
        <w:t xml:space="preserve"> </w:t>
      </w:r>
      <w:r>
        <w:rPr>
          <w:w w:val="105"/>
        </w:rPr>
        <w:t>orientation</w:t>
      </w:r>
      <w:r>
        <w:rPr>
          <w:spacing w:val="-3"/>
          <w:w w:val="105"/>
        </w:rPr>
        <w:t xml:space="preserve"> </w:t>
      </w:r>
      <w:r>
        <w:rPr>
          <w:w w:val="105"/>
        </w:rPr>
        <w:t>(information</w:t>
      </w:r>
      <w:r>
        <w:rPr>
          <w:spacing w:val="-3"/>
          <w:w w:val="105"/>
        </w:rPr>
        <w:t xml:space="preserve"> </w:t>
      </w:r>
      <w:r>
        <w:rPr>
          <w:w w:val="105"/>
        </w:rPr>
        <w:t>gathering</w:t>
      </w:r>
      <w:r>
        <w:rPr>
          <w:spacing w:val="-3"/>
          <w:w w:val="105"/>
        </w:rPr>
        <w:t xml:space="preserve"> </w:t>
      </w:r>
      <w:r>
        <w:rPr>
          <w:w w:val="105"/>
        </w:rPr>
        <w:t>and responsiveness) and dynamic capabilities (SF) is made clear by incorporating DCT into this study. MO offers market intelligence, and SF, a</w:t>
      </w:r>
      <w:r>
        <w:rPr>
          <w:w w:val="105"/>
        </w:rPr>
        <w:t>s a dynamic capability, transforms</w:t>
      </w:r>
      <w:r>
        <w:rPr>
          <w:spacing w:val="-7"/>
          <w:w w:val="105"/>
        </w:rPr>
        <w:t xml:space="preserve"> </w:t>
      </w:r>
      <w:r>
        <w:rPr>
          <w:w w:val="105"/>
        </w:rPr>
        <w:t>this information</w:t>
      </w:r>
      <w:r>
        <w:rPr>
          <w:spacing w:val="-5"/>
          <w:w w:val="105"/>
        </w:rPr>
        <w:t xml:space="preserve"> </w:t>
      </w:r>
      <w:r>
        <w:rPr>
          <w:w w:val="105"/>
        </w:rPr>
        <w:t>into</w:t>
      </w:r>
      <w:r>
        <w:rPr>
          <w:spacing w:val="-5"/>
          <w:w w:val="105"/>
        </w:rPr>
        <w:t xml:space="preserve"> </w:t>
      </w:r>
      <w:r>
        <w:rPr>
          <w:w w:val="105"/>
        </w:rPr>
        <w:t>adaptive</w:t>
      </w:r>
      <w:r>
        <w:rPr>
          <w:spacing w:val="-6"/>
          <w:w w:val="105"/>
        </w:rPr>
        <w:t xml:space="preserve"> </w:t>
      </w:r>
      <w:r>
        <w:rPr>
          <w:w w:val="105"/>
        </w:rPr>
        <w:t>actions</w:t>
      </w:r>
      <w:r>
        <w:rPr>
          <w:spacing w:val="-7"/>
          <w:w w:val="105"/>
        </w:rPr>
        <w:t xml:space="preserve"> </w:t>
      </w:r>
      <w:r>
        <w:rPr>
          <w:w w:val="105"/>
        </w:rPr>
        <w:t>that maintain competitiveness. As a</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7"/>
        <w:jc w:val="both"/>
      </w:pPr>
      <w:r>
        <w:rPr>
          <w:w w:val="105"/>
        </w:rPr>
        <w:t>result, the synergy between MO and SF is consistent with the core idea of DCT: companies that consistently adapt their capab</w:t>
      </w:r>
      <w:r>
        <w:rPr>
          <w:w w:val="105"/>
        </w:rPr>
        <w:t>ilities to market signals have a competitive advantage</w:t>
      </w:r>
      <w:r>
        <w:rPr>
          <w:spacing w:val="-6"/>
          <w:w w:val="105"/>
        </w:rPr>
        <w:t xml:space="preserve"> </w:t>
      </w:r>
      <w:r>
        <w:rPr>
          <w:w w:val="105"/>
        </w:rPr>
        <w:t>in</w:t>
      </w:r>
      <w:r>
        <w:rPr>
          <w:spacing w:val="-5"/>
          <w:w w:val="105"/>
        </w:rPr>
        <w:t xml:space="preserve"> </w:t>
      </w:r>
      <w:r>
        <w:rPr>
          <w:w w:val="105"/>
        </w:rPr>
        <w:t>unstable situations</w:t>
      </w:r>
      <w:r>
        <w:rPr>
          <w:spacing w:val="-1"/>
          <w:w w:val="105"/>
        </w:rPr>
        <w:t xml:space="preserve"> </w:t>
      </w:r>
      <w:r>
        <w:rPr>
          <w:w w:val="105"/>
        </w:rPr>
        <w:t>(Teece,</w:t>
      </w:r>
      <w:r>
        <w:rPr>
          <w:spacing w:val="-4"/>
          <w:w w:val="105"/>
        </w:rPr>
        <w:t xml:space="preserve"> </w:t>
      </w:r>
      <w:r>
        <w:rPr>
          <w:w w:val="105"/>
        </w:rPr>
        <w:t>2007;</w:t>
      </w:r>
      <w:r>
        <w:rPr>
          <w:spacing w:val="-4"/>
          <w:w w:val="105"/>
        </w:rPr>
        <w:t xml:space="preserve"> </w:t>
      </w:r>
      <w:r>
        <w:rPr>
          <w:w w:val="105"/>
        </w:rPr>
        <w:t>Chung, 2019).</w:t>
      </w:r>
      <w:r>
        <w:rPr>
          <w:spacing w:val="-4"/>
          <w:w w:val="105"/>
        </w:rPr>
        <w:t xml:space="preserve"> </w:t>
      </w:r>
      <w:r>
        <w:rPr>
          <w:w w:val="105"/>
        </w:rPr>
        <w:t>Despite</w:t>
      </w:r>
      <w:r>
        <w:rPr>
          <w:spacing w:val="-6"/>
          <w:w w:val="105"/>
        </w:rPr>
        <w:t xml:space="preserve"> </w:t>
      </w:r>
      <w:r>
        <w:rPr>
          <w:w w:val="105"/>
        </w:rPr>
        <w:t xml:space="preserve">its relevance, few studies have explored the intersection of DCT, SC, and inclusive procurement for special group enterprise (Buzzao &amp; Rizzi, </w:t>
      </w:r>
      <w:r>
        <w:rPr>
          <w:w w:val="105"/>
        </w:rPr>
        <w:t xml:space="preserve">2021). This study addresses how DCT complements MOT by addressing what the latter omits. While MOT explains what strategies firms adopt to remain market-driven, it does not explain how firms continuously adapt those strategies in uncertain procurement </w:t>
      </w:r>
      <w:r>
        <w:rPr>
          <w:spacing w:val="-2"/>
          <w:w w:val="105"/>
        </w:rPr>
        <w:t>envi</w:t>
      </w:r>
      <w:r>
        <w:rPr>
          <w:spacing w:val="-2"/>
          <w:w w:val="105"/>
        </w:rPr>
        <w:t>ronments.</w:t>
      </w:r>
    </w:p>
    <w:p w:rsidR="00487D64" w:rsidRDefault="006F0D93">
      <w:pPr>
        <w:pStyle w:val="BodyText"/>
        <w:spacing w:before="234" w:line="501" w:lineRule="auto"/>
        <w:ind w:left="1419" w:right="844"/>
        <w:jc w:val="both"/>
      </w:pPr>
      <w:r>
        <w:rPr>
          <w:w w:val="105"/>
        </w:rPr>
        <w:t>This study contributes to Dynamic Capability Theory by empirically demonstrating how</w:t>
      </w:r>
      <w:r>
        <w:rPr>
          <w:spacing w:val="-2"/>
          <w:w w:val="105"/>
        </w:rPr>
        <w:t xml:space="preserve"> </w:t>
      </w:r>
      <w:r>
        <w:rPr>
          <w:w w:val="105"/>
        </w:rPr>
        <w:t>strategic</w:t>
      </w:r>
      <w:r>
        <w:rPr>
          <w:spacing w:val="-7"/>
          <w:w w:val="105"/>
        </w:rPr>
        <w:t xml:space="preserve"> </w:t>
      </w:r>
      <w:r>
        <w:rPr>
          <w:w w:val="105"/>
        </w:rPr>
        <w:t>flexibility</w:t>
      </w:r>
      <w:r>
        <w:rPr>
          <w:spacing w:val="-7"/>
          <w:w w:val="105"/>
        </w:rPr>
        <w:t xml:space="preserve"> </w:t>
      </w:r>
      <w:r>
        <w:rPr>
          <w:w w:val="105"/>
        </w:rPr>
        <w:t>functions</w:t>
      </w:r>
      <w:r>
        <w:rPr>
          <w:spacing w:val="-9"/>
          <w:w w:val="105"/>
        </w:rPr>
        <w:t xml:space="preserve"> </w:t>
      </w:r>
      <w:r>
        <w:rPr>
          <w:w w:val="105"/>
        </w:rPr>
        <w:t>as</w:t>
      </w:r>
      <w:r>
        <w:rPr>
          <w:spacing w:val="-15"/>
          <w:w w:val="105"/>
        </w:rPr>
        <w:t xml:space="preserve"> </w:t>
      </w:r>
      <w:r>
        <w:rPr>
          <w:w w:val="105"/>
        </w:rPr>
        <w:t>a</w:t>
      </w:r>
      <w:r>
        <w:rPr>
          <w:spacing w:val="-1"/>
          <w:w w:val="105"/>
        </w:rPr>
        <w:t xml:space="preserve"> </w:t>
      </w:r>
      <w:r>
        <w:rPr>
          <w:w w:val="105"/>
        </w:rPr>
        <w:t>dynamic</w:t>
      </w:r>
      <w:r>
        <w:rPr>
          <w:spacing w:val="-1"/>
          <w:w w:val="105"/>
        </w:rPr>
        <w:t xml:space="preserve"> </w:t>
      </w:r>
      <w:r>
        <w:rPr>
          <w:w w:val="105"/>
        </w:rPr>
        <w:t>capability</w:t>
      </w:r>
      <w:r>
        <w:rPr>
          <w:spacing w:val="-7"/>
          <w:w w:val="105"/>
        </w:rPr>
        <w:t xml:space="preserve"> </w:t>
      </w:r>
      <w:r>
        <w:rPr>
          <w:w w:val="105"/>
        </w:rPr>
        <w:t>that</w:t>
      </w:r>
      <w:r>
        <w:rPr>
          <w:spacing w:val="-5"/>
          <w:w w:val="105"/>
        </w:rPr>
        <w:t xml:space="preserve"> </w:t>
      </w:r>
      <w:r>
        <w:rPr>
          <w:w w:val="105"/>
        </w:rPr>
        <w:t>strengthens</w:t>
      </w:r>
      <w:r>
        <w:rPr>
          <w:spacing w:val="-9"/>
          <w:w w:val="105"/>
        </w:rPr>
        <w:t xml:space="preserve"> </w:t>
      </w:r>
      <w:r>
        <w:rPr>
          <w:w w:val="105"/>
        </w:rPr>
        <w:t>the</w:t>
      </w:r>
      <w:r>
        <w:rPr>
          <w:spacing w:val="-7"/>
          <w:w w:val="105"/>
        </w:rPr>
        <w:t xml:space="preserve"> </w:t>
      </w:r>
      <w:r>
        <w:rPr>
          <w:w w:val="105"/>
        </w:rPr>
        <w:t>impact of market orientation on sustainable competitiveness. It moves beyond concept</w:t>
      </w:r>
      <w:r>
        <w:rPr>
          <w:w w:val="105"/>
        </w:rPr>
        <w:t>ual discussions by quantifying how flexibility in planning, resources, and coordination moderates the effectiveness of market-driven behaviors in a public procurement context. The findings provide evidence that dynamic capabilities are not isolated process</w:t>
      </w:r>
      <w:r>
        <w:rPr>
          <w:w w:val="105"/>
        </w:rPr>
        <w:t>es, but mechanisms that transform market intelligence into adaptive actions, thereby ensuring competitive sustainability. This contribution enriches DCT by linking it with behavioral market orientation perspectives.</w:t>
      </w:r>
    </w:p>
    <w:p w:rsidR="00487D64" w:rsidRDefault="00487D64">
      <w:pPr>
        <w:pStyle w:val="BodyText"/>
      </w:pPr>
    </w:p>
    <w:p w:rsidR="00487D64" w:rsidRDefault="00487D64">
      <w:pPr>
        <w:pStyle w:val="BodyText"/>
        <w:spacing w:before="28"/>
      </w:pPr>
    </w:p>
    <w:p w:rsidR="00487D64" w:rsidRDefault="006F0D93">
      <w:pPr>
        <w:pStyle w:val="ListParagraph"/>
        <w:numPr>
          <w:ilvl w:val="2"/>
          <w:numId w:val="16"/>
        </w:numPr>
        <w:tabs>
          <w:tab w:val="left" w:pos="2917"/>
        </w:tabs>
        <w:ind w:left="2917" w:hanging="1498"/>
        <w:rPr>
          <w:b/>
          <w:sz w:val="23"/>
        </w:rPr>
      </w:pPr>
      <w:r>
        <w:rPr>
          <w:b/>
          <w:w w:val="105"/>
          <w:sz w:val="23"/>
        </w:rPr>
        <w:t>Integration</w:t>
      </w:r>
      <w:r>
        <w:rPr>
          <w:b/>
          <w:spacing w:val="-8"/>
          <w:w w:val="105"/>
          <w:sz w:val="23"/>
        </w:rPr>
        <w:t xml:space="preserve"> </w:t>
      </w:r>
      <w:r>
        <w:rPr>
          <w:b/>
          <w:w w:val="105"/>
          <w:sz w:val="23"/>
        </w:rPr>
        <w:t>of</w:t>
      </w:r>
      <w:r>
        <w:rPr>
          <w:b/>
          <w:spacing w:val="-11"/>
          <w:w w:val="105"/>
          <w:sz w:val="23"/>
        </w:rPr>
        <w:t xml:space="preserve"> </w:t>
      </w:r>
      <w:r>
        <w:rPr>
          <w:b/>
          <w:w w:val="105"/>
          <w:sz w:val="23"/>
        </w:rPr>
        <w:t>Theories</w:t>
      </w:r>
      <w:r>
        <w:rPr>
          <w:b/>
          <w:spacing w:val="-11"/>
          <w:w w:val="105"/>
          <w:sz w:val="23"/>
        </w:rPr>
        <w:t xml:space="preserve"> </w:t>
      </w:r>
      <w:r>
        <w:rPr>
          <w:b/>
          <w:w w:val="105"/>
          <w:sz w:val="23"/>
        </w:rPr>
        <w:t>MOT</w:t>
      </w:r>
      <w:r>
        <w:rPr>
          <w:b/>
          <w:spacing w:val="-11"/>
          <w:w w:val="105"/>
          <w:sz w:val="23"/>
        </w:rPr>
        <w:t xml:space="preserve"> </w:t>
      </w:r>
      <w:r>
        <w:rPr>
          <w:b/>
          <w:w w:val="105"/>
          <w:sz w:val="23"/>
        </w:rPr>
        <w:t>and</w:t>
      </w:r>
      <w:r>
        <w:rPr>
          <w:b/>
          <w:spacing w:val="-13"/>
          <w:w w:val="105"/>
          <w:sz w:val="23"/>
        </w:rPr>
        <w:t xml:space="preserve"> </w:t>
      </w:r>
      <w:r>
        <w:rPr>
          <w:b/>
          <w:spacing w:val="-5"/>
          <w:w w:val="105"/>
          <w:sz w:val="23"/>
        </w:rPr>
        <w:t>DCT</w:t>
      </w:r>
    </w:p>
    <w:p w:rsidR="00487D64" w:rsidRDefault="00487D64">
      <w:pPr>
        <w:pStyle w:val="BodyText"/>
        <w:spacing w:before="18"/>
        <w:rPr>
          <w:b/>
        </w:rPr>
      </w:pPr>
    </w:p>
    <w:p w:rsidR="00487D64" w:rsidRDefault="006F0D93">
      <w:pPr>
        <w:pStyle w:val="BodyText"/>
        <w:spacing w:line="499" w:lineRule="auto"/>
        <w:ind w:left="1419" w:right="852"/>
        <w:jc w:val="both"/>
      </w:pPr>
      <w:r>
        <w:rPr>
          <w:w w:val="105"/>
        </w:rPr>
        <w:t>By combining</w:t>
      </w:r>
      <w:r>
        <w:rPr>
          <w:spacing w:val="-6"/>
          <w:w w:val="105"/>
        </w:rPr>
        <w:t xml:space="preserve"> </w:t>
      </w:r>
      <w:r>
        <w:rPr>
          <w:w w:val="105"/>
        </w:rPr>
        <w:t>MOT and</w:t>
      </w:r>
      <w:r>
        <w:rPr>
          <w:spacing w:val="-6"/>
          <w:w w:val="105"/>
        </w:rPr>
        <w:t xml:space="preserve"> </w:t>
      </w:r>
      <w:r>
        <w:rPr>
          <w:w w:val="105"/>
        </w:rPr>
        <w:t>DCT,</w:t>
      </w:r>
      <w:r>
        <w:rPr>
          <w:spacing w:val="-4"/>
          <w:w w:val="105"/>
        </w:rPr>
        <w:t xml:space="preserve"> </w:t>
      </w:r>
      <w:r>
        <w:rPr>
          <w:w w:val="105"/>
        </w:rPr>
        <w:t>this</w:t>
      </w:r>
      <w:r>
        <w:rPr>
          <w:spacing w:val="-1"/>
          <w:w w:val="105"/>
        </w:rPr>
        <w:t xml:space="preserve"> </w:t>
      </w:r>
      <w:r>
        <w:rPr>
          <w:w w:val="105"/>
        </w:rPr>
        <w:t>study</w:t>
      </w:r>
      <w:r>
        <w:rPr>
          <w:spacing w:val="-6"/>
          <w:w w:val="105"/>
        </w:rPr>
        <w:t xml:space="preserve"> </w:t>
      </w:r>
      <w:r>
        <w:rPr>
          <w:w w:val="105"/>
        </w:rPr>
        <w:t>develops</w:t>
      </w:r>
      <w:r>
        <w:rPr>
          <w:spacing w:val="-8"/>
          <w:w w:val="105"/>
        </w:rPr>
        <w:t xml:space="preserve"> </w:t>
      </w:r>
      <w:r>
        <w:rPr>
          <w:w w:val="105"/>
        </w:rPr>
        <w:t>an</w:t>
      </w:r>
      <w:r>
        <w:rPr>
          <w:spacing w:val="-6"/>
          <w:w w:val="105"/>
        </w:rPr>
        <w:t xml:space="preserve"> </w:t>
      </w:r>
      <w:r>
        <w:rPr>
          <w:w w:val="105"/>
        </w:rPr>
        <w:t>integrated framework showing that while Market Orientation Theory explains what strategic actions SMEs undertake to remain market-driven, Dynamic Capability Theory explains how these</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8"/>
        <w:jc w:val="both"/>
      </w:pPr>
      <w:r>
        <w:rPr>
          <w:w w:val="105"/>
        </w:rPr>
        <w:t>actions are adapted and sustained under dynamic procurement environments. By integrating market-orientation</w:t>
      </w:r>
      <w:r>
        <w:rPr>
          <w:spacing w:val="-5"/>
          <w:w w:val="105"/>
        </w:rPr>
        <w:t xml:space="preserve"> </w:t>
      </w:r>
      <w:r>
        <w:rPr>
          <w:w w:val="105"/>
        </w:rPr>
        <w:t>theory</w:t>
      </w:r>
      <w:r>
        <w:rPr>
          <w:spacing w:val="-5"/>
          <w:w w:val="105"/>
        </w:rPr>
        <w:t xml:space="preserve"> </w:t>
      </w:r>
      <w:r>
        <w:rPr>
          <w:w w:val="105"/>
        </w:rPr>
        <w:t>(MOT)</w:t>
      </w:r>
      <w:r>
        <w:rPr>
          <w:spacing w:val="-1"/>
          <w:w w:val="105"/>
        </w:rPr>
        <w:t xml:space="preserve"> </w:t>
      </w:r>
      <w:r>
        <w:rPr>
          <w:w w:val="105"/>
        </w:rPr>
        <w:t>with dynamic-capability theory</w:t>
      </w:r>
      <w:r>
        <w:rPr>
          <w:spacing w:val="-5"/>
          <w:w w:val="105"/>
        </w:rPr>
        <w:t xml:space="preserve"> </w:t>
      </w:r>
      <w:r>
        <w:rPr>
          <w:w w:val="105"/>
        </w:rPr>
        <w:t>(DCT), this</w:t>
      </w:r>
      <w:r>
        <w:rPr>
          <w:spacing w:val="-2"/>
          <w:w w:val="105"/>
        </w:rPr>
        <w:t xml:space="preserve"> </w:t>
      </w:r>
      <w:r>
        <w:rPr>
          <w:w w:val="105"/>
        </w:rPr>
        <w:t>study</w:t>
      </w:r>
      <w:r>
        <w:rPr>
          <w:spacing w:val="-1"/>
          <w:w w:val="105"/>
        </w:rPr>
        <w:t xml:space="preserve"> </w:t>
      </w:r>
      <w:r>
        <w:rPr>
          <w:w w:val="105"/>
        </w:rPr>
        <w:t>makes</w:t>
      </w:r>
      <w:r>
        <w:rPr>
          <w:spacing w:val="-9"/>
          <w:w w:val="105"/>
        </w:rPr>
        <w:t xml:space="preserve"> </w:t>
      </w:r>
      <w:r>
        <w:rPr>
          <w:w w:val="105"/>
        </w:rPr>
        <w:t>three</w:t>
      </w:r>
      <w:r>
        <w:rPr>
          <w:spacing w:val="-2"/>
          <w:w w:val="105"/>
        </w:rPr>
        <w:t xml:space="preserve"> </w:t>
      </w:r>
      <w:r>
        <w:rPr>
          <w:w w:val="105"/>
        </w:rPr>
        <w:t>distinct theoretical contributions</w:t>
      </w:r>
      <w:r>
        <w:rPr>
          <w:spacing w:val="-9"/>
          <w:w w:val="105"/>
        </w:rPr>
        <w:t xml:space="preserve"> </w:t>
      </w:r>
      <w:r>
        <w:rPr>
          <w:w w:val="105"/>
        </w:rPr>
        <w:t>to</w:t>
      </w:r>
      <w:r>
        <w:rPr>
          <w:spacing w:val="-7"/>
          <w:w w:val="105"/>
        </w:rPr>
        <w:t xml:space="preserve"> </w:t>
      </w:r>
      <w:r>
        <w:rPr>
          <w:w w:val="105"/>
        </w:rPr>
        <w:t>the</w:t>
      </w:r>
      <w:r>
        <w:rPr>
          <w:spacing w:val="-2"/>
          <w:w w:val="105"/>
        </w:rPr>
        <w:t xml:space="preserve"> </w:t>
      </w:r>
      <w:r>
        <w:rPr>
          <w:w w:val="105"/>
        </w:rPr>
        <w:t>strategy</w:t>
      </w:r>
      <w:r>
        <w:rPr>
          <w:spacing w:val="-7"/>
          <w:w w:val="105"/>
        </w:rPr>
        <w:t xml:space="preserve"> </w:t>
      </w:r>
      <w:r>
        <w:rPr>
          <w:w w:val="105"/>
        </w:rPr>
        <w:t>and</w:t>
      </w:r>
      <w:r>
        <w:rPr>
          <w:spacing w:val="-1"/>
          <w:w w:val="105"/>
        </w:rPr>
        <w:t xml:space="preserve"> </w:t>
      </w:r>
      <w:r>
        <w:rPr>
          <w:w w:val="105"/>
        </w:rPr>
        <w:t>marketing interface</w:t>
      </w:r>
      <w:r>
        <w:rPr>
          <w:w w:val="105"/>
        </w:rPr>
        <w:t>. First, it conceptually reframes sustainable competitiveness as an interactionist phenomenon: the continual realignment of customer-linking, competitor-centered, and inter-functional coordination behaviors (the three core pillars of MOT) with the firm’s c</w:t>
      </w:r>
      <w:r>
        <w:rPr>
          <w:w w:val="105"/>
        </w:rPr>
        <w:t>apacity to sense, seize, and reconfigure resources (the</w:t>
      </w:r>
      <w:r>
        <w:rPr>
          <w:spacing w:val="-8"/>
          <w:w w:val="105"/>
        </w:rPr>
        <w:t xml:space="preserve"> </w:t>
      </w:r>
      <w:r>
        <w:rPr>
          <w:w w:val="105"/>
        </w:rPr>
        <w:t>archetypal micro-foundations</w:t>
      </w:r>
      <w:r>
        <w:rPr>
          <w:spacing w:val="-2"/>
          <w:w w:val="105"/>
        </w:rPr>
        <w:t xml:space="preserve"> </w:t>
      </w:r>
      <w:r>
        <w:rPr>
          <w:w w:val="105"/>
        </w:rPr>
        <w:t>of</w:t>
      </w:r>
      <w:r>
        <w:rPr>
          <w:spacing w:val="-9"/>
          <w:w w:val="105"/>
        </w:rPr>
        <w:t xml:space="preserve"> </w:t>
      </w:r>
      <w:r>
        <w:rPr>
          <w:w w:val="105"/>
        </w:rPr>
        <w:t>DCT).</w:t>
      </w:r>
      <w:r>
        <w:rPr>
          <w:spacing w:val="-11"/>
          <w:w w:val="105"/>
        </w:rPr>
        <w:t xml:space="preserve"> </w:t>
      </w:r>
      <w:r>
        <w:rPr>
          <w:w w:val="105"/>
        </w:rPr>
        <w:t>This</w:t>
      </w:r>
      <w:r>
        <w:rPr>
          <w:spacing w:val="-9"/>
          <w:w w:val="105"/>
        </w:rPr>
        <w:t xml:space="preserve"> </w:t>
      </w:r>
      <w:r>
        <w:rPr>
          <w:w w:val="105"/>
        </w:rPr>
        <w:t>synthesis</w:t>
      </w:r>
      <w:r>
        <w:rPr>
          <w:spacing w:val="-9"/>
          <w:w w:val="105"/>
        </w:rPr>
        <w:t xml:space="preserve"> </w:t>
      </w:r>
      <w:r>
        <w:rPr>
          <w:w w:val="105"/>
        </w:rPr>
        <w:t>extends</w:t>
      </w:r>
      <w:r>
        <w:rPr>
          <w:spacing w:val="-9"/>
          <w:w w:val="105"/>
        </w:rPr>
        <w:t xml:space="preserve"> </w:t>
      </w:r>
      <w:r>
        <w:rPr>
          <w:w w:val="105"/>
        </w:rPr>
        <w:t>Narver &amp;</w:t>
      </w:r>
      <w:r>
        <w:rPr>
          <w:spacing w:val="-8"/>
          <w:w w:val="105"/>
        </w:rPr>
        <w:t xml:space="preserve"> </w:t>
      </w:r>
      <w:r>
        <w:rPr>
          <w:w w:val="105"/>
        </w:rPr>
        <w:t>Slater’s original contingency thesis by demonstrating that market-oriented activity sets yield a competitive</w:t>
      </w:r>
      <w:r>
        <w:rPr>
          <w:spacing w:val="-6"/>
          <w:w w:val="105"/>
        </w:rPr>
        <w:t xml:space="preserve"> </w:t>
      </w:r>
      <w:r>
        <w:rPr>
          <w:w w:val="105"/>
        </w:rPr>
        <w:t>advantage</w:t>
      </w:r>
      <w:r>
        <w:rPr>
          <w:spacing w:val="-6"/>
          <w:w w:val="105"/>
        </w:rPr>
        <w:t xml:space="preserve"> </w:t>
      </w:r>
      <w:r>
        <w:rPr>
          <w:w w:val="105"/>
        </w:rPr>
        <w:t>that</w:t>
      </w:r>
      <w:r>
        <w:rPr>
          <w:spacing w:val="-3"/>
          <w:w w:val="105"/>
        </w:rPr>
        <w:t xml:space="preserve"> </w:t>
      </w:r>
      <w:r>
        <w:rPr>
          <w:w w:val="105"/>
        </w:rPr>
        <w:t>is</w:t>
      </w:r>
      <w:r>
        <w:rPr>
          <w:spacing w:val="-7"/>
          <w:w w:val="105"/>
        </w:rPr>
        <w:t xml:space="preserve"> </w:t>
      </w:r>
      <w:r>
        <w:rPr>
          <w:w w:val="105"/>
        </w:rPr>
        <w:t>durable</w:t>
      </w:r>
      <w:r>
        <w:rPr>
          <w:spacing w:val="-6"/>
          <w:w w:val="105"/>
        </w:rPr>
        <w:t xml:space="preserve"> </w:t>
      </w:r>
      <w:r>
        <w:rPr>
          <w:w w:val="105"/>
        </w:rPr>
        <w:t>only when</w:t>
      </w:r>
      <w:r>
        <w:rPr>
          <w:spacing w:val="-5"/>
          <w:w w:val="105"/>
        </w:rPr>
        <w:t xml:space="preserve"> </w:t>
      </w:r>
      <w:r>
        <w:rPr>
          <w:w w:val="105"/>
        </w:rPr>
        <w:t>they</w:t>
      </w:r>
      <w:r>
        <w:rPr>
          <w:spacing w:val="-5"/>
          <w:w w:val="105"/>
        </w:rPr>
        <w:t xml:space="preserve"> </w:t>
      </w:r>
      <w:r>
        <w:rPr>
          <w:w w:val="105"/>
        </w:rPr>
        <w:t>are</w:t>
      </w:r>
      <w:r>
        <w:rPr>
          <w:spacing w:val="-6"/>
          <w:w w:val="105"/>
        </w:rPr>
        <w:t xml:space="preserve"> </w:t>
      </w:r>
      <w:r>
        <w:rPr>
          <w:w w:val="105"/>
        </w:rPr>
        <w:t>dynamically</w:t>
      </w:r>
      <w:r>
        <w:rPr>
          <w:spacing w:val="-5"/>
          <w:w w:val="105"/>
        </w:rPr>
        <w:t xml:space="preserve"> </w:t>
      </w:r>
      <w:r>
        <w:rPr>
          <w:w w:val="105"/>
        </w:rPr>
        <w:t>reconfigured in response to technological shocks and institutional transitions.</w:t>
      </w:r>
    </w:p>
    <w:p w:rsidR="00487D64" w:rsidRDefault="00487D64">
      <w:pPr>
        <w:pStyle w:val="BodyText"/>
      </w:pPr>
    </w:p>
    <w:p w:rsidR="00487D64" w:rsidRDefault="00487D64">
      <w:pPr>
        <w:pStyle w:val="BodyText"/>
        <w:spacing w:before="25"/>
      </w:pPr>
    </w:p>
    <w:p w:rsidR="00487D64" w:rsidRDefault="006F0D93">
      <w:pPr>
        <w:pStyle w:val="ListParagraph"/>
        <w:numPr>
          <w:ilvl w:val="1"/>
          <w:numId w:val="16"/>
        </w:numPr>
        <w:tabs>
          <w:tab w:val="left" w:pos="2860"/>
        </w:tabs>
        <w:rPr>
          <w:b/>
          <w:sz w:val="23"/>
        </w:rPr>
      </w:pPr>
      <w:r>
        <w:rPr>
          <w:b/>
          <w:sz w:val="23"/>
        </w:rPr>
        <w:t>Empirical</w:t>
      </w:r>
      <w:r>
        <w:rPr>
          <w:b/>
          <w:spacing w:val="30"/>
          <w:sz w:val="23"/>
        </w:rPr>
        <w:t xml:space="preserve"> </w:t>
      </w:r>
      <w:r>
        <w:rPr>
          <w:b/>
          <w:sz w:val="23"/>
        </w:rPr>
        <w:t>Literature</w:t>
      </w:r>
      <w:r>
        <w:rPr>
          <w:b/>
          <w:spacing w:val="37"/>
          <w:sz w:val="23"/>
        </w:rPr>
        <w:t xml:space="preserve"> </w:t>
      </w:r>
      <w:r>
        <w:rPr>
          <w:b/>
          <w:spacing w:val="-2"/>
          <w:sz w:val="23"/>
        </w:rPr>
        <w:t>Review</w:t>
      </w:r>
    </w:p>
    <w:p w:rsidR="00487D64" w:rsidRDefault="00487D64">
      <w:pPr>
        <w:pStyle w:val="BodyText"/>
        <w:spacing w:before="26"/>
        <w:rPr>
          <w:b/>
        </w:rPr>
      </w:pPr>
    </w:p>
    <w:p w:rsidR="00487D64" w:rsidRDefault="006F0D93">
      <w:pPr>
        <w:pStyle w:val="ListParagraph"/>
        <w:numPr>
          <w:ilvl w:val="2"/>
          <w:numId w:val="16"/>
        </w:numPr>
        <w:tabs>
          <w:tab w:val="left" w:pos="2860"/>
        </w:tabs>
        <w:rPr>
          <w:b/>
          <w:sz w:val="23"/>
        </w:rPr>
      </w:pPr>
      <w:r>
        <w:rPr>
          <w:b/>
          <w:sz w:val="23"/>
        </w:rPr>
        <w:t>Operationalization</w:t>
      </w:r>
      <w:r>
        <w:rPr>
          <w:b/>
          <w:spacing w:val="36"/>
          <w:sz w:val="23"/>
        </w:rPr>
        <w:t xml:space="preserve"> </w:t>
      </w:r>
      <w:r>
        <w:rPr>
          <w:b/>
          <w:sz w:val="23"/>
        </w:rPr>
        <w:t>of</w:t>
      </w:r>
      <w:r>
        <w:rPr>
          <w:b/>
          <w:spacing w:val="31"/>
          <w:sz w:val="23"/>
        </w:rPr>
        <w:t xml:space="preserve"> </w:t>
      </w:r>
      <w:r>
        <w:rPr>
          <w:b/>
          <w:sz w:val="23"/>
        </w:rPr>
        <w:t>Market</w:t>
      </w:r>
      <w:r>
        <w:rPr>
          <w:b/>
          <w:spacing w:val="41"/>
          <w:sz w:val="23"/>
        </w:rPr>
        <w:t xml:space="preserve"> </w:t>
      </w:r>
      <w:r>
        <w:rPr>
          <w:b/>
          <w:sz w:val="23"/>
        </w:rPr>
        <w:t>Orientation</w:t>
      </w:r>
      <w:r>
        <w:rPr>
          <w:b/>
          <w:spacing w:val="37"/>
          <w:sz w:val="23"/>
        </w:rPr>
        <w:t xml:space="preserve"> </w:t>
      </w:r>
      <w:r>
        <w:rPr>
          <w:b/>
          <w:spacing w:val="-2"/>
          <w:sz w:val="23"/>
        </w:rPr>
        <w:t>Constructs</w:t>
      </w:r>
    </w:p>
    <w:p w:rsidR="00487D64" w:rsidRDefault="00487D64">
      <w:pPr>
        <w:pStyle w:val="BodyText"/>
        <w:spacing w:before="11"/>
        <w:rPr>
          <w:b/>
        </w:rPr>
      </w:pPr>
    </w:p>
    <w:p w:rsidR="00487D64" w:rsidRDefault="006F0D93">
      <w:pPr>
        <w:pStyle w:val="BodyText"/>
        <w:spacing w:line="501" w:lineRule="auto"/>
        <w:ind w:left="1419" w:right="848"/>
        <w:jc w:val="both"/>
      </w:pPr>
      <w:r>
        <w:rPr>
          <w:w w:val="105"/>
        </w:rPr>
        <w:t>In today's dynamic market environment, market orienta</w:t>
      </w:r>
      <w:r>
        <w:rPr>
          <w:w w:val="105"/>
        </w:rPr>
        <w:t>tion plays a crucial role as a key determinant of new product development and business performance (Morgan et al., 2019; Guo et al., 2018). Market orientation involves a three-step process of monitoring market conditions, analyzing market trends, and respo</w:t>
      </w:r>
      <w:r>
        <w:rPr>
          <w:w w:val="105"/>
        </w:rPr>
        <w:t>nding to market changes (Ashrafi and Zare Ravasan, 2018). To offer superior value to customers, companies must gather current intelligence about customer needs, competitor actions, and other market factors (Morgan et al., 2019; Narver and Slater, 1990). Ma</w:t>
      </w:r>
      <w:r>
        <w:rPr>
          <w:w w:val="105"/>
        </w:rPr>
        <w:t>rket orientation, from a market intelligence perspective, encompasses the organization-wide generation, dissemination, and responsiveness to market intelligence</w:t>
      </w:r>
      <w:r>
        <w:rPr>
          <w:spacing w:val="-7"/>
          <w:w w:val="105"/>
        </w:rPr>
        <w:t xml:space="preserve"> </w:t>
      </w:r>
      <w:r>
        <w:rPr>
          <w:w w:val="105"/>
        </w:rPr>
        <w:t>(Jaworski</w:t>
      </w:r>
      <w:r>
        <w:rPr>
          <w:spacing w:val="-3"/>
          <w:w w:val="105"/>
        </w:rPr>
        <w:t xml:space="preserve"> </w:t>
      </w:r>
      <w:r>
        <w:rPr>
          <w:w w:val="105"/>
        </w:rPr>
        <w:t>&amp;</w:t>
      </w:r>
      <w:r>
        <w:rPr>
          <w:spacing w:val="-1"/>
          <w:w w:val="105"/>
        </w:rPr>
        <w:t xml:space="preserve"> </w:t>
      </w:r>
      <w:r>
        <w:rPr>
          <w:w w:val="105"/>
        </w:rPr>
        <w:t>Kohli,</w:t>
      </w:r>
      <w:r>
        <w:rPr>
          <w:spacing w:val="-5"/>
          <w:w w:val="105"/>
        </w:rPr>
        <w:t xml:space="preserve"> </w:t>
      </w:r>
      <w:r>
        <w:rPr>
          <w:w w:val="105"/>
        </w:rPr>
        <w:t>1993).</w:t>
      </w:r>
      <w:r>
        <w:rPr>
          <w:spacing w:val="-11"/>
          <w:w w:val="105"/>
        </w:rPr>
        <w:t xml:space="preserve"> </w:t>
      </w:r>
      <w:r>
        <w:rPr>
          <w:w w:val="105"/>
        </w:rPr>
        <w:t>It</w:t>
      </w:r>
      <w:r>
        <w:rPr>
          <w:spacing w:val="-11"/>
          <w:w w:val="105"/>
        </w:rPr>
        <w:t xml:space="preserve"> </w:t>
      </w:r>
      <w:r>
        <w:rPr>
          <w:w w:val="105"/>
        </w:rPr>
        <w:t>involves</w:t>
      </w:r>
      <w:r>
        <w:rPr>
          <w:spacing w:val="-9"/>
          <w:w w:val="105"/>
        </w:rPr>
        <w:t xml:space="preserve"> </w:t>
      </w:r>
      <w:r>
        <w:rPr>
          <w:w w:val="105"/>
        </w:rPr>
        <w:t>acquiring</w:t>
      </w:r>
      <w:r>
        <w:rPr>
          <w:spacing w:val="-13"/>
          <w:w w:val="105"/>
        </w:rPr>
        <w:t xml:space="preserve"> </w:t>
      </w:r>
      <w:r>
        <w:rPr>
          <w:w w:val="105"/>
        </w:rPr>
        <w:t>knowledge</w:t>
      </w:r>
      <w:r>
        <w:rPr>
          <w:spacing w:val="-1"/>
          <w:w w:val="105"/>
        </w:rPr>
        <w:t xml:space="preserve"> </w:t>
      </w:r>
      <w:r>
        <w:rPr>
          <w:w w:val="105"/>
        </w:rPr>
        <w:t>of</w:t>
      </w:r>
      <w:r>
        <w:rPr>
          <w:spacing w:val="-9"/>
          <w:w w:val="105"/>
        </w:rPr>
        <w:t xml:space="preserve"> </w:t>
      </w:r>
      <w:r>
        <w:rPr>
          <w:w w:val="105"/>
        </w:rPr>
        <w:t>customers'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49"/>
        <w:jc w:val="both"/>
      </w:pPr>
      <w:r>
        <w:rPr>
          <w:w w:val="105"/>
        </w:rPr>
        <w:t>current</w:t>
      </w:r>
      <w:r>
        <w:rPr>
          <w:spacing w:val="-8"/>
          <w:w w:val="105"/>
        </w:rPr>
        <w:t xml:space="preserve"> </w:t>
      </w:r>
      <w:r>
        <w:rPr>
          <w:w w:val="105"/>
        </w:rPr>
        <w:t>and</w:t>
      </w:r>
      <w:r>
        <w:rPr>
          <w:spacing w:val="-9"/>
          <w:w w:val="105"/>
        </w:rPr>
        <w:t xml:space="preserve"> </w:t>
      </w:r>
      <w:r>
        <w:rPr>
          <w:w w:val="105"/>
        </w:rPr>
        <w:t>future</w:t>
      </w:r>
      <w:r>
        <w:rPr>
          <w:spacing w:val="-10"/>
          <w:w w:val="105"/>
        </w:rPr>
        <w:t xml:space="preserve"> </w:t>
      </w:r>
      <w:r>
        <w:rPr>
          <w:w w:val="105"/>
        </w:rPr>
        <w:t>needs,</w:t>
      </w:r>
      <w:r>
        <w:rPr>
          <w:spacing w:val="-8"/>
          <w:w w:val="105"/>
        </w:rPr>
        <w:t xml:space="preserve"> </w:t>
      </w:r>
      <w:r>
        <w:rPr>
          <w:w w:val="105"/>
        </w:rPr>
        <w:t>monitoring</w:t>
      </w:r>
      <w:r>
        <w:rPr>
          <w:spacing w:val="-9"/>
          <w:w w:val="105"/>
        </w:rPr>
        <w:t xml:space="preserve"> </w:t>
      </w:r>
      <w:r>
        <w:rPr>
          <w:w w:val="105"/>
        </w:rPr>
        <w:t>competition,</w:t>
      </w:r>
      <w:r>
        <w:rPr>
          <w:spacing w:val="-8"/>
          <w:w w:val="105"/>
        </w:rPr>
        <w:t xml:space="preserve"> </w:t>
      </w:r>
      <w:r>
        <w:rPr>
          <w:w w:val="105"/>
        </w:rPr>
        <w:t>and</w:t>
      </w:r>
      <w:r>
        <w:rPr>
          <w:spacing w:val="-9"/>
          <w:w w:val="105"/>
        </w:rPr>
        <w:t xml:space="preserve"> </w:t>
      </w:r>
      <w:r>
        <w:rPr>
          <w:w w:val="105"/>
        </w:rPr>
        <w:t>sharing this</w:t>
      </w:r>
      <w:r>
        <w:rPr>
          <w:spacing w:val="-11"/>
          <w:w w:val="105"/>
        </w:rPr>
        <w:t xml:space="preserve"> </w:t>
      </w:r>
      <w:r>
        <w:rPr>
          <w:w w:val="105"/>
        </w:rPr>
        <w:t>information</w:t>
      </w:r>
      <w:r>
        <w:rPr>
          <w:spacing w:val="-9"/>
          <w:w w:val="105"/>
        </w:rPr>
        <w:t xml:space="preserve"> </w:t>
      </w:r>
      <w:r>
        <w:rPr>
          <w:w w:val="105"/>
        </w:rPr>
        <w:t>across departments for better decision-making and value creation (Royo-Vela et al., 2022; Najafi-Tavani et al., 2016).</w:t>
      </w:r>
    </w:p>
    <w:p w:rsidR="00487D64" w:rsidRDefault="006F0D93">
      <w:pPr>
        <w:pStyle w:val="BodyText"/>
        <w:spacing w:before="245" w:line="501" w:lineRule="auto"/>
        <w:ind w:left="1419" w:right="850"/>
        <w:jc w:val="both"/>
      </w:pPr>
      <w:r>
        <w:rPr>
          <w:w w:val="105"/>
        </w:rPr>
        <w:t>Market orientation has</w:t>
      </w:r>
      <w:r>
        <w:rPr>
          <w:spacing w:val="-1"/>
          <w:w w:val="105"/>
        </w:rPr>
        <w:t xml:space="preserve"> </w:t>
      </w:r>
      <w:r>
        <w:rPr>
          <w:w w:val="105"/>
        </w:rPr>
        <w:t>been</w:t>
      </w:r>
      <w:r>
        <w:rPr>
          <w:spacing w:val="-5"/>
          <w:w w:val="105"/>
        </w:rPr>
        <w:t xml:space="preserve"> </w:t>
      </w:r>
      <w:r>
        <w:rPr>
          <w:w w:val="105"/>
        </w:rPr>
        <w:t>identified</w:t>
      </w:r>
      <w:r>
        <w:rPr>
          <w:spacing w:val="-5"/>
          <w:w w:val="105"/>
        </w:rPr>
        <w:t xml:space="preserve"> </w:t>
      </w:r>
      <w:r>
        <w:rPr>
          <w:w w:val="105"/>
        </w:rPr>
        <w:t>as</w:t>
      </w:r>
      <w:r>
        <w:rPr>
          <w:spacing w:val="-1"/>
          <w:w w:val="105"/>
        </w:rPr>
        <w:t xml:space="preserve"> </w:t>
      </w:r>
      <w:r>
        <w:rPr>
          <w:w w:val="105"/>
        </w:rPr>
        <w:t>a strategic</w:t>
      </w:r>
      <w:r>
        <w:rPr>
          <w:spacing w:val="-6"/>
          <w:w w:val="105"/>
        </w:rPr>
        <w:t xml:space="preserve"> </w:t>
      </w:r>
      <w:r>
        <w:rPr>
          <w:w w:val="105"/>
        </w:rPr>
        <w:t>resource</w:t>
      </w:r>
      <w:r>
        <w:rPr>
          <w:spacing w:val="-6"/>
          <w:w w:val="105"/>
        </w:rPr>
        <w:t xml:space="preserve"> </w:t>
      </w:r>
      <w:r>
        <w:rPr>
          <w:w w:val="105"/>
        </w:rPr>
        <w:t>that</w:t>
      </w:r>
      <w:r>
        <w:rPr>
          <w:spacing w:val="-3"/>
          <w:w w:val="105"/>
        </w:rPr>
        <w:t xml:space="preserve"> </w:t>
      </w:r>
      <w:r>
        <w:rPr>
          <w:w w:val="105"/>
        </w:rPr>
        <w:t>impacts</w:t>
      </w:r>
      <w:r>
        <w:rPr>
          <w:spacing w:val="-7"/>
          <w:w w:val="105"/>
        </w:rPr>
        <w:t xml:space="preserve"> </w:t>
      </w:r>
      <w:r>
        <w:rPr>
          <w:w w:val="105"/>
        </w:rPr>
        <w:t>innovation and new product performance (Morgan and Anokhin, 2020; Najafi-Tavani et al., 2013).</w:t>
      </w:r>
      <w:r>
        <w:rPr>
          <w:spacing w:val="-5"/>
          <w:w w:val="105"/>
        </w:rPr>
        <w:t xml:space="preserve"> </w:t>
      </w:r>
      <w:r>
        <w:rPr>
          <w:w w:val="105"/>
        </w:rPr>
        <w:t>Companies with</w:t>
      </w:r>
      <w:r>
        <w:rPr>
          <w:spacing w:val="-7"/>
          <w:w w:val="105"/>
        </w:rPr>
        <w:t xml:space="preserve"> </w:t>
      </w:r>
      <w:r>
        <w:rPr>
          <w:w w:val="105"/>
        </w:rPr>
        <w:t>a market orientation</w:t>
      </w:r>
      <w:r>
        <w:rPr>
          <w:spacing w:val="-1"/>
          <w:w w:val="105"/>
        </w:rPr>
        <w:t xml:space="preserve"> </w:t>
      </w:r>
      <w:r>
        <w:rPr>
          <w:w w:val="105"/>
        </w:rPr>
        <w:t>gain</w:t>
      </w:r>
      <w:r>
        <w:rPr>
          <w:spacing w:val="-7"/>
          <w:w w:val="105"/>
        </w:rPr>
        <w:t xml:space="preserve"> </w:t>
      </w:r>
      <w:r>
        <w:rPr>
          <w:w w:val="105"/>
        </w:rPr>
        <w:t>a deep</w:t>
      </w:r>
      <w:r>
        <w:rPr>
          <w:spacing w:val="-7"/>
          <w:w w:val="105"/>
        </w:rPr>
        <w:t xml:space="preserve"> </w:t>
      </w:r>
      <w:r>
        <w:rPr>
          <w:w w:val="105"/>
        </w:rPr>
        <w:t>understanding</w:t>
      </w:r>
      <w:r>
        <w:rPr>
          <w:spacing w:val="-1"/>
          <w:w w:val="105"/>
        </w:rPr>
        <w:t xml:space="preserve"> </w:t>
      </w:r>
      <w:r>
        <w:rPr>
          <w:w w:val="105"/>
        </w:rPr>
        <w:t>of</w:t>
      </w:r>
      <w:r>
        <w:rPr>
          <w:spacing w:val="-4"/>
          <w:w w:val="105"/>
        </w:rPr>
        <w:t xml:space="preserve"> </w:t>
      </w:r>
      <w:r>
        <w:rPr>
          <w:w w:val="105"/>
        </w:rPr>
        <w:t>customers' needs and introduce new products that align with the target mar</w:t>
      </w:r>
      <w:r>
        <w:rPr>
          <w:w w:val="105"/>
        </w:rPr>
        <w:t>ket (Morgan et al., 2019). By disseminating market intelligence across departments and responding effectively to market demands, these firms ensure that new products meet customer expectations before commercialization (Guo et al., 2018). This approach resu</w:t>
      </w:r>
      <w:r>
        <w:rPr>
          <w:w w:val="105"/>
        </w:rPr>
        <w:t>lts in higher</w:t>
      </w:r>
      <w:r>
        <w:rPr>
          <w:spacing w:val="-5"/>
          <w:w w:val="105"/>
        </w:rPr>
        <w:t xml:space="preserve"> </w:t>
      </w:r>
      <w:r>
        <w:rPr>
          <w:w w:val="105"/>
        </w:rPr>
        <w:t>product-market</w:t>
      </w:r>
      <w:r>
        <w:rPr>
          <w:spacing w:val="-1"/>
          <w:w w:val="105"/>
        </w:rPr>
        <w:t xml:space="preserve"> </w:t>
      </w:r>
      <w:r>
        <w:rPr>
          <w:w w:val="105"/>
        </w:rPr>
        <w:t>fit</w:t>
      </w:r>
      <w:r>
        <w:rPr>
          <w:spacing w:val="-13"/>
          <w:w w:val="105"/>
        </w:rPr>
        <w:t xml:space="preserve"> </w:t>
      </w:r>
      <w:r>
        <w:rPr>
          <w:w w:val="105"/>
        </w:rPr>
        <w:t>and</w:t>
      </w:r>
      <w:r>
        <w:rPr>
          <w:spacing w:val="-3"/>
          <w:w w:val="105"/>
        </w:rPr>
        <w:t xml:space="preserve"> </w:t>
      </w:r>
      <w:r>
        <w:rPr>
          <w:w w:val="105"/>
        </w:rPr>
        <w:t>superior</w:t>
      </w:r>
      <w:r>
        <w:rPr>
          <w:spacing w:val="-5"/>
          <w:w w:val="105"/>
        </w:rPr>
        <w:t xml:space="preserve"> </w:t>
      </w:r>
      <w:r>
        <w:rPr>
          <w:w w:val="105"/>
        </w:rPr>
        <w:t>new</w:t>
      </w:r>
      <w:r>
        <w:rPr>
          <w:spacing w:val="-4"/>
          <w:w w:val="105"/>
        </w:rPr>
        <w:t xml:space="preserve"> </w:t>
      </w:r>
      <w:r>
        <w:rPr>
          <w:w w:val="105"/>
        </w:rPr>
        <w:t>product</w:t>
      </w:r>
      <w:r>
        <w:rPr>
          <w:spacing w:val="-7"/>
          <w:w w:val="105"/>
        </w:rPr>
        <w:t xml:space="preserve"> </w:t>
      </w:r>
      <w:r>
        <w:rPr>
          <w:w w:val="105"/>
        </w:rPr>
        <w:t>performance</w:t>
      </w:r>
      <w:r>
        <w:rPr>
          <w:spacing w:val="-10"/>
          <w:w w:val="105"/>
        </w:rPr>
        <w:t xml:space="preserve"> </w:t>
      </w:r>
      <w:r>
        <w:rPr>
          <w:w w:val="105"/>
        </w:rPr>
        <w:t>outcomes</w:t>
      </w:r>
      <w:r>
        <w:rPr>
          <w:spacing w:val="-11"/>
          <w:w w:val="105"/>
        </w:rPr>
        <w:t xml:space="preserve"> </w:t>
      </w:r>
      <w:r>
        <w:rPr>
          <w:w w:val="105"/>
        </w:rPr>
        <w:t>(Dogbe</w:t>
      </w:r>
      <w:r>
        <w:rPr>
          <w:spacing w:val="-10"/>
          <w:w w:val="105"/>
        </w:rPr>
        <w:t xml:space="preserve"> </w:t>
      </w:r>
      <w:r>
        <w:rPr>
          <w:w w:val="105"/>
        </w:rPr>
        <w:t>et al., 2020; Guo et al., 2018; Morgan et al., 2019). Furthermore, the dissemination of market</w:t>
      </w:r>
      <w:r>
        <w:rPr>
          <w:spacing w:val="-9"/>
          <w:w w:val="105"/>
        </w:rPr>
        <w:t xml:space="preserve"> </w:t>
      </w:r>
      <w:r>
        <w:rPr>
          <w:w w:val="105"/>
        </w:rPr>
        <w:t>intelligence</w:t>
      </w:r>
      <w:r>
        <w:rPr>
          <w:spacing w:val="-12"/>
          <w:w w:val="105"/>
        </w:rPr>
        <w:t xml:space="preserve"> </w:t>
      </w:r>
      <w:r>
        <w:rPr>
          <w:w w:val="105"/>
        </w:rPr>
        <w:t>improves</w:t>
      </w:r>
      <w:r>
        <w:rPr>
          <w:spacing w:val="-7"/>
          <w:w w:val="105"/>
        </w:rPr>
        <w:t xml:space="preserve"> </w:t>
      </w:r>
      <w:r>
        <w:rPr>
          <w:w w:val="105"/>
        </w:rPr>
        <w:t>communication,</w:t>
      </w:r>
      <w:r>
        <w:rPr>
          <w:spacing w:val="-4"/>
          <w:w w:val="105"/>
        </w:rPr>
        <w:t xml:space="preserve"> </w:t>
      </w:r>
      <w:r>
        <w:rPr>
          <w:w w:val="105"/>
        </w:rPr>
        <w:t>collaboration,</w:t>
      </w:r>
      <w:r>
        <w:rPr>
          <w:spacing w:val="-9"/>
          <w:w w:val="105"/>
        </w:rPr>
        <w:t xml:space="preserve"> </w:t>
      </w:r>
      <w:r>
        <w:rPr>
          <w:w w:val="105"/>
        </w:rPr>
        <w:t>and</w:t>
      </w:r>
      <w:r>
        <w:rPr>
          <w:spacing w:val="-11"/>
          <w:w w:val="105"/>
        </w:rPr>
        <w:t xml:space="preserve"> </w:t>
      </w:r>
      <w:r>
        <w:rPr>
          <w:w w:val="105"/>
        </w:rPr>
        <w:t>commitment</w:t>
      </w:r>
      <w:r>
        <w:rPr>
          <w:spacing w:val="-9"/>
          <w:w w:val="105"/>
        </w:rPr>
        <w:t xml:space="preserve"> </w:t>
      </w:r>
      <w:r>
        <w:rPr>
          <w:w w:val="105"/>
        </w:rPr>
        <w:t>among departments, enhancing the firm's overall innovation capabilities (Zhang and Zhu, 2016). Market-oriented companies, by developing products based on customers' needs</w:t>
      </w:r>
      <w:r>
        <w:rPr>
          <w:spacing w:val="-1"/>
          <w:w w:val="105"/>
        </w:rPr>
        <w:t xml:space="preserve"> </w:t>
      </w:r>
      <w:r>
        <w:rPr>
          <w:w w:val="105"/>
        </w:rPr>
        <w:t xml:space="preserve">and preferences, which are the principal drivers of new product development, achieve </w:t>
      </w:r>
      <w:r>
        <w:rPr>
          <w:w w:val="105"/>
        </w:rPr>
        <w:t>higher levels of performance (Dogbe et al., 2020; Guo et al., 2018; Zhang and Zhu, 2016).</w:t>
      </w:r>
    </w:p>
    <w:p w:rsidR="00487D64" w:rsidRDefault="006F0D93">
      <w:pPr>
        <w:pStyle w:val="BodyText"/>
        <w:spacing w:before="237" w:line="499" w:lineRule="auto"/>
        <w:ind w:left="1419" w:right="854"/>
        <w:jc w:val="both"/>
      </w:pPr>
      <w:r>
        <w:rPr>
          <w:w w:val="105"/>
        </w:rPr>
        <w:t>Scholars have debated the conceptualization of market orientation, with some viewing it as a managerial decision-making practice and others emphasizing its organizati</w:t>
      </w:r>
      <w:r>
        <w:rPr>
          <w:w w:val="105"/>
        </w:rPr>
        <w:t>onal culture aspects (Narver and Slater, 1990). While market orientation comprises</w:t>
      </w:r>
      <w:r>
        <w:rPr>
          <w:spacing w:val="-1"/>
          <w:w w:val="105"/>
        </w:rPr>
        <w:t xml:space="preserve"> </w:t>
      </w:r>
      <w:r>
        <w:rPr>
          <w:w w:val="105"/>
        </w:rPr>
        <w:t>three components,</w:t>
      </w:r>
      <w:r>
        <w:rPr>
          <w:spacing w:val="-3"/>
          <w:w w:val="105"/>
        </w:rPr>
        <w:t xml:space="preserve"> </w:t>
      </w:r>
      <w:r>
        <w:rPr>
          <w:w w:val="105"/>
        </w:rPr>
        <w:t>including competitor orientation, customer orientation, and inter-functional coordination (Slater and Narver, 1994), the distinction between</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4"/>
        <w:jc w:val="both"/>
      </w:pPr>
      <w:r>
        <w:rPr>
          <w:w w:val="105"/>
        </w:rPr>
        <w:t>customer orientation and market orientation has been a topic of discussion (</w:t>
      </w:r>
      <w:r>
        <w:rPr>
          <w:spacing w:val="-16"/>
          <w:w w:val="105"/>
        </w:rPr>
        <w:t xml:space="preserve"> </w:t>
      </w:r>
      <w:r>
        <w:rPr>
          <w:w w:val="105"/>
        </w:rPr>
        <w:t xml:space="preserve">Royo- Vela et al., 2022). Market orientation, focusing on obtaining information from competitors and customers and emphasizing collective efforts to create </w:t>
      </w:r>
      <w:r>
        <w:rPr>
          <w:w w:val="105"/>
        </w:rPr>
        <w:t>value, is viewed as a continuous variable crucial for understanding market needs and outperforming competitors (Morgan et al., 2019). However, the debate continues regarding the exact nature and components of market orientation, highlighting the need for f</w:t>
      </w:r>
      <w:r>
        <w:rPr>
          <w:w w:val="105"/>
        </w:rPr>
        <w:t>urther research to explore its impact on organizational performance, especially in SMEs and emerging markets (Ling et al., 2021).</w:t>
      </w:r>
    </w:p>
    <w:p w:rsidR="00487D64" w:rsidRDefault="00487D64">
      <w:pPr>
        <w:pStyle w:val="BodyText"/>
      </w:pPr>
    </w:p>
    <w:p w:rsidR="00487D64" w:rsidRDefault="00487D64">
      <w:pPr>
        <w:pStyle w:val="BodyText"/>
        <w:spacing w:before="27"/>
      </w:pPr>
    </w:p>
    <w:p w:rsidR="00487D64" w:rsidRDefault="006F0D93">
      <w:pPr>
        <w:pStyle w:val="ListParagraph"/>
        <w:numPr>
          <w:ilvl w:val="2"/>
          <w:numId w:val="16"/>
        </w:numPr>
        <w:tabs>
          <w:tab w:val="left" w:pos="2139"/>
          <w:tab w:val="left" w:pos="8587"/>
        </w:tabs>
        <w:spacing w:line="504" w:lineRule="auto"/>
        <w:ind w:left="1419" w:right="854" w:firstLine="0"/>
        <w:rPr>
          <w:b/>
          <w:sz w:val="23"/>
        </w:rPr>
      </w:pPr>
      <w:r>
        <w:rPr>
          <w:b/>
          <w:w w:val="105"/>
          <w:sz w:val="23"/>
        </w:rPr>
        <w:t>Customer</w:t>
      </w:r>
      <w:r>
        <w:rPr>
          <w:b/>
          <w:spacing w:val="80"/>
          <w:w w:val="105"/>
          <w:sz w:val="23"/>
        </w:rPr>
        <w:t xml:space="preserve"> </w:t>
      </w:r>
      <w:r>
        <w:rPr>
          <w:b/>
          <w:w w:val="105"/>
          <w:sz w:val="23"/>
        </w:rPr>
        <w:t>Orientation</w:t>
      </w:r>
      <w:r>
        <w:rPr>
          <w:b/>
          <w:spacing w:val="80"/>
          <w:w w:val="105"/>
          <w:sz w:val="23"/>
        </w:rPr>
        <w:t xml:space="preserve"> </w:t>
      </w:r>
      <w:r>
        <w:rPr>
          <w:b/>
          <w:w w:val="105"/>
          <w:sz w:val="23"/>
        </w:rPr>
        <w:t>and</w:t>
      </w:r>
      <w:r>
        <w:rPr>
          <w:b/>
          <w:spacing w:val="80"/>
          <w:w w:val="105"/>
          <w:sz w:val="23"/>
        </w:rPr>
        <w:t xml:space="preserve"> </w:t>
      </w:r>
      <w:r>
        <w:rPr>
          <w:b/>
          <w:w w:val="105"/>
          <w:sz w:val="23"/>
        </w:rPr>
        <w:t>Sustainable</w:t>
      </w:r>
      <w:r>
        <w:rPr>
          <w:b/>
          <w:spacing w:val="80"/>
          <w:w w:val="105"/>
          <w:sz w:val="23"/>
        </w:rPr>
        <w:t xml:space="preserve"> </w:t>
      </w:r>
      <w:r>
        <w:rPr>
          <w:b/>
          <w:w w:val="105"/>
          <w:sz w:val="23"/>
        </w:rPr>
        <w:t>Competitiveness</w:t>
      </w:r>
      <w:r>
        <w:rPr>
          <w:b/>
          <w:sz w:val="23"/>
        </w:rPr>
        <w:tab/>
      </w:r>
      <w:r>
        <w:rPr>
          <w:b/>
          <w:w w:val="105"/>
          <w:sz w:val="23"/>
        </w:rPr>
        <w:t>in</w:t>
      </w:r>
      <w:r>
        <w:rPr>
          <w:b/>
          <w:spacing w:val="80"/>
          <w:w w:val="105"/>
          <w:sz w:val="23"/>
        </w:rPr>
        <w:t xml:space="preserve"> </w:t>
      </w:r>
      <w:r>
        <w:rPr>
          <w:b/>
          <w:w w:val="105"/>
          <w:sz w:val="23"/>
        </w:rPr>
        <w:t xml:space="preserve">Public </w:t>
      </w:r>
      <w:r>
        <w:rPr>
          <w:b/>
          <w:spacing w:val="-2"/>
          <w:w w:val="105"/>
          <w:sz w:val="23"/>
        </w:rPr>
        <w:t>Procurement</w:t>
      </w:r>
    </w:p>
    <w:p w:rsidR="00487D64" w:rsidRDefault="006F0D93">
      <w:pPr>
        <w:pStyle w:val="BodyText"/>
        <w:spacing w:line="248" w:lineRule="exact"/>
        <w:ind w:left="1419"/>
        <w:jc w:val="both"/>
      </w:pPr>
      <w:r>
        <w:rPr>
          <w:w w:val="105"/>
        </w:rPr>
        <w:t>Customer</w:t>
      </w:r>
      <w:r>
        <w:rPr>
          <w:spacing w:val="-1"/>
          <w:w w:val="105"/>
        </w:rPr>
        <w:t xml:space="preserve"> </w:t>
      </w:r>
      <w:r>
        <w:rPr>
          <w:w w:val="105"/>
        </w:rPr>
        <w:t>orientation,</w:t>
      </w:r>
      <w:r>
        <w:rPr>
          <w:spacing w:val="-2"/>
          <w:w w:val="105"/>
        </w:rPr>
        <w:t xml:space="preserve"> </w:t>
      </w:r>
      <w:r>
        <w:rPr>
          <w:w w:val="105"/>
        </w:rPr>
        <w:t>a</w:t>
      </w:r>
      <w:r>
        <w:rPr>
          <w:spacing w:val="7"/>
          <w:w w:val="105"/>
        </w:rPr>
        <w:t xml:space="preserve"> </w:t>
      </w:r>
      <w:r>
        <w:rPr>
          <w:w w:val="105"/>
        </w:rPr>
        <w:t>critical</w:t>
      </w:r>
      <w:r>
        <w:rPr>
          <w:spacing w:val="4"/>
          <w:w w:val="105"/>
        </w:rPr>
        <w:t xml:space="preserve"> </w:t>
      </w:r>
      <w:r>
        <w:rPr>
          <w:w w:val="105"/>
        </w:rPr>
        <w:t>component</w:t>
      </w:r>
      <w:r>
        <w:rPr>
          <w:spacing w:val="5"/>
          <w:w w:val="105"/>
        </w:rPr>
        <w:t xml:space="preserve"> </w:t>
      </w:r>
      <w:r>
        <w:rPr>
          <w:w w:val="105"/>
        </w:rPr>
        <w:t>of</w:t>
      </w:r>
      <w:r>
        <w:rPr>
          <w:spacing w:val="-1"/>
          <w:w w:val="105"/>
        </w:rPr>
        <w:t xml:space="preserve"> </w:t>
      </w:r>
      <w:r>
        <w:rPr>
          <w:w w:val="105"/>
        </w:rPr>
        <w:t>market</w:t>
      </w:r>
      <w:r>
        <w:rPr>
          <w:spacing w:val="5"/>
          <w:w w:val="105"/>
        </w:rPr>
        <w:t xml:space="preserve"> </w:t>
      </w:r>
      <w:r>
        <w:rPr>
          <w:w w:val="105"/>
        </w:rPr>
        <w:t>orientation,</w:t>
      </w:r>
      <w:r>
        <w:rPr>
          <w:spacing w:val="8"/>
          <w:w w:val="105"/>
        </w:rPr>
        <w:t xml:space="preserve"> </w:t>
      </w:r>
      <w:r>
        <w:rPr>
          <w:w w:val="105"/>
        </w:rPr>
        <w:t>is central</w:t>
      </w:r>
      <w:r>
        <w:rPr>
          <w:spacing w:val="-1"/>
          <w:w w:val="105"/>
        </w:rPr>
        <w:t xml:space="preserve"> </w:t>
      </w:r>
      <w:r>
        <w:rPr>
          <w:w w:val="105"/>
        </w:rPr>
        <w:t>in</w:t>
      </w:r>
      <w:r>
        <w:rPr>
          <w:spacing w:val="-4"/>
          <w:w w:val="105"/>
        </w:rPr>
        <w:t xml:space="preserve"> </w:t>
      </w:r>
      <w:r>
        <w:rPr>
          <w:spacing w:val="-2"/>
          <w:w w:val="105"/>
        </w:rPr>
        <w:t>public</w:t>
      </w:r>
    </w:p>
    <w:p w:rsidR="00487D64" w:rsidRDefault="00487D64">
      <w:pPr>
        <w:pStyle w:val="BodyText"/>
        <w:spacing w:before="25"/>
      </w:pPr>
    </w:p>
    <w:p w:rsidR="00487D64" w:rsidRDefault="006F0D93">
      <w:pPr>
        <w:pStyle w:val="BodyText"/>
        <w:spacing w:line="501" w:lineRule="auto"/>
        <w:ind w:left="1419" w:right="846"/>
        <w:jc w:val="both"/>
      </w:pPr>
      <w:r>
        <w:rPr>
          <w:w w:val="105"/>
        </w:rPr>
        <w:t>procurement environments where</w:t>
      </w:r>
      <w:r>
        <w:rPr>
          <w:spacing w:val="-4"/>
          <w:w w:val="105"/>
        </w:rPr>
        <w:t xml:space="preserve"> </w:t>
      </w:r>
      <w:r>
        <w:rPr>
          <w:w w:val="105"/>
        </w:rPr>
        <w:t>compliance with</w:t>
      </w:r>
      <w:r>
        <w:rPr>
          <w:spacing w:val="-9"/>
          <w:w w:val="105"/>
        </w:rPr>
        <w:t xml:space="preserve"> </w:t>
      </w:r>
      <w:r>
        <w:rPr>
          <w:w w:val="105"/>
        </w:rPr>
        <w:t>regulations</w:t>
      </w:r>
      <w:r>
        <w:rPr>
          <w:spacing w:val="-5"/>
          <w:w w:val="105"/>
        </w:rPr>
        <w:t xml:space="preserve"> </w:t>
      </w:r>
      <w:r>
        <w:rPr>
          <w:w w:val="105"/>
        </w:rPr>
        <w:t>and</w:t>
      </w:r>
      <w:r>
        <w:rPr>
          <w:spacing w:val="-9"/>
          <w:w w:val="105"/>
        </w:rPr>
        <w:t xml:space="preserve"> </w:t>
      </w:r>
      <w:r>
        <w:rPr>
          <w:w w:val="105"/>
        </w:rPr>
        <w:t>responsiveness</w:t>
      </w:r>
      <w:r>
        <w:rPr>
          <w:spacing w:val="-5"/>
          <w:w w:val="105"/>
        </w:rPr>
        <w:t xml:space="preserve"> </w:t>
      </w:r>
      <w:r>
        <w:rPr>
          <w:w w:val="105"/>
        </w:rPr>
        <w:t>to client needs</w:t>
      </w:r>
      <w:r>
        <w:rPr>
          <w:spacing w:val="-8"/>
          <w:w w:val="105"/>
        </w:rPr>
        <w:t xml:space="preserve"> </w:t>
      </w:r>
      <w:r>
        <w:rPr>
          <w:w w:val="105"/>
        </w:rPr>
        <w:t>are</w:t>
      </w:r>
      <w:r>
        <w:rPr>
          <w:spacing w:val="-1"/>
          <w:w w:val="105"/>
        </w:rPr>
        <w:t xml:space="preserve"> </w:t>
      </w:r>
      <w:r>
        <w:rPr>
          <w:w w:val="105"/>
        </w:rPr>
        <w:t>prerequisites</w:t>
      </w:r>
      <w:r>
        <w:rPr>
          <w:spacing w:val="-8"/>
          <w:w w:val="105"/>
        </w:rPr>
        <w:t xml:space="preserve"> </w:t>
      </w:r>
      <w:r>
        <w:rPr>
          <w:w w:val="105"/>
        </w:rPr>
        <w:t>for success.</w:t>
      </w:r>
      <w:r>
        <w:rPr>
          <w:spacing w:val="-4"/>
          <w:w w:val="105"/>
        </w:rPr>
        <w:t xml:space="preserve"> </w:t>
      </w:r>
      <w:r>
        <w:rPr>
          <w:w w:val="105"/>
        </w:rPr>
        <w:t>Defined</w:t>
      </w:r>
      <w:r>
        <w:rPr>
          <w:spacing w:val="-6"/>
          <w:w w:val="105"/>
        </w:rPr>
        <w:t xml:space="preserve"> </w:t>
      </w:r>
      <w:r>
        <w:rPr>
          <w:w w:val="105"/>
        </w:rPr>
        <w:t>as</w:t>
      </w:r>
      <w:r>
        <w:rPr>
          <w:spacing w:val="-8"/>
          <w:w w:val="105"/>
        </w:rPr>
        <w:t xml:space="preserve"> </w:t>
      </w:r>
      <w:r>
        <w:rPr>
          <w:w w:val="105"/>
        </w:rPr>
        <w:t>the</w:t>
      </w:r>
      <w:r>
        <w:rPr>
          <w:spacing w:val="-1"/>
          <w:w w:val="105"/>
        </w:rPr>
        <w:t xml:space="preserve"> </w:t>
      </w:r>
      <w:r>
        <w:rPr>
          <w:w w:val="105"/>
        </w:rPr>
        <w:t>firm's</w:t>
      </w:r>
      <w:r>
        <w:rPr>
          <w:spacing w:val="-1"/>
          <w:w w:val="105"/>
        </w:rPr>
        <w:t xml:space="preserve"> </w:t>
      </w:r>
      <w:r>
        <w:rPr>
          <w:w w:val="105"/>
        </w:rPr>
        <w:t>capacity</w:t>
      </w:r>
      <w:r>
        <w:rPr>
          <w:spacing w:val="-6"/>
          <w:w w:val="105"/>
        </w:rPr>
        <w:t xml:space="preserve"> </w:t>
      </w:r>
      <w:r>
        <w:rPr>
          <w:w w:val="105"/>
        </w:rPr>
        <w:t>to</w:t>
      </w:r>
      <w:r>
        <w:rPr>
          <w:spacing w:val="-6"/>
          <w:w w:val="105"/>
        </w:rPr>
        <w:t xml:space="preserve"> </w:t>
      </w:r>
      <w:r>
        <w:rPr>
          <w:w w:val="105"/>
        </w:rPr>
        <w:t>anticipate, understand, and satisfy customer requiremen</w:t>
      </w:r>
      <w:r>
        <w:rPr>
          <w:w w:val="105"/>
        </w:rPr>
        <w:t>ts, customer orientation involves systematic information gathering, dissemination, and application to create superior value (Narver &amp; Slater, 1990; Hilman &amp; Kaliappen, 2014). This strategic alignment enables SMEs to enhance service quality, strengthen rela</w:t>
      </w:r>
      <w:r>
        <w:rPr>
          <w:w w:val="105"/>
        </w:rPr>
        <w:t>tionships, and achieve sustainable competitiveness, particularly vital for special group SMEs seeking to secure and maintain procurement contracts (Grawe et al., 2009). Empirical studies strongly validate the positive impact of customer orientation on comp</w:t>
      </w:r>
      <w:r>
        <w:rPr>
          <w:w w:val="105"/>
        </w:rPr>
        <w:t>etitive outcomes. Bankole et al. (2022)</w:t>
      </w:r>
      <w:r>
        <w:rPr>
          <w:b/>
          <w:w w:val="105"/>
        </w:rPr>
        <w:t xml:space="preserve">, </w:t>
      </w:r>
      <w:r>
        <w:rPr>
          <w:w w:val="105"/>
        </w:rPr>
        <w:t>using a survey of 278 Nigerian SMEs analyzed through structural equation modeling (SEM)</w:t>
      </w:r>
      <w:r>
        <w:rPr>
          <w:b/>
          <w:w w:val="105"/>
        </w:rPr>
        <w:t xml:space="preserve">, </w:t>
      </w:r>
      <w:r>
        <w:rPr>
          <w:w w:val="105"/>
        </w:rPr>
        <w:t>found a significant relationship between</w:t>
      </w:r>
      <w:r>
        <w:rPr>
          <w:spacing w:val="40"/>
          <w:w w:val="105"/>
        </w:rPr>
        <w:t xml:space="preserve"> </w:t>
      </w:r>
      <w:r>
        <w:rPr>
          <w:w w:val="105"/>
        </w:rPr>
        <w:t>customer</w:t>
      </w:r>
      <w:r>
        <w:rPr>
          <w:spacing w:val="40"/>
          <w:w w:val="105"/>
        </w:rPr>
        <w:t xml:space="preserve"> </w:t>
      </w:r>
      <w:r>
        <w:rPr>
          <w:w w:val="105"/>
        </w:rPr>
        <w:t>orientation</w:t>
      </w:r>
      <w:r>
        <w:rPr>
          <w:spacing w:val="40"/>
          <w:w w:val="105"/>
        </w:rPr>
        <w:t xml:space="preserve"> </w:t>
      </w:r>
      <w:r>
        <w:rPr>
          <w:w w:val="105"/>
        </w:rPr>
        <w:t>and</w:t>
      </w:r>
      <w:r>
        <w:rPr>
          <w:spacing w:val="40"/>
          <w:w w:val="105"/>
        </w:rPr>
        <w:t xml:space="preserve"> </w:t>
      </w:r>
      <w:r>
        <w:rPr>
          <w:w w:val="105"/>
        </w:rPr>
        <w:t>long-term</w:t>
      </w:r>
      <w:r>
        <w:rPr>
          <w:spacing w:val="40"/>
          <w:w w:val="105"/>
        </w:rPr>
        <w:t xml:space="preserve"> </w:t>
      </w:r>
      <w:r>
        <w:rPr>
          <w:w w:val="105"/>
        </w:rPr>
        <w:t>business</w:t>
      </w:r>
      <w:r>
        <w:rPr>
          <w:spacing w:val="40"/>
          <w:w w:val="105"/>
        </w:rPr>
        <w:t xml:space="preserve"> </w:t>
      </w:r>
      <w:r>
        <w:rPr>
          <w:w w:val="105"/>
        </w:rPr>
        <w:t>sustainability,</w:t>
      </w:r>
      <w:r>
        <w:rPr>
          <w:spacing w:val="40"/>
          <w:w w:val="105"/>
        </w:rPr>
        <w:t xml:space="preserve"> </w:t>
      </w:r>
      <w:r>
        <w:rPr>
          <w:w w:val="105"/>
        </w:rPr>
        <w:t>mediated</w:t>
      </w:r>
      <w:r>
        <w:rPr>
          <w:spacing w:val="40"/>
          <w:w w:val="105"/>
        </w:rPr>
        <w:t xml:space="preserve"> </w:t>
      </w:r>
      <w:r>
        <w:rPr>
          <w:w w:val="105"/>
        </w:rPr>
        <w:t>by</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9"/>
        <w:jc w:val="both"/>
      </w:pPr>
      <w:r>
        <w:rPr>
          <w:w w:val="105"/>
        </w:rPr>
        <w:t>customer</w:t>
      </w:r>
      <w:r>
        <w:rPr>
          <w:spacing w:val="-3"/>
          <w:w w:val="105"/>
        </w:rPr>
        <w:t xml:space="preserve"> </w:t>
      </w:r>
      <w:r>
        <w:rPr>
          <w:w w:val="105"/>
        </w:rPr>
        <w:t>loyalty</w:t>
      </w:r>
      <w:r>
        <w:rPr>
          <w:spacing w:val="-7"/>
          <w:w w:val="105"/>
        </w:rPr>
        <w:t xml:space="preserve"> </w:t>
      </w:r>
      <w:r>
        <w:rPr>
          <w:w w:val="105"/>
        </w:rPr>
        <w:t>and</w:t>
      </w:r>
      <w:r>
        <w:rPr>
          <w:spacing w:val="-7"/>
          <w:w w:val="105"/>
        </w:rPr>
        <w:t xml:space="preserve"> </w:t>
      </w:r>
      <w:r>
        <w:rPr>
          <w:w w:val="105"/>
        </w:rPr>
        <w:t>brand</w:t>
      </w:r>
      <w:r>
        <w:rPr>
          <w:spacing w:val="-7"/>
          <w:w w:val="105"/>
        </w:rPr>
        <w:t xml:space="preserve"> </w:t>
      </w:r>
      <w:r>
        <w:rPr>
          <w:w w:val="105"/>
        </w:rPr>
        <w:t>differentiation.</w:t>
      </w:r>
      <w:r>
        <w:rPr>
          <w:spacing w:val="-5"/>
          <w:w w:val="105"/>
        </w:rPr>
        <w:t xml:space="preserve"> </w:t>
      </w:r>
      <w:r>
        <w:rPr>
          <w:w w:val="105"/>
        </w:rPr>
        <w:t>Similarly,</w:t>
      </w:r>
      <w:r>
        <w:rPr>
          <w:spacing w:val="-3"/>
          <w:w w:val="105"/>
        </w:rPr>
        <w:t xml:space="preserve"> </w:t>
      </w:r>
      <w:r>
        <w:rPr>
          <w:w w:val="105"/>
        </w:rPr>
        <w:t>Tseng</w:t>
      </w:r>
      <w:r>
        <w:rPr>
          <w:spacing w:val="-7"/>
          <w:w w:val="105"/>
        </w:rPr>
        <w:t xml:space="preserve"> </w:t>
      </w:r>
      <w:r>
        <w:rPr>
          <w:w w:val="105"/>
        </w:rPr>
        <w:t>et</w:t>
      </w:r>
      <w:r>
        <w:rPr>
          <w:spacing w:val="-11"/>
          <w:w w:val="105"/>
        </w:rPr>
        <w:t xml:space="preserve"> </w:t>
      </w:r>
      <w:r>
        <w:rPr>
          <w:w w:val="105"/>
        </w:rPr>
        <w:t>al.</w:t>
      </w:r>
      <w:r>
        <w:rPr>
          <w:spacing w:val="-11"/>
          <w:w w:val="105"/>
        </w:rPr>
        <w:t xml:space="preserve"> </w:t>
      </w:r>
      <w:r>
        <w:rPr>
          <w:w w:val="105"/>
        </w:rPr>
        <w:t>(2018)</w:t>
      </w:r>
      <w:r>
        <w:rPr>
          <w:spacing w:val="-6"/>
          <w:w w:val="105"/>
        </w:rPr>
        <w:t xml:space="preserve"> </w:t>
      </w:r>
      <w:r>
        <w:rPr>
          <w:w w:val="105"/>
        </w:rPr>
        <w:t>conducted</w:t>
      </w:r>
      <w:r>
        <w:rPr>
          <w:spacing w:val="-13"/>
          <w:w w:val="105"/>
        </w:rPr>
        <w:t xml:space="preserve"> </w:t>
      </w:r>
      <w:r>
        <w:rPr>
          <w:w w:val="105"/>
        </w:rPr>
        <w:t>a cross-industry survey among Taiwanese SMEs and employed Partial Least Squares Structural Equation Modeling (PLS-SEM)</w:t>
      </w:r>
      <w:r>
        <w:rPr>
          <w:b/>
          <w:w w:val="105"/>
        </w:rPr>
        <w:t xml:space="preserve">, </w:t>
      </w:r>
      <w:r>
        <w:rPr>
          <w:w w:val="105"/>
        </w:rPr>
        <w:t>demonstrating that</w:t>
      </w:r>
      <w:r>
        <w:rPr>
          <w:w w:val="105"/>
        </w:rPr>
        <w:t xml:space="preserve"> customer-oriented firms achieve higher market performance through improved customer satisfaction and innovation responsiveness. These results underscore the strategic advantage of adopting customer-centric</w:t>
      </w:r>
      <w:r>
        <w:rPr>
          <w:spacing w:val="-1"/>
          <w:w w:val="105"/>
        </w:rPr>
        <w:t xml:space="preserve"> </w:t>
      </w:r>
      <w:r>
        <w:rPr>
          <w:w w:val="105"/>
        </w:rPr>
        <w:t>practices in regulated sectors such as public</w:t>
      </w:r>
      <w:r>
        <w:rPr>
          <w:spacing w:val="-1"/>
          <w:w w:val="105"/>
        </w:rPr>
        <w:t xml:space="preserve"> </w:t>
      </w:r>
      <w:r>
        <w:rPr>
          <w:w w:val="105"/>
        </w:rPr>
        <w:t>pro</w:t>
      </w:r>
      <w:r>
        <w:rPr>
          <w:w w:val="105"/>
        </w:rPr>
        <w:t>curement. Tunc (2020)</w:t>
      </w:r>
      <w:r>
        <w:rPr>
          <w:b/>
          <w:w w:val="105"/>
        </w:rPr>
        <w:t xml:space="preserve">, </w:t>
      </w:r>
      <w:r>
        <w:rPr>
          <w:w w:val="105"/>
        </w:rPr>
        <w:t>through a qualitative case study of Turkish manufacturing SMEs</w:t>
      </w:r>
      <w:r>
        <w:rPr>
          <w:b/>
          <w:w w:val="105"/>
        </w:rPr>
        <w:t xml:space="preserve">, </w:t>
      </w:r>
      <w:r>
        <w:rPr>
          <w:w w:val="105"/>
        </w:rPr>
        <w:t>confirmed that firms prioritizing customer-specific customization recorded higher bidding success and procurement contract renewals.</w:t>
      </w:r>
    </w:p>
    <w:p w:rsidR="00487D64" w:rsidRDefault="006F0D93">
      <w:pPr>
        <w:pStyle w:val="BodyText"/>
        <w:spacing w:before="234" w:line="501" w:lineRule="auto"/>
        <w:ind w:left="1419" w:right="848"/>
        <w:jc w:val="both"/>
      </w:pPr>
      <w:r>
        <w:rPr>
          <w:w w:val="105"/>
        </w:rPr>
        <w:t>Wahyuni and Astawa (2020), who resea</w:t>
      </w:r>
      <w:r>
        <w:rPr>
          <w:w w:val="105"/>
        </w:rPr>
        <w:t>rched small and medium-sized companies (SMEs) in Indonesia, came to the realization that a firm's capacity to innovate and meet procurement quality standards</w:t>
      </w:r>
      <w:r>
        <w:rPr>
          <w:spacing w:val="-3"/>
          <w:w w:val="105"/>
        </w:rPr>
        <w:t xml:space="preserve"> </w:t>
      </w:r>
      <w:r>
        <w:rPr>
          <w:w w:val="105"/>
        </w:rPr>
        <w:t>is significantly enhanced when the organization places</w:t>
      </w:r>
      <w:r>
        <w:rPr>
          <w:spacing w:val="-8"/>
          <w:w w:val="105"/>
        </w:rPr>
        <w:t xml:space="preserve"> </w:t>
      </w:r>
      <w:r>
        <w:rPr>
          <w:w w:val="105"/>
        </w:rPr>
        <w:t>a strong emphasis</w:t>
      </w:r>
      <w:r>
        <w:rPr>
          <w:spacing w:val="-2"/>
          <w:w w:val="105"/>
        </w:rPr>
        <w:t xml:space="preserve"> </w:t>
      </w:r>
      <w:r>
        <w:rPr>
          <w:w w:val="105"/>
        </w:rPr>
        <w:t>on</w:t>
      </w:r>
      <w:r>
        <w:rPr>
          <w:spacing w:val="-6"/>
          <w:w w:val="105"/>
        </w:rPr>
        <w:t xml:space="preserve"> </w:t>
      </w:r>
      <w:r>
        <w:rPr>
          <w:w w:val="105"/>
        </w:rPr>
        <w:t>the</w:t>
      </w:r>
      <w:r>
        <w:rPr>
          <w:spacing w:val="-1"/>
          <w:w w:val="105"/>
        </w:rPr>
        <w:t xml:space="preserve"> </w:t>
      </w:r>
      <w:r>
        <w:rPr>
          <w:w w:val="105"/>
        </w:rPr>
        <w:t>customer. In order</w:t>
      </w:r>
      <w:r>
        <w:rPr>
          <w:spacing w:val="-3"/>
          <w:w w:val="105"/>
        </w:rPr>
        <w:t xml:space="preserve"> </w:t>
      </w:r>
      <w:r>
        <w:rPr>
          <w:w w:val="105"/>
        </w:rPr>
        <w:t>to provide</w:t>
      </w:r>
      <w:r>
        <w:rPr>
          <w:spacing w:val="-1"/>
          <w:w w:val="105"/>
        </w:rPr>
        <w:t xml:space="preserve"> </w:t>
      </w:r>
      <w:r>
        <w:rPr>
          <w:w w:val="105"/>
        </w:rPr>
        <w:t>support for their ideas, they utilized</w:t>
      </w:r>
      <w:r>
        <w:rPr>
          <w:spacing w:val="-1"/>
          <w:w w:val="105"/>
        </w:rPr>
        <w:t xml:space="preserve"> </w:t>
      </w:r>
      <w:r>
        <w:rPr>
          <w:w w:val="105"/>
        </w:rPr>
        <w:t>a combination of descriptive and inferential statistics. Furthermore, the findings of their research shed light on the fact that customer-oriented methods immediately</w:t>
      </w:r>
      <w:r>
        <w:rPr>
          <w:spacing w:val="-7"/>
          <w:w w:val="105"/>
        </w:rPr>
        <w:t xml:space="preserve"> </w:t>
      </w:r>
      <w:r>
        <w:rPr>
          <w:w w:val="105"/>
        </w:rPr>
        <w:t>improve</w:t>
      </w:r>
      <w:r>
        <w:rPr>
          <w:spacing w:val="-2"/>
          <w:w w:val="105"/>
        </w:rPr>
        <w:t xml:space="preserve"> </w:t>
      </w:r>
      <w:r>
        <w:rPr>
          <w:w w:val="105"/>
        </w:rPr>
        <w:t>competitive</w:t>
      </w:r>
      <w:r>
        <w:rPr>
          <w:spacing w:val="-2"/>
          <w:w w:val="105"/>
        </w:rPr>
        <w:t xml:space="preserve"> </w:t>
      </w:r>
      <w:r>
        <w:rPr>
          <w:w w:val="105"/>
        </w:rPr>
        <w:t>performance</w:t>
      </w:r>
      <w:r>
        <w:rPr>
          <w:spacing w:val="-8"/>
          <w:w w:val="105"/>
        </w:rPr>
        <w:t xml:space="preserve"> </w:t>
      </w:r>
      <w:r>
        <w:rPr>
          <w:w w:val="105"/>
        </w:rPr>
        <w:t>in</w:t>
      </w:r>
      <w:r>
        <w:rPr>
          <w:spacing w:val="-1"/>
          <w:w w:val="105"/>
        </w:rPr>
        <w:t xml:space="preserve"> </w:t>
      </w:r>
      <w:r>
        <w:rPr>
          <w:w w:val="105"/>
        </w:rPr>
        <w:t>sit</w:t>
      </w:r>
      <w:r>
        <w:rPr>
          <w:w w:val="105"/>
        </w:rPr>
        <w:t>uations</w:t>
      </w:r>
      <w:r>
        <w:rPr>
          <w:spacing w:val="-3"/>
          <w:w w:val="105"/>
        </w:rPr>
        <w:t xml:space="preserve"> </w:t>
      </w:r>
      <w:r>
        <w:rPr>
          <w:w w:val="105"/>
        </w:rPr>
        <w:t>that</w:t>
      </w:r>
      <w:r>
        <w:rPr>
          <w:spacing w:val="-6"/>
          <w:w w:val="105"/>
        </w:rPr>
        <w:t xml:space="preserve"> </w:t>
      </w:r>
      <w:r>
        <w:rPr>
          <w:w w:val="105"/>
        </w:rPr>
        <w:t>are</w:t>
      </w:r>
      <w:r>
        <w:rPr>
          <w:spacing w:val="-2"/>
          <w:w w:val="105"/>
        </w:rPr>
        <w:t xml:space="preserve"> </w:t>
      </w:r>
      <w:r>
        <w:rPr>
          <w:w w:val="105"/>
        </w:rPr>
        <w:t>characterized</w:t>
      </w:r>
      <w:r>
        <w:rPr>
          <w:spacing w:val="-1"/>
          <w:w w:val="105"/>
        </w:rPr>
        <w:t xml:space="preserve"> </w:t>
      </w:r>
      <w:r>
        <w:rPr>
          <w:w w:val="105"/>
        </w:rPr>
        <w:t>by demanding service standards</w:t>
      </w:r>
      <w:r>
        <w:rPr>
          <w:spacing w:val="-3"/>
          <w:w w:val="105"/>
        </w:rPr>
        <w:t xml:space="preserve"> </w:t>
      </w:r>
      <w:r>
        <w:rPr>
          <w:w w:val="105"/>
        </w:rPr>
        <w:t>and compliance</w:t>
      </w:r>
      <w:r>
        <w:rPr>
          <w:spacing w:val="-2"/>
          <w:w w:val="105"/>
        </w:rPr>
        <w:t xml:space="preserve"> </w:t>
      </w:r>
      <w:r>
        <w:rPr>
          <w:w w:val="105"/>
        </w:rPr>
        <w:t>requirements. Because</w:t>
      </w:r>
      <w:r>
        <w:rPr>
          <w:spacing w:val="-2"/>
          <w:w w:val="105"/>
        </w:rPr>
        <w:t xml:space="preserve"> </w:t>
      </w:r>
      <w:r>
        <w:rPr>
          <w:w w:val="105"/>
        </w:rPr>
        <w:t>of</w:t>
      </w:r>
      <w:r>
        <w:rPr>
          <w:spacing w:val="-3"/>
          <w:w w:val="105"/>
        </w:rPr>
        <w:t xml:space="preserve"> </w:t>
      </w:r>
      <w:r>
        <w:rPr>
          <w:w w:val="105"/>
        </w:rPr>
        <w:t>this,</w:t>
      </w:r>
      <w:r>
        <w:rPr>
          <w:spacing w:val="-5"/>
          <w:w w:val="105"/>
        </w:rPr>
        <w:t xml:space="preserve"> </w:t>
      </w:r>
      <w:r>
        <w:rPr>
          <w:w w:val="105"/>
        </w:rPr>
        <w:t>they</w:t>
      </w:r>
      <w:r>
        <w:rPr>
          <w:spacing w:val="-1"/>
          <w:w w:val="105"/>
        </w:rPr>
        <w:t xml:space="preserve"> </w:t>
      </w:r>
      <w:r>
        <w:rPr>
          <w:w w:val="105"/>
        </w:rPr>
        <w:t>are of utmost importance for small and medium-sized businesses (SMEs) operating within the public procurement sector.</w:t>
      </w:r>
    </w:p>
    <w:p w:rsidR="00487D64" w:rsidRDefault="006F0D93">
      <w:pPr>
        <w:pStyle w:val="BodyText"/>
        <w:spacing w:before="234" w:line="501" w:lineRule="auto"/>
        <w:ind w:left="1419" w:right="848"/>
        <w:jc w:val="both"/>
      </w:pPr>
      <w:r>
        <w:rPr>
          <w:w w:val="105"/>
        </w:rPr>
        <w:t xml:space="preserve">Additional evidence from </w:t>
      </w:r>
      <w:r>
        <w:rPr>
          <w:w w:val="105"/>
        </w:rPr>
        <w:t>Liu et al. (2020) and Lee and Wei (2023) suggests that integrating customer insights within strategic processes enables SMEs to achieve superior innovation,</w:t>
      </w:r>
      <w:r>
        <w:rPr>
          <w:spacing w:val="-8"/>
          <w:w w:val="105"/>
        </w:rPr>
        <w:t xml:space="preserve"> </w:t>
      </w:r>
      <w:r>
        <w:rPr>
          <w:w w:val="105"/>
        </w:rPr>
        <w:t>adaptability,</w:t>
      </w:r>
      <w:r>
        <w:rPr>
          <w:spacing w:val="-8"/>
          <w:w w:val="105"/>
        </w:rPr>
        <w:t xml:space="preserve"> </w:t>
      </w:r>
      <w:r>
        <w:rPr>
          <w:w w:val="105"/>
        </w:rPr>
        <w:t>and customer satisfaction,</w:t>
      </w:r>
      <w:r>
        <w:rPr>
          <w:spacing w:val="-2"/>
          <w:w w:val="105"/>
        </w:rPr>
        <w:t xml:space="preserve"> </w:t>
      </w:r>
      <w:r>
        <w:rPr>
          <w:w w:val="105"/>
        </w:rPr>
        <w:t>thereby</w:t>
      </w:r>
      <w:r>
        <w:rPr>
          <w:spacing w:val="-4"/>
          <w:w w:val="105"/>
        </w:rPr>
        <w:t xml:space="preserve"> </w:t>
      </w:r>
      <w:r>
        <w:rPr>
          <w:w w:val="105"/>
        </w:rPr>
        <w:t>reinforcing</w:t>
      </w:r>
      <w:r>
        <w:rPr>
          <w:spacing w:val="-4"/>
          <w:w w:val="105"/>
        </w:rPr>
        <w:t xml:space="preserve"> </w:t>
      </w:r>
      <w:r>
        <w:rPr>
          <w:w w:val="105"/>
        </w:rPr>
        <w:t>their competitive</w:t>
      </w:r>
      <w:r>
        <w:rPr>
          <w:spacing w:val="32"/>
          <w:w w:val="105"/>
        </w:rPr>
        <w:t xml:space="preserve"> </w:t>
      </w:r>
      <w:r>
        <w:rPr>
          <w:w w:val="105"/>
        </w:rPr>
        <w:t>position.</w:t>
      </w:r>
      <w:r>
        <w:rPr>
          <w:spacing w:val="28"/>
          <w:w w:val="105"/>
        </w:rPr>
        <w:t xml:space="preserve"> </w:t>
      </w:r>
      <w:r>
        <w:rPr>
          <w:w w:val="105"/>
        </w:rPr>
        <w:t>Aligning</w:t>
      </w:r>
      <w:r>
        <w:rPr>
          <w:spacing w:val="27"/>
          <w:w w:val="105"/>
        </w:rPr>
        <w:t xml:space="preserve"> </w:t>
      </w:r>
      <w:r>
        <w:rPr>
          <w:w w:val="105"/>
        </w:rPr>
        <w:t>with</w:t>
      </w:r>
      <w:r>
        <w:rPr>
          <w:spacing w:val="26"/>
          <w:w w:val="105"/>
        </w:rPr>
        <w:t xml:space="preserve"> </w:t>
      </w:r>
      <w:r>
        <w:rPr>
          <w:w w:val="105"/>
        </w:rPr>
        <w:t>the</w:t>
      </w:r>
      <w:r>
        <w:rPr>
          <w:spacing w:val="34"/>
          <w:w w:val="105"/>
        </w:rPr>
        <w:t xml:space="preserve"> </w:t>
      </w:r>
      <w:r>
        <w:rPr>
          <w:w w:val="105"/>
        </w:rPr>
        <w:t>resource-based</w:t>
      </w:r>
      <w:r>
        <w:rPr>
          <w:spacing w:val="33"/>
          <w:w w:val="105"/>
        </w:rPr>
        <w:t xml:space="preserve"> </w:t>
      </w:r>
      <w:r>
        <w:rPr>
          <w:w w:val="105"/>
        </w:rPr>
        <w:t>view</w:t>
      </w:r>
      <w:r>
        <w:rPr>
          <w:spacing w:val="25"/>
          <w:w w:val="105"/>
        </w:rPr>
        <w:t xml:space="preserve"> </w:t>
      </w:r>
      <w:r>
        <w:rPr>
          <w:w w:val="105"/>
        </w:rPr>
        <w:t>(Barney,</w:t>
      </w:r>
      <w:r>
        <w:rPr>
          <w:spacing w:val="28"/>
          <w:w w:val="105"/>
        </w:rPr>
        <w:t xml:space="preserve"> </w:t>
      </w:r>
      <w:r>
        <w:rPr>
          <w:w w:val="105"/>
        </w:rPr>
        <w:t>1991)</w:t>
      </w:r>
      <w:r>
        <w:rPr>
          <w:b/>
          <w:w w:val="105"/>
        </w:rPr>
        <w:t>,</w:t>
      </w:r>
      <w:r>
        <w:rPr>
          <w:b/>
          <w:spacing w:val="22"/>
          <w:w w:val="105"/>
        </w:rPr>
        <w:t xml:space="preserve"> </w:t>
      </w:r>
      <w:r>
        <w:rPr>
          <w:w w:val="105"/>
        </w:rPr>
        <w:t>such</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7"/>
        <w:jc w:val="both"/>
      </w:pPr>
      <w:r>
        <w:rPr>
          <w:w w:val="105"/>
        </w:rPr>
        <w:t>capabilities constitute dynamic resources that strengthen organizational resilience. Similarly, Islam</w:t>
      </w:r>
      <w:r>
        <w:rPr>
          <w:spacing w:val="-7"/>
          <w:w w:val="105"/>
        </w:rPr>
        <w:t xml:space="preserve"> </w:t>
      </w:r>
      <w:r>
        <w:rPr>
          <w:w w:val="105"/>
        </w:rPr>
        <w:t>and Zhe</w:t>
      </w:r>
      <w:r>
        <w:rPr>
          <w:spacing w:val="-7"/>
          <w:w w:val="105"/>
        </w:rPr>
        <w:t xml:space="preserve"> </w:t>
      </w:r>
      <w:r>
        <w:rPr>
          <w:w w:val="105"/>
        </w:rPr>
        <w:t>(2022) highlight that SMEs</w:t>
      </w:r>
      <w:r>
        <w:rPr>
          <w:spacing w:val="-2"/>
          <w:w w:val="105"/>
        </w:rPr>
        <w:t xml:space="preserve"> </w:t>
      </w:r>
      <w:r>
        <w:rPr>
          <w:w w:val="105"/>
        </w:rPr>
        <w:t>leveraging advanced customer- focused mechanism</w:t>
      </w:r>
      <w:r>
        <w:rPr>
          <w:w w:val="105"/>
        </w:rPr>
        <w:t>s such as co-creation, strategic networks, and AI-driven marketing deliver more customized solutions and sustain long-term financial performance. Complementary findings by Flight and Mudiyanselage (2021) and Kaburu et al. (2021) indicate that customer orie</w:t>
      </w:r>
      <w:r>
        <w:rPr>
          <w:w w:val="105"/>
        </w:rPr>
        <w:t>ntation drives loyalty, repeat business, and improved operational efficiency, all of which are essential for sustainable competitiveness in procurement-driven markets.</w:t>
      </w:r>
    </w:p>
    <w:p w:rsidR="00487D64" w:rsidRDefault="006F0D93">
      <w:pPr>
        <w:pStyle w:val="BodyText"/>
        <w:spacing w:before="239" w:line="501" w:lineRule="auto"/>
        <w:ind w:left="1419" w:right="852"/>
        <w:jc w:val="both"/>
      </w:pPr>
      <w:r>
        <w:rPr>
          <w:w w:val="105"/>
        </w:rPr>
        <w:t>Further, customer orientation contributes to operational efficiency, since it streamline</w:t>
      </w:r>
      <w:r>
        <w:rPr>
          <w:w w:val="105"/>
        </w:rPr>
        <w:t>s processes and eliminates tasks that are not worth the effort, thereby increasing operational efficiency (Templer et al., 2020). These efficiencies are particularly relevant in public procurement, where cost-effectiveness and quality compliance are critic</w:t>
      </w:r>
      <w:r>
        <w:rPr>
          <w:w w:val="105"/>
        </w:rPr>
        <w:t>al evaluation metrics. All together, these studies affirm that customer orientation</w:t>
      </w:r>
      <w:r>
        <w:rPr>
          <w:spacing w:val="-6"/>
          <w:w w:val="105"/>
        </w:rPr>
        <w:t xml:space="preserve"> </w:t>
      </w:r>
      <w:r>
        <w:rPr>
          <w:w w:val="105"/>
        </w:rPr>
        <w:t>is</w:t>
      </w:r>
      <w:r>
        <w:rPr>
          <w:spacing w:val="-2"/>
          <w:w w:val="105"/>
        </w:rPr>
        <w:t xml:space="preserve"> </w:t>
      </w:r>
      <w:r>
        <w:rPr>
          <w:w w:val="105"/>
        </w:rPr>
        <w:t>not only</w:t>
      </w:r>
      <w:r>
        <w:rPr>
          <w:spacing w:val="-6"/>
          <w:w w:val="105"/>
        </w:rPr>
        <w:t xml:space="preserve"> </w:t>
      </w:r>
      <w:r>
        <w:rPr>
          <w:w w:val="105"/>
        </w:rPr>
        <w:t>a function of</w:t>
      </w:r>
      <w:r>
        <w:rPr>
          <w:spacing w:val="-3"/>
          <w:w w:val="105"/>
        </w:rPr>
        <w:t xml:space="preserve"> </w:t>
      </w:r>
      <w:r>
        <w:rPr>
          <w:w w:val="105"/>
        </w:rPr>
        <w:t>marketing, but</w:t>
      </w:r>
      <w:r>
        <w:rPr>
          <w:spacing w:val="-5"/>
          <w:w w:val="105"/>
        </w:rPr>
        <w:t xml:space="preserve"> </w:t>
      </w:r>
      <w:r>
        <w:rPr>
          <w:w w:val="105"/>
        </w:rPr>
        <w:t>a strategic</w:t>
      </w:r>
      <w:r>
        <w:rPr>
          <w:spacing w:val="-7"/>
          <w:w w:val="105"/>
        </w:rPr>
        <w:t xml:space="preserve"> </w:t>
      </w:r>
      <w:r>
        <w:rPr>
          <w:w w:val="105"/>
        </w:rPr>
        <w:t>and dynamic capability that, when used in formal procurement proceedings, enhances sustainable competitiveness and busi</w:t>
      </w:r>
      <w:r>
        <w:rPr>
          <w:w w:val="105"/>
        </w:rPr>
        <w:t>ness success.</w:t>
      </w:r>
    </w:p>
    <w:p w:rsidR="00487D64" w:rsidRDefault="006F0D93">
      <w:pPr>
        <w:pStyle w:val="BodyText"/>
        <w:spacing w:before="231" w:line="501" w:lineRule="auto"/>
        <w:ind w:left="1419" w:right="854"/>
        <w:jc w:val="both"/>
      </w:pPr>
      <w:r>
        <w:rPr>
          <w:w w:val="105"/>
        </w:rPr>
        <w:t>Despite the fact that these studies offer compelling evidence that customer orientation improves</w:t>
      </w:r>
      <w:r>
        <w:rPr>
          <w:spacing w:val="-6"/>
          <w:w w:val="105"/>
        </w:rPr>
        <w:t xml:space="preserve"> </w:t>
      </w:r>
      <w:r>
        <w:rPr>
          <w:w w:val="105"/>
        </w:rPr>
        <w:t>the performance,</w:t>
      </w:r>
      <w:r>
        <w:rPr>
          <w:spacing w:val="-3"/>
          <w:w w:val="105"/>
        </w:rPr>
        <w:t xml:space="preserve"> </w:t>
      </w:r>
      <w:r>
        <w:rPr>
          <w:w w:val="105"/>
        </w:rPr>
        <w:t>innovation,</w:t>
      </w:r>
      <w:r>
        <w:rPr>
          <w:spacing w:val="-3"/>
          <w:w w:val="105"/>
        </w:rPr>
        <w:t xml:space="preserve"> </w:t>
      </w:r>
      <w:r>
        <w:rPr>
          <w:w w:val="105"/>
        </w:rPr>
        <w:t>responsiveness, and sustainability of SMEs, they do not explicitly investigate its impact in the highly regulated an</w:t>
      </w:r>
      <w:r>
        <w:rPr>
          <w:w w:val="105"/>
        </w:rPr>
        <w:t>d compliance-driven context of public procurement, particularly for special group SMEs in Tanzania.</w:t>
      </w:r>
      <w:r>
        <w:rPr>
          <w:spacing w:val="40"/>
          <w:w w:val="105"/>
        </w:rPr>
        <w:t xml:space="preserve"> </w:t>
      </w:r>
      <w:r>
        <w:rPr>
          <w:w w:val="105"/>
        </w:rPr>
        <w:t>In procurement environments where bidding success, contract renewals, and regulatory compliance are critical determinants of survival, existing research</w:t>
      </w:r>
      <w:r>
        <w:rPr>
          <w:spacing w:val="-9"/>
          <w:w w:val="105"/>
        </w:rPr>
        <w:t xml:space="preserve"> </w:t>
      </w:r>
      <w:r>
        <w:rPr>
          <w:w w:val="105"/>
        </w:rPr>
        <w:t>has</w:t>
      </w:r>
      <w:r>
        <w:rPr>
          <w:spacing w:val="-11"/>
          <w:w w:val="105"/>
        </w:rPr>
        <w:t xml:space="preserve"> </w:t>
      </w:r>
      <w:r>
        <w:rPr>
          <w:w w:val="105"/>
        </w:rPr>
        <w:t>largely</w:t>
      </w:r>
      <w:r>
        <w:rPr>
          <w:spacing w:val="-9"/>
          <w:w w:val="105"/>
        </w:rPr>
        <w:t xml:space="preserve"> </w:t>
      </w:r>
      <w:r>
        <w:rPr>
          <w:w w:val="105"/>
        </w:rPr>
        <w:t>focused</w:t>
      </w:r>
      <w:r>
        <w:rPr>
          <w:spacing w:val="-3"/>
          <w:w w:val="105"/>
        </w:rPr>
        <w:t xml:space="preserve"> </w:t>
      </w:r>
      <w:r>
        <w:rPr>
          <w:w w:val="105"/>
        </w:rPr>
        <w:t>on</w:t>
      </w:r>
      <w:r>
        <w:rPr>
          <w:spacing w:val="-3"/>
          <w:w w:val="105"/>
        </w:rPr>
        <w:t xml:space="preserve"> </w:t>
      </w:r>
      <w:r>
        <w:rPr>
          <w:w w:val="105"/>
        </w:rPr>
        <w:t>general</w:t>
      </w:r>
      <w:r>
        <w:rPr>
          <w:spacing w:val="-1"/>
          <w:w w:val="105"/>
        </w:rPr>
        <w:t xml:space="preserve"> </w:t>
      </w:r>
      <w:r>
        <w:rPr>
          <w:w w:val="105"/>
        </w:rPr>
        <w:t>business</w:t>
      </w:r>
      <w:r>
        <w:rPr>
          <w:spacing w:val="-4"/>
          <w:w w:val="105"/>
        </w:rPr>
        <w:t xml:space="preserve"> </w:t>
      </w:r>
      <w:r>
        <w:rPr>
          <w:w w:val="105"/>
        </w:rPr>
        <w:t>sustainability,</w:t>
      </w:r>
      <w:r>
        <w:rPr>
          <w:spacing w:val="-7"/>
          <w:w w:val="105"/>
        </w:rPr>
        <w:t xml:space="preserve"> </w:t>
      </w:r>
      <w:r>
        <w:rPr>
          <w:w w:val="105"/>
        </w:rPr>
        <w:t>customer</w:t>
      </w:r>
      <w:r>
        <w:rPr>
          <w:spacing w:val="-5"/>
          <w:w w:val="105"/>
        </w:rPr>
        <w:t xml:space="preserve"> </w:t>
      </w:r>
      <w:r>
        <w:rPr>
          <w:w w:val="105"/>
        </w:rPr>
        <w:t>loyalty,</w:t>
      </w:r>
      <w:r>
        <w:rPr>
          <w:spacing w:val="-7"/>
          <w:w w:val="105"/>
        </w:rPr>
        <w:t xml:space="preserve"> </w:t>
      </w:r>
      <w:r>
        <w:rPr>
          <w:w w:val="105"/>
        </w:rPr>
        <w:t>and</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3"/>
        <w:jc w:val="both"/>
      </w:pPr>
      <w:r>
        <w:rPr>
          <w:w w:val="105"/>
        </w:rPr>
        <w:t>innovation outcomes. However, it has not adequately articulated how customer orientation</w:t>
      </w:r>
      <w:r>
        <w:rPr>
          <w:spacing w:val="-10"/>
          <w:w w:val="105"/>
        </w:rPr>
        <w:t xml:space="preserve"> </w:t>
      </w:r>
      <w:r>
        <w:rPr>
          <w:w w:val="105"/>
        </w:rPr>
        <w:t>translates</w:t>
      </w:r>
      <w:r>
        <w:rPr>
          <w:spacing w:val="-12"/>
          <w:w w:val="105"/>
        </w:rPr>
        <w:t xml:space="preserve"> </w:t>
      </w:r>
      <w:r>
        <w:rPr>
          <w:w w:val="105"/>
        </w:rPr>
        <w:t>into</w:t>
      </w:r>
      <w:r>
        <w:rPr>
          <w:spacing w:val="-3"/>
          <w:w w:val="105"/>
        </w:rPr>
        <w:t xml:space="preserve"> </w:t>
      </w:r>
      <w:r>
        <w:rPr>
          <w:w w:val="105"/>
        </w:rPr>
        <w:t>sustainable</w:t>
      </w:r>
      <w:r>
        <w:rPr>
          <w:spacing w:val="-4"/>
          <w:w w:val="105"/>
        </w:rPr>
        <w:t xml:space="preserve"> </w:t>
      </w:r>
      <w:r>
        <w:rPr>
          <w:w w:val="105"/>
        </w:rPr>
        <w:t>competitiveness. This</w:t>
      </w:r>
      <w:r>
        <w:rPr>
          <w:spacing w:val="-11"/>
          <w:w w:val="105"/>
        </w:rPr>
        <w:t xml:space="preserve"> </w:t>
      </w:r>
      <w:r>
        <w:rPr>
          <w:w w:val="105"/>
        </w:rPr>
        <w:t>provides</w:t>
      </w:r>
      <w:r>
        <w:rPr>
          <w:spacing w:val="-12"/>
          <w:w w:val="105"/>
        </w:rPr>
        <w:t xml:space="preserve"> </w:t>
      </w:r>
      <w:r>
        <w:rPr>
          <w:w w:val="105"/>
        </w:rPr>
        <w:t>the</w:t>
      </w:r>
      <w:r>
        <w:rPr>
          <w:spacing w:val="-16"/>
          <w:w w:val="105"/>
        </w:rPr>
        <w:t xml:space="preserve"> </w:t>
      </w:r>
      <w:r>
        <w:rPr>
          <w:w w:val="105"/>
        </w:rPr>
        <w:t>rationale</w:t>
      </w:r>
      <w:r>
        <w:rPr>
          <w:spacing w:val="-3"/>
          <w:w w:val="105"/>
        </w:rPr>
        <w:t xml:space="preserve"> </w:t>
      </w:r>
      <w:r>
        <w:rPr>
          <w:w w:val="105"/>
        </w:rPr>
        <w:t>for hypothesizing that (Table 2.1) H1 Customer Orientation positively affects the sustainable competitiveness of special group SMEs in public procurement.</w:t>
      </w:r>
    </w:p>
    <w:p w:rsidR="00487D64" w:rsidRDefault="006F0D93">
      <w:pPr>
        <w:spacing w:before="238" w:after="37" w:line="372" w:lineRule="auto"/>
        <w:ind w:left="2982" w:right="864" w:hanging="1564"/>
        <w:jc w:val="both"/>
        <w:rPr>
          <w:b/>
          <w:sz w:val="23"/>
        </w:rPr>
      </w:pPr>
      <w:r>
        <w:rPr>
          <w:b/>
          <w:w w:val="105"/>
          <w:sz w:val="23"/>
        </w:rPr>
        <w:t>Table 2. 1: Previous studies on Customer Orientation and Sustainable Competitiveness in Pub</w:t>
      </w:r>
      <w:r>
        <w:rPr>
          <w:b/>
          <w:w w:val="105"/>
          <w:sz w:val="23"/>
        </w:rPr>
        <w:t>lic Procurement</w:t>
      </w:r>
    </w:p>
    <w:tbl>
      <w:tblPr>
        <w:tblW w:w="0" w:type="auto"/>
        <w:tblInd w:w="1383" w:type="dxa"/>
        <w:tblLayout w:type="fixed"/>
        <w:tblCellMar>
          <w:left w:w="0" w:type="dxa"/>
          <w:right w:w="0" w:type="dxa"/>
        </w:tblCellMar>
        <w:tblLook w:val="01E0" w:firstRow="1" w:lastRow="1" w:firstColumn="1" w:lastColumn="1" w:noHBand="0" w:noVBand="0"/>
      </w:tblPr>
      <w:tblGrid>
        <w:gridCol w:w="1279"/>
        <w:gridCol w:w="1928"/>
        <w:gridCol w:w="1518"/>
        <w:gridCol w:w="1542"/>
        <w:gridCol w:w="2045"/>
      </w:tblGrid>
      <w:tr w:rsidR="00487D64">
        <w:trPr>
          <w:trHeight w:val="463"/>
        </w:trPr>
        <w:tc>
          <w:tcPr>
            <w:tcW w:w="1279" w:type="dxa"/>
            <w:tcBorders>
              <w:top w:val="single" w:sz="4" w:space="0" w:color="000000"/>
            </w:tcBorders>
          </w:tcPr>
          <w:p w:rsidR="00487D64" w:rsidRDefault="006F0D93">
            <w:pPr>
              <w:pStyle w:val="TableParagraph"/>
              <w:spacing w:before="10"/>
              <w:ind w:left="194"/>
              <w:rPr>
                <w:b/>
                <w:sz w:val="18"/>
              </w:rPr>
            </w:pPr>
            <w:r>
              <w:rPr>
                <w:b/>
                <w:sz w:val="18"/>
              </w:rPr>
              <w:t>Author(s)</w:t>
            </w:r>
            <w:r>
              <w:rPr>
                <w:b/>
                <w:spacing w:val="-6"/>
                <w:sz w:val="18"/>
              </w:rPr>
              <w:t xml:space="preserve"> </w:t>
            </w:r>
            <w:r>
              <w:rPr>
                <w:b/>
                <w:spacing w:val="-10"/>
                <w:sz w:val="18"/>
              </w:rPr>
              <w:t>&amp;</w:t>
            </w:r>
          </w:p>
          <w:p w:rsidR="00487D64" w:rsidRDefault="006F0D93">
            <w:pPr>
              <w:pStyle w:val="TableParagraph"/>
              <w:tabs>
                <w:tab w:val="left" w:pos="475"/>
                <w:tab w:val="left" w:pos="8313"/>
              </w:tabs>
              <w:spacing w:before="2"/>
              <w:ind w:right="-7042"/>
              <w:rPr>
                <w:b/>
                <w:sz w:val="18"/>
              </w:rPr>
            </w:pPr>
            <w:r>
              <w:rPr>
                <w:b/>
                <w:sz w:val="18"/>
                <w:u w:val="single"/>
              </w:rPr>
              <w:tab/>
            </w:r>
            <w:r>
              <w:rPr>
                <w:b/>
                <w:spacing w:val="-4"/>
                <w:sz w:val="18"/>
                <w:u w:val="single"/>
              </w:rPr>
              <w:t>Year</w:t>
            </w:r>
            <w:r>
              <w:rPr>
                <w:b/>
                <w:sz w:val="18"/>
                <w:u w:val="single"/>
              </w:rPr>
              <w:tab/>
            </w:r>
          </w:p>
        </w:tc>
        <w:tc>
          <w:tcPr>
            <w:tcW w:w="1928" w:type="dxa"/>
            <w:tcBorders>
              <w:top w:val="single" w:sz="4" w:space="0" w:color="000000"/>
            </w:tcBorders>
          </w:tcPr>
          <w:p w:rsidR="00487D64" w:rsidRDefault="006F0D93">
            <w:pPr>
              <w:pStyle w:val="TableParagraph"/>
              <w:spacing w:before="118"/>
              <w:ind w:left="370"/>
              <w:rPr>
                <w:b/>
                <w:sz w:val="18"/>
              </w:rPr>
            </w:pPr>
            <w:r>
              <w:rPr>
                <w:b/>
                <w:spacing w:val="-2"/>
                <w:sz w:val="18"/>
              </w:rPr>
              <w:t>Objective/Focus</w:t>
            </w:r>
          </w:p>
        </w:tc>
        <w:tc>
          <w:tcPr>
            <w:tcW w:w="1518" w:type="dxa"/>
            <w:tcBorders>
              <w:top w:val="single" w:sz="4" w:space="0" w:color="000000"/>
            </w:tcBorders>
          </w:tcPr>
          <w:p w:rsidR="00487D64" w:rsidRDefault="006F0D93">
            <w:pPr>
              <w:pStyle w:val="TableParagraph"/>
              <w:spacing w:before="118"/>
              <w:ind w:left="99"/>
              <w:rPr>
                <w:b/>
                <w:sz w:val="18"/>
              </w:rPr>
            </w:pPr>
            <w:r>
              <w:rPr>
                <w:b/>
                <w:spacing w:val="-2"/>
                <w:sz w:val="18"/>
              </w:rPr>
              <w:t>Location/Context</w:t>
            </w:r>
          </w:p>
        </w:tc>
        <w:tc>
          <w:tcPr>
            <w:tcW w:w="1542" w:type="dxa"/>
            <w:tcBorders>
              <w:top w:val="single" w:sz="4" w:space="0" w:color="000000"/>
            </w:tcBorders>
          </w:tcPr>
          <w:p w:rsidR="00487D64" w:rsidRDefault="006F0D93">
            <w:pPr>
              <w:pStyle w:val="TableParagraph"/>
              <w:spacing w:before="118"/>
              <w:ind w:left="138"/>
              <w:rPr>
                <w:b/>
                <w:sz w:val="18"/>
              </w:rPr>
            </w:pPr>
            <w:r>
              <w:rPr>
                <w:b/>
                <w:spacing w:val="-2"/>
                <w:sz w:val="18"/>
              </w:rPr>
              <w:t>Method/Analysis</w:t>
            </w:r>
          </w:p>
        </w:tc>
        <w:tc>
          <w:tcPr>
            <w:tcW w:w="2045" w:type="dxa"/>
            <w:tcBorders>
              <w:top w:val="single" w:sz="4" w:space="0" w:color="000000"/>
            </w:tcBorders>
          </w:tcPr>
          <w:p w:rsidR="00487D64" w:rsidRDefault="006F0D93">
            <w:pPr>
              <w:pStyle w:val="TableParagraph"/>
              <w:spacing w:before="118"/>
              <w:ind w:left="44"/>
              <w:rPr>
                <w:b/>
                <w:sz w:val="18"/>
              </w:rPr>
            </w:pPr>
            <w:r>
              <w:rPr>
                <w:b/>
                <w:sz w:val="18"/>
              </w:rPr>
              <w:t>Key</w:t>
            </w:r>
            <w:r>
              <w:rPr>
                <w:b/>
                <w:spacing w:val="-4"/>
                <w:sz w:val="18"/>
              </w:rPr>
              <w:t xml:space="preserve"> </w:t>
            </w:r>
            <w:r>
              <w:rPr>
                <w:b/>
                <w:spacing w:val="-2"/>
                <w:sz w:val="18"/>
              </w:rPr>
              <w:t>Findings</w:t>
            </w:r>
          </w:p>
        </w:tc>
      </w:tr>
      <w:tr w:rsidR="00487D64">
        <w:trPr>
          <w:trHeight w:val="1098"/>
        </w:trPr>
        <w:tc>
          <w:tcPr>
            <w:tcW w:w="1279" w:type="dxa"/>
          </w:tcPr>
          <w:p w:rsidR="00487D64" w:rsidRDefault="00487D64">
            <w:pPr>
              <w:pStyle w:val="TableParagraph"/>
              <w:spacing w:before="137"/>
              <w:rPr>
                <w:b/>
                <w:sz w:val="18"/>
              </w:rPr>
            </w:pPr>
          </w:p>
          <w:p w:rsidR="00487D64" w:rsidRDefault="006F0D93">
            <w:pPr>
              <w:pStyle w:val="TableParagraph"/>
              <w:spacing w:line="232" w:lineRule="auto"/>
              <w:ind w:left="43" w:right="244"/>
              <w:rPr>
                <w:sz w:val="18"/>
              </w:rPr>
            </w:pPr>
            <w:r>
              <w:rPr>
                <w:sz w:val="18"/>
              </w:rPr>
              <w:t>Bankole</w:t>
            </w:r>
            <w:r>
              <w:rPr>
                <w:spacing w:val="-12"/>
                <w:sz w:val="18"/>
              </w:rPr>
              <w:t xml:space="preserve"> </w:t>
            </w:r>
            <w:r>
              <w:rPr>
                <w:sz w:val="18"/>
              </w:rPr>
              <w:t>et</w:t>
            </w:r>
            <w:r>
              <w:rPr>
                <w:spacing w:val="-11"/>
                <w:sz w:val="18"/>
              </w:rPr>
              <w:t xml:space="preserve"> </w:t>
            </w:r>
            <w:r>
              <w:rPr>
                <w:sz w:val="18"/>
              </w:rPr>
              <w:t xml:space="preserve">al. </w:t>
            </w:r>
            <w:r>
              <w:rPr>
                <w:spacing w:val="-2"/>
                <w:sz w:val="18"/>
              </w:rPr>
              <w:t>(2022)</w:t>
            </w:r>
          </w:p>
        </w:tc>
        <w:tc>
          <w:tcPr>
            <w:tcW w:w="1928" w:type="dxa"/>
          </w:tcPr>
          <w:p w:rsidR="00487D64" w:rsidRDefault="006F0D93">
            <w:pPr>
              <w:pStyle w:val="TableParagraph"/>
              <w:spacing w:before="130"/>
              <w:ind w:left="75" w:right="62"/>
              <w:rPr>
                <w:sz w:val="18"/>
              </w:rPr>
            </w:pPr>
            <w:r>
              <w:rPr>
                <w:sz w:val="18"/>
              </w:rPr>
              <w:t>Examined link between customer</w:t>
            </w:r>
            <w:r>
              <w:rPr>
                <w:spacing w:val="-12"/>
                <w:sz w:val="18"/>
              </w:rPr>
              <w:t xml:space="preserve"> </w:t>
            </w:r>
            <w:r>
              <w:rPr>
                <w:sz w:val="18"/>
              </w:rPr>
              <w:t>orientation</w:t>
            </w:r>
            <w:r>
              <w:rPr>
                <w:spacing w:val="-11"/>
                <w:sz w:val="18"/>
              </w:rPr>
              <w:t xml:space="preserve"> </w:t>
            </w:r>
            <w:r>
              <w:rPr>
                <w:sz w:val="18"/>
              </w:rPr>
              <w:t xml:space="preserve">and long-term business </w:t>
            </w:r>
            <w:r>
              <w:rPr>
                <w:spacing w:val="-2"/>
                <w:sz w:val="18"/>
              </w:rPr>
              <w:t>sustainability</w:t>
            </w:r>
          </w:p>
        </w:tc>
        <w:tc>
          <w:tcPr>
            <w:tcW w:w="1518" w:type="dxa"/>
          </w:tcPr>
          <w:p w:rsidR="00487D64" w:rsidRDefault="00487D64">
            <w:pPr>
              <w:pStyle w:val="TableParagraph"/>
              <w:rPr>
                <w:b/>
                <w:sz w:val="18"/>
              </w:rPr>
            </w:pPr>
          </w:p>
          <w:p w:rsidR="00487D64" w:rsidRDefault="00487D64">
            <w:pPr>
              <w:pStyle w:val="TableParagraph"/>
              <w:spacing w:before="26"/>
              <w:rPr>
                <w:b/>
                <w:sz w:val="18"/>
              </w:rPr>
            </w:pPr>
          </w:p>
          <w:p w:rsidR="00487D64" w:rsidRDefault="006F0D93">
            <w:pPr>
              <w:pStyle w:val="TableParagraph"/>
              <w:ind w:left="35"/>
              <w:rPr>
                <w:sz w:val="18"/>
              </w:rPr>
            </w:pPr>
            <w:r>
              <w:rPr>
                <w:sz w:val="18"/>
              </w:rPr>
              <w:t>278</w:t>
            </w:r>
            <w:r>
              <w:rPr>
                <w:spacing w:val="-7"/>
                <w:sz w:val="18"/>
              </w:rPr>
              <w:t xml:space="preserve"> </w:t>
            </w:r>
            <w:r>
              <w:rPr>
                <w:sz w:val="18"/>
              </w:rPr>
              <w:t>Nigerian</w:t>
            </w:r>
            <w:r>
              <w:rPr>
                <w:spacing w:val="-4"/>
                <w:sz w:val="18"/>
              </w:rPr>
              <w:t xml:space="preserve"> SMEs</w:t>
            </w:r>
          </w:p>
        </w:tc>
        <w:tc>
          <w:tcPr>
            <w:tcW w:w="1542" w:type="dxa"/>
          </w:tcPr>
          <w:p w:rsidR="00487D64" w:rsidRDefault="00487D64">
            <w:pPr>
              <w:pStyle w:val="TableParagraph"/>
              <w:rPr>
                <w:b/>
                <w:sz w:val="18"/>
              </w:rPr>
            </w:pPr>
          </w:p>
          <w:p w:rsidR="00487D64" w:rsidRDefault="00487D64">
            <w:pPr>
              <w:pStyle w:val="TableParagraph"/>
              <w:spacing w:before="26"/>
              <w:rPr>
                <w:b/>
                <w:sz w:val="18"/>
              </w:rPr>
            </w:pPr>
          </w:p>
          <w:p w:rsidR="00487D64" w:rsidRDefault="006F0D93">
            <w:pPr>
              <w:pStyle w:val="TableParagraph"/>
              <w:ind w:left="58"/>
              <w:rPr>
                <w:sz w:val="18"/>
              </w:rPr>
            </w:pPr>
            <w:r>
              <w:rPr>
                <w:sz w:val="18"/>
              </w:rPr>
              <w:t>Survey</w:t>
            </w:r>
            <w:r>
              <w:rPr>
                <w:spacing w:val="-2"/>
                <w:sz w:val="18"/>
              </w:rPr>
              <w:t xml:space="preserve"> </w:t>
            </w:r>
            <w:r>
              <w:rPr>
                <w:sz w:val="18"/>
              </w:rPr>
              <w:t>&amp;</w:t>
            </w:r>
            <w:r>
              <w:rPr>
                <w:spacing w:val="-8"/>
                <w:sz w:val="18"/>
              </w:rPr>
              <w:t xml:space="preserve"> </w:t>
            </w:r>
            <w:r>
              <w:rPr>
                <w:spacing w:val="-5"/>
                <w:sz w:val="18"/>
              </w:rPr>
              <w:t>SEM</w:t>
            </w:r>
          </w:p>
        </w:tc>
        <w:tc>
          <w:tcPr>
            <w:tcW w:w="2045" w:type="dxa"/>
          </w:tcPr>
          <w:p w:rsidR="00487D64" w:rsidRDefault="006F0D93">
            <w:pPr>
              <w:pStyle w:val="TableParagraph"/>
              <w:spacing w:before="29"/>
              <w:ind w:left="44" w:right="388"/>
              <w:rPr>
                <w:sz w:val="18"/>
              </w:rPr>
            </w:pPr>
            <w:r>
              <w:rPr>
                <w:sz w:val="18"/>
              </w:rPr>
              <w:t>Customer</w:t>
            </w:r>
            <w:r>
              <w:rPr>
                <w:spacing w:val="-6"/>
                <w:sz w:val="18"/>
              </w:rPr>
              <w:t xml:space="preserve"> </w:t>
            </w:r>
            <w:r>
              <w:rPr>
                <w:sz w:val="18"/>
              </w:rPr>
              <w:t>orientation significantly</w:t>
            </w:r>
            <w:r>
              <w:rPr>
                <w:spacing w:val="-12"/>
                <w:sz w:val="18"/>
              </w:rPr>
              <w:t xml:space="preserve"> </w:t>
            </w:r>
            <w:r>
              <w:rPr>
                <w:sz w:val="18"/>
              </w:rPr>
              <w:t>enhances sustainability</w:t>
            </w:r>
            <w:r>
              <w:rPr>
                <w:spacing w:val="-2"/>
                <w:sz w:val="18"/>
              </w:rPr>
              <w:t xml:space="preserve"> </w:t>
            </w:r>
            <w:r>
              <w:rPr>
                <w:sz w:val="18"/>
              </w:rPr>
              <w:t xml:space="preserve">through loyalty and brand </w:t>
            </w:r>
            <w:r>
              <w:rPr>
                <w:spacing w:val="-2"/>
                <w:sz w:val="18"/>
              </w:rPr>
              <w:t>differentiation</w:t>
            </w:r>
          </w:p>
        </w:tc>
      </w:tr>
      <w:tr w:rsidR="00487D64">
        <w:trPr>
          <w:trHeight w:val="885"/>
        </w:trPr>
        <w:tc>
          <w:tcPr>
            <w:tcW w:w="1279" w:type="dxa"/>
          </w:tcPr>
          <w:p w:rsidR="00487D64" w:rsidRDefault="00487D64">
            <w:pPr>
              <w:pStyle w:val="TableParagraph"/>
              <w:spacing w:before="20"/>
              <w:rPr>
                <w:b/>
                <w:sz w:val="18"/>
              </w:rPr>
            </w:pPr>
          </w:p>
          <w:p w:rsidR="00487D64" w:rsidRDefault="006F0D93">
            <w:pPr>
              <w:pStyle w:val="TableParagraph"/>
              <w:spacing w:before="1"/>
              <w:ind w:left="43"/>
              <w:rPr>
                <w:sz w:val="18"/>
              </w:rPr>
            </w:pPr>
            <w:r>
              <w:rPr>
                <w:sz w:val="18"/>
              </w:rPr>
              <w:t>Tseng</w:t>
            </w:r>
            <w:r>
              <w:rPr>
                <w:spacing w:val="-12"/>
                <w:sz w:val="18"/>
              </w:rPr>
              <w:t xml:space="preserve"> </w:t>
            </w:r>
            <w:r>
              <w:rPr>
                <w:sz w:val="18"/>
              </w:rPr>
              <w:t>et</w:t>
            </w:r>
            <w:r>
              <w:rPr>
                <w:spacing w:val="-11"/>
                <w:sz w:val="18"/>
              </w:rPr>
              <w:t xml:space="preserve"> </w:t>
            </w:r>
            <w:r>
              <w:rPr>
                <w:sz w:val="18"/>
              </w:rPr>
              <w:t xml:space="preserve">al. </w:t>
            </w:r>
            <w:r>
              <w:rPr>
                <w:spacing w:val="-2"/>
                <w:sz w:val="18"/>
              </w:rPr>
              <w:t>(2018)</w:t>
            </w:r>
          </w:p>
        </w:tc>
        <w:tc>
          <w:tcPr>
            <w:tcW w:w="1928" w:type="dxa"/>
          </w:tcPr>
          <w:p w:rsidR="00487D64" w:rsidRDefault="006F0D93">
            <w:pPr>
              <w:pStyle w:val="TableParagraph"/>
              <w:spacing w:before="127"/>
              <w:ind w:left="75"/>
              <w:rPr>
                <w:sz w:val="18"/>
              </w:rPr>
            </w:pPr>
            <w:r>
              <w:rPr>
                <w:sz w:val="18"/>
              </w:rPr>
              <w:t>Assessed effect of customer</w:t>
            </w:r>
            <w:r>
              <w:rPr>
                <w:spacing w:val="-12"/>
                <w:sz w:val="18"/>
              </w:rPr>
              <w:t xml:space="preserve"> </w:t>
            </w:r>
            <w:r>
              <w:rPr>
                <w:sz w:val="18"/>
              </w:rPr>
              <w:t>orientation</w:t>
            </w:r>
            <w:r>
              <w:rPr>
                <w:spacing w:val="-11"/>
                <w:sz w:val="18"/>
              </w:rPr>
              <w:t xml:space="preserve"> </w:t>
            </w:r>
            <w:r>
              <w:rPr>
                <w:sz w:val="18"/>
              </w:rPr>
              <w:t>on market performance</w:t>
            </w:r>
          </w:p>
        </w:tc>
        <w:tc>
          <w:tcPr>
            <w:tcW w:w="1518" w:type="dxa"/>
          </w:tcPr>
          <w:p w:rsidR="00487D64" w:rsidRDefault="00487D64">
            <w:pPr>
              <w:pStyle w:val="TableParagraph"/>
              <w:spacing w:before="20"/>
              <w:rPr>
                <w:b/>
                <w:sz w:val="18"/>
              </w:rPr>
            </w:pPr>
          </w:p>
          <w:p w:rsidR="00487D64" w:rsidRDefault="006F0D93">
            <w:pPr>
              <w:pStyle w:val="TableParagraph"/>
              <w:spacing w:before="1"/>
              <w:ind w:left="35" w:right="231"/>
              <w:rPr>
                <w:sz w:val="18"/>
              </w:rPr>
            </w:pPr>
            <w:r>
              <w:rPr>
                <w:spacing w:val="-2"/>
                <w:sz w:val="18"/>
              </w:rPr>
              <w:t>Taiwanese</w:t>
            </w:r>
            <w:r>
              <w:rPr>
                <w:spacing w:val="-10"/>
                <w:sz w:val="18"/>
              </w:rPr>
              <w:t xml:space="preserve"> </w:t>
            </w:r>
            <w:r>
              <w:rPr>
                <w:spacing w:val="-2"/>
                <w:sz w:val="18"/>
              </w:rPr>
              <w:t>SMEs (cross-industry)</w:t>
            </w:r>
          </w:p>
        </w:tc>
        <w:tc>
          <w:tcPr>
            <w:tcW w:w="1542" w:type="dxa"/>
          </w:tcPr>
          <w:p w:rsidR="00487D64" w:rsidRDefault="00487D64">
            <w:pPr>
              <w:pStyle w:val="TableParagraph"/>
              <w:spacing w:before="128"/>
              <w:rPr>
                <w:b/>
                <w:sz w:val="18"/>
              </w:rPr>
            </w:pPr>
          </w:p>
          <w:p w:rsidR="00487D64" w:rsidRDefault="006F0D93">
            <w:pPr>
              <w:pStyle w:val="TableParagraph"/>
              <w:spacing w:before="1"/>
              <w:ind w:left="58"/>
              <w:rPr>
                <w:sz w:val="18"/>
              </w:rPr>
            </w:pPr>
            <w:r>
              <w:rPr>
                <w:spacing w:val="-2"/>
                <w:sz w:val="18"/>
              </w:rPr>
              <w:t>PLS-</w:t>
            </w:r>
            <w:r>
              <w:rPr>
                <w:spacing w:val="-5"/>
                <w:sz w:val="18"/>
              </w:rPr>
              <w:t>SEM</w:t>
            </w:r>
          </w:p>
        </w:tc>
        <w:tc>
          <w:tcPr>
            <w:tcW w:w="2045" w:type="dxa"/>
          </w:tcPr>
          <w:p w:rsidR="00487D64" w:rsidRDefault="006F0D93">
            <w:pPr>
              <w:pStyle w:val="TableParagraph"/>
              <w:spacing w:before="26"/>
              <w:ind w:left="44"/>
              <w:rPr>
                <w:sz w:val="18"/>
              </w:rPr>
            </w:pPr>
            <w:r>
              <w:rPr>
                <w:sz w:val="18"/>
              </w:rPr>
              <w:t>Customer</w:t>
            </w:r>
            <w:r>
              <w:rPr>
                <w:spacing w:val="-6"/>
                <w:sz w:val="18"/>
              </w:rPr>
              <w:t xml:space="preserve"> </w:t>
            </w:r>
            <w:r>
              <w:rPr>
                <w:sz w:val="18"/>
              </w:rPr>
              <w:t>orientation improves performance via satisfaction</w:t>
            </w:r>
            <w:r>
              <w:rPr>
                <w:spacing w:val="-12"/>
                <w:sz w:val="18"/>
              </w:rPr>
              <w:t xml:space="preserve"> </w:t>
            </w:r>
            <w:r>
              <w:rPr>
                <w:sz w:val="18"/>
              </w:rPr>
              <w:t>and</w:t>
            </w:r>
            <w:r>
              <w:rPr>
                <w:spacing w:val="-11"/>
                <w:sz w:val="18"/>
              </w:rPr>
              <w:t xml:space="preserve"> </w:t>
            </w:r>
            <w:r>
              <w:rPr>
                <w:sz w:val="18"/>
              </w:rPr>
              <w:t xml:space="preserve">innovation </w:t>
            </w:r>
            <w:r>
              <w:rPr>
                <w:spacing w:val="-2"/>
                <w:sz w:val="18"/>
              </w:rPr>
              <w:t>responsiveness.</w:t>
            </w:r>
          </w:p>
        </w:tc>
      </w:tr>
      <w:tr w:rsidR="00487D64">
        <w:trPr>
          <w:trHeight w:val="680"/>
        </w:trPr>
        <w:tc>
          <w:tcPr>
            <w:tcW w:w="1279" w:type="dxa"/>
          </w:tcPr>
          <w:p w:rsidR="00487D64" w:rsidRDefault="00487D64">
            <w:pPr>
              <w:pStyle w:val="TableParagraph"/>
              <w:spacing w:before="28"/>
              <w:rPr>
                <w:b/>
                <w:sz w:val="18"/>
              </w:rPr>
            </w:pPr>
          </w:p>
          <w:p w:rsidR="00487D64" w:rsidRDefault="006F0D93">
            <w:pPr>
              <w:pStyle w:val="TableParagraph"/>
              <w:ind w:left="43"/>
              <w:rPr>
                <w:sz w:val="18"/>
              </w:rPr>
            </w:pPr>
            <w:r>
              <w:rPr>
                <w:sz w:val="18"/>
              </w:rPr>
              <w:t>Tunc</w:t>
            </w:r>
            <w:r>
              <w:rPr>
                <w:spacing w:val="-7"/>
                <w:sz w:val="18"/>
              </w:rPr>
              <w:t xml:space="preserve"> </w:t>
            </w:r>
            <w:r>
              <w:rPr>
                <w:spacing w:val="-2"/>
                <w:sz w:val="18"/>
              </w:rPr>
              <w:t>(2020)</w:t>
            </w:r>
          </w:p>
        </w:tc>
        <w:tc>
          <w:tcPr>
            <w:tcW w:w="1928" w:type="dxa"/>
          </w:tcPr>
          <w:p w:rsidR="00487D64" w:rsidRDefault="006F0D93">
            <w:pPr>
              <w:pStyle w:val="TableParagraph"/>
              <w:spacing w:before="27" w:line="237" w:lineRule="auto"/>
              <w:ind w:left="75" w:right="56"/>
              <w:rPr>
                <w:sz w:val="18"/>
              </w:rPr>
            </w:pPr>
            <w:r>
              <w:rPr>
                <w:sz w:val="18"/>
              </w:rPr>
              <w:t>Explored customer- specific</w:t>
            </w:r>
            <w:r>
              <w:rPr>
                <w:spacing w:val="-12"/>
                <w:sz w:val="18"/>
              </w:rPr>
              <w:t xml:space="preserve"> </w:t>
            </w:r>
            <w:r>
              <w:rPr>
                <w:sz w:val="18"/>
              </w:rPr>
              <w:t>customization</w:t>
            </w:r>
            <w:r>
              <w:rPr>
                <w:spacing w:val="-11"/>
                <w:sz w:val="18"/>
              </w:rPr>
              <w:t xml:space="preserve"> </w:t>
            </w:r>
            <w:r>
              <w:rPr>
                <w:sz w:val="18"/>
              </w:rPr>
              <w:t xml:space="preserve">in </w:t>
            </w:r>
            <w:r>
              <w:rPr>
                <w:spacing w:val="-2"/>
                <w:sz w:val="18"/>
              </w:rPr>
              <w:t>procurement</w:t>
            </w:r>
          </w:p>
        </w:tc>
        <w:tc>
          <w:tcPr>
            <w:tcW w:w="1518" w:type="dxa"/>
          </w:tcPr>
          <w:p w:rsidR="00487D64" w:rsidRDefault="006F0D93">
            <w:pPr>
              <w:pStyle w:val="TableParagraph"/>
              <w:spacing w:before="27" w:line="237" w:lineRule="auto"/>
              <w:ind w:left="35" w:right="231"/>
              <w:rPr>
                <w:sz w:val="18"/>
              </w:rPr>
            </w:pPr>
            <w:r>
              <w:rPr>
                <w:spacing w:val="-2"/>
                <w:sz w:val="18"/>
              </w:rPr>
              <w:t xml:space="preserve">Turkish manufacturing </w:t>
            </w:r>
            <w:r>
              <w:rPr>
                <w:spacing w:val="-4"/>
                <w:sz w:val="18"/>
              </w:rPr>
              <w:t>SMEs</w:t>
            </w:r>
          </w:p>
        </w:tc>
        <w:tc>
          <w:tcPr>
            <w:tcW w:w="1542" w:type="dxa"/>
          </w:tcPr>
          <w:p w:rsidR="00487D64" w:rsidRDefault="006F0D93">
            <w:pPr>
              <w:pStyle w:val="TableParagraph"/>
              <w:spacing w:before="126" w:line="242" w:lineRule="auto"/>
              <w:ind w:left="58" w:right="31"/>
              <w:rPr>
                <w:sz w:val="18"/>
              </w:rPr>
            </w:pPr>
            <w:r>
              <w:rPr>
                <w:spacing w:val="-2"/>
                <w:sz w:val="18"/>
              </w:rPr>
              <w:t>Qualitative</w:t>
            </w:r>
            <w:r>
              <w:rPr>
                <w:spacing w:val="-10"/>
                <w:sz w:val="18"/>
              </w:rPr>
              <w:t xml:space="preserve"> </w:t>
            </w:r>
            <w:r>
              <w:rPr>
                <w:spacing w:val="-2"/>
                <w:sz w:val="18"/>
              </w:rPr>
              <w:t>case study</w:t>
            </w:r>
          </w:p>
        </w:tc>
        <w:tc>
          <w:tcPr>
            <w:tcW w:w="2045" w:type="dxa"/>
          </w:tcPr>
          <w:p w:rsidR="00487D64" w:rsidRDefault="006F0D93">
            <w:pPr>
              <w:pStyle w:val="TableParagraph"/>
              <w:spacing w:before="27" w:line="237" w:lineRule="auto"/>
              <w:ind w:left="44"/>
              <w:rPr>
                <w:sz w:val="18"/>
              </w:rPr>
            </w:pPr>
            <w:r>
              <w:rPr>
                <w:sz w:val="18"/>
              </w:rPr>
              <w:t>Customer</w:t>
            </w:r>
            <w:r>
              <w:rPr>
                <w:spacing w:val="-6"/>
                <w:sz w:val="18"/>
              </w:rPr>
              <w:t xml:space="preserve"> </w:t>
            </w:r>
            <w:r>
              <w:rPr>
                <w:sz w:val="18"/>
              </w:rPr>
              <w:t>prioritization improves</w:t>
            </w:r>
            <w:r>
              <w:rPr>
                <w:spacing w:val="-12"/>
                <w:sz w:val="18"/>
              </w:rPr>
              <w:t xml:space="preserve"> </w:t>
            </w:r>
            <w:r>
              <w:rPr>
                <w:sz w:val="18"/>
              </w:rPr>
              <w:t>bidding</w:t>
            </w:r>
            <w:r>
              <w:rPr>
                <w:spacing w:val="-11"/>
                <w:sz w:val="18"/>
              </w:rPr>
              <w:t xml:space="preserve"> </w:t>
            </w:r>
            <w:r>
              <w:rPr>
                <w:sz w:val="18"/>
              </w:rPr>
              <w:t>success and contract renewals</w:t>
            </w:r>
          </w:p>
        </w:tc>
      </w:tr>
      <w:tr w:rsidR="00487D64">
        <w:trPr>
          <w:trHeight w:val="889"/>
        </w:trPr>
        <w:tc>
          <w:tcPr>
            <w:tcW w:w="1279" w:type="dxa"/>
          </w:tcPr>
          <w:p w:rsidR="00487D64" w:rsidRDefault="00487D64">
            <w:pPr>
              <w:pStyle w:val="TableParagraph"/>
              <w:spacing w:before="24"/>
              <w:rPr>
                <w:b/>
                <w:sz w:val="18"/>
              </w:rPr>
            </w:pPr>
          </w:p>
          <w:p w:rsidR="00487D64" w:rsidRDefault="006F0D93">
            <w:pPr>
              <w:pStyle w:val="TableParagraph"/>
              <w:ind w:left="43"/>
              <w:rPr>
                <w:sz w:val="18"/>
              </w:rPr>
            </w:pPr>
            <w:r>
              <w:rPr>
                <w:sz w:val="18"/>
              </w:rPr>
              <w:t>Wahyuni</w:t>
            </w:r>
            <w:r>
              <w:rPr>
                <w:spacing w:val="-12"/>
                <w:sz w:val="18"/>
              </w:rPr>
              <w:t xml:space="preserve"> </w:t>
            </w:r>
            <w:r>
              <w:rPr>
                <w:sz w:val="18"/>
              </w:rPr>
              <w:t xml:space="preserve">&amp; </w:t>
            </w:r>
            <w:r>
              <w:rPr>
                <w:spacing w:val="-2"/>
                <w:sz w:val="18"/>
              </w:rPr>
              <w:t>Astawa</w:t>
            </w:r>
            <w:r>
              <w:rPr>
                <w:spacing w:val="-10"/>
                <w:sz w:val="18"/>
              </w:rPr>
              <w:t xml:space="preserve"> </w:t>
            </w:r>
            <w:r>
              <w:rPr>
                <w:spacing w:val="-2"/>
                <w:sz w:val="18"/>
              </w:rPr>
              <w:t>(2020)</w:t>
            </w:r>
          </w:p>
        </w:tc>
        <w:tc>
          <w:tcPr>
            <w:tcW w:w="1928" w:type="dxa"/>
          </w:tcPr>
          <w:p w:rsidR="00487D64" w:rsidRDefault="006F0D93">
            <w:pPr>
              <w:pStyle w:val="TableParagraph"/>
              <w:spacing w:before="132" w:line="237" w:lineRule="auto"/>
              <w:ind w:left="75" w:right="75"/>
              <w:rPr>
                <w:sz w:val="18"/>
              </w:rPr>
            </w:pPr>
            <w:r>
              <w:rPr>
                <w:sz w:val="18"/>
              </w:rPr>
              <w:t>Analyzed customer orientation</w:t>
            </w:r>
            <w:r>
              <w:rPr>
                <w:spacing w:val="-12"/>
                <w:sz w:val="18"/>
              </w:rPr>
              <w:t xml:space="preserve"> </w:t>
            </w:r>
            <w:r>
              <w:rPr>
                <w:sz w:val="18"/>
              </w:rPr>
              <w:t>in</w:t>
            </w:r>
            <w:r>
              <w:rPr>
                <w:spacing w:val="-10"/>
                <w:sz w:val="18"/>
              </w:rPr>
              <w:t xml:space="preserve"> </w:t>
            </w:r>
            <w:r>
              <w:rPr>
                <w:sz w:val="18"/>
              </w:rPr>
              <w:t>innovation and quality standards</w:t>
            </w:r>
          </w:p>
        </w:tc>
        <w:tc>
          <w:tcPr>
            <w:tcW w:w="1518" w:type="dxa"/>
          </w:tcPr>
          <w:p w:rsidR="00487D64" w:rsidRDefault="00487D64">
            <w:pPr>
              <w:pStyle w:val="TableParagraph"/>
              <w:spacing w:before="132"/>
              <w:rPr>
                <w:b/>
                <w:sz w:val="18"/>
              </w:rPr>
            </w:pPr>
          </w:p>
          <w:p w:rsidR="00487D64" w:rsidRDefault="006F0D93">
            <w:pPr>
              <w:pStyle w:val="TableParagraph"/>
              <w:ind w:left="35"/>
              <w:rPr>
                <w:sz w:val="18"/>
              </w:rPr>
            </w:pPr>
            <w:r>
              <w:rPr>
                <w:sz w:val="18"/>
              </w:rPr>
              <w:t>Indonesian</w:t>
            </w:r>
            <w:r>
              <w:rPr>
                <w:spacing w:val="-7"/>
                <w:sz w:val="18"/>
              </w:rPr>
              <w:t xml:space="preserve"> </w:t>
            </w:r>
            <w:r>
              <w:rPr>
                <w:spacing w:val="-4"/>
                <w:sz w:val="18"/>
              </w:rPr>
              <w:t>SMEs</w:t>
            </w:r>
          </w:p>
        </w:tc>
        <w:tc>
          <w:tcPr>
            <w:tcW w:w="1542" w:type="dxa"/>
          </w:tcPr>
          <w:p w:rsidR="00487D64" w:rsidRDefault="00487D64">
            <w:pPr>
              <w:pStyle w:val="TableParagraph"/>
              <w:spacing w:before="24"/>
              <w:rPr>
                <w:b/>
                <w:sz w:val="18"/>
              </w:rPr>
            </w:pPr>
          </w:p>
          <w:p w:rsidR="00487D64" w:rsidRDefault="006F0D93">
            <w:pPr>
              <w:pStyle w:val="TableParagraph"/>
              <w:ind w:left="58"/>
              <w:rPr>
                <w:sz w:val="18"/>
              </w:rPr>
            </w:pPr>
            <w:r>
              <w:rPr>
                <w:sz w:val="18"/>
              </w:rPr>
              <w:t xml:space="preserve">Descriptive and </w:t>
            </w:r>
            <w:r>
              <w:rPr>
                <w:spacing w:val="-2"/>
                <w:sz w:val="18"/>
              </w:rPr>
              <w:t>Inferential</w:t>
            </w:r>
            <w:r>
              <w:rPr>
                <w:spacing w:val="-10"/>
                <w:sz w:val="18"/>
              </w:rPr>
              <w:t xml:space="preserve"> </w:t>
            </w:r>
            <w:r>
              <w:rPr>
                <w:spacing w:val="-2"/>
                <w:sz w:val="18"/>
              </w:rPr>
              <w:t>Statistics</w:t>
            </w:r>
          </w:p>
        </w:tc>
        <w:tc>
          <w:tcPr>
            <w:tcW w:w="2045" w:type="dxa"/>
          </w:tcPr>
          <w:p w:rsidR="00487D64" w:rsidRDefault="006F0D93">
            <w:pPr>
              <w:pStyle w:val="TableParagraph"/>
              <w:spacing w:before="29"/>
              <w:ind w:left="44"/>
              <w:rPr>
                <w:sz w:val="18"/>
              </w:rPr>
            </w:pPr>
            <w:r>
              <w:rPr>
                <w:sz w:val="18"/>
              </w:rPr>
              <w:t>Strong customer focus enhances</w:t>
            </w:r>
            <w:r>
              <w:rPr>
                <w:spacing w:val="-12"/>
                <w:sz w:val="18"/>
              </w:rPr>
              <w:t xml:space="preserve"> </w:t>
            </w:r>
            <w:r>
              <w:rPr>
                <w:sz w:val="18"/>
              </w:rPr>
              <w:t>innovation</w:t>
            </w:r>
            <w:r>
              <w:rPr>
                <w:spacing w:val="-11"/>
                <w:sz w:val="18"/>
              </w:rPr>
              <w:t xml:space="preserve"> </w:t>
            </w:r>
            <w:r>
              <w:rPr>
                <w:sz w:val="18"/>
              </w:rPr>
              <w:t>and compliance</w:t>
            </w:r>
            <w:r>
              <w:rPr>
                <w:spacing w:val="-2"/>
                <w:sz w:val="18"/>
              </w:rPr>
              <w:t xml:space="preserve"> </w:t>
            </w:r>
            <w:r>
              <w:rPr>
                <w:sz w:val="18"/>
              </w:rPr>
              <w:t>with procurement standards.</w:t>
            </w:r>
          </w:p>
        </w:tc>
      </w:tr>
      <w:tr w:rsidR="00487D64">
        <w:trPr>
          <w:trHeight w:val="1094"/>
        </w:trPr>
        <w:tc>
          <w:tcPr>
            <w:tcW w:w="1279" w:type="dxa"/>
          </w:tcPr>
          <w:p w:rsidR="00487D64" w:rsidRDefault="00487D64">
            <w:pPr>
              <w:pStyle w:val="TableParagraph"/>
              <w:rPr>
                <w:b/>
                <w:sz w:val="18"/>
              </w:rPr>
            </w:pPr>
          </w:p>
          <w:p w:rsidR="00487D64" w:rsidRDefault="00487D64">
            <w:pPr>
              <w:pStyle w:val="TableParagraph"/>
              <w:spacing w:before="22"/>
              <w:rPr>
                <w:b/>
                <w:sz w:val="18"/>
              </w:rPr>
            </w:pPr>
          </w:p>
          <w:p w:rsidR="00487D64" w:rsidRDefault="006F0D93">
            <w:pPr>
              <w:pStyle w:val="TableParagraph"/>
              <w:ind w:left="43"/>
              <w:rPr>
                <w:sz w:val="18"/>
              </w:rPr>
            </w:pPr>
            <w:r>
              <w:rPr>
                <w:sz w:val="18"/>
              </w:rPr>
              <w:t>Liu</w:t>
            </w:r>
            <w:r>
              <w:rPr>
                <w:spacing w:val="-1"/>
                <w:sz w:val="18"/>
              </w:rPr>
              <w:t xml:space="preserve"> </w:t>
            </w:r>
            <w:r>
              <w:rPr>
                <w:sz w:val="18"/>
              </w:rPr>
              <w:t>et</w:t>
            </w:r>
            <w:r>
              <w:rPr>
                <w:spacing w:val="-3"/>
                <w:sz w:val="18"/>
              </w:rPr>
              <w:t xml:space="preserve"> </w:t>
            </w:r>
            <w:r>
              <w:rPr>
                <w:sz w:val="18"/>
              </w:rPr>
              <w:t>al.</w:t>
            </w:r>
            <w:r>
              <w:rPr>
                <w:spacing w:val="-5"/>
                <w:sz w:val="18"/>
              </w:rPr>
              <w:t xml:space="preserve"> </w:t>
            </w:r>
            <w:r>
              <w:rPr>
                <w:spacing w:val="-2"/>
                <w:sz w:val="18"/>
              </w:rPr>
              <w:t>(2020)</w:t>
            </w:r>
          </w:p>
        </w:tc>
        <w:tc>
          <w:tcPr>
            <w:tcW w:w="1928" w:type="dxa"/>
          </w:tcPr>
          <w:p w:rsidR="00487D64" w:rsidRDefault="00487D64">
            <w:pPr>
              <w:pStyle w:val="TableParagraph"/>
              <w:spacing w:before="29"/>
              <w:rPr>
                <w:b/>
                <w:sz w:val="18"/>
              </w:rPr>
            </w:pPr>
          </w:p>
          <w:p w:rsidR="00487D64" w:rsidRDefault="006F0D93">
            <w:pPr>
              <w:pStyle w:val="TableParagraph"/>
              <w:spacing w:line="237" w:lineRule="auto"/>
              <w:ind w:left="75" w:right="62"/>
              <w:rPr>
                <w:sz w:val="18"/>
              </w:rPr>
            </w:pPr>
            <w:r>
              <w:rPr>
                <w:sz w:val="18"/>
              </w:rPr>
              <w:t>Investigated integration of</w:t>
            </w:r>
            <w:r>
              <w:rPr>
                <w:spacing w:val="-12"/>
                <w:sz w:val="18"/>
              </w:rPr>
              <w:t xml:space="preserve"> </w:t>
            </w:r>
            <w:r>
              <w:rPr>
                <w:sz w:val="18"/>
              </w:rPr>
              <w:t>customer</w:t>
            </w:r>
            <w:r>
              <w:rPr>
                <w:spacing w:val="-11"/>
                <w:sz w:val="18"/>
              </w:rPr>
              <w:t xml:space="preserve"> </w:t>
            </w:r>
            <w:r>
              <w:rPr>
                <w:sz w:val="18"/>
              </w:rPr>
              <w:t>insights</w:t>
            </w:r>
            <w:r>
              <w:rPr>
                <w:spacing w:val="-11"/>
                <w:sz w:val="18"/>
              </w:rPr>
              <w:t xml:space="preserve"> </w:t>
            </w:r>
            <w:r>
              <w:rPr>
                <w:sz w:val="18"/>
              </w:rPr>
              <w:t xml:space="preserve">into </w:t>
            </w:r>
            <w:r>
              <w:rPr>
                <w:spacing w:val="-2"/>
                <w:sz w:val="18"/>
              </w:rPr>
              <w:t>strategy</w:t>
            </w:r>
          </w:p>
        </w:tc>
        <w:tc>
          <w:tcPr>
            <w:tcW w:w="1518" w:type="dxa"/>
          </w:tcPr>
          <w:p w:rsidR="00487D64" w:rsidRDefault="00487D64">
            <w:pPr>
              <w:pStyle w:val="TableParagraph"/>
              <w:rPr>
                <w:b/>
                <w:sz w:val="18"/>
              </w:rPr>
            </w:pPr>
          </w:p>
          <w:p w:rsidR="00487D64" w:rsidRDefault="00487D64">
            <w:pPr>
              <w:pStyle w:val="TableParagraph"/>
              <w:spacing w:before="22"/>
              <w:rPr>
                <w:b/>
                <w:sz w:val="18"/>
              </w:rPr>
            </w:pPr>
          </w:p>
          <w:p w:rsidR="00487D64" w:rsidRDefault="006F0D93">
            <w:pPr>
              <w:pStyle w:val="TableParagraph"/>
              <w:ind w:left="35"/>
              <w:rPr>
                <w:sz w:val="18"/>
              </w:rPr>
            </w:pPr>
            <w:r>
              <w:rPr>
                <w:sz w:val="18"/>
              </w:rPr>
              <w:t>Chinese</w:t>
            </w:r>
            <w:r>
              <w:rPr>
                <w:spacing w:val="-2"/>
                <w:sz w:val="18"/>
              </w:rPr>
              <w:t xml:space="preserve"> </w:t>
            </w:r>
            <w:r>
              <w:rPr>
                <w:spacing w:val="-4"/>
                <w:sz w:val="18"/>
              </w:rPr>
              <w:t>SMEs</w:t>
            </w:r>
          </w:p>
        </w:tc>
        <w:tc>
          <w:tcPr>
            <w:tcW w:w="1542" w:type="dxa"/>
          </w:tcPr>
          <w:p w:rsidR="00487D64" w:rsidRDefault="00487D64">
            <w:pPr>
              <w:pStyle w:val="TableParagraph"/>
              <w:rPr>
                <w:b/>
                <w:sz w:val="18"/>
              </w:rPr>
            </w:pPr>
          </w:p>
          <w:p w:rsidR="00487D64" w:rsidRDefault="00487D64">
            <w:pPr>
              <w:pStyle w:val="TableParagraph"/>
              <w:spacing w:before="22"/>
              <w:rPr>
                <w:b/>
                <w:sz w:val="18"/>
              </w:rPr>
            </w:pPr>
          </w:p>
          <w:p w:rsidR="00487D64" w:rsidRDefault="006F0D93">
            <w:pPr>
              <w:pStyle w:val="TableParagraph"/>
              <w:ind w:left="58"/>
              <w:rPr>
                <w:sz w:val="18"/>
              </w:rPr>
            </w:pPr>
            <w:r>
              <w:rPr>
                <w:sz w:val="18"/>
              </w:rPr>
              <w:t>Survey</w:t>
            </w:r>
            <w:r>
              <w:rPr>
                <w:spacing w:val="-4"/>
                <w:sz w:val="18"/>
              </w:rPr>
              <w:t xml:space="preserve"> </w:t>
            </w:r>
            <w:r>
              <w:rPr>
                <w:spacing w:val="-2"/>
                <w:sz w:val="18"/>
              </w:rPr>
              <w:t>study</w:t>
            </w:r>
          </w:p>
        </w:tc>
        <w:tc>
          <w:tcPr>
            <w:tcW w:w="2045" w:type="dxa"/>
          </w:tcPr>
          <w:p w:rsidR="00487D64" w:rsidRDefault="006F0D93">
            <w:pPr>
              <w:pStyle w:val="TableParagraph"/>
              <w:spacing w:before="26"/>
              <w:ind w:left="44"/>
              <w:rPr>
                <w:sz w:val="18"/>
              </w:rPr>
            </w:pPr>
            <w:r>
              <w:rPr>
                <w:sz w:val="18"/>
              </w:rPr>
              <w:t>Customer</w:t>
            </w:r>
            <w:r>
              <w:rPr>
                <w:spacing w:val="-6"/>
                <w:sz w:val="18"/>
              </w:rPr>
              <w:t xml:space="preserve"> </w:t>
            </w:r>
            <w:r>
              <w:rPr>
                <w:sz w:val="18"/>
              </w:rPr>
              <w:t>insights strengthen innovation, adaptability,</w:t>
            </w:r>
            <w:r>
              <w:rPr>
                <w:spacing w:val="-4"/>
                <w:sz w:val="18"/>
              </w:rPr>
              <w:t xml:space="preserve"> </w:t>
            </w:r>
            <w:r>
              <w:rPr>
                <w:sz w:val="18"/>
              </w:rPr>
              <w:t xml:space="preserve">and </w:t>
            </w:r>
            <w:r>
              <w:rPr>
                <w:spacing w:val="-2"/>
                <w:sz w:val="18"/>
              </w:rPr>
              <w:t>satisfaction,</w:t>
            </w:r>
            <w:r>
              <w:rPr>
                <w:spacing w:val="-4"/>
                <w:sz w:val="18"/>
              </w:rPr>
              <w:t xml:space="preserve"> </w:t>
            </w:r>
            <w:r>
              <w:rPr>
                <w:spacing w:val="-2"/>
                <w:sz w:val="18"/>
              </w:rPr>
              <w:t>reinforcing competitiveness.</w:t>
            </w:r>
          </w:p>
        </w:tc>
      </w:tr>
      <w:tr w:rsidR="00487D64">
        <w:trPr>
          <w:trHeight w:val="885"/>
        </w:trPr>
        <w:tc>
          <w:tcPr>
            <w:tcW w:w="1279" w:type="dxa"/>
          </w:tcPr>
          <w:p w:rsidR="00487D64" w:rsidRDefault="00487D64">
            <w:pPr>
              <w:pStyle w:val="TableParagraph"/>
              <w:spacing w:before="32"/>
              <w:rPr>
                <w:b/>
                <w:sz w:val="18"/>
              </w:rPr>
            </w:pPr>
          </w:p>
          <w:p w:rsidR="00487D64" w:rsidRDefault="006F0D93">
            <w:pPr>
              <w:pStyle w:val="TableParagraph"/>
              <w:spacing w:line="232" w:lineRule="auto"/>
              <w:ind w:left="43" w:right="244"/>
              <w:rPr>
                <w:sz w:val="18"/>
              </w:rPr>
            </w:pPr>
            <w:r>
              <w:rPr>
                <w:sz w:val="18"/>
              </w:rPr>
              <w:t>Lee</w:t>
            </w:r>
            <w:r>
              <w:rPr>
                <w:spacing w:val="-12"/>
                <w:sz w:val="18"/>
              </w:rPr>
              <w:t xml:space="preserve"> </w:t>
            </w:r>
            <w:r>
              <w:rPr>
                <w:sz w:val="18"/>
              </w:rPr>
              <w:t>&amp;</w:t>
            </w:r>
            <w:r>
              <w:rPr>
                <w:spacing w:val="-11"/>
                <w:sz w:val="18"/>
              </w:rPr>
              <w:t xml:space="preserve"> </w:t>
            </w:r>
            <w:r>
              <w:rPr>
                <w:sz w:val="18"/>
              </w:rPr>
              <w:t xml:space="preserve">Wei </w:t>
            </w:r>
            <w:r>
              <w:rPr>
                <w:spacing w:val="-2"/>
                <w:sz w:val="18"/>
              </w:rPr>
              <w:t>(2023)</w:t>
            </w:r>
          </w:p>
        </w:tc>
        <w:tc>
          <w:tcPr>
            <w:tcW w:w="1928" w:type="dxa"/>
          </w:tcPr>
          <w:p w:rsidR="00487D64" w:rsidRDefault="006F0D93">
            <w:pPr>
              <w:pStyle w:val="TableParagraph"/>
              <w:spacing w:before="126"/>
              <w:ind w:left="75" w:right="236"/>
              <w:rPr>
                <w:sz w:val="18"/>
              </w:rPr>
            </w:pPr>
            <w:r>
              <w:rPr>
                <w:sz w:val="18"/>
              </w:rPr>
              <w:t>Studied customer orientation</w:t>
            </w:r>
            <w:r>
              <w:rPr>
                <w:spacing w:val="-12"/>
                <w:sz w:val="18"/>
              </w:rPr>
              <w:t xml:space="preserve"> </w:t>
            </w:r>
            <w:r>
              <w:rPr>
                <w:sz w:val="18"/>
              </w:rPr>
              <w:t>in</w:t>
            </w:r>
            <w:r>
              <w:rPr>
                <w:spacing w:val="-11"/>
                <w:sz w:val="18"/>
              </w:rPr>
              <w:t xml:space="preserve"> </w:t>
            </w:r>
            <w:r>
              <w:rPr>
                <w:sz w:val="18"/>
              </w:rPr>
              <w:t xml:space="preserve">strategic </w:t>
            </w:r>
            <w:r>
              <w:rPr>
                <w:spacing w:val="-2"/>
                <w:sz w:val="18"/>
              </w:rPr>
              <w:t>processes</w:t>
            </w:r>
          </w:p>
        </w:tc>
        <w:tc>
          <w:tcPr>
            <w:tcW w:w="1518" w:type="dxa"/>
          </w:tcPr>
          <w:p w:rsidR="00487D64" w:rsidRDefault="00487D64">
            <w:pPr>
              <w:pStyle w:val="TableParagraph"/>
              <w:spacing w:before="128"/>
              <w:rPr>
                <w:b/>
                <w:sz w:val="18"/>
              </w:rPr>
            </w:pPr>
          </w:p>
          <w:p w:rsidR="00487D64" w:rsidRDefault="006F0D93">
            <w:pPr>
              <w:pStyle w:val="TableParagraph"/>
              <w:ind w:left="35"/>
              <w:rPr>
                <w:sz w:val="18"/>
              </w:rPr>
            </w:pPr>
            <w:r>
              <w:rPr>
                <w:sz w:val="18"/>
              </w:rPr>
              <w:t>Asian</w:t>
            </w:r>
            <w:r>
              <w:rPr>
                <w:spacing w:val="-6"/>
                <w:sz w:val="18"/>
              </w:rPr>
              <w:t xml:space="preserve"> </w:t>
            </w:r>
            <w:r>
              <w:rPr>
                <w:spacing w:val="-4"/>
                <w:sz w:val="18"/>
              </w:rPr>
              <w:t>SMEs</w:t>
            </w:r>
          </w:p>
        </w:tc>
        <w:tc>
          <w:tcPr>
            <w:tcW w:w="1542" w:type="dxa"/>
          </w:tcPr>
          <w:p w:rsidR="00487D64" w:rsidRDefault="00487D64">
            <w:pPr>
              <w:pStyle w:val="TableParagraph"/>
              <w:spacing w:before="128"/>
              <w:rPr>
                <w:b/>
                <w:sz w:val="18"/>
              </w:rPr>
            </w:pPr>
          </w:p>
          <w:p w:rsidR="00487D64" w:rsidRDefault="006F0D93">
            <w:pPr>
              <w:pStyle w:val="TableParagraph"/>
              <w:ind w:left="58"/>
              <w:rPr>
                <w:sz w:val="18"/>
              </w:rPr>
            </w:pPr>
            <w:r>
              <w:rPr>
                <w:sz w:val="18"/>
              </w:rPr>
              <w:t>Empirical</w:t>
            </w:r>
            <w:r>
              <w:rPr>
                <w:spacing w:val="-12"/>
                <w:sz w:val="18"/>
              </w:rPr>
              <w:t xml:space="preserve"> </w:t>
            </w:r>
            <w:r>
              <w:rPr>
                <w:spacing w:val="-2"/>
                <w:sz w:val="18"/>
              </w:rPr>
              <w:t>survey</w:t>
            </w:r>
          </w:p>
        </w:tc>
        <w:tc>
          <w:tcPr>
            <w:tcW w:w="2045" w:type="dxa"/>
          </w:tcPr>
          <w:p w:rsidR="00487D64" w:rsidRDefault="006F0D93">
            <w:pPr>
              <w:pStyle w:val="TableParagraph"/>
              <w:spacing w:before="26"/>
              <w:ind w:left="44" w:right="468"/>
              <w:rPr>
                <w:sz w:val="18"/>
              </w:rPr>
            </w:pPr>
            <w:r>
              <w:rPr>
                <w:sz w:val="18"/>
              </w:rPr>
              <w:t>Customer</w:t>
            </w:r>
            <w:r>
              <w:rPr>
                <w:spacing w:val="-12"/>
                <w:sz w:val="18"/>
              </w:rPr>
              <w:t xml:space="preserve"> </w:t>
            </w:r>
            <w:r>
              <w:rPr>
                <w:sz w:val="18"/>
              </w:rPr>
              <w:t>orientation fosters</w:t>
            </w:r>
            <w:r>
              <w:rPr>
                <w:spacing w:val="-12"/>
                <w:sz w:val="18"/>
              </w:rPr>
              <w:t xml:space="preserve"> </w:t>
            </w:r>
            <w:r>
              <w:rPr>
                <w:sz w:val="18"/>
              </w:rPr>
              <w:t>resilience</w:t>
            </w:r>
            <w:r>
              <w:rPr>
                <w:spacing w:val="-11"/>
                <w:sz w:val="18"/>
              </w:rPr>
              <w:t xml:space="preserve"> </w:t>
            </w:r>
            <w:r>
              <w:rPr>
                <w:sz w:val="18"/>
              </w:rPr>
              <w:t xml:space="preserve">and </w:t>
            </w:r>
            <w:r>
              <w:rPr>
                <w:spacing w:val="-2"/>
                <w:sz w:val="18"/>
              </w:rPr>
              <w:t>sustainable competitiveness</w:t>
            </w:r>
          </w:p>
        </w:tc>
      </w:tr>
      <w:tr w:rsidR="00487D64">
        <w:trPr>
          <w:trHeight w:val="889"/>
        </w:trPr>
        <w:tc>
          <w:tcPr>
            <w:tcW w:w="1279" w:type="dxa"/>
          </w:tcPr>
          <w:p w:rsidR="00487D64" w:rsidRDefault="00487D64">
            <w:pPr>
              <w:pStyle w:val="TableParagraph"/>
              <w:spacing w:before="27"/>
              <w:rPr>
                <w:b/>
                <w:sz w:val="18"/>
              </w:rPr>
            </w:pPr>
          </w:p>
          <w:p w:rsidR="00487D64" w:rsidRDefault="006F0D93">
            <w:pPr>
              <w:pStyle w:val="TableParagraph"/>
              <w:spacing w:before="1"/>
              <w:ind w:left="43" w:right="329"/>
              <w:rPr>
                <w:sz w:val="18"/>
              </w:rPr>
            </w:pPr>
            <w:r>
              <w:rPr>
                <w:sz w:val="18"/>
              </w:rPr>
              <w:t>Islam</w:t>
            </w:r>
            <w:r>
              <w:rPr>
                <w:spacing w:val="-12"/>
                <w:sz w:val="18"/>
              </w:rPr>
              <w:t xml:space="preserve"> </w:t>
            </w:r>
            <w:r>
              <w:rPr>
                <w:sz w:val="18"/>
              </w:rPr>
              <w:t>&amp;</w:t>
            </w:r>
            <w:r>
              <w:rPr>
                <w:spacing w:val="-11"/>
                <w:sz w:val="18"/>
              </w:rPr>
              <w:t xml:space="preserve"> </w:t>
            </w:r>
            <w:r>
              <w:rPr>
                <w:sz w:val="18"/>
              </w:rPr>
              <w:t xml:space="preserve">Zhe </w:t>
            </w:r>
            <w:r>
              <w:rPr>
                <w:spacing w:val="-2"/>
                <w:sz w:val="18"/>
              </w:rPr>
              <w:t>(2022)</w:t>
            </w:r>
          </w:p>
        </w:tc>
        <w:tc>
          <w:tcPr>
            <w:tcW w:w="1928" w:type="dxa"/>
          </w:tcPr>
          <w:p w:rsidR="00487D64" w:rsidRDefault="006F0D93">
            <w:pPr>
              <w:pStyle w:val="TableParagraph"/>
              <w:spacing w:before="26"/>
              <w:ind w:left="75" w:right="186"/>
              <w:rPr>
                <w:sz w:val="18"/>
              </w:rPr>
            </w:pPr>
            <w:r>
              <w:rPr>
                <w:sz w:val="18"/>
              </w:rPr>
              <w:t xml:space="preserve">Assessed advanced </w:t>
            </w:r>
            <w:r>
              <w:rPr>
                <w:spacing w:val="-2"/>
                <w:sz w:val="18"/>
              </w:rPr>
              <w:t xml:space="preserve">customer-focused </w:t>
            </w:r>
            <w:r>
              <w:rPr>
                <w:sz w:val="18"/>
              </w:rPr>
              <w:t>mechanisms (co- creation,</w:t>
            </w:r>
            <w:r>
              <w:rPr>
                <w:spacing w:val="-12"/>
                <w:sz w:val="18"/>
              </w:rPr>
              <w:t xml:space="preserve"> </w:t>
            </w:r>
            <w:r>
              <w:rPr>
                <w:sz w:val="18"/>
              </w:rPr>
              <w:t>networks,</w:t>
            </w:r>
            <w:r>
              <w:rPr>
                <w:spacing w:val="-11"/>
                <w:sz w:val="18"/>
              </w:rPr>
              <w:t xml:space="preserve"> </w:t>
            </w:r>
            <w:r>
              <w:rPr>
                <w:sz w:val="18"/>
              </w:rPr>
              <w:t>AI)</w:t>
            </w:r>
          </w:p>
        </w:tc>
        <w:tc>
          <w:tcPr>
            <w:tcW w:w="1518" w:type="dxa"/>
          </w:tcPr>
          <w:p w:rsidR="00487D64" w:rsidRDefault="00487D64">
            <w:pPr>
              <w:pStyle w:val="TableParagraph"/>
              <w:spacing w:before="128"/>
              <w:rPr>
                <w:b/>
                <w:sz w:val="18"/>
              </w:rPr>
            </w:pPr>
          </w:p>
          <w:p w:rsidR="00487D64" w:rsidRDefault="006F0D93">
            <w:pPr>
              <w:pStyle w:val="TableParagraph"/>
              <w:ind w:left="35"/>
              <w:rPr>
                <w:sz w:val="18"/>
              </w:rPr>
            </w:pPr>
            <w:r>
              <w:rPr>
                <w:sz w:val="18"/>
              </w:rPr>
              <w:t>SMEs</w:t>
            </w:r>
            <w:r>
              <w:rPr>
                <w:spacing w:val="-8"/>
                <w:sz w:val="18"/>
              </w:rPr>
              <w:t xml:space="preserve"> </w:t>
            </w:r>
            <w:r>
              <w:rPr>
                <w:sz w:val="18"/>
              </w:rPr>
              <w:t>in</w:t>
            </w:r>
            <w:r>
              <w:rPr>
                <w:spacing w:val="-4"/>
                <w:sz w:val="18"/>
              </w:rPr>
              <w:t xml:space="preserve"> Asia</w:t>
            </w:r>
          </w:p>
        </w:tc>
        <w:tc>
          <w:tcPr>
            <w:tcW w:w="1542" w:type="dxa"/>
          </w:tcPr>
          <w:p w:rsidR="00487D64" w:rsidRDefault="00487D64">
            <w:pPr>
              <w:pStyle w:val="TableParagraph"/>
              <w:spacing w:before="128"/>
              <w:rPr>
                <w:b/>
                <w:sz w:val="18"/>
              </w:rPr>
            </w:pPr>
          </w:p>
          <w:p w:rsidR="00487D64" w:rsidRDefault="006F0D93">
            <w:pPr>
              <w:pStyle w:val="TableParagraph"/>
              <w:ind w:left="58"/>
              <w:rPr>
                <w:sz w:val="18"/>
              </w:rPr>
            </w:pPr>
            <w:r>
              <w:rPr>
                <w:sz w:val="18"/>
              </w:rPr>
              <w:t>Mixed</w:t>
            </w:r>
            <w:r>
              <w:rPr>
                <w:spacing w:val="-8"/>
                <w:sz w:val="18"/>
              </w:rPr>
              <w:t xml:space="preserve"> </w:t>
            </w:r>
            <w:r>
              <w:rPr>
                <w:spacing w:val="-2"/>
                <w:sz w:val="18"/>
              </w:rPr>
              <w:t>methods</w:t>
            </w:r>
          </w:p>
        </w:tc>
        <w:tc>
          <w:tcPr>
            <w:tcW w:w="2045" w:type="dxa"/>
          </w:tcPr>
          <w:p w:rsidR="00487D64" w:rsidRDefault="006F0D93">
            <w:pPr>
              <w:pStyle w:val="TableParagraph"/>
              <w:spacing w:before="26"/>
              <w:ind w:left="44"/>
              <w:rPr>
                <w:sz w:val="18"/>
              </w:rPr>
            </w:pPr>
            <w:r>
              <w:rPr>
                <w:sz w:val="18"/>
              </w:rPr>
              <w:t>Customer</w:t>
            </w:r>
            <w:r>
              <w:rPr>
                <w:spacing w:val="-6"/>
                <w:sz w:val="18"/>
              </w:rPr>
              <w:t xml:space="preserve"> </w:t>
            </w:r>
            <w:r>
              <w:rPr>
                <w:sz w:val="18"/>
              </w:rPr>
              <w:t>orientation through innovation and networks</w:t>
            </w:r>
            <w:r>
              <w:rPr>
                <w:spacing w:val="-12"/>
                <w:sz w:val="18"/>
              </w:rPr>
              <w:t xml:space="preserve"> </w:t>
            </w:r>
            <w:r>
              <w:rPr>
                <w:sz w:val="18"/>
              </w:rPr>
              <w:t>sustains</w:t>
            </w:r>
            <w:r>
              <w:rPr>
                <w:spacing w:val="-11"/>
                <w:sz w:val="18"/>
              </w:rPr>
              <w:t xml:space="preserve"> </w:t>
            </w:r>
            <w:r>
              <w:rPr>
                <w:sz w:val="18"/>
              </w:rPr>
              <w:t xml:space="preserve">financial </w:t>
            </w:r>
            <w:r>
              <w:rPr>
                <w:spacing w:val="-2"/>
                <w:sz w:val="18"/>
              </w:rPr>
              <w:t>performance.</w:t>
            </w:r>
          </w:p>
        </w:tc>
      </w:tr>
      <w:tr w:rsidR="00487D64">
        <w:trPr>
          <w:trHeight w:val="681"/>
        </w:trPr>
        <w:tc>
          <w:tcPr>
            <w:tcW w:w="1279" w:type="dxa"/>
          </w:tcPr>
          <w:p w:rsidR="00487D64" w:rsidRDefault="006F0D93">
            <w:pPr>
              <w:pStyle w:val="TableParagraph"/>
              <w:spacing w:before="31" w:line="237" w:lineRule="auto"/>
              <w:ind w:left="43"/>
              <w:rPr>
                <w:sz w:val="18"/>
              </w:rPr>
            </w:pPr>
            <w:r>
              <w:rPr>
                <w:sz w:val="18"/>
              </w:rPr>
              <w:t xml:space="preserve">Flight &amp; </w:t>
            </w:r>
            <w:r>
              <w:rPr>
                <w:spacing w:val="-2"/>
                <w:sz w:val="18"/>
              </w:rPr>
              <w:t>Mudiyanselage (2021)</w:t>
            </w:r>
          </w:p>
        </w:tc>
        <w:tc>
          <w:tcPr>
            <w:tcW w:w="1928" w:type="dxa"/>
          </w:tcPr>
          <w:p w:rsidR="00487D64" w:rsidRDefault="006F0D93">
            <w:pPr>
              <w:pStyle w:val="TableParagraph"/>
              <w:spacing w:before="31" w:line="237" w:lineRule="auto"/>
              <w:ind w:left="75"/>
              <w:rPr>
                <w:sz w:val="18"/>
              </w:rPr>
            </w:pPr>
            <w:r>
              <w:rPr>
                <w:sz w:val="18"/>
              </w:rPr>
              <w:t>Investigated</w:t>
            </w:r>
            <w:r>
              <w:rPr>
                <w:spacing w:val="-12"/>
                <w:sz w:val="18"/>
              </w:rPr>
              <w:t xml:space="preserve"> </w:t>
            </w:r>
            <w:r>
              <w:rPr>
                <w:sz w:val="18"/>
              </w:rPr>
              <w:t>the</w:t>
            </w:r>
            <w:r>
              <w:rPr>
                <w:spacing w:val="-11"/>
                <w:sz w:val="18"/>
              </w:rPr>
              <w:t xml:space="preserve"> </w:t>
            </w:r>
            <w:r>
              <w:rPr>
                <w:sz w:val="18"/>
              </w:rPr>
              <w:t>effect</w:t>
            </w:r>
            <w:r>
              <w:rPr>
                <w:spacing w:val="-11"/>
                <w:sz w:val="18"/>
              </w:rPr>
              <w:t xml:space="preserve"> </w:t>
            </w:r>
            <w:r>
              <w:rPr>
                <w:sz w:val="18"/>
              </w:rPr>
              <w:t xml:space="preserve">on loyalty and repeat </w:t>
            </w:r>
            <w:r>
              <w:rPr>
                <w:spacing w:val="-2"/>
                <w:sz w:val="18"/>
              </w:rPr>
              <w:t>business</w:t>
            </w:r>
          </w:p>
        </w:tc>
        <w:tc>
          <w:tcPr>
            <w:tcW w:w="1518" w:type="dxa"/>
          </w:tcPr>
          <w:p w:rsidR="00487D64" w:rsidRDefault="00487D64">
            <w:pPr>
              <w:pStyle w:val="TableParagraph"/>
              <w:spacing w:before="24"/>
              <w:rPr>
                <w:b/>
                <w:sz w:val="18"/>
              </w:rPr>
            </w:pPr>
          </w:p>
          <w:p w:rsidR="00487D64" w:rsidRDefault="006F0D93">
            <w:pPr>
              <w:pStyle w:val="TableParagraph"/>
              <w:ind w:left="35"/>
              <w:rPr>
                <w:sz w:val="18"/>
              </w:rPr>
            </w:pPr>
            <w:r>
              <w:rPr>
                <w:sz w:val="18"/>
              </w:rPr>
              <w:t>SMEs</w:t>
            </w:r>
            <w:r>
              <w:rPr>
                <w:spacing w:val="-4"/>
                <w:sz w:val="18"/>
              </w:rPr>
              <w:t xml:space="preserve"> </w:t>
            </w:r>
            <w:r>
              <w:rPr>
                <w:spacing w:val="-2"/>
                <w:sz w:val="18"/>
              </w:rPr>
              <w:t>(unspecified)</w:t>
            </w:r>
          </w:p>
        </w:tc>
        <w:tc>
          <w:tcPr>
            <w:tcW w:w="1542" w:type="dxa"/>
          </w:tcPr>
          <w:p w:rsidR="00487D64" w:rsidRDefault="00487D64">
            <w:pPr>
              <w:pStyle w:val="TableParagraph"/>
              <w:spacing w:before="24"/>
              <w:rPr>
                <w:b/>
                <w:sz w:val="18"/>
              </w:rPr>
            </w:pPr>
          </w:p>
          <w:p w:rsidR="00487D64" w:rsidRDefault="006F0D93">
            <w:pPr>
              <w:pStyle w:val="TableParagraph"/>
              <w:ind w:left="58"/>
              <w:rPr>
                <w:sz w:val="18"/>
              </w:rPr>
            </w:pPr>
            <w:r>
              <w:rPr>
                <w:sz w:val="18"/>
              </w:rPr>
              <w:t>Empirical</w:t>
            </w:r>
            <w:r>
              <w:rPr>
                <w:spacing w:val="-10"/>
                <w:sz w:val="18"/>
              </w:rPr>
              <w:t xml:space="preserve"> </w:t>
            </w:r>
            <w:r>
              <w:rPr>
                <w:spacing w:val="-2"/>
                <w:sz w:val="18"/>
              </w:rPr>
              <w:t>analysis</w:t>
            </w:r>
          </w:p>
        </w:tc>
        <w:tc>
          <w:tcPr>
            <w:tcW w:w="2045" w:type="dxa"/>
          </w:tcPr>
          <w:p w:rsidR="00487D64" w:rsidRDefault="006F0D93">
            <w:pPr>
              <w:pStyle w:val="TableParagraph"/>
              <w:spacing w:before="31" w:line="237" w:lineRule="auto"/>
              <w:ind w:left="44" w:right="179"/>
              <w:rPr>
                <w:sz w:val="18"/>
              </w:rPr>
            </w:pPr>
            <w:r>
              <w:rPr>
                <w:sz w:val="18"/>
              </w:rPr>
              <w:t>Customer</w:t>
            </w:r>
            <w:r>
              <w:rPr>
                <w:spacing w:val="-6"/>
                <w:sz w:val="18"/>
              </w:rPr>
              <w:t xml:space="preserve"> </w:t>
            </w:r>
            <w:r>
              <w:rPr>
                <w:sz w:val="18"/>
              </w:rPr>
              <w:t>orientation drives loyalty, repeat purchases,</w:t>
            </w:r>
            <w:r>
              <w:rPr>
                <w:spacing w:val="-12"/>
                <w:sz w:val="18"/>
              </w:rPr>
              <w:t xml:space="preserve"> </w:t>
            </w:r>
            <w:r>
              <w:rPr>
                <w:sz w:val="18"/>
              </w:rPr>
              <w:t>and</w:t>
            </w:r>
            <w:r>
              <w:rPr>
                <w:spacing w:val="-11"/>
                <w:sz w:val="18"/>
              </w:rPr>
              <w:t xml:space="preserve"> </w:t>
            </w:r>
            <w:r>
              <w:rPr>
                <w:sz w:val="18"/>
              </w:rPr>
              <w:t>efficiency</w:t>
            </w:r>
          </w:p>
        </w:tc>
      </w:tr>
      <w:tr w:rsidR="00487D64">
        <w:trPr>
          <w:trHeight w:val="885"/>
        </w:trPr>
        <w:tc>
          <w:tcPr>
            <w:tcW w:w="1279" w:type="dxa"/>
          </w:tcPr>
          <w:p w:rsidR="00487D64" w:rsidRDefault="00487D64">
            <w:pPr>
              <w:pStyle w:val="TableParagraph"/>
              <w:spacing w:before="27"/>
              <w:rPr>
                <w:b/>
                <w:sz w:val="18"/>
              </w:rPr>
            </w:pPr>
          </w:p>
          <w:p w:rsidR="00487D64" w:rsidRDefault="006F0D93">
            <w:pPr>
              <w:pStyle w:val="TableParagraph"/>
              <w:ind w:left="43"/>
              <w:rPr>
                <w:sz w:val="18"/>
              </w:rPr>
            </w:pPr>
            <w:r>
              <w:rPr>
                <w:sz w:val="18"/>
              </w:rPr>
              <w:t>Kaburu</w:t>
            </w:r>
            <w:r>
              <w:rPr>
                <w:spacing w:val="-12"/>
                <w:sz w:val="18"/>
              </w:rPr>
              <w:t xml:space="preserve"> </w:t>
            </w:r>
            <w:r>
              <w:rPr>
                <w:sz w:val="18"/>
              </w:rPr>
              <w:t>et</w:t>
            </w:r>
            <w:r>
              <w:rPr>
                <w:spacing w:val="-11"/>
                <w:sz w:val="18"/>
              </w:rPr>
              <w:t xml:space="preserve"> </w:t>
            </w:r>
            <w:r>
              <w:rPr>
                <w:sz w:val="18"/>
              </w:rPr>
              <w:t xml:space="preserve">al. </w:t>
            </w:r>
            <w:r>
              <w:rPr>
                <w:spacing w:val="-2"/>
                <w:sz w:val="18"/>
              </w:rPr>
              <w:t>(2021)</w:t>
            </w:r>
          </w:p>
        </w:tc>
        <w:tc>
          <w:tcPr>
            <w:tcW w:w="1928" w:type="dxa"/>
          </w:tcPr>
          <w:p w:rsidR="00487D64" w:rsidRDefault="006F0D93">
            <w:pPr>
              <w:pStyle w:val="TableParagraph"/>
              <w:spacing w:before="135" w:line="237" w:lineRule="auto"/>
              <w:ind w:left="75"/>
              <w:rPr>
                <w:sz w:val="18"/>
              </w:rPr>
            </w:pPr>
            <w:r>
              <w:rPr>
                <w:sz w:val="18"/>
              </w:rPr>
              <w:t>Linked customer orientation</w:t>
            </w:r>
            <w:r>
              <w:rPr>
                <w:spacing w:val="-12"/>
                <w:sz w:val="18"/>
              </w:rPr>
              <w:t xml:space="preserve"> </w:t>
            </w:r>
            <w:r>
              <w:rPr>
                <w:sz w:val="18"/>
              </w:rPr>
              <w:t>to</w:t>
            </w:r>
            <w:r>
              <w:rPr>
                <w:spacing w:val="-11"/>
                <w:sz w:val="18"/>
              </w:rPr>
              <w:t xml:space="preserve"> </w:t>
            </w:r>
            <w:r>
              <w:rPr>
                <w:sz w:val="18"/>
              </w:rPr>
              <w:t xml:space="preserve">operational </w:t>
            </w:r>
            <w:r>
              <w:rPr>
                <w:spacing w:val="-2"/>
                <w:sz w:val="18"/>
              </w:rPr>
              <w:t>performance</w:t>
            </w:r>
          </w:p>
        </w:tc>
        <w:tc>
          <w:tcPr>
            <w:tcW w:w="1518" w:type="dxa"/>
          </w:tcPr>
          <w:p w:rsidR="00487D64" w:rsidRDefault="00487D64">
            <w:pPr>
              <w:pStyle w:val="TableParagraph"/>
              <w:spacing w:before="128"/>
              <w:rPr>
                <w:b/>
                <w:sz w:val="18"/>
              </w:rPr>
            </w:pPr>
          </w:p>
          <w:p w:rsidR="00487D64" w:rsidRDefault="006F0D93">
            <w:pPr>
              <w:pStyle w:val="TableParagraph"/>
              <w:ind w:left="35"/>
              <w:rPr>
                <w:sz w:val="18"/>
              </w:rPr>
            </w:pPr>
            <w:r>
              <w:rPr>
                <w:sz w:val="18"/>
              </w:rPr>
              <w:t>African</w:t>
            </w:r>
            <w:r>
              <w:rPr>
                <w:spacing w:val="-7"/>
                <w:sz w:val="18"/>
              </w:rPr>
              <w:t xml:space="preserve"> </w:t>
            </w:r>
            <w:r>
              <w:rPr>
                <w:spacing w:val="-4"/>
                <w:sz w:val="18"/>
              </w:rPr>
              <w:t>SMEs</w:t>
            </w:r>
          </w:p>
        </w:tc>
        <w:tc>
          <w:tcPr>
            <w:tcW w:w="1542" w:type="dxa"/>
          </w:tcPr>
          <w:p w:rsidR="00487D64" w:rsidRDefault="00487D64">
            <w:pPr>
              <w:pStyle w:val="TableParagraph"/>
              <w:spacing w:before="128"/>
              <w:rPr>
                <w:b/>
                <w:sz w:val="18"/>
              </w:rPr>
            </w:pPr>
          </w:p>
          <w:p w:rsidR="00487D64" w:rsidRDefault="006F0D93">
            <w:pPr>
              <w:pStyle w:val="TableParagraph"/>
              <w:ind w:left="58"/>
              <w:rPr>
                <w:sz w:val="18"/>
              </w:rPr>
            </w:pPr>
            <w:r>
              <w:rPr>
                <w:sz w:val="18"/>
              </w:rPr>
              <w:t>Quantitative</w:t>
            </w:r>
            <w:r>
              <w:rPr>
                <w:spacing w:val="-9"/>
                <w:sz w:val="18"/>
              </w:rPr>
              <w:t xml:space="preserve"> </w:t>
            </w:r>
            <w:r>
              <w:rPr>
                <w:spacing w:val="-2"/>
                <w:sz w:val="18"/>
              </w:rPr>
              <w:t>survey</w:t>
            </w:r>
          </w:p>
        </w:tc>
        <w:tc>
          <w:tcPr>
            <w:tcW w:w="2045" w:type="dxa"/>
          </w:tcPr>
          <w:p w:rsidR="00487D64" w:rsidRDefault="006F0D93">
            <w:pPr>
              <w:pStyle w:val="TableParagraph"/>
              <w:spacing w:before="26"/>
              <w:ind w:left="44" w:right="448"/>
              <w:rPr>
                <w:sz w:val="18"/>
              </w:rPr>
            </w:pPr>
            <w:r>
              <w:rPr>
                <w:sz w:val="18"/>
              </w:rPr>
              <w:t>Enhances</w:t>
            </w:r>
            <w:r>
              <w:rPr>
                <w:spacing w:val="-12"/>
                <w:sz w:val="18"/>
              </w:rPr>
              <w:t xml:space="preserve"> </w:t>
            </w:r>
            <w:r>
              <w:rPr>
                <w:sz w:val="18"/>
              </w:rPr>
              <w:t xml:space="preserve">operational efficiency and competitiveness in </w:t>
            </w:r>
            <w:r>
              <w:rPr>
                <w:spacing w:val="-2"/>
                <w:sz w:val="18"/>
              </w:rPr>
              <w:t>procurement</w:t>
            </w:r>
          </w:p>
        </w:tc>
      </w:tr>
      <w:tr w:rsidR="00487D64">
        <w:trPr>
          <w:trHeight w:val="869"/>
        </w:trPr>
        <w:tc>
          <w:tcPr>
            <w:tcW w:w="1279" w:type="dxa"/>
            <w:tcBorders>
              <w:bottom w:val="single" w:sz="4" w:space="0" w:color="000000"/>
            </w:tcBorders>
          </w:tcPr>
          <w:p w:rsidR="00487D64" w:rsidRDefault="00487D64">
            <w:pPr>
              <w:pStyle w:val="TableParagraph"/>
              <w:spacing w:before="27"/>
              <w:rPr>
                <w:b/>
                <w:sz w:val="18"/>
              </w:rPr>
            </w:pPr>
          </w:p>
          <w:p w:rsidR="00487D64" w:rsidRDefault="006F0D93">
            <w:pPr>
              <w:pStyle w:val="TableParagraph"/>
              <w:spacing w:before="1"/>
              <w:ind w:left="43" w:right="234"/>
              <w:rPr>
                <w:sz w:val="18"/>
              </w:rPr>
            </w:pPr>
            <w:r>
              <w:rPr>
                <w:sz w:val="18"/>
              </w:rPr>
              <w:t>Templer</w:t>
            </w:r>
            <w:r>
              <w:rPr>
                <w:spacing w:val="-12"/>
                <w:sz w:val="18"/>
              </w:rPr>
              <w:t xml:space="preserve"> </w:t>
            </w:r>
            <w:r>
              <w:rPr>
                <w:sz w:val="18"/>
              </w:rPr>
              <w:t>et</w:t>
            </w:r>
            <w:r>
              <w:rPr>
                <w:spacing w:val="-11"/>
                <w:sz w:val="18"/>
              </w:rPr>
              <w:t xml:space="preserve"> </w:t>
            </w:r>
            <w:r>
              <w:rPr>
                <w:sz w:val="18"/>
              </w:rPr>
              <w:t xml:space="preserve">al. </w:t>
            </w:r>
            <w:r>
              <w:rPr>
                <w:spacing w:val="-2"/>
                <w:sz w:val="18"/>
              </w:rPr>
              <w:t>(2020)</w:t>
            </w:r>
          </w:p>
        </w:tc>
        <w:tc>
          <w:tcPr>
            <w:tcW w:w="1928" w:type="dxa"/>
            <w:tcBorders>
              <w:bottom w:val="single" w:sz="4" w:space="0" w:color="000000"/>
            </w:tcBorders>
          </w:tcPr>
          <w:p w:rsidR="00487D64" w:rsidRDefault="006F0D93">
            <w:pPr>
              <w:pStyle w:val="TableParagraph"/>
              <w:spacing w:before="135" w:line="237" w:lineRule="auto"/>
              <w:ind w:left="75"/>
              <w:rPr>
                <w:sz w:val="18"/>
              </w:rPr>
            </w:pPr>
            <w:r>
              <w:rPr>
                <w:sz w:val="18"/>
              </w:rPr>
              <w:t>Analyzed</w:t>
            </w:r>
            <w:r>
              <w:rPr>
                <w:spacing w:val="-12"/>
                <w:sz w:val="18"/>
              </w:rPr>
              <w:t xml:space="preserve"> </w:t>
            </w:r>
            <w:r>
              <w:rPr>
                <w:sz w:val="18"/>
              </w:rPr>
              <w:t>the</w:t>
            </w:r>
            <w:r>
              <w:rPr>
                <w:spacing w:val="-11"/>
                <w:sz w:val="18"/>
              </w:rPr>
              <w:t xml:space="preserve"> </w:t>
            </w:r>
            <w:r>
              <w:rPr>
                <w:sz w:val="18"/>
              </w:rPr>
              <w:t>operational efficiency effects of customer</w:t>
            </w:r>
            <w:r>
              <w:rPr>
                <w:spacing w:val="-6"/>
                <w:sz w:val="18"/>
              </w:rPr>
              <w:t xml:space="preserve"> </w:t>
            </w:r>
            <w:r>
              <w:rPr>
                <w:sz w:val="18"/>
              </w:rPr>
              <w:t>orientation</w:t>
            </w:r>
          </w:p>
        </w:tc>
        <w:tc>
          <w:tcPr>
            <w:tcW w:w="1518" w:type="dxa"/>
            <w:tcBorders>
              <w:bottom w:val="single" w:sz="4" w:space="0" w:color="000000"/>
            </w:tcBorders>
          </w:tcPr>
          <w:p w:rsidR="00487D64" w:rsidRDefault="00487D64">
            <w:pPr>
              <w:pStyle w:val="TableParagraph"/>
              <w:spacing w:before="27"/>
              <w:rPr>
                <w:b/>
                <w:sz w:val="18"/>
              </w:rPr>
            </w:pPr>
          </w:p>
          <w:p w:rsidR="00487D64" w:rsidRDefault="006F0D93">
            <w:pPr>
              <w:pStyle w:val="TableParagraph"/>
              <w:spacing w:before="1"/>
              <w:ind w:left="35" w:right="400"/>
              <w:rPr>
                <w:sz w:val="18"/>
              </w:rPr>
            </w:pPr>
            <w:r>
              <w:rPr>
                <w:sz w:val="18"/>
              </w:rPr>
              <w:t>SMEs</w:t>
            </w:r>
            <w:r>
              <w:rPr>
                <w:spacing w:val="-12"/>
                <w:sz w:val="18"/>
              </w:rPr>
              <w:t xml:space="preserve"> </w:t>
            </w:r>
            <w:r>
              <w:rPr>
                <w:sz w:val="18"/>
              </w:rPr>
              <w:t xml:space="preserve">(various </w:t>
            </w:r>
            <w:r>
              <w:rPr>
                <w:spacing w:val="-2"/>
                <w:sz w:val="18"/>
              </w:rPr>
              <w:t>sectors)</w:t>
            </w:r>
          </w:p>
        </w:tc>
        <w:tc>
          <w:tcPr>
            <w:tcW w:w="1542" w:type="dxa"/>
            <w:tcBorders>
              <w:bottom w:val="single" w:sz="4" w:space="0" w:color="000000"/>
            </w:tcBorders>
          </w:tcPr>
          <w:p w:rsidR="00487D64" w:rsidRDefault="00487D64">
            <w:pPr>
              <w:pStyle w:val="TableParagraph"/>
              <w:spacing w:before="27"/>
              <w:rPr>
                <w:b/>
                <w:sz w:val="18"/>
              </w:rPr>
            </w:pPr>
          </w:p>
          <w:p w:rsidR="00487D64" w:rsidRDefault="006F0D93">
            <w:pPr>
              <w:pStyle w:val="TableParagraph"/>
              <w:spacing w:before="1"/>
              <w:ind w:left="58" w:right="31"/>
              <w:rPr>
                <w:sz w:val="18"/>
              </w:rPr>
            </w:pPr>
            <w:r>
              <w:rPr>
                <w:sz w:val="18"/>
              </w:rPr>
              <w:t>Conceptual</w:t>
            </w:r>
            <w:r>
              <w:rPr>
                <w:spacing w:val="-12"/>
                <w:sz w:val="18"/>
              </w:rPr>
              <w:t xml:space="preserve"> </w:t>
            </w:r>
            <w:r>
              <w:rPr>
                <w:sz w:val="18"/>
              </w:rPr>
              <w:t>and empirical</w:t>
            </w:r>
            <w:r>
              <w:rPr>
                <w:spacing w:val="-12"/>
                <w:sz w:val="18"/>
              </w:rPr>
              <w:t xml:space="preserve"> </w:t>
            </w:r>
            <w:r>
              <w:rPr>
                <w:sz w:val="18"/>
              </w:rPr>
              <w:t>validation</w:t>
            </w:r>
          </w:p>
        </w:tc>
        <w:tc>
          <w:tcPr>
            <w:tcW w:w="2045" w:type="dxa"/>
            <w:tcBorders>
              <w:bottom w:val="single" w:sz="4" w:space="0" w:color="000000"/>
            </w:tcBorders>
          </w:tcPr>
          <w:p w:rsidR="00487D64" w:rsidRDefault="006F0D93">
            <w:pPr>
              <w:pStyle w:val="TableParagraph"/>
              <w:spacing w:before="9" w:line="210" w:lineRule="atLeast"/>
              <w:ind w:left="44" w:right="108"/>
              <w:rPr>
                <w:sz w:val="18"/>
              </w:rPr>
            </w:pPr>
            <w:r>
              <w:rPr>
                <w:sz w:val="18"/>
              </w:rPr>
              <w:t>Streamlines processes, improves</w:t>
            </w:r>
            <w:r>
              <w:rPr>
                <w:spacing w:val="-12"/>
                <w:sz w:val="18"/>
              </w:rPr>
              <w:t xml:space="preserve"> </w:t>
            </w:r>
            <w:r>
              <w:rPr>
                <w:sz w:val="18"/>
              </w:rPr>
              <w:t>compliance,</w:t>
            </w:r>
            <w:r>
              <w:rPr>
                <w:spacing w:val="-11"/>
                <w:sz w:val="18"/>
              </w:rPr>
              <w:t xml:space="preserve"> </w:t>
            </w:r>
            <w:r>
              <w:rPr>
                <w:sz w:val="18"/>
              </w:rPr>
              <w:t xml:space="preserve">and cost-effectiveness in </w:t>
            </w:r>
            <w:r>
              <w:rPr>
                <w:spacing w:val="-2"/>
                <w:sz w:val="18"/>
              </w:rPr>
              <w:t>procurement.</w:t>
            </w:r>
          </w:p>
        </w:tc>
      </w:tr>
    </w:tbl>
    <w:p w:rsidR="00487D64" w:rsidRDefault="00487D64">
      <w:pPr>
        <w:pStyle w:val="TableParagraph"/>
        <w:spacing w:line="210" w:lineRule="atLeast"/>
        <w:rPr>
          <w:sz w:val="18"/>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12"/>
        <w:rPr>
          <w:b/>
        </w:rPr>
      </w:pPr>
    </w:p>
    <w:p w:rsidR="00487D64" w:rsidRDefault="006F0D93">
      <w:pPr>
        <w:pStyle w:val="ListParagraph"/>
        <w:numPr>
          <w:ilvl w:val="2"/>
          <w:numId w:val="16"/>
        </w:numPr>
        <w:tabs>
          <w:tab w:val="left" w:pos="2072"/>
          <w:tab w:val="left" w:pos="2125"/>
        </w:tabs>
        <w:spacing w:line="504" w:lineRule="auto"/>
        <w:ind w:left="2125" w:right="854" w:hanging="707"/>
        <w:jc w:val="both"/>
        <w:rPr>
          <w:b/>
          <w:sz w:val="23"/>
        </w:rPr>
      </w:pPr>
      <w:bookmarkStart w:id="49" w:name="2.4.3_Competitor_Orientation_and_Sustain"/>
      <w:bookmarkStart w:id="50" w:name="_bookmark24"/>
      <w:bookmarkEnd w:id="49"/>
      <w:bookmarkEnd w:id="50"/>
      <w:r>
        <w:rPr>
          <w:b/>
          <w:w w:val="105"/>
          <w:sz w:val="23"/>
        </w:rPr>
        <w:t xml:space="preserve">Competitor Orientation and Sustainable Competitiveness in Public </w:t>
      </w:r>
      <w:r>
        <w:rPr>
          <w:b/>
          <w:spacing w:val="-2"/>
          <w:w w:val="105"/>
          <w:sz w:val="23"/>
        </w:rPr>
        <w:t>Procurement</w:t>
      </w:r>
    </w:p>
    <w:p w:rsidR="00487D64" w:rsidRDefault="006F0D93">
      <w:pPr>
        <w:pStyle w:val="BodyText"/>
        <w:spacing w:line="501" w:lineRule="auto"/>
        <w:ind w:left="1419" w:right="849"/>
        <w:jc w:val="both"/>
      </w:pPr>
      <w:r>
        <w:rPr>
          <w:w w:val="105"/>
        </w:rPr>
        <w:t>Competitor</w:t>
      </w:r>
      <w:r>
        <w:rPr>
          <w:spacing w:val="-5"/>
          <w:w w:val="105"/>
        </w:rPr>
        <w:t xml:space="preserve"> </w:t>
      </w:r>
      <w:r>
        <w:rPr>
          <w:w w:val="105"/>
        </w:rPr>
        <w:t>orientation,</w:t>
      </w:r>
      <w:r>
        <w:rPr>
          <w:spacing w:val="-7"/>
          <w:w w:val="105"/>
        </w:rPr>
        <w:t xml:space="preserve"> </w:t>
      </w:r>
      <w:r>
        <w:rPr>
          <w:w w:val="105"/>
        </w:rPr>
        <w:t>a</w:t>
      </w:r>
      <w:r>
        <w:rPr>
          <w:spacing w:val="-3"/>
          <w:w w:val="105"/>
        </w:rPr>
        <w:t xml:space="preserve"> </w:t>
      </w:r>
      <w:r>
        <w:rPr>
          <w:w w:val="105"/>
        </w:rPr>
        <w:t>fundamental</w:t>
      </w:r>
      <w:r>
        <w:rPr>
          <w:spacing w:val="-7"/>
          <w:w w:val="105"/>
        </w:rPr>
        <w:t xml:space="preserve"> </w:t>
      </w:r>
      <w:r>
        <w:rPr>
          <w:w w:val="105"/>
        </w:rPr>
        <w:t>dimension</w:t>
      </w:r>
      <w:r>
        <w:rPr>
          <w:spacing w:val="-8"/>
          <w:w w:val="105"/>
        </w:rPr>
        <w:t xml:space="preserve"> </w:t>
      </w:r>
      <w:r>
        <w:rPr>
          <w:w w:val="105"/>
        </w:rPr>
        <w:t>of</w:t>
      </w:r>
      <w:r>
        <w:rPr>
          <w:spacing w:val="-5"/>
          <w:w w:val="105"/>
        </w:rPr>
        <w:t xml:space="preserve"> </w:t>
      </w:r>
      <w:r>
        <w:rPr>
          <w:w w:val="105"/>
        </w:rPr>
        <w:t>the</w:t>
      </w:r>
      <w:r>
        <w:rPr>
          <w:spacing w:val="-3"/>
          <w:w w:val="105"/>
        </w:rPr>
        <w:t xml:space="preserve"> </w:t>
      </w:r>
      <w:r>
        <w:rPr>
          <w:w w:val="105"/>
        </w:rPr>
        <w:t>market</w:t>
      </w:r>
      <w:r>
        <w:rPr>
          <w:spacing w:val="-7"/>
          <w:w w:val="105"/>
        </w:rPr>
        <w:t xml:space="preserve"> </w:t>
      </w:r>
      <w:r>
        <w:rPr>
          <w:w w:val="105"/>
        </w:rPr>
        <w:t>orientation</w:t>
      </w:r>
      <w:r>
        <w:rPr>
          <w:spacing w:val="-2"/>
          <w:w w:val="105"/>
        </w:rPr>
        <w:t xml:space="preserve"> </w:t>
      </w:r>
      <w:r>
        <w:rPr>
          <w:w w:val="105"/>
        </w:rPr>
        <w:t>construct, refers</w:t>
      </w:r>
      <w:r>
        <w:rPr>
          <w:spacing w:val="-1"/>
          <w:w w:val="105"/>
        </w:rPr>
        <w:t xml:space="preserve"> </w:t>
      </w:r>
      <w:r>
        <w:rPr>
          <w:w w:val="105"/>
        </w:rPr>
        <w:t>to a firm’s</w:t>
      </w:r>
      <w:r>
        <w:rPr>
          <w:spacing w:val="-1"/>
          <w:w w:val="105"/>
        </w:rPr>
        <w:t xml:space="preserve"> </w:t>
      </w:r>
      <w:r>
        <w:rPr>
          <w:w w:val="105"/>
        </w:rPr>
        <w:t>ability to identify, monitor,</w:t>
      </w:r>
      <w:r>
        <w:rPr>
          <w:spacing w:val="-4"/>
          <w:w w:val="105"/>
        </w:rPr>
        <w:t xml:space="preserve"> </w:t>
      </w:r>
      <w:r>
        <w:rPr>
          <w:w w:val="105"/>
        </w:rPr>
        <w:t xml:space="preserve">and respond effectively to competitors’ strategies, strengths, and weaknesses (Narver &amp; Slater, 1990). In competitive and highly regulated environments such as public procurement, this capability becomes essential for SMEs, particularly special group SMEs </w:t>
      </w:r>
      <w:r>
        <w:rPr>
          <w:w w:val="105"/>
        </w:rPr>
        <w:t>to achieve sustainable competitiveness. By systematically analyzing competitors’ actions, firms can adjust bidding strategies, enhance service differentiation, and anticipate regulatory or market changes, which are critical for survival and growth in resou</w:t>
      </w:r>
      <w:r>
        <w:rPr>
          <w:w w:val="105"/>
        </w:rPr>
        <w:t>rce-constrained and compliance-driven settings.</w:t>
      </w:r>
    </w:p>
    <w:p w:rsidR="00487D64" w:rsidRDefault="006F0D93">
      <w:pPr>
        <w:pStyle w:val="BodyText"/>
        <w:spacing w:before="224" w:line="501" w:lineRule="auto"/>
        <w:ind w:left="1419" w:right="845"/>
        <w:jc w:val="both"/>
      </w:pPr>
      <w:r>
        <w:rPr>
          <w:w w:val="105"/>
        </w:rPr>
        <w:t>Empirical evidence strongly supports the positive association between competitor orientation and organizational performance. For instance, Crick (2021), through a longitudinal mixed-methods study involving UK</w:t>
      </w:r>
      <w:r>
        <w:rPr>
          <w:w w:val="105"/>
        </w:rPr>
        <w:t xml:space="preserve"> SMEs, integrated semi-structured interviews with contract performance data collected over 24 months. Findings revealed that competitor-oriented SMEs developed proactive</w:t>
      </w:r>
      <w:r>
        <w:rPr>
          <w:spacing w:val="-2"/>
          <w:w w:val="105"/>
        </w:rPr>
        <w:t xml:space="preserve"> </w:t>
      </w:r>
      <w:r>
        <w:rPr>
          <w:w w:val="105"/>
        </w:rPr>
        <w:t>and</w:t>
      </w:r>
      <w:r>
        <w:rPr>
          <w:spacing w:val="-2"/>
          <w:w w:val="105"/>
        </w:rPr>
        <w:t xml:space="preserve"> </w:t>
      </w:r>
      <w:r>
        <w:rPr>
          <w:w w:val="105"/>
        </w:rPr>
        <w:t>adaptive strategies that improved their success rates in securing procurement cont</w:t>
      </w:r>
      <w:r>
        <w:rPr>
          <w:w w:val="105"/>
        </w:rPr>
        <w:t>racts while maintaining strong customer retention. Similarly, Asikhia (2009) conducted a survey-based study in Nigeria, using structured questionnaires and regression analysis,</w:t>
      </w:r>
      <w:r>
        <w:rPr>
          <w:spacing w:val="-1"/>
          <w:w w:val="105"/>
        </w:rPr>
        <w:t xml:space="preserve"> </w:t>
      </w:r>
      <w:r>
        <w:rPr>
          <w:w w:val="105"/>
        </w:rPr>
        <w:t>reporting</w:t>
      </w:r>
      <w:r>
        <w:rPr>
          <w:spacing w:val="-2"/>
          <w:w w:val="105"/>
        </w:rPr>
        <w:t xml:space="preserve"> </w:t>
      </w:r>
      <w:r>
        <w:rPr>
          <w:w w:val="105"/>
        </w:rPr>
        <w:t>a significant positive</w:t>
      </w:r>
      <w:r>
        <w:rPr>
          <w:spacing w:val="-3"/>
          <w:w w:val="105"/>
        </w:rPr>
        <w:t xml:space="preserve"> </w:t>
      </w:r>
      <w:r>
        <w:rPr>
          <w:w w:val="105"/>
        </w:rPr>
        <w:t>relationship between competitor orientation an</w:t>
      </w:r>
      <w:r>
        <w:rPr>
          <w:w w:val="105"/>
        </w:rPr>
        <w:t>d performance metrics such as sales growth and market share. These findings suggest</w:t>
      </w:r>
      <w:r>
        <w:rPr>
          <w:spacing w:val="74"/>
          <w:w w:val="105"/>
        </w:rPr>
        <w:t xml:space="preserve"> </w:t>
      </w:r>
      <w:r>
        <w:rPr>
          <w:w w:val="105"/>
        </w:rPr>
        <w:t>that</w:t>
      </w:r>
      <w:r>
        <w:rPr>
          <w:spacing w:val="74"/>
          <w:w w:val="105"/>
        </w:rPr>
        <w:t xml:space="preserve"> </w:t>
      </w:r>
      <w:r>
        <w:rPr>
          <w:w w:val="105"/>
        </w:rPr>
        <w:t>competitor</w:t>
      </w:r>
      <w:r>
        <w:rPr>
          <w:spacing w:val="75"/>
          <w:w w:val="105"/>
        </w:rPr>
        <w:t xml:space="preserve"> </w:t>
      </w:r>
      <w:r>
        <w:rPr>
          <w:w w:val="105"/>
        </w:rPr>
        <w:t>orientation</w:t>
      </w:r>
      <w:r>
        <w:rPr>
          <w:spacing w:val="72"/>
          <w:w w:val="105"/>
        </w:rPr>
        <w:t xml:space="preserve"> </w:t>
      </w:r>
      <w:r>
        <w:rPr>
          <w:w w:val="105"/>
        </w:rPr>
        <w:t>equips</w:t>
      </w:r>
      <w:r>
        <w:rPr>
          <w:spacing w:val="78"/>
          <w:w w:val="105"/>
        </w:rPr>
        <w:t xml:space="preserve"> </w:t>
      </w:r>
      <w:r>
        <w:rPr>
          <w:w w:val="105"/>
        </w:rPr>
        <w:t>SMEs</w:t>
      </w:r>
      <w:r>
        <w:rPr>
          <w:spacing w:val="70"/>
          <w:w w:val="105"/>
        </w:rPr>
        <w:t xml:space="preserve"> </w:t>
      </w:r>
      <w:r>
        <w:rPr>
          <w:w w:val="105"/>
        </w:rPr>
        <w:t>with</w:t>
      </w:r>
      <w:r>
        <w:rPr>
          <w:spacing w:val="65"/>
          <w:w w:val="105"/>
        </w:rPr>
        <w:t xml:space="preserve"> </w:t>
      </w:r>
      <w:r>
        <w:rPr>
          <w:w w:val="105"/>
        </w:rPr>
        <w:t>the</w:t>
      </w:r>
      <w:r>
        <w:rPr>
          <w:spacing w:val="63"/>
          <w:w w:val="105"/>
        </w:rPr>
        <w:t xml:space="preserve"> </w:t>
      </w:r>
      <w:r>
        <w:rPr>
          <w:w w:val="105"/>
        </w:rPr>
        <w:t>ability</w:t>
      </w:r>
      <w:r>
        <w:rPr>
          <w:spacing w:val="71"/>
          <w:w w:val="105"/>
        </w:rPr>
        <w:t xml:space="preserve"> </w:t>
      </w:r>
      <w:r>
        <w:rPr>
          <w:w w:val="105"/>
        </w:rPr>
        <w:t>to</w:t>
      </w:r>
      <w:r>
        <w:rPr>
          <w:spacing w:val="72"/>
          <w:w w:val="105"/>
        </w:rPr>
        <w:t xml:space="preserve"> </w:t>
      </w:r>
      <w:r>
        <w:rPr>
          <w:w w:val="105"/>
        </w:rPr>
        <w:t>anticipate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4"/>
        <w:jc w:val="both"/>
      </w:pPr>
      <w:r>
        <w:rPr>
          <w:w w:val="105"/>
        </w:rPr>
        <w:t>procurement trends, benchmark against industry standards, and craft superior va</w:t>
      </w:r>
      <w:r>
        <w:rPr>
          <w:w w:val="105"/>
        </w:rPr>
        <w:t xml:space="preserve">lue </w:t>
      </w:r>
      <w:r>
        <w:rPr>
          <w:spacing w:val="-2"/>
          <w:w w:val="105"/>
        </w:rPr>
        <w:t>propositions.</w:t>
      </w:r>
    </w:p>
    <w:p w:rsidR="00487D64" w:rsidRDefault="006F0D93">
      <w:pPr>
        <w:pStyle w:val="BodyText"/>
        <w:spacing w:before="236" w:line="501" w:lineRule="auto"/>
        <w:ind w:left="1419" w:right="849"/>
        <w:jc w:val="both"/>
      </w:pPr>
      <w:r>
        <w:rPr>
          <w:w w:val="105"/>
        </w:rPr>
        <w:t>Further validation comes from Kim et al. (2022), who applied Structural Equation Modeling (SEM) to data from 324 Korean SMEs and found that competitor orientation enhances adaptive capabilities, especially when combined with data analytic</w:t>
      </w:r>
      <w:r>
        <w:rPr>
          <w:w w:val="105"/>
        </w:rPr>
        <w:t>s and knowledge management systems. Such integration allows firms to reconfigure strategies, predict market dynamics, and mitigate procurement-related risks, which is essential in volatile environments like Tanzania. Likewise, Lee and Wang (2023), using pa</w:t>
      </w:r>
      <w:r>
        <w:rPr>
          <w:w w:val="105"/>
        </w:rPr>
        <w:t>th analysis on data from 247 Southeast Asian SMEs, established that competitor orientation not only improves tendering strategies but also stimulates innovation through service differentiation and responsiveness to client expectations.</w:t>
      </w:r>
    </w:p>
    <w:p w:rsidR="00487D64" w:rsidRDefault="006F0D93">
      <w:pPr>
        <w:pStyle w:val="BodyText"/>
        <w:spacing w:before="236" w:line="501" w:lineRule="auto"/>
        <w:ind w:left="1419" w:right="848"/>
        <w:jc w:val="both"/>
      </w:pPr>
      <w:r>
        <w:rPr>
          <w:w w:val="105"/>
        </w:rPr>
        <w:t>However, findings</w:t>
      </w:r>
      <w:r>
        <w:rPr>
          <w:spacing w:val="-2"/>
          <w:w w:val="105"/>
        </w:rPr>
        <w:t xml:space="preserve"> </w:t>
      </w:r>
      <w:r>
        <w:rPr>
          <w:w w:val="105"/>
        </w:rPr>
        <w:t>ar</w:t>
      </w:r>
      <w:r>
        <w:rPr>
          <w:w w:val="105"/>
        </w:rPr>
        <w:t>e</w:t>
      </w:r>
      <w:r>
        <w:rPr>
          <w:spacing w:val="-1"/>
          <w:w w:val="105"/>
        </w:rPr>
        <w:t xml:space="preserve"> </w:t>
      </w:r>
      <w:r>
        <w:rPr>
          <w:w w:val="105"/>
        </w:rPr>
        <w:t>not</w:t>
      </w:r>
      <w:r>
        <w:rPr>
          <w:spacing w:val="-4"/>
          <w:w w:val="105"/>
        </w:rPr>
        <w:t xml:space="preserve"> </w:t>
      </w:r>
      <w:r>
        <w:rPr>
          <w:w w:val="105"/>
        </w:rPr>
        <w:t>universally consistent.</w:t>
      </w:r>
      <w:r>
        <w:rPr>
          <w:spacing w:val="-4"/>
          <w:w w:val="105"/>
        </w:rPr>
        <w:t xml:space="preserve"> </w:t>
      </w:r>
      <w:r>
        <w:rPr>
          <w:w w:val="105"/>
        </w:rPr>
        <w:t>Bekata</w:t>
      </w:r>
      <w:r>
        <w:rPr>
          <w:spacing w:val="-1"/>
          <w:w w:val="105"/>
        </w:rPr>
        <w:t xml:space="preserve"> </w:t>
      </w:r>
      <w:r>
        <w:rPr>
          <w:w w:val="105"/>
        </w:rPr>
        <w:t>and Kero</w:t>
      </w:r>
      <w:r>
        <w:rPr>
          <w:spacing w:val="-6"/>
          <w:w w:val="105"/>
        </w:rPr>
        <w:t xml:space="preserve"> </w:t>
      </w:r>
      <w:r>
        <w:rPr>
          <w:w w:val="105"/>
        </w:rPr>
        <w:t>(2025)</w:t>
      </w:r>
      <w:r>
        <w:rPr>
          <w:spacing w:val="-3"/>
          <w:w w:val="105"/>
        </w:rPr>
        <w:t xml:space="preserve"> </w:t>
      </w:r>
      <w:r>
        <w:rPr>
          <w:w w:val="105"/>
        </w:rPr>
        <w:t>conducted a quantitative cross-sectional study on Ethiopian SMEs and found no significant direct effect of competitor orientation on firm performance. Using SEM and controlling for firm size and market t</w:t>
      </w:r>
      <w:r>
        <w:rPr>
          <w:w w:val="105"/>
        </w:rPr>
        <w:t>urbulence, the authors argued that in environments with underdeveloped market intelligence systems, competitor orientation tends to be reactive rather than proactive, which delays decision-making and limits strategic benefits. This divergence emphasizes th</w:t>
      </w:r>
      <w:r>
        <w:rPr>
          <w:w w:val="105"/>
        </w:rPr>
        <w:t xml:space="preserve">e role of institutional maturity and technological readiness in shaping the efficacy of competitor </w:t>
      </w:r>
      <w:r>
        <w:rPr>
          <w:spacing w:val="-2"/>
          <w:w w:val="105"/>
        </w:rPr>
        <w:t>orientation.</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6"/>
        <w:jc w:val="both"/>
      </w:pPr>
      <w:r>
        <w:rPr>
          <w:w w:val="105"/>
        </w:rPr>
        <w:t>Moreover, recent research has linked competitor orientation with sustainability- driven strategies. Tseng et al. (2019), u</w:t>
      </w:r>
      <w:r>
        <w:rPr>
          <w:w w:val="105"/>
        </w:rPr>
        <w:t>sing PLS-SEM with data from 280 Asian firms, reported that competitor orientation positively influences Environmental Innovation Capability (EIC), particularly when coupled with strong innovation capabilities and external environmental pressures. This is h</w:t>
      </w:r>
      <w:r>
        <w:rPr>
          <w:w w:val="105"/>
        </w:rPr>
        <w:t>ighly relevant to public procurement, where social and environmental compliance is increasingly embedded in evaluation criteria. Similarly, Sondhi et al. (2024) employed a mixed-methods design, combining</w:t>
      </w:r>
      <w:r>
        <w:rPr>
          <w:spacing w:val="-1"/>
          <w:w w:val="105"/>
        </w:rPr>
        <w:t xml:space="preserve"> </w:t>
      </w:r>
      <w:r>
        <w:rPr>
          <w:w w:val="105"/>
        </w:rPr>
        <w:t>survey</w:t>
      </w:r>
      <w:r>
        <w:rPr>
          <w:spacing w:val="-1"/>
          <w:w w:val="105"/>
        </w:rPr>
        <w:t xml:space="preserve"> </w:t>
      </w:r>
      <w:r>
        <w:rPr>
          <w:w w:val="105"/>
        </w:rPr>
        <w:t>data from</w:t>
      </w:r>
      <w:r>
        <w:rPr>
          <w:spacing w:val="-8"/>
          <w:w w:val="105"/>
        </w:rPr>
        <w:t xml:space="preserve"> </w:t>
      </w:r>
      <w:r>
        <w:rPr>
          <w:w w:val="105"/>
        </w:rPr>
        <w:t>310 SMEs</w:t>
      </w:r>
      <w:r>
        <w:rPr>
          <w:spacing w:val="-2"/>
          <w:w w:val="105"/>
        </w:rPr>
        <w:t xml:space="preserve"> </w:t>
      </w:r>
      <w:r>
        <w:rPr>
          <w:w w:val="105"/>
        </w:rPr>
        <w:t>in emerging markets with</w:t>
      </w:r>
      <w:r>
        <w:rPr>
          <w:spacing w:val="-1"/>
          <w:w w:val="105"/>
        </w:rPr>
        <w:t xml:space="preserve"> </w:t>
      </w:r>
      <w:r>
        <w:rPr>
          <w:w w:val="105"/>
        </w:rPr>
        <w:t xml:space="preserve">qualitative interviews, and demonstrated that competitor orientation fosters proactive strategies that enhance resilience and long-term sustainability, especially under market </w:t>
      </w:r>
      <w:r>
        <w:rPr>
          <w:spacing w:val="-2"/>
          <w:w w:val="105"/>
        </w:rPr>
        <w:t>turbulence.</w:t>
      </w:r>
    </w:p>
    <w:p w:rsidR="00487D64" w:rsidRDefault="006F0D93">
      <w:pPr>
        <w:pStyle w:val="BodyText"/>
        <w:spacing w:before="237" w:line="501" w:lineRule="auto"/>
        <w:ind w:left="1419" w:right="847"/>
        <w:jc w:val="both"/>
      </w:pPr>
      <w:r>
        <w:rPr>
          <w:w w:val="105"/>
        </w:rPr>
        <w:t>Collectively, these studies highlight both the</w:t>
      </w:r>
      <w:r>
        <w:rPr>
          <w:w w:val="105"/>
        </w:rPr>
        <w:t xml:space="preserve"> strengths and limitations of competitor orientation. While evidence suggests that competitor orientation enables SMEs to develop adaptive strategies, foster innovation, and sustain competitiveness in dynamic markets, its effectiveness is contingent upon c</w:t>
      </w:r>
      <w:r>
        <w:rPr>
          <w:w w:val="105"/>
        </w:rPr>
        <w:t>ontextual factors such as institutional frameworks, technological infrastructure, and the nature of market intelligence systems. Within Tanzania’s public procurement landscape, marked by rigid compliance requirements and capacity constraints, competitor or</w:t>
      </w:r>
      <w:r>
        <w:rPr>
          <w:w w:val="105"/>
        </w:rPr>
        <w:t>ientation is expected to enhance SMEs’ strategic agility by enabling them to anticipate competitor pricing strategies, adjust bid structures, and innovate within regulatory boundaries. This aligns with the assumptions of Market Orientation Theory, which po</w:t>
      </w:r>
      <w:r>
        <w:rPr>
          <w:w w:val="105"/>
        </w:rPr>
        <w:t>sits that responsiveness</w:t>
      </w:r>
      <w:r>
        <w:rPr>
          <w:spacing w:val="-1"/>
          <w:w w:val="105"/>
        </w:rPr>
        <w:t xml:space="preserve"> </w:t>
      </w:r>
      <w:r>
        <w:rPr>
          <w:w w:val="105"/>
        </w:rPr>
        <w:t>to competitive forces strengthens a firm's ability to create superior value propositions, thereby achieving sustainable competitiveness.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8"/>
        <w:jc w:val="both"/>
      </w:pPr>
      <w:r>
        <w:rPr>
          <w:w w:val="105"/>
        </w:rPr>
        <w:t>Much of the literature emphasizes general outcomes such as sales growth,</w:t>
      </w:r>
      <w:r>
        <w:rPr>
          <w:w w:val="105"/>
        </w:rPr>
        <w:t xml:space="preserve"> market share, and environmental innovation (Asikhia, 2009; Tseng et al., 2019; Lee &amp; Wang,</w:t>
      </w:r>
      <w:r>
        <w:rPr>
          <w:spacing w:val="-4"/>
          <w:w w:val="105"/>
        </w:rPr>
        <w:t xml:space="preserve"> </w:t>
      </w:r>
      <w:r>
        <w:rPr>
          <w:w w:val="105"/>
        </w:rPr>
        <w:t>2023), but falls</w:t>
      </w:r>
      <w:r>
        <w:rPr>
          <w:spacing w:val="-2"/>
          <w:w w:val="105"/>
        </w:rPr>
        <w:t xml:space="preserve"> </w:t>
      </w:r>
      <w:r>
        <w:rPr>
          <w:w w:val="105"/>
        </w:rPr>
        <w:t>short of</w:t>
      </w:r>
      <w:r>
        <w:rPr>
          <w:spacing w:val="-3"/>
          <w:w w:val="105"/>
        </w:rPr>
        <w:t xml:space="preserve"> </w:t>
      </w:r>
      <w:r>
        <w:rPr>
          <w:w w:val="105"/>
        </w:rPr>
        <w:t>explaining how competitor orientation enables</w:t>
      </w:r>
      <w:r>
        <w:rPr>
          <w:spacing w:val="-2"/>
          <w:w w:val="105"/>
        </w:rPr>
        <w:t xml:space="preserve"> </w:t>
      </w:r>
      <w:r>
        <w:rPr>
          <w:w w:val="105"/>
        </w:rPr>
        <w:t>SMEs to anticipate rival bidding strategies, align pricing with regulatory requirements, and</w:t>
      </w:r>
      <w:r>
        <w:rPr>
          <w:w w:val="105"/>
        </w:rPr>
        <w:t xml:space="preserve"> proactively comply with procurement standards. These procurement-specific dynamics</w:t>
      </w:r>
      <w:r>
        <w:rPr>
          <w:spacing w:val="-15"/>
          <w:w w:val="105"/>
        </w:rPr>
        <w:t xml:space="preserve"> </w:t>
      </w:r>
      <w:r>
        <w:rPr>
          <w:w w:val="105"/>
        </w:rPr>
        <w:t>are</w:t>
      </w:r>
      <w:r>
        <w:rPr>
          <w:spacing w:val="-1"/>
          <w:w w:val="105"/>
        </w:rPr>
        <w:t xml:space="preserve"> </w:t>
      </w:r>
      <w:r>
        <w:rPr>
          <w:w w:val="105"/>
        </w:rPr>
        <w:t>critical because</w:t>
      </w:r>
      <w:r>
        <w:rPr>
          <w:spacing w:val="-8"/>
          <w:w w:val="105"/>
        </w:rPr>
        <w:t xml:space="preserve"> </w:t>
      </w:r>
      <w:r>
        <w:rPr>
          <w:w w:val="105"/>
        </w:rPr>
        <w:t>they</w:t>
      </w:r>
      <w:r>
        <w:rPr>
          <w:spacing w:val="-7"/>
          <w:w w:val="105"/>
        </w:rPr>
        <w:t xml:space="preserve"> </w:t>
      </w:r>
      <w:r>
        <w:rPr>
          <w:w w:val="105"/>
        </w:rPr>
        <w:t>determine</w:t>
      </w:r>
      <w:r>
        <w:rPr>
          <w:spacing w:val="-8"/>
          <w:w w:val="105"/>
        </w:rPr>
        <w:t xml:space="preserve"> </w:t>
      </w:r>
      <w:r>
        <w:rPr>
          <w:w w:val="105"/>
        </w:rPr>
        <w:t>contract</w:t>
      </w:r>
      <w:r>
        <w:rPr>
          <w:spacing w:val="-5"/>
          <w:w w:val="105"/>
        </w:rPr>
        <w:t xml:space="preserve"> </w:t>
      </w:r>
      <w:r>
        <w:rPr>
          <w:w w:val="105"/>
        </w:rPr>
        <w:t>acquisition</w:t>
      </w:r>
      <w:r>
        <w:rPr>
          <w:spacing w:val="-7"/>
          <w:w w:val="105"/>
        </w:rPr>
        <w:t xml:space="preserve"> </w:t>
      </w:r>
      <w:r>
        <w:rPr>
          <w:w w:val="105"/>
        </w:rPr>
        <w:t>and</w:t>
      </w:r>
      <w:r>
        <w:rPr>
          <w:spacing w:val="-7"/>
          <w:w w:val="105"/>
        </w:rPr>
        <w:t xml:space="preserve"> </w:t>
      </w:r>
      <w:r>
        <w:rPr>
          <w:w w:val="105"/>
        </w:rPr>
        <w:t>renewal,</w:t>
      </w:r>
      <w:r>
        <w:rPr>
          <w:spacing w:val="-5"/>
          <w:w w:val="105"/>
        </w:rPr>
        <w:t xml:space="preserve"> </w:t>
      </w:r>
      <w:r>
        <w:rPr>
          <w:w w:val="105"/>
        </w:rPr>
        <w:t>which directly sustain competitiveness. Based on this discussion, the current study hypothesizes</w:t>
      </w:r>
      <w:r>
        <w:rPr>
          <w:spacing w:val="-9"/>
          <w:w w:val="105"/>
        </w:rPr>
        <w:t xml:space="preserve"> </w:t>
      </w:r>
      <w:r>
        <w:rPr>
          <w:w w:val="105"/>
        </w:rPr>
        <w:t>as</w:t>
      </w:r>
      <w:r>
        <w:rPr>
          <w:spacing w:val="-8"/>
          <w:w w:val="105"/>
        </w:rPr>
        <w:t xml:space="preserve"> </w:t>
      </w:r>
      <w:r>
        <w:rPr>
          <w:w w:val="105"/>
        </w:rPr>
        <w:t>fo</w:t>
      </w:r>
      <w:r>
        <w:rPr>
          <w:w w:val="105"/>
        </w:rPr>
        <w:t>llows: (Table</w:t>
      </w:r>
      <w:r>
        <w:rPr>
          <w:spacing w:val="-7"/>
          <w:w w:val="105"/>
        </w:rPr>
        <w:t xml:space="preserve"> </w:t>
      </w:r>
      <w:r>
        <w:rPr>
          <w:w w:val="105"/>
        </w:rPr>
        <w:t>2.2)</w:t>
      </w:r>
      <w:r>
        <w:rPr>
          <w:spacing w:val="40"/>
          <w:w w:val="105"/>
        </w:rPr>
        <w:t xml:space="preserve"> </w:t>
      </w:r>
      <w:r>
        <w:rPr>
          <w:w w:val="105"/>
        </w:rPr>
        <w:t>H2</w:t>
      </w:r>
      <w:r>
        <w:rPr>
          <w:spacing w:val="-6"/>
          <w:w w:val="105"/>
        </w:rPr>
        <w:t xml:space="preserve"> </w:t>
      </w:r>
      <w:r>
        <w:rPr>
          <w:w w:val="105"/>
        </w:rPr>
        <w:t>Competitor</w:t>
      </w:r>
      <w:r>
        <w:rPr>
          <w:spacing w:val="-2"/>
          <w:w w:val="105"/>
        </w:rPr>
        <w:t xml:space="preserve"> </w:t>
      </w:r>
      <w:r>
        <w:rPr>
          <w:w w:val="105"/>
        </w:rPr>
        <w:t>orientation</w:t>
      </w:r>
      <w:r>
        <w:rPr>
          <w:spacing w:val="-6"/>
          <w:w w:val="105"/>
        </w:rPr>
        <w:t xml:space="preserve"> </w:t>
      </w:r>
      <w:r>
        <w:rPr>
          <w:w w:val="105"/>
        </w:rPr>
        <w:t>positively</w:t>
      </w:r>
      <w:r>
        <w:rPr>
          <w:spacing w:val="-12"/>
          <w:w w:val="105"/>
        </w:rPr>
        <w:t xml:space="preserve"> </w:t>
      </w:r>
      <w:r>
        <w:rPr>
          <w:w w:val="105"/>
        </w:rPr>
        <w:t>affects</w:t>
      </w:r>
      <w:r>
        <w:rPr>
          <w:spacing w:val="-9"/>
          <w:w w:val="105"/>
        </w:rPr>
        <w:t xml:space="preserve"> </w:t>
      </w:r>
      <w:r>
        <w:rPr>
          <w:w w:val="105"/>
        </w:rPr>
        <w:t>the sustainable competitiveness of special group SMEs in public procurement.</w:t>
      </w:r>
    </w:p>
    <w:p w:rsidR="00487D64" w:rsidRDefault="006F0D93">
      <w:pPr>
        <w:spacing w:before="234" w:after="5" w:line="379" w:lineRule="auto"/>
        <w:ind w:left="2982" w:right="855" w:hanging="1564"/>
        <w:jc w:val="both"/>
        <w:rPr>
          <w:b/>
          <w:sz w:val="23"/>
        </w:rPr>
      </w:pPr>
      <w:r>
        <w:rPr>
          <w:b/>
          <w:w w:val="105"/>
          <w:sz w:val="23"/>
        </w:rPr>
        <w:t>Table 2. 2</w:t>
      </w:r>
      <w:r>
        <w:rPr>
          <w:w w:val="105"/>
          <w:sz w:val="23"/>
        </w:rPr>
        <w:t xml:space="preserve">: </w:t>
      </w:r>
      <w:r>
        <w:rPr>
          <w:b/>
          <w:w w:val="105"/>
          <w:sz w:val="23"/>
        </w:rPr>
        <w:t>Previous Studies on Competitor Orientation and Sustainable Competitiveness in Public Procurement</w:t>
      </w:r>
    </w:p>
    <w:tbl>
      <w:tblPr>
        <w:tblW w:w="0" w:type="auto"/>
        <w:tblInd w:w="1376" w:type="dxa"/>
        <w:tblLayout w:type="fixed"/>
        <w:tblCellMar>
          <w:left w:w="0" w:type="dxa"/>
          <w:right w:w="0" w:type="dxa"/>
        </w:tblCellMar>
        <w:tblLook w:val="01E0" w:firstRow="1" w:lastRow="1" w:firstColumn="1" w:lastColumn="1" w:noHBand="0" w:noVBand="0"/>
      </w:tblPr>
      <w:tblGrid>
        <w:gridCol w:w="1091"/>
        <w:gridCol w:w="1779"/>
        <w:gridCol w:w="1885"/>
        <w:gridCol w:w="1848"/>
        <w:gridCol w:w="1721"/>
      </w:tblGrid>
      <w:tr w:rsidR="00487D64">
        <w:trPr>
          <w:trHeight w:val="592"/>
        </w:trPr>
        <w:tc>
          <w:tcPr>
            <w:tcW w:w="1091" w:type="dxa"/>
            <w:tcBorders>
              <w:top w:val="double" w:sz="4" w:space="0" w:color="000000"/>
              <w:bottom w:val="single" w:sz="4" w:space="0" w:color="000000"/>
            </w:tcBorders>
          </w:tcPr>
          <w:p w:rsidR="00487D64" w:rsidRDefault="006F0D93">
            <w:pPr>
              <w:pStyle w:val="TableParagraph"/>
              <w:spacing w:before="12" w:line="280" w:lineRule="atLeast"/>
              <w:ind w:left="172" w:hanging="116"/>
              <w:rPr>
                <w:b/>
                <w:sz w:val="23"/>
              </w:rPr>
            </w:pPr>
            <w:r>
              <w:rPr>
                <w:b/>
                <w:spacing w:val="-2"/>
                <w:sz w:val="23"/>
              </w:rPr>
              <w:t>Author</w:t>
            </w:r>
            <w:r>
              <w:rPr>
                <w:b/>
                <w:spacing w:val="-2"/>
                <w:sz w:val="23"/>
              </w:rPr>
              <w:t xml:space="preserve">(s) </w:t>
            </w:r>
            <w:r>
              <w:rPr>
                <w:b/>
                <w:w w:val="105"/>
                <w:sz w:val="23"/>
              </w:rPr>
              <w:t>&amp; Year</w:t>
            </w:r>
          </w:p>
        </w:tc>
        <w:tc>
          <w:tcPr>
            <w:tcW w:w="1779" w:type="dxa"/>
            <w:tcBorders>
              <w:top w:val="double" w:sz="4" w:space="0" w:color="000000"/>
              <w:bottom w:val="single" w:sz="4" w:space="0" w:color="000000"/>
            </w:tcBorders>
          </w:tcPr>
          <w:p w:rsidR="00487D64" w:rsidRDefault="006F0D93">
            <w:pPr>
              <w:pStyle w:val="TableParagraph"/>
              <w:spacing w:before="170"/>
              <w:ind w:left="76"/>
              <w:rPr>
                <w:b/>
                <w:sz w:val="23"/>
              </w:rPr>
            </w:pPr>
            <w:r>
              <w:rPr>
                <w:b/>
                <w:spacing w:val="-2"/>
                <w:w w:val="105"/>
                <w:sz w:val="23"/>
              </w:rPr>
              <w:t>Objective/Focus</w:t>
            </w:r>
          </w:p>
        </w:tc>
        <w:tc>
          <w:tcPr>
            <w:tcW w:w="1885" w:type="dxa"/>
            <w:tcBorders>
              <w:top w:val="double" w:sz="4" w:space="0" w:color="000000"/>
              <w:bottom w:val="single" w:sz="4" w:space="0" w:color="000000"/>
            </w:tcBorders>
          </w:tcPr>
          <w:p w:rsidR="00487D64" w:rsidRDefault="006F0D93">
            <w:pPr>
              <w:pStyle w:val="TableParagraph"/>
              <w:spacing w:before="170"/>
              <w:ind w:left="62"/>
              <w:rPr>
                <w:b/>
                <w:sz w:val="23"/>
              </w:rPr>
            </w:pPr>
            <w:r>
              <w:rPr>
                <w:b/>
                <w:spacing w:val="-2"/>
                <w:w w:val="105"/>
                <w:sz w:val="23"/>
              </w:rPr>
              <w:t>Location/Context</w:t>
            </w:r>
          </w:p>
        </w:tc>
        <w:tc>
          <w:tcPr>
            <w:tcW w:w="1848" w:type="dxa"/>
            <w:tcBorders>
              <w:top w:val="double" w:sz="4" w:space="0" w:color="000000"/>
              <w:bottom w:val="single" w:sz="4" w:space="0" w:color="000000"/>
            </w:tcBorders>
          </w:tcPr>
          <w:p w:rsidR="00487D64" w:rsidRDefault="006F0D93">
            <w:pPr>
              <w:pStyle w:val="TableParagraph"/>
              <w:spacing w:before="170"/>
              <w:ind w:left="72"/>
              <w:rPr>
                <w:b/>
                <w:sz w:val="23"/>
              </w:rPr>
            </w:pPr>
            <w:r>
              <w:rPr>
                <w:b/>
                <w:spacing w:val="-2"/>
                <w:w w:val="105"/>
                <w:sz w:val="23"/>
              </w:rPr>
              <w:t>Method/Analysis</w:t>
            </w:r>
          </w:p>
        </w:tc>
        <w:tc>
          <w:tcPr>
            <w:tcW w:w="1721" w:type="dxa"/>
            <w:tcBorders>
              <w:top w:val="double" w:sz="4" w:space="0" w:color="000000"/>
              <w:bottom w:val="single" w:sz="4" w:space="0" w:color="000000"/>
            </w:tcBorders>
          </w:tcPr>
          <w:p w:rsidR="00487D64" w:rsidRDefault="006F0D93">
            <w:pPr>
              <w:pStyle w:val="TableParagraph"/>
              <w:spacing w:before="170"/>
              <w:ind w:left="175"/>
              <w:rPr>
                <w:b/>
                <w:sz w:val="23"/>
              </w:rPr>
            </w:pPr>
            <w:r>
              <w:rPr>
                <w:b/>
                <w:w w:val="105"/>
                <w:sz w:val="23"/>
              </w:rPr>
              <w:t>Key</w:t>
            </w:r>
            <w:r>
              <w:rPr>
                <w:b/>
                <w:spacing w:val="-11"/>
                <w:w w:val="105"/>
                <w:sz w:val="23"/>
              </w:rPr>
              <w:t xml:space="preserve"> </w:t>
            </w:r>
            <w:r>
              <w:rPr>
                <w:b/>
                <w:spacing w:val="-2"/>
                <w:w w:val="105"/>
                <w:sz w:val="23"/>
              </w:rPr>
              <w:t>Findings</w:t>
            </w:r>
          </w:p>
        </w:tc>
      </w:tr>
      <w:tr w:rsidR="00487D64">
        <w:trPr>
          <w:trHeight w:val="2835"/>
        </w:trPr>
        <w:tc>
          <w:tcPr>
            <w:tcW w:w="1091" w:type="dxa"/>
            <w:tcBorders>
              <w:top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94"/>
              <w:rPr>
                <w:b/>
                <w:sz w:val="23"/>
              </w:rPr>
            </w:pPr>
          </w:p>
          <w:p w:rsidR="00487D64" w:rsidRDefault="006F0D93">
            <w:pPr>
              <w:pStyle w:val="TableParagraph"/>
              <w:spacing w:line="247" w:lineRule="auto"/>
              <w:ind w:left="50"/>
              <w:rPr>
                <w:sz w:val="23"/>
              </w:rPr>
            </w:pPr>
            <w:r>
              <w:rPr>
                <w:spacing w:val="-2"/>
                <w:w w:val="105"/>
                <w:sz w:val="23"/>
              </w:rPr>
              <w:t xml:space="preserve">Crick </w:t>
            </w:r>
            <w:r>
              <w:rPr>
                <w:spacing w:val="-2"/>
                <w:sz w:val="23"/>
              </w:rPr>
              <w:t>(2021)</w:t>
            </w:r>
          </w:p>
        </w:tc>
        <w:tc>
          <w:tcPr>
            <w:tcW w:w="1779" w:type="dxa"/>
            <w:tcBorders>
              <w:top w:val="single" w:sz="4" w:space="0" w:color="000000"/>
            </w:tcBorders>
          </w:tcPr>
          <w:p w:rsidR="00487D64" w:rsidRDefault="00487D64">
            <w:pPr>
              <w:pStyle w:val="TableParagraph"/>
              <w:rPr>
                <w:b/>
                <w:sz w:val="23"/>
              </w:rPr>
            </w:pPr>
          </w:p>
          <w:p w:rsidR="00487D64" w:rsidRDefault="00487D64">
            <w:pPr>
              <w:pStyle w:val="TableParagraph"/>
              <w:spacing w:before="213"/>
              <w:rPr>
                <w:b/>
                <w:sz w:val="23"/>
              </w:rPr>
            </w:pPr>
          </w:p>
          <w:p w:rsidR="00487D64" w:rsidRDefault="006F0D93">
            <w:pPr>
              <w:pStyle w:val="TableParagraph"/>
              <w:spacing w:line="249" w:lineRule="auto"/>
              <w:ind w:left="40" w:right="140"/>
              <w:rPr>
                <w:sz w:val="23"/>
              </w:rPr>
            </w:pPr>
            <w:r>
              <w:rPr>
                <w:spacing w:val="-2"/>
                <w:w w:val="105"/>
                <w:sz w:val="23"/>
              </w:rPr>
              <w:t xml:space="preserve">Assessed competitor </w:t>
            </w:r>
            <w:r>
              <w:rPr>
                <w:w w:val="105"/>
                <w:sz w:val="23"/>
              </w:rPr>
              <w:t xml:space="preserve">orientation and </w:t>
            </w:r>
            <w:r>
              <w:rPr>
                <w:spacing w:val="-2"/>
                <w:w w:val="105"/>
                <w:sz w:val="23"/>
              </w:rPr>
              <w:t>contract</w:t>
            </w:r>
            <w:r>
              <w:rPr>
                <w:spacing w:val="-14"/>
                <w:w w:val="105"/>
                <w:sz w:val="23"/>
              </w:rPr>
              <w:t xml:space="preserve"> </w:t>
            </w:r>
            <w:r>
              <w:rPr>
                <w:spacing w:val="-2"/>
                <w:w w:val="105"/>
                <w:sz w:val="23"/>
              </w:rPr>
              <w:t xml:space="preserve">success </w:t>
            </w:r>
            <w:r>
              <w:rPr>
                <w:w w:val="105"/>
                <w:sz w:val="23"/>
              </w:rPr>
              <w:t>in procurement</w:t>
            </w:r>
          </w:p>
        </w:tc>
        <w:tc>
          <w:tcPr>
            <w:tcW w:w="1885" w:type="dxa"/>
            <w:tcBorders>
              <w:top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94"/>
              <w:rPr>
                <w:b/>
                <w:sz w:val="23"/>
              </w:rPr>
            </w:pPr>
          </w:p>
          <w:p w:rsidR="00487D64" w:rsidRDefault="006F0D93">
            <w:pPr>
              <w:pStyle w:val="TableParagraph"/>
              <w:ind w:left="55"/>
              <w:rPr>
                <w:sz w:val="23"/>
              </w:rPr>
            </w:pPr>
            <w:r>
              <w:rPr>
                <w:w w:val="105"/>
                <w:sz w:val="23"/>
              </w:rPr>
              <w:t>UK</w:t>
            </w:r>
            <w:r>
              <w:rPr>
                <w:spacing w:val="-8"/>
                <w:w w:val="105"/>
                <w:sz w:val="23"/>
              </w:rPr>
              <w:t xml:space="preserve"> </w:t>
            </w:r>
            <w:r>
              <w:rPr>
                <w:w w:val="105"/>
                <w:sz w:val="23"/>
              </w:rPr>
              <w:t>SMEs</w:t>
            </w:r>
            <w:r>
              <w:rPr>
                <w:spacing w:val="-14"/>
                <w:w w:val="105"/>
                <w:sz w:val="23"/>
              </w:rPr>
              <w:t xml:space="preserve"> </w:t>
            </w:r>
            <w:r>
              <w:rPr>
                <w:spacing w:val="-5"/>
                <w:w w:val="105"/>
                <w:sz w:val="23"/>
              </w:rPr>
              <w:t>(24</w:t>
            </w:r>
          </w:p>
          <w:p w:rsidR="00487D64" w:rsidRDefault="006F0D93">
            <w:pPr>
              <w:pStyle w:val="TableParagraph"/>
              <w:spacing w:before="9"/>
              <w:ind w:left="55"/>
              <w:rPr>
                <w:sz w:val="23"/>
              </w:rPr>
            </w:pPr>
            <w:r>
              <w:rPr>
                <w:spacing w:val="-2"/>
                <w:w w:val="105"/>
                <w:sz w:val="23"/>
              </w:rPr>
              <w:t>months)</w:t>
            </w:r>
          </w:p>
        </w:tc>
        <w:tc>
          <w:tcPr>
            <w:tcW w:w="1848" w:type="dxa"/>
            <w:tcBorders>
              <w:top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85"/>
              <w:rPr>
                <w:b/>
                <w:sz w:val="23"/>
              </w:rPr>
            </w:pPr>
          </w:p>
          <w:p w:rsidR="00487D64" w:rsidRDefault="006F0D93">
            <w:pPr>
              <w:pStyle w:val="TableParagraph"/>
              <w:spacing w:line="249" w:lineRule="auto"/>
              <w:ind w:left="43" w:right="314"/>
              <w:rPr>
                <w:sz w:val="23"/>
              </w:rPr>
            </w:pPr>
            <w:r>
              <w:rPr>
                <w:spacing w:val="-2"/>
                <w:w w:val="105"/>
                <w:sz w:val="23"/>
              </w:rPr>
              <w:t xml:space="preserve">Longitudinal </w:t>
            </w:r>
            <w:r>
              <w:rPr>
                <w:spacing w:val="-2"/>
                <w:sz w:val="23"/>
              </w:rPr>
              <w:t xml:space="preserve">mixed-methods </w:t>
            </w:r>
            <w:r>
              <w:rPr>
                <w:w w:val="105"/>
                <w:sz w:val="23"/>
              </w:rPr>
              <w:t>(interviews + contract data)</w:t>
            </w:r>
          </w:p>
        </w:tc>
        <w:tc>
          <w:tcPr>
            <w:tcW w:w="1721" w:type="dxa"/>
            <w:tcBorders>
              <w:top w:val="single" w:sz="4" w:space="0" w:color="000000"/>
            </w:tcBorders>
          </w:tcPr>
          <w:p w:rsidR="00487D64" w:rsidRDefault="006F0D93">
            <w:pPr>
              <w:pStyle w:val="TableParagraph"/>
              <w:spacing w:before="50" w:line="249" w:lineRule="auto"/>
              <w:ind w:left="46" w:right="40"/>
              <w:rPr>
                <w:sz w:val="23"/>
              </w:rPr>
            </w:pPr>
            <w:r>
              <w:rPr>
                <w:spacing w:val="-2"/>
                <w:w w:val="105"/>
                <w:sz w:val="23"/>
              </w:rPr>
              <w:t xml:space="preserve">Competitor- </w:t>
            </w:r>
            <w:r>
              <w:rPr>
                <w:w w:val="105"/>
                <w:sz w:val="23"/>
              </w:rPr>
              <w:t xml:space="preserve">oriented SMEs </w:t>
            </w:r>
            <w:r>
              <w:rPr>
                <w:spacing w:val="-2"/>
                <w:w w:val="105"/>
                <w:sz w:val="23"/>
              </w:rPr>
              <w:t>developed proactive strategies, improved contract</w:t>
            </w:r>
            <w:r>
              <w:rPr>
                <w:spacing w:val="-14"/>
                <w:w w:val="105"/>
                <w:sz w:val="23"/>
              </w:rPr>
              <w:t xml:space="preserve"> </w:t>
            </w:r>
            <w:r>
              <w:rPr>
                <w:spacing w:val="-2"/>
                <w:w w:val="105"/>
                <w:sz w:val="23"/>
              </w:rPr>
              <w:t xml:space="preserve">success, </w:t>
            </w:r>
            <w:r>
              <w:rPr>
                <w:w w:val="105"/>
                <w:sz w:val="23"/>
              </w:rPr>
              <w:t xml:space="preserve">and maintained </w:t>
            </w:r>
            <w:r>
              <w:rPr>
                <w:spacing w:val="-2"/>
                <w:w w:val="105"/>
                <w:sz w:val="23"/>
              </w:rPr>
              <w:t>customer retention</w:t>
            </w:r>
          </w:p>
        </w:tc>
      </w:tr>
      <w:tr w:rsidR="00487D64">
        <w:trPr>
          <w:trHeight w:val="1440"/>
        </w:trPr>
        <w:tc>
          <w:tcPr>
            <w:tcW w:w="1091" w:type="dxa"/>
          </w:tcPr>
          <w:p w:rsidR="00487D64" w:rsidRDefault="00487D64">
            <w:pPr>
              <w:pStyle w:val="TableParagraph"/>
              <w:spacing w:before="184"/>
              <w:rPr>
                <w:b/>
                <w:sz w:val="23"/>
              </w:rPr>
            </w:pPr>
          </w:p>
          <w:p w:rsidR="00487D64" w:rsidRDefault="006F0D93">
            <w:pPr>
              <w:pStyle w:val="TableParagraph"/>
              <w:spacing w:line="247" w:lineRule="auto"/>
              <w:ind w:left="50"/>
              <w:rPr>
                <w:sz w:val="23"/>
              </w:rPr>
            </w:pPr>
            <w:r>
              <w:rPr>
                <w:spacing w:val="-2"/>
                <w:sz w:val="23"/>
              </w:rPr>
              <w:t xml:space="preserve">Asikhia </w:t>
            </w:r>
            <w:r>
              <w:rPr>
                <w:spacing w:val="-2"/>
                <w:w w:val="105"/>
                <w:sz w:val="23"/>
              </w:rPr>
              <w:t>(2009)</w:t>
            </w:r>
          </w:p>
        </w:tc>
        <w:tc>
          <w:tcPr>
            <w:tcW w:w="1779" w:type="dxa"/>
          </w:tcPr>
          <w:p w:rsidR="00487D64" w:rsidRDefault="006F0D93">
            <w:pPr>
              <w:pStyle w:val="TableParagraph"/>
              <w:spacing w:before="31" w:line="252" w:lineRule="auto"/>
              <w:ind w:left="40"/>
              <w:rPr>
                <w:sz w:val="23"/>
              </w:rPr>
            </w:pPr>
            <w:r>
              <w:rPr>
                <w:spacing w:val="-2"/>
                <w:w w:val="105"/>
                <w:sz w:val="23"/>
              </w:rPr>
              <w:t>Examined competitor orientation</w:t>
            </w:r>
            <w:r>
              <w:rPr>
                <w:spacing w:val="-14"/>
                <w:w w:val="105"/>
                <w:sz w:val="23"/>
              </w:rPr>
              <w:t xml:space="preserve"> </w:t>
            </w:r>
            <w:r>
              <w:rPr>
                <w:spacing w:val="-2"/>
                <w:w w:val="105"/>
                <w:sz w:val="23"/>
              </w:rPr>
              <w:t>and performance outcomes</w:t>
            </w:r>
          </w:p>
        </w:tc>
        <w:tc>
          <w:tcPr>
            <w:tcW w:w="1885" w:type="dxa"/>
          </w:tcPr>
          <w:p w:rsidR="00487D64" w:rsidRDefault="00487D64">
            <w:pPr>
              <w:pStyle w:val="TableParagraph"/>
              <w:rPr>
                <w:b/>
                <w:sz w:val="23"/>
              </w:rPr>
            </w:pPr>
          </w:p>
          <w:p w:rsidR="00487D64" w:rsidRDefault="00487D64">
            <w:pPr>
              <w:pStyle w:val="TableParagraph"/>
              <w:spacing w:before="56"/>
              <w:rPr>
                <w:b/>
                <w:sz w:val="23"/>
              </w:rPr>
            </w:pPr>
          </w:p>
          <w:p w:rsidR="00487D64" w:rsidRDefault="006F0D93">
            <w:pPr>
              <w:pStyle w:val="TableParagraph"/>
              <w:ind w:left="55"/>
              <w:rPr>
                <w:sz w:val="23"/>
              </w:rPr>
            </w:pPr>
            <w:r>
              <w:rPr>
                <w:sz w:val="23"/>
              </w:rPr>
              <w:t>Nigerian</w:t>
            </w:r>
            <w:r>
              <w:rPr>
                <w:spacing w:val="23"/>
                <w:sz w:val="23"/>
              </w:rPr>
              <w:t xml:space="preserve"> </w:t>
            </w:r>
            <w:r>
              <w:rPr>
                <w:spacing w:val="-4"/>
                <w:sz w:val="23"/>
              </w:rPr>
              <w:t>SMEs</w:t>
            </w:r>
          </w:p>
        </w:tc>
        <w:tc>
          <w:tcPr>
            <w:tcW w:w="1848" w:type="dxa"/>
          </w:tcPr>
          <w:p w:rsidR="00487D64" w:rsidRDefault="00487D64">
            <w:pPr>
              <w:pStyle w:val="TableParagraph"/>
              <w:spacing w:before="47"/>
              <w:rPr>
                <w:b/>
                <w:sz w:val="23"/>
              </w:rPr>
            </w:pPr>
          </w:p>
          <w:p w:rsidR="00487D64" w:rsidRDefault="006F0D93">
            <w:pPr>
              <w:pStyle w:val="TableParagraph"/>
              <w:spacing w:line="247" w:lineRule="auto"/>
              <w:ind w:left="43"/>
              <w:rPr>
                <w:sz w:val="23"/>
              </w:rPr>
            </w:pPr>
            <w:r>
              <w:rPr>
                <w:w w:val="105"/>
                <w:sz w:val="23"/>
              </w:rPr>
              <w:t xml:space="preserve">Survey + </w:t>
            </w:r>
            <w:r>
              <w:rPr>
                <w:spacing w:val="-2"/>
                <w:sz w:val="23"/>
              </w:rPr>
              <w:t xml:space="preserve">Regression </w:t>
            </w:r>
            <w:r>
              <w:rPr>
                <w:spacing w:val="-2"/>
                <w:w w:val="105"/>
                <w:sz w:val="23"/>
              </w:rPr>
              <w:t>Analysis</w:t>
            </w:r>
          </w:p>
        </w:tc>
        <w:tc>
          <w:tcPr>
            <w:tcW w:w="1721" w:type="dxa"/>
          </w:tcPr>
          <w:p w:rsidR="00487D64" w:rsidRDefault="006F0D93">
            <w:pPr>
              <w:pStyle w:val="TableParagraph"/>
              <w:spacing w:before="168" w:line="249" w:lineRule="auto"/>
              <w:ind w:left="46"/>
              <w:rPr>
                <w:sz w:val="23"/>
              </w:rPr>
            </w:pPr>
            <w:r>
              <w:rPr>
                <w:spacing w:val="-2"/>
                <w:w w:val="105"/>
                <w:sz w:val="23"/>
              </w:rPr>
              <w:t>Positive relationship</w:t>
            </w:r>
            <w:r>
              <w:rPr>
                <w:spacing w:val="-14"/>
                <w:w w:val="105"/>
                <w:sz w:val="23"/>
              </w:rPr>
              <w:t xml:space="preserve"> </w:t>
            </w:r>
            <w:r>
              <w:rPr>
                <w:spacing w:val="-2"/>
                <w:w w:val="105"/>
                <w:sz w:val="23"/>
              </w:rPr>
              <w:t xml:space="preserve">with </w:t>
            </w:r>
            <w:r>
              <w:rPr>
                <w:w w:val="105"/>
                <w:sz w:val="23"/>
              </w:rPr>
              <w:t>sales</w:t>
            </w:r>
            <w:r>
              <w:rPr>
                <w:spacing w:val="-16"/>
                <w:w w:val="105"/>
                <w:sz w:val="23"/>
              </w:rPr>
              <w:t xml:space="preserve"> </w:t>
            </w:r>
            <w:r>
              <w:rPr>
                <w:w w:val="105"/>
                <w:sz w:val="23"/>
              </w:rPr>
              <w:t>growth</w:t>
            </w:r>
            <w:r>
              <w:rPr>
                <w:spacing w:val="-15"/>
                <w:w w:val="105"/>
                <w:sz w:val="23"/>
              </w:rPr>
              <w:t xml:space="preserve"> </w:t>
            </w:r>
            <w:r>
              <w:rPr>
                <w:w w:val="105"/>
                <w:sz w:val="23"/>
              </w:rPr>
              <w:t>and market share</w:t>
            </w:r>
          </w:p>
        </w:tc>
      </w:tr>
      <w:tr w:rsidR="00487D64">
        <w:trPr>
          <w:trHeight w:val="1994"/>
        </w:trPr>
        <w:tc>
          <w:tcPr>
            <w:tcW w:w="1091" w:type="dxa"/>
            <w:tcBorders>
              <w:bottom w:val="single" w:sz="4" w:space="0" w:color="000000"/>
            </w:tcBorders>
          </w:tcPr>
          <w:p w:rsidR="00487D64" w:rsidRDefault="00487D64">
            <w:pPr>
              <w:pStyle w:val="TableParagraph"/>
              <w:rPr>
                <w:b/>
                <w:sz w:val="23"/>
              </w:rPr>
            </w:pPr>
          </w:p>
          <w:p w:rsidR="00487D64" w:rsidRDefault="00487D64">
            <w:pPr>
              <w:pStyle w:val="TableParagraph"/>
              <w:spacing w:before="193"/>
              <w:rPr>
                <w:b/>
                <w:sz w:val="23"/>
              </w:rPr>
            </w:pPr>
          </w:p>
          <w:p w:rsidR="00487D64" w:rsidRDefault="006F0D93">
            <w:pPr>
              <w:pStyle w:val="TableParagraph"/>
              <w:spacing w:line="247" w:lineRule="auto"/>
              <w:ind w:left="50" w:right="92"/>
              <w:rPr>
                <w:sz w:val="23"/>
              </w:rPr>
            </w:pPr>
            <w:r>
              <w:rPr>
                <w:w w:val="105"/>
                <w:sz w:val="23"/>
              </w:rPr>
              <w:t>Kim</w:t>
            </w:r>
            <w:r>
              <w:rPr>
                <w:spacing w:val="-16"/>
                <w:w w:val="105"/>
                <w:sz w:val="23"/>
              </w:rPr>
              <w:t xml:space="preserve"> </w:t>
            </w:r>
            <w:r>
              <w:rPr>
                <w:w w:val="105"/>
                <w:sz w:val="23"/>
              </w:rPr>
              <w:t>et</w:t>
            </w:r>
            <w:r>
              <w:rPr>
                <w:spacing w:val="-15"/>
                <w:w w:val="105"/>
                <w:sz w:val="23"/>
              </w:rPr>
              <w:t xml:space="preserve"> </w:t>
            </w:r>
            <w:r>
              <w:rPr>
                <w:w w:val="105"/>
                <w:sz w:val="23"/>
              </w:rPr>
              <w:t xml:space="preserve">al. </w:t>
            </w:r>
            <w:r>
              <w:rPr>
                <w:spacing w:val="-2"/>
                <w:w w:val="105"/>
                <w:sz w:val="23"/>
              </w:rPr>
              <w:t>(2022)</w:t>
            </w:r>
          </w:p>
        </w:tc>
        <w:tc>
          <w:tcPr>
            <w:tcW w:w="1779" w:type="dxa"/>
            <w:tcBorders>
              <w:bottom w:val="single" w:sz="4" w:space="0" w:color="000000"/>
            </w:tcBorders>
          </w:tcPr>
          <w:p w:rsidR="00487D64" w:rsidRDefault="006F0D93">
            <w:pPr>
              <w:pStyle w:val="TableParagraph"/>
              <w:spacing w:before="168" w:line="252" w:lineRule="auto"/>
              <w:ind w:left="40"/>
              <w:rPr>
                <w:sz w:val="23"/>
              </w:rPr>
            </w:pPr>
            <w:r>
              <w:rPr>
                <w:spacing w:val="-2"/>
                <w:w w:val="105"/>
                <w:sz w:val="23"/>
              </w:rPr>
              <w:t>Investigated competitor orientation</w:t>
            </w:r>
            <w:r>
              <w:rPr>
                <w:spacing w:val="-14"/>
                <w:w w:val="105"/>
                <w:sz w:val="23"/>
              </w:rPr>
              <w:t xml:space="preserve"> </w:t>
            </w:r>
            <w:r>
              <w:rPr>
                <w:spacing w:val="-2"/>
                <w:w w:val="105"/>
                <w:sz w:val="23"/>
              </w:rPr>
              <w:t xml:space="preserve">with </w:t>
            </w:r>
            <w:r>
              <w:rPr>
                <w:w w:val="105"/>
                <w:sz w:val="23"/>
              </w:rPr>
              <w:t xml:space="preserve">analytics and </w:t>
            </w:r>
            <w:r>
              <w:rPr>
                <w:spacing w:val="-2"/>
                <w:w w:val="105"/>
                <w:sz w:val="23"/>
              </w:rPr>
              <w:t>knowledge systems</w:t>
            </w:r>
          </w:p>
        </w:tc>
        <w:tc>
          <w:tcPr>
            <w:tcW w:w="1885" w:type="dxa"/>
            <w:tcBorders>
              <w:bottom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66"/>
              <w:rPr>
                <w:b/>
                <w:sz w:val="23"/>
              </w:rPr>
            </w:pPr>
          </w:p>
          <w:p w:rsidR="00487D64" w:rsidRDefault="006F0D93">
            <w:pPr>
              <w:pStyle w:val="TableParagraph"/>
              <w:ind w:left="55"/>
              <w:rPr>
                <w:sz w:val="23"/>
              </w:rPr>
            </w:pPr>
            <w:r>
              <w:rPr>
                <w:w w:val="105"/>
                <w:sz w:val="23"/>
              </w:rPr>
              <w:t>324</w:t>
            </w:r>
            <w:r>
              <w:rPr>
                <w:spacing w:val="-11"/>
                <w:w w:val="105"/>
                <w:sz w:val="23"/>
              </w:rPr>
              <w:t xml:space="preserve"> </w:t>
            </w:r>
            <w:r>
              <w:rPr>
                <w:w w:val="105"/>
                <w:sz w:val="23"/>
              </w:rPr>
              <w:t>Korean</w:t>
            </w:r>
            <w:r>
              <w:rPr>
                <w:spacing w:val="-10"/>
                <w:w w:val="105"/>
                <w:sz w:val="23"/>
              </w:rPr>
              <w:t xml:space="preserve"> </w:t>
            </w:r>
            <w:r>
              <w:rPr>
                <w:spacing w:val="-4"/>
                <w:w w:val="105"/>
                <w:sz w:val="23"/>
              </w:rPr>
              <w:t>SMEs</w:t>
            </w:r>
          </w:p>
        </w:tc>
        <w:tc>
          <w:tcPr>
            <w:tcW w:w="1848" w:type="dxa"/>
            <w:tcBorders>
              <w:bottom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66"/>
              <w:rPr>
                <w:b/>
                <w:sz w:val="23"/>
              </w:rPr>
            </w:pPr>
          </w:p>
          <w:p w:rsidR="00487D64" w:rsidRDefault="006F0D93">
            <w:pPr>
              <w:pStyle w:val="TableParagraph"/>
              <w:ind w:left="43"/>
              <w:rPr>
                <w:sz w:val="23"/>
              </w:rPr>
            </w:pPr>
            <w:r>
              <w:rPr>
                <w:spacing w:val="-5"/>
                <w:w w:val="105"/>
                <w:sz w:val="23"/>
              </w:rPr>
              <w:t>SEM</w:t>
            </w:r>
          </w:p>
        </w:tc>
        <w:tc>
          <w:tcPr>
            <w:tcW w:w="1721" w:type="dxa"/>
            <w:tcBorders>
              <w:bottom w:val="single" w:sz="4" w:space="0" w:color="000000"/>
            </w:tcBorders>
          </w:tcPr>
          <w:p w:rsidR="00487D64" w:rsidRDefault="006F0D93">
            <w:pPr>
              <w:pStyle w:val="TableParagraph"/>
              <w:spacing w:before="31" w:line="249" w:lineRule="auto"/>
              <w:ind w:left="46" w:right="40"/>
              <w:rPr>
                <w:sz w:val="23"/>
              </w:rPr>
            </w:pPr>
            <w:r>
              <w:rPr>
                <w:spacing w:val="-2"/>
                <w:w w:val="105"/>
                <w:sz w:val="23"/>
              </w:rPr>
              <w:t xml:space="preserve">Competitor orientation enhances adaptive capabilities, </w:t>
            </w:r>
            <w:r>
              <w:rPr>
                <w:w w:val="105"/>
                <w:sz w:val="23"/>
              </w:rPr>
              <w:t xml:space="preserve">enables risk </w:t>
            </w:r>
            <w:r>
              <w:rPr>
                <w:spacing w:val="-2"/>
                <w:w w:val="105"/>
                <w:sz w:val="23"/>
              </w:rPr>
              <w:t>mitigation,</w:t>
            </w:r>
            <w:r>
              <w:rPr>
                <w:spacing w:val="-14"/>
                <w:w w:val="105"/>
                <w:sz w:val="23"/>
              </w:rPr>
              <w:t xml:space="preserve"> </w:t>
            </w:r>
            <w:r>
              <w:rPr>
                <w:spacing w:val="-2"/>
                <w:w w:val="105"/>
                <w:sz w:val="23"/>
              </w:rPr>
              <w:t>and</w:t>
            </w:r>
          </w:p>
        </w:tc>
      </w:tr>
    </w:tbl>
    <w:p w:rsidR="00487D64" w:rsidRDefault="00487D64">
      <w:pPr>
        <w:pStyle w:val="TableParagraph"/>
        <w:spacing w:line="249" w:lineRule="auto"/>
        <w:rPr>
          <w:sz w:val="23"/>
        </w:rPr>
        <w:sectPr w:rsidR="00487D64">
          <w:pgSz w:w="11910" w:h="16850"/>
          <w:pgMar w:top="980" w:right="566" w:bottom="280" w:left="850" w:header="725" w:footer="0" w:gutter="0"/>
          <w:cols w:space="720"/>
        </w:sect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spacing w:before="152" w:after="1"/>
        <w:rPr>
          <w:b/>
          <w:sz w:val="20"/>
        </w:rPr>
      </w:pPr>
    </w:p>
    <w:tbl>
      <w:tblPr>
        <w:tblW w:w="0" w:type="auto"/>
        <w:tblInd w:w="1369" w:type="dxa"/>
        <w:tblLayout w:type="fixed"/>
        <w:tblCellMar>
          <w:left w:w="0" w:type="dxa"/>
          <w:right w:w="0" w:type="dxa"/>
        </w:tblCellMar>
        <w:tblLook w:val="01E0" w:firstRow="1" w:lastRow="1" w:firstColumn="1" w:lastColumn="1" w:noHBand="0" w:noVBand="0"/>
      </w:tblPr>
      <w:tblGrid>
        <w:gridCol w:w="1098"/>
        <w:gridCol w:w="1779"/>
        <w:gridCol w:w="1885"/>
        <w:gridCol w:w="1848"/>
        <w:gridCol w:w="1721"/>
      </w:tblGrid>
      <w:tr w:rsidR="00487D64">
        <w:trPr>
          <w:trHeight w:val="585"/>
        </w:trPr>
        <w:tc>
          <w:tcPr>
            <w:tcW w:w="1098" w:type="dxa"/>
            <w:tcBorders>
              <w:top w:val="double" w:sz="4" w:space="0" w:color="000000"/>
              <w:bottom w:val="single" w:sz="4" w:space="0" w:color="000000"/>
            </w:tcBorders>
          </w:tcPr>
          <w:p w:rsidR="00487D64" w:rsidRDefault="006F0D93">
            <w:pPr>
              <w:pStyle w:val="TableParagraph"/>
              <w:spacing w:before="25" w:line="270" w:lineRule="atLeast"/>
              <w:ind w:left="180" w:hanging="116"/>
              <w:rPr>
                <w:b/>
                <w:sz w:val="23"/>
              </w:rPr>
            </w:pPr>
            <w:r>
              <w:rPr>
                <w:b/>
                <w:spacing w:val="-2"/>
                <w:sz w:val="23"/>
              </w:rPr>
              <w:t xml:space="preserve">Author(s) </w:t>
            </w:r>
            <w:r>
              <w:rPr>
                <w:b/>
                <w:w w:val="105"/>
                <w:sz w:val="23"/>
              </w:rPr>
              <w:t>&amp; Year</w:t>
            </w:r>
          </w:p>
        </w:tc>
        <w:tc>
          <w:tcPr>
            <w:tcW w:w="1779" w:type="dxa"/>
            <w:tcBorders>
              <w:top w:val="double" w:sz="4" w:space="0" w:color="000000"/>
              <w:bottom w:val="single" w:sz="4" w:space="0" w:color="000000"/>
            </w:tcBorders>
          </w:tcPr>
          <w:p w:rsidR="00487D64" w:rsidRDefault="006F0D93">
            <w:pPr>
              <w:pStyle w:val="TableParagraph"/>
              <w:spacing w:before="170"/>
              <w:ind w:left="76"/>
              <w:rPr>
                <w:b/>
                <w:sz w:val="23"/>
              </w:rPr>
            </w:pPr>
            <w:r>
              <w:rPr>
                <w:b/>
                <w:spacing w:val="-2"/>
                <w:w w:val="105"/>
                <w:sz w:val="23"/>
              </w:rPr>
              <w:t>Objective/Focus</w:t>
            </w:r>
          </w:p>
        </w:tc>
        <w:tc>
          <w:tcPr>
            <w:tcW w:w="1885" w:type="dxa"/>
            <w:tcBorders>
              <w:top w:val="double" w:sz="4" w:space="0" w:color="000000"/>
              <w:bottom w:val="single" w:sz="4" w:space="0" w:color="000000"/>
            </w:tcBorders>
          </w:tcPr>
          <w:p w:rsidR="00487D64" w:rsidRDefault="006F0D93">
            <w:pPr>
              <w:pStyle w:val="TableParagraph"/>
              <w:spacing w:before="170"/>
              <w:ind w:left="62"/>
              <w:rPr>
                <w:b/>
                <w:sz w:val="23"/>
              </w:rPr>
            </w:pPr>
            <w:r>
              <w:rPr>
                <w:b/>
                <w:spacing w:val="-2"/>
                <w:w w:val="105"/>
                <w:sz w:val="23"/>
              </w:rPr>
              <w:t>Location/Context</w:t>
            </w:r>
          </w:p>
        </w:tc>
        <w:tc>
          <w:tcPr>
            <w:tcW w:w="1848" w:type="dxa"/>
            <w:tcBorders>
              <w:top w:val="double" w:sz="4" w:space="0" w:color="000000"/>
              <w:bottom w:val="single" w:sz="4" w:space="0" w:color="000000"/>
            </w:tcBorders>
          </w:tcPr>
          <w:p w:rsidR="00487D64" w:rsidRDefault="006F0D93">
            <w:pPr>
              <w:pStyle w:val="TableParagraph"/>
              <w:spacing w:before="170"/>
              <w:ind w:left="72"/>
              <w:rPr>
                <w:b/>
                <w:sz w:val="23"/>
              </w:rPr>
            </w:pPr>
            <w:r>
              <w:rPr>
                <w:b/>
                <w:spacing w:val="-2"/>
                <w:w w:val="105"/>
                <w:sz w:val="23"/>
              </w:rPr>
              <w:t>Method/Analysis</w:t>
            </w:r>
          </w:p>
        </w:tc>
        <w:tc>
          <w:tcPr>
            <w:tcW w:w="1721" w:type="dxa"/>
            <w:tcBorders>
              <w:top w:val="double" w:sz="4" w:space="0" w:color="000000"/>
              <w:bottom w:val="single" w:sz="4" w:space="0" w:color="000000"/>
            </w:tcBorders>
          </w:tcPr>
          <w:p w:rsidR="00487D64" w:rsidRDefault="006F0D93">
            <w:pPr>
              <w:pStyle w:val="TableParagraph"/>
              <w:spacing w:before="170"/>
              <w:ind w:left="176"/>
              <w:rPr>
                <w:b/>
                <w:sz w:val="23"/>
              </w:rPr>
            </w:pPr>
            <w:r>
              <w:rPr>
                <w:b/>
                <w:w w:val="105"/>
                <w:sz w:val="23"/>
              </w:rPr>
              <w:t>Key</w:t>
            </w:r>
            <w:r>
              <w:rPr>
                <w:b/>
                <w:spacing w:val="-11"/>
                <w:w w:val="105"/>
                <w:sz w:val="23"/>
              </w:rPr>
              <w:t xml:space="preserve"> </w:t>
            </w:r>
            <w:r>
              <w:rPr>
                <w:b/>
                <w:spacing w:val="-2"/>
                <w:w w:val="105"/>
                <w:sz w:val="23"/>
              </w:rPr>
              <w:t>Findings</w:t>
            </w:r>
          </w:p>
        </w:tc>
      </w:tr>
      <w:tr w:rsidR="00487D64">
        <w:trPr>
          <w:trHeight w:val="908"/>
        </w:trPr>
        <w:tc>
          <w:tcPr>
            <w:tcW w:w="1098" w:type="dxa"/>
            <w:tcBorders>
              <w:top w:val="single" w:sz="4" w:space="0" w:color="000000"/>
            </w:tcBorders>
          </w:tcPr>
          <w:p w:rsidR="00487D64" w:rsidRDefault="00487D64">
            <w:pPr>
              <w:pStyle w:val="TableParagraph"/>
            </w:pPr>
          </w:p>
        </w:tc>
        <w:tc>
          <w:tcPr>
            <w:tcW w:w="1779" w:type="dxa"/>
            <w:tcBorders>
              <w:top w:val="single" w:sz="4" w:space="0" w:color="000000"/>
            </w:tcBorders>
          </w:tcPr>
          <w:p w:rsidR="00487D64" w:rsidRDefault="00487D64">
            <w:pPr>
              <w:pStyle w:val="TableParagraph"/>
            </w:pPr>
          </w:p>
        </w:tc>
        <w:tc>
          <w:tcPr>
            <w:tcW w:w="1885" w:type="dxa"/>
            <w:tcBorders>
              <w:top w:val="single" w:sz="4" w:space="0" w:color="000000"/>
            </w:tcBorders>
          </w:tcPr>
          <w:p w:rsidR="00487D64" w:rsidRDefault="00487D64">
            <w:pPr>
              <w:pStyle w:val="TableParagraph"/>
            </w:pPr>
          </w:p>
        </w:tc>
        <w:tc>
          <w:tcPr>
            <w:tcW w:w="1848" w:type="dxa"/>
            <w:tcBorders>
              <w:top w:val="single" w:sz="4" w:space="0" w:color="000000"/>
            </w:tcBorders>
          </w:tcPr>
          <w:p w:rsidR="00487D64" w:rsidRDefault="00487D64">
            <w:pPr>
              <w:pStyle w:val="TableParagraph"/>
            </w:pPr>
          </w:p>
        </w:tc>
        <w:tc>
          <w:tcPr>
            <w:tcW w:w="1721" w:type="dxa"/>
            <w:tcBorders>
              <w:top w:val="single" w:sz="4" w:space="0" w:color="000000"/>
            </w:tcBorders>
          </w:tcPr>
          <w:p w:rsidR="00487D64" w:rsidRDefault="006F0D93">
            <w:pPr>
              <w:pStyle w:val="TableParagraph"/>
              <w:spacing w:before="50" w:line="252" w:lineRule="auto"/>
              <w:ind w:left="46"/>
              <w:rPr>
                <w:sz w:val="23"/>
              </w:rPr>
            </w:pPr>
            <w:r>
              <w:rPr>
                <w:spacing w:val="-2"/>
                <w:w w:val="105"/>
                <w:sz w:val="23"/>
              </w:rPr>
              <w:t xml:space="preserve">improves procurement </w:t>
            </w:r>
            <w:r>
              <w:rPr>
                <w:spacing w:val="-2"/>
                <w:sz w:val="23"/>
              </w:rPr>
              <w:t>responsiveness</w:t>
            </w:r>
          </w:p>
        </w:tc>
      </w:tr>
      <w:tr w:rsidR="00487D64">
        <w:trPr>
          <w:trHeight w:val="2542"/>
        </w:trPr>
        <w:tc>
          <w:tcPr>
            <w:tcW w:w="1098"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69"/>
              <w:rPr>
                <w:b/>
                <w:sz w:val="23"/>
              </w:rPr>
            </w:pPr>
          </w:p>
          <w:p w:rsidR="00487D64" w:rsidRDefault="006F0D93">
            <w:pPr>
              <w:pStyle w:val="TableParagraph"/>
              <w:spacing w:line="249" w:lineRule="auto"/>
              <w:ind w:left="57" w:right="391"/>
              <w:jc w:val="both"/>
              <w:rPr>
                <w:sz w:val="23"/>
              </w:rPr>
            </w:pPr>
            <w:r>
              <w:rPr>
                <w:w w:val="105"/>
                <w:sz w:val="23"/>
              </w:rPr>
              <w:t>Lee</w:t>
            </w:r>
            <w:r>
              <w:rPr>
                <w:spacing w:val="-1"/>
                <w:w w:val="105"/>
                <w:sz w:val="23"/>
              </w:rPr>
              <w:t xml:space="preserve"> </w:t>
            </w:r>
            <w:r>
              <w:rPr>
                <w:w w:val="105"/>
                <w:sz w:val="23"/>
              </w:rPr>
              <w:t xml:space="preserve">&amp; </w:t>
            </w:r>
            <w:r>
              <w:rPr>
                <w:spacing w:val="-4"/>
                <w:w w:val="105"/>
                <w:sz w:val="23"/>
              </w:rPr>
              <w:t xml:space="preserve">Wang </w:t>
            </w:r>
            <w:r>
              <w:rPr>
                <w:spacing w:val="-2"/>
                <w:sz w:val="23"/>
              </w:rPr>
              <w:t>(2023)</w:t>
            </w:r>
          </w:p>
        </w:tc>
        <w:tc>
          <w:tcPr>
            <w:tcW w:w="1779" w:type="dxa"/>
          </w:tcPr>
          <w:p w:rsidR="00487D64" w:rsidRDefault="00487D64">
            <w:pPr>
              <w:pStyle w:val="TableParagraph"/>
              <w:rPr>
                <w:b/>
                <w:sz w:val="23"/>
              </w:rPr>
            </w:pPr>
          </w:p>
          <w:p w:rsidR="00487D64" w:rsidRDefault="00487D64">
            <w:pPr>
              <w:pStyle w:val="TableParagraph"/>
              <w:spacing w:before="53"/>
              <w:rPr>
                <w:b/>
                <w:sz w:val="23"/>
              </w:rPr>
            </w:pPr>
          </w:p>
          <w:p w:rsidR="00487D64" w:rsidRDefault="006F0D93">
            <w:pPr>
              <w:pStyle w:val="TableParagraph"/>
              <w:spacing w:line="252" w:lineRule="auto"/>
              <w:ind w:left="40" w:right="140"/>
              <w:rPr>
                <w:sz w:val="23"/>
              </w:rPr>
            </w:pPr>
            <w:r>
              <w:rPr>
                <w:spacing w:val="-2"/>
                <w:w w:val="105"/>
                <w:sz w:val="23"/>
              </w:rPr>
              <w:t>Linked competitor orientation</w:t>
            </w:r>
            <w:r>
              <w:rPr>
                <w:spacing w:val="-14"/>
                <w:w w:val="105"/>
                <w:sz w:val="23"/>
              </w:rPr>
              <w:t xml:space="preserve"> </w:t>
            </w:r>
            <w:r>
              <w:rPr>
                <w:spacing w:val="-2"/>
                <w:w w:val="105"/>
                <w:sz w:val="23"/>
              </w:rPr>
              <w:t xml:space="preserve">with </w:t>
            </w:r>
            <w:r>
              <w:rPr>
                <w:w w:val="105"/>
                <w:sz w:val="23"/>
              </w:rPr>
              <w:t xml:space="preserve">tendering and </w:t>
            </w:r>
            <w:r>
              <w:rPr>
                <w:spacing w:val="-2"/>
                <w:w w:val="105"/>
                <w:sz w:val="23"/>
              </w:rPr>
              <w:t>innovation</w:t>
            </w:r>
          </w:p>
        </w:tc>
        <w:tc>
          <w:tcPr>
            <w:tcW w:w="1885"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06"/>
              <w:rPr>
                <w:b/>
                <w:sz w:val="23"/>
              </w:rPr>
            </w:pPr>
          </w:p>
          <w:p w:rsidR="00487D64" w:rsidRDefault="006F0D93">
            <w:pPr>
              <w:pStyle w:val="TableParagraph"/>
              <w:spacing w:line="247" w:lineRule="auto"/>
              <w:ind w:left="55"/>
              <w:rPr>
                <w:sz w:val="23"/>
              </w:rPr>
            </w:pPr>
            <w:r>
              <w:rPr>
                <w:spacing w:val="-2"/>
                <w:w w:val="105"/>
                <w:sz w:val="23"/>
              </w:rPr>
              <w:t>247</w:t>
            </w:r>
            <w:r>
              <w:rPr>
                <w:spacing w:val="-14"/>
                <w:w w:val="105"/>
                <w:sz w:val="23"/>
              </w:rPr>
              <w:t xml:space="preserve"> </w:t>
            </w:r>
            <w:r>
              <w:rPr>
                <w:spacing w:val="-2"/>
                <w:w w:val="105"/>
                <w:sz w:val="23"/>
              </w:rPr>
              <w:t xml:space="preserve">Southeast </w:t>
            </w:r>
            <w:r>
              <w:rPr>
                <w:w w:val="105"/>
                <w:sz w:val="23"/>
              </w:rPr>
              <w:t>Asian SMEs</w:t>
            </w:r>
          </w:p>
        </w:tc>
        <w:tc>
          <w:tcPr>
            <w:tcW w:w="1848"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79"/>
              <w:rPr>
                <w:b/>
                <w:sz w:val="23"/>
              </w:rPr>
            </w:pPr>
          </w:p>
          <w:p w:rsidR="00487D64" w:rsidRDefault="006F0D93">
            <w:pPr>
              <w:pStyle w:val="TableParagraph"/>
              <w:ind w:left="43"/>
              <w:rPr>
                <w:sz w:val="23"/>
              </w:rPr>
            </w:pPr>
            <w:r>
              <w:rPr>
                <w:w w:val="105"/>
                <w:sz w:val="23"/>
              </w:rPr>
              <w:t>Path</w:t>
            </w:r>
            <w:r>
              <w:rPr>
                <w:spacing w:val="-5"/>
                <w:w w:val="105"/>
                <w:sz w:val="23"/>
              </w:rPr>
              <w:t xml:space="preserve"> </w:t>
            </w:r>
            <w:r>
              <w:rPr>
                <w:spacing w:val="-2"/>
                <w:w w:val="105"/>
                <w:sz w:val="23"/>
              </w:rPr>
              <w:t>Analysis</w:t>
            </w:r>
          </w:p>
        </w:tc>
        <w:tc>
          <w:tcPr>
            <w:tcW w:w="1721" w:type="dxa"/>
          </w:tcPr>
          <w:p w:rsidR="00487D64" w:rsidRDefault="006F0D93">
            <w:pPr>
              <w:pStyle w:val="TableParagraph"/>
              <w:spacing w:before="35" w:line="249" w:lineRule="auto"/>
              <w:ind w:left="46"/>
              <w:rPr>
                <w:sz w:val="23"/>
              </w:rPr>
            </w:pPr>
            <w:r>
              <w:rPr>
                <w:spacing w:val="-2"/>
                <w:w w:val="105"/>
                <w:sz w:val="23"/>
              </w:rPr>
              <w:t xml:space="preserve">Competitor orientation improves tendering </w:t>
            </w:r>
            <w:r>
              <w:rPr>
                <w:w w:val="105"/>
                <w:sz w:val="23"/>
              </w:rPr>
              <w:t xml:space="preserve">strategies and </w:t>
            </w:r>
            <w:r>
              <w:rPr>
                <w:spacing w:val="-2"/>
                <w:w w:val="105"/>
                <w:sz w:val="23"/>
              </w:rPr>
              <w:t>stimulates innovation through</w:t>
            </w:r>
            <w:r>
              <w:rPr>
                <w:spacing w:val="-14"/>
                <w:w w:val="105"/>
                <w:sz w:val="23"/>
              </w:rPr>
              <w:t xml:space="preserve"> </w:t>
            </w:r>
            <w:r>
              <w:rPr>
                <w:spacing w:val="-2"/>
                <w:w w:val="105"/>
                <w:sz w:val="23"/>
              </w:rPr>
              <w:t>service differentiation.</w:t>
            </w:r>
          </w:p>
        </w:tc>
      </w:tr>
      <w:tr w:rsidR="00487D64">
        <w:trPr>
          <w:trHeight w:val="2269"/>
        </w:trPr>
        <w:tc>
          <w:tcPr>
            <w:tcW w:w="1098" w:type="dxa"/>
          </w:tcPr>
          <w:p w:rsidR="00487D64" w:rsidRDefault="00487D64">
            <w:pPr>
              <w:pStyle w:val="TableParagraph"/>
              <w:rPr>
                <w:b/>
                <w:sz w:val="23"/>
              </w:rPr>
            </w:pPr>
          </w:p>
          <w:p w:rsidR="00487D64" w:rsidRDefault="00487D64">
            <w:pPr>
              <w:pStyle w:val="TableParagraph"/>
              <w:spacing w:before="197"/>
              <w:rPr>
                <w:b/>
                <w:sz w:val="23"/>
              </w:rPr>
            </w:pPr>
          </w:p>
          <w:p w:rsidR="00487D64" w:rsidRDefault="006F0D93">
            <w:pPr>
              <w:pStyle w:val="TableParagraph"/>
              <w:spacing w:line="252" w:lineRule="auto"/>
              <w:ind w:left="57" w:right="118"/>
              <w:rPr>
                <w:sz w:val="23"/>
              </w:rPr>
            </w:pPr>
            <w:r>
              <w:rPr>
                <w:w w:val="105"/>
                <w:sz w:val="23"/>
              </w:rPr>
              <w:t>Bekata</w:t>
            </w:r>
            <w:r>
              <w:rPr>
                <w:spacing w:val="-16"/>
                <w:w w:val="105"/>
                <w:sz w:val="23"/>
              </w:rPr>
              <w:t xml:space="preserve"> </w:t>
            </w:r>
            <w:r>
              <w:rPr>
                <w:w w:val="105"/>
                <w:sz w:val="23"/>
              </w:rPr>
              <w:t xml:space="preserve">&amp; </w:t>
            </w:r>
            <w:r>
              <w:rPr>
                <w:spacing w:val="-4"/>
                <w:w w:val="105"/>
                <w:sz w:val="23"/>
              </w:rPr>
              <w:t xml:space="preserve">Kero </w:t>
            </w:r>
            <w:r>
              <w:rPr>
                <w:spacing w:val="-2"/>
                <w:w w:val="105"/>
                <w:sz w:val="23"/>
              </w:rPr>
              <w:t>(2025)</w:t>
            </w:r>
          </w:p>
        </w:tc>
        <w:tc>
          <w:tcPr>
            <w:tcW w:w="1779" w:type="dxa"/>
          </w:tcPr>
          <w:p w:rsidR="00487D64" w:rsidRDefault="00487D64">
            <w:pPr>
              <w:pStyle w:val="TableParagraph"/>
              <w:spacing w:before="187"/>
              <w:rPr>
                <w:b/>
                <w:sz w:val="23"/>
              </w:rPr>
            </w:pPr>
          </w:p>
          <w:p w:rsidR="00487D64" w:rsidRDefault="006F0D93">
            <w:pPr>
              <w:pStyle w:val="TableParagraph"/>
              <w:spacing w:line="249" w:lineRule="auto"/>
              <w:ind w:left="40" w:right="140"/>
              <w:rPr>
                <w:sz w:val="23"/>
              </w:rPr>
            </w:pPr>
            <w:r>
              <w:rPr>
                <w:w w:val="105"/>
                <w:sz w:val="23"/>
              </w:rPr>
              <w:t>Tested</w:t>
            </w:r>
            <w:r>
              <w:rPr>
                <w:spacing w:val="-16"/>
                <w:w w:val="105"/>
                <w:sz w:val="23"/>
              </w:rPr>
              <w:t xml:space="preserve"> </w:t>
            </w:r>
            <w:r>
              <w:rPr>
                <w:w w:val="105"/>
                <w:sz w:val="23"/>
              </w:rPr>
              <w:t>the</w:t>
            </w:r>
            <w:r>
              <w:rPr>
                <w:spacing w:val="-15"/>
                <w:w w:val="105"/>
                <w:sz w:val="23"/>
              </w:rPr>
              <w:t xml:space="preserve"> </w:t>
            </w:r>
            <w:r>
              <w:rPr>
                <w:w w:val="105"/>
                <w:sz w:val="23"/>
              </w:rPr>
              <w:t xml:space="preserve">direct effect of </w:t>
            </w:r>
            <w:r>
              <w:rPr>
                <w:spacing w:val="-2"/>
                <w:w w:val="105"/>
                <w:sz w:val="23"/>
              </w:rPr>
              <w:t xml:space="preserve">competitor </w:t>
            </w:r>
            <w:r>
              <w:rPr>
                <w:w w:val="105"/>
                <w:sz w:val="23"/>
              </w:rPr>
              <w:t xml:space="preserve">orientation on </w:t>
            </w:r>
            <w:r>
              <w:rPr>
                <w:spacing w:val="-2"/>
                <w:w w:val="105"/>
                <w:sz w:val="23"/>
              </w:rPr>
              <w:t>performance</w:t>
            </w:r>
          </w:p>
        </w:tc>
        <w:tc>
          <w:tcPr>
            <w:tcW w:w="1885"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06"/>
              <w:rPr>
                <w:b/>
                <w:sz w:val="23"/>
              </w:rPr>
            </w:pPr>
          </w:p>
          <w:p w:rsidR="00487D64" w:rsidRDefault="006F0D93">
            <w:pPr>
              <w:pStyle w:val="TableParagraph"/>
              <w:ind w:left="55"/>
              <w:rPr>
                <w:sz w:val="23"/>
              </w:rPr>
            </w:pPr>
            <w:r>
              <w:rPr>
                <w:sz w:val="23"/>
              </w:rPr>
              <w:t>Ethiopian</w:t>
            </w:r>
            <w:r>
              <w:rPr>
                <w:spacing w:val="25"/>
                <w:sz w:val="23"/>
              </w:rPr>
              <w:t xml:space="preserve"> </w:t>
            </w:r>
            <w:r>
              <w:rPr>
                <w:spacing w:val="-4"/>
                <w:sz w:val="23"/>
              </w:rPr>
              <w:t>SMEs</w:t>
            </w:r>
          </w:p>
        </w:tc>
        <w:tc>
          <w:tcPr>
            <w:tcW w:w="1848"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69"/>
              <w:rPr>
                <w:b/>
                <w:sz w:val="23"/>
              </w:rPr>
            </w:pPr>
          </w:p>
          <w:p w:rsidR="00487D64" w:rsidRDefault="006F0D93">
            <w:pPr>
              <w:pStyle w:val="TableParagraph"/>
              <w:spacing w:before="1" w:line="247" w:lineRule="auto"/>
              <w:ind w:left="43"/>
              <w:rPr>
                <w:sz w:val="23"/>
              </w:rPr>
            </w:pPr>
            <w:r>
              <w:rPr>
                <w:spacing w:val="-2"/>
                <w:w w:val="105"/>
                <w:sz w:val="23"/>
              </w:rPr>
              <w:t>Cross-sectional</w:t>
            </w:r>
            <w:r>
              <w:rPr>
                <w:spacing w:val="-14"/>
                <w:w w:val="105"/>
                <w:sz w:val="23"/>
              </w:rPr>
              <w:t xml:space="preserve"> </w:t>
            </w:r>
            <w:r>
              <w:rPr>
                <w:spacing w:val="-2"/>
                <w:w w:val="105"/>
                <w:sz w:val="23"/>
              </w:rPr>
              <w:t xml:space="preserve">+ </w:t>
            </w:r>
            <w:r>
              <w:rPr>
                <w:spacing w:val="-4"/>
                <w:w w:val="105"/>
                <w:sz w:val="23"/>
              </w:rPr>
              <w:t>SEM</w:t>
            </w:r>
          </w:p>
        </w:tc>
        <w:tc>
          <w:tcPr>
            <w:tcW w:w="1721" w:type="dxa"/>
          </w:tcPr>
          <w:p w:rsidR="00487D64" w:rsidRDefault="006F0D93">
            <w:pPr>
              <w:pStyle w:val="TableParagraph"/>
              <w:spacing w:before="34" w:line="249" w:lineRule="auto"/>
              <w:ind w:left="46" w:right="103"/>
              <w:rPr>
                <w:sz w:val="23"/>
              </w:rPr>
            </w:pPr>
            <w:r>
              <w:rPr>
                <w:w w:val="105"/>
                <w:sz w:val="23"/>
              </w:rPr>
              <w:t xml:space="preserve">No significant </w:t>
            </w:r>
            <w:r>
              <w:rPr>
                <w:spacing w:val="-2"/>
                <w:w w:val="105"/>
                <w:sz w:val="23"/>
              </w:rPr>
              <w:t xml:space="preserve">effect; competitor </w:t>
            </w:r>
            <w:r>
              <w:rPr>
                <w:w w:val="105"/>
                <w:sz w:val="23"/>
              </w:rPr>
              <w:t>orientation is reactive</w:t>
            </w:r>
            <w:r>
              <w:rPr>
                <w:spacing w:val="-16"/>
                <w:w w:val="105"/>
                <w:sz w:val="23"/>
              </w:rPr>
              <w:t xml:space="preserve"> </w:t>
            </w:r>
            <w:r>
              <w:rPr>
                <w:w w:val="105"/>
                <w:sz w:val="23"/>
              </w:rPr>
              <w:t>in</w:t>
            </w:r>
            <w:r>
              <w:rPr>
                <w:spacing w:val="-15"/>
                <w:w w:val="105"/>
                <w:sz w:val="23"/>
              </w:rPr>
              <w:t xml:space="preserve"> </w:t>
            </w:r>
            <w:r>
              <w:rPr>
                <w:w w:val="105"/>
                <w:sz w:val="23"/>
              </w:rPr>
              <w:t xml:space="preserve">weak </w:t>
            </w:r>
            <w:r>
              <w:rPr>
                <w:spacing w:val="-2"/>
                <w:w w:val="105"/>
                <w:sz w:val="23"/>
              </w:rPr>
              <w:t>market intelligence systems</w:t>
            </w:r>
          </w:p>
        </w:tc>
      </w:tr>
      <w:tr w:rsidR="00487D64">
        <w:trPr>
          <w:trHeight w:val="3097"/>
        </w:trPr>
        <w:tc>
          <w:tcPr>
            <w:tcW w:w="1098"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15"/>
              <w:rPr>
                <w:b/>
                <w:sz w:val="23"/>
              </w:rPr>
            </w:pPr>
          </w:p>
          <w:p w:rsidR="00487D64" w:rsidRDefault="006F0D93">
            <w:pPr>
              <w:pStyle w:val="TableParagraph"/>
              <w:spacing w:line="254" w:lineRule="auto"/>
              <w:ind w:left="57" w:right="98"/>
              <w:rPr>
                <w:sz w:val="23"/>
              </w:rPr>
            </w:pPr>
            <w:r>
              <w:rPr>
                <w:w w:val="105"/>
                <w:sz w:val="23"/>
              </w:rPr>
              <w:t>Tseng et al.</w:t>
            </w:r>
            <w:r>
              <w:rPr>
                <w:spacing w:val="-16"/>
                <w:w w:val="105"/>
                <w:sz w:val="23"/>
              </w:rPr>
              <w:t xml:space="preserve"> </w:t>
            </w:r>
            <w:r>
              <w:rPr>
                <w:w w:val="105"/>
                <w:sz w:val="23"/>
              </w:rPr>
              <w:t>(2019)</w:t>
            </w:r>
          </w:p>
        </w:tc>
        <w:tc>
          <w:tcPr>
            <w:tcW w:w="1779"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06"/>
              <w:rPr>
                <w:b/>
                <w:sz w:val="23"/>
              </w:rPr>
            </w:pPr>
          </w:p>
          <w:p w:rsidR="00487D64" w:rsidRDefault="006F0D93">
            <w:pPr>
              <w:pStyle w:val="TableParagraph"/>
              <w:spacing w:line="249" w:lineRule="auto"/>
              <w:ind w:left="40"/>
              <w:rPr>
                <w:sz w:val="23"/>
              </w:rPr>
            </w:pPr>
            <w:r>
              <w:rPr>
                <w:w w:val="105"/>
                <w:sz w:val="23"/>
              </w:rPr>
              <w:t xml:space="preserve">Assessed the </w:t>
            </w:r>
            <w:r>
              <w:rPr>
                <w:spacing w:val="-2"/>
                <w:w w:val="105"/>
                <w:sz w:val="23"/>
              </w:rPr>
              <w:t>competitor orientations'</w:t>
            </w:r>
            <w:r>
              <w:rPr>
                <w:spacing w:val="-13"/>
                <w:w w:val="105"/>
                <w:sz w:val="23"/>
              </w:rPr>
              <w:t xml:space="preserve"> </w:t>
            </w:r>
            <w:r>
              <w:rPr>
                <w:spacing w:val="-2"/>
                <w:w w:val="105"/>
                <w:sz w:val="23"/>
              </w:rPr>
              <w:t xml:space="preserve">role </w:t>
            </w:r>
            <w:r>
              <w:rPr>
                <w:w w:val="105"/>
                <w:sz w:val="23"/>
              </w:rPr>
              <w:t>in sustainability</w:t>
            </w:r>
          </w:p>
        </w:tc>
        <w:tc>
          <w:tcPr>
            <w:tcW w:w="1885"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95"/>
              <w:rPr>
                <w:b/>
                <w:sz w:val="23"/>
              </w:rPr>
            </w:pPr>
          </w:p>
          <w:p w:rsidR="00487D64" w:rsidRDefault="006F0D93">
            <w:pPr>
              <w:pStyle w:val="TableParagraph"/>
              <w:ind w:left="55"/>
              <w:rPr>
                <w:sz w:val="23"/>
              </w:rPr>
            </w:pPr>
            <w:r>
              <w:rPr>
                <w:w w:val="105"/>
                <w:sz w:val="23"/>
              </w:rPr>
              <w:t>280</w:t>
            </w:r>
            <w:r>
              <w:rPr>
                <w:spacing w:val="-9"/>
                <w:w w:val="105"/>
                <w:sz w:val="23"/>
              </w:rPr>
              <w:t xml:space="preserve"> </w:t>
            </w:r>
            <w:r>
              <w:rPr>
                <w:w w:val="105"/>
                <w:sz w:val="23"/>
              </w:rPr>
              <w:t>Asian</w:t>
            </w:r>
            <w:r>
              <w:rPr>
                <w:spacing w:val="-9"/>
                <w:w w:val="105"/>
                <w:sz w:val="23"/>
              </w:rPr>
              <w:t xml:space="preserve"> </w:t>
            </w:r>
            <w:r>
              <w:rPr>
                <w:spacing w:val="-4"/>
                <w:w w:val="105"/>
                <w:sz w:val="23"/>
              </w:rPr>
              <w:t>firms</w:t>
            </w:r>
          </w:p>
        </w:tc>
        <w:tc>
          <w:tcPr>
            <w:tcW w:w="1848"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95"/>
              <w:rPr>
                <w:b/>
                <w:sz w:val="23"/>
              </w:rPr>
            </w:pPr>
          </w:p>
          <w:p w:rsidR="00487D64" w:rsidRDefault="006F0D93">
            <w:pPr>
              <w:pStyle w:val="TableParagraph"/>
              <w:ind w:left="43"/>
              <w:rPr>
                <w:sz w:val="23"/>
              </w:rPr>
            </w:pPr>
            <w:r>
              <w:rPr>
                <w:sz w:val="23"/>
              </w:rPr>
              <w:t>PLS-</w:t>
            </w:r>
            <w:r>
              <w:rPr>
                <w:spacing w:val="-5"/>
                <w:sz w:val="23"/>
              </w:rPr>
              <w:t>SEM</w:t>
            </w:r>
          </w:p>
        </w:tc>
        <w:tc>
          <w:tcPr>
            <w:tcW w:w="1721" w:type="dxa"/>
          </w:tcPr>
          <w:p w:rsidR="00487D64" w:rsidRDefault="006F0D93">
            <w:pPr>
              <w:pStyle w:val="TableParagraph"/>
              <w:spacing w:before="34" w:line="249" w:lineRule="auto"/>
              <w:ind w:left="46" w:right="75"/>
              <w:rPr>
                <w:sz w:val="23"/>
              </w:rPr>
            </w:pPr>
            <w:r>
              <w:rPr>
                <w:spacing w:val="-2"/>
                <w:w w:val="105"/>
                <w:sz w:val="23"/>
              </w:rPr>
              <w:t>Competitor orientation strengthens Environmental Innovation Capability</w:t>
            </w:r>
            <w:r>
              <w:rPr>
                <w:spacing w:val="-14"/>
                <w:w w:val="105"/>
                <w:sz w:val="23"/>
              </w:rPr>
              <w:t xml:space="preserve"> </w:t>
            </w:r>
            <w:r>
              <w:rPr>
                <w:spacing w:val="-2"/>
                <w:w w:val="105"/>
                <w:sz w:val="23"/>
              </w:rPr>
              <w:t xml:space="preserve">(EIC) </w:t>
            </w:r>
            <w:r>
              <w:rPr>
                <w:w w:val="105"/>
                <w:sz w:val="23"/>
              </w:rPr>
              <w:t xml:space="preserve">when paired with innovation </w:t>
            </w:r>
            <w:r>
              <w:rPr>
                <w:spacing w:val="-4"/>
                <w:w w:val="105"/>
                <w:sz w:val="23"/>
              </w:rPr>
              <w:t xml:space="preserve">and </w:t>
            </w:r>
            <w:r>
              <w:rPr>
                <w:spacing w:val="-2"/>
                <w:w w:val="105"/>
                <w:sz w:val="23"/>
              </w:rPr>
              <w:t>environmental pressures.</w:t>
            </w:r>
          </w:p>
        </w:tc>
      </w:tr>
      <w:tr w:rsidR="00487D64">
        <w:trPr>
          <w:trHeight w:val="2574"/>
        </w:trPr>
        <w:tc>
          <w:tcPr>
            <w:tcW w:w="1098" w:type="dxa"/>
            <w:tcBorders>
              <w:bottom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06"/>
              <w:rPr>
                <w:b/>
                <w:sz w:val="23"/>
              </w:rPr>
            </w:pPr>
          </w:p>
          <w:p w:rsidR="00487D64" w:rsidRDefault="006F0D93">
            <w:pPr>
              <w:pStyle w:val="TableParagraph"/>
              <w:spacing w:before="1" w:line="247" w:lineRule="auto"/>
              <w:ind w:left="57" w:right="104"/>
              <w:rPr>
                <w:sz w:val="23"/>
              </w:rPr>
            </w:pPr>
            <w:r>
              <w:rPr>
                <w:w w:val="105"/>
                <w:sz w:val="23"/>
              </w:rPr>
              <w:t>Sondhi</w:t>
            </w:r>
            <w:r>
              <w:rPr>
                <w:spacing w:val="-16"/>
                <w:w w:val="105"/>
                <w:sz w:val="23"/>
              </w:rPr>
              <w:t xml:space="preserve"> </w:t>
            </w:r>
            <w:r>
              <w:rPr>
                <w:w w:val="105"/>
                <w:sz w:val="23"/>
              </w:rPr>
              <w:t>et al.</w:t>
            </w:r>
            <w:r>
              <w:rPr>
                <w:spacing w:val="-10"/>
                <w:w w:val="105"/>
                <w:sz w:val="23"/>
              </w:rPr>
              <w:t xml:space="preserve"> </w:t>
            </w:r>
            <w:r>
              <w:rPr>
                <w:spacing w:val="-2"/>
                <w:w w:val="105"/>
                <w:sz w:val="23"/>
              </w:rPr>
              <w:t>(2024)</w:t>
            </w:r>
          </w:p>
        </w:tc>
        <w:tc>
          <w:tcPr>
            <w:tcW w:w="1779" w:type="dxa"/>
            <w:tcBorders>
              <w:bottom w:val="single" w:sz="4" w:space="0" w:color="000000"/>
            </w:tcBorders>
          </w:tcPr>
          <w:p w:rsidR="00487D64" w:rsidRDefault="00487D64">
            <w:pPr>
              <w:pStyle w:val="TableParagraph"/>
              <w:rPr>
                <w:b/>
                <w:sz w:val="23"/>
              </w:rPr>
            </w:pPr>
          </w:p>
          <w:p w:rsidR="00487D64" w:rsidRDefault="00487D64">
            <w:pPr>
              <w:pStyle w:val="TableParagraph"/>
              <w:spacing w:before="197"/>
              <w:rPr>
                <w:b/>
                <w:sz w:val="23"/>
              </w:rPr>
            </w:pPr>
          </w:p>
          <w:p w:rsidR="00487D64" w:rsidRDefault="006F0D93">
            <w:pPr>
              <w:pStyle w:val="TableParagraph"/>
              <w:spacing w:line="249" w:lineRule="auto"/>
              <w:ind w:left="40"/>
              <w:rPr>
                <w:sz w:val="23"/>
              </w:rPr>
            </w:pPr>
            <w:r>
              <w:rPr>
                <w:spacing w:val="-2"/>
                <w:w w:val="105"/>
                <w:sz w:val="23"/>
              </w:rPr>
              <w:t xml:space="preserve">Analyzed competitor </w:t>
            </w:r>
            <w:r>
              <w:rPr>
                <w:w w:val="105"/>
                <w:sz w:val="23"/>
              </w:rPr>
              <w:t xml:space="preserve">orientation in </w:t>
            </w:r>
            <w:r>
              <w:rPr>
                <w:spacing w:val="-2"/>
                <w:w w:val="105"/>
                <w:sz w:val="23"/>
              </w:rPr>
              <w:t>turbulent</w:t>
            </w:r>
            <w:r>
              <w:rPr>
                <w:spacing w:val="-14"/>
                <w:w w:val="105"/>
                <w:sz w:val="23"/>
              </w:rPr>
              <w:t xml:space="preserve"> </w:t>
            </w:r>
            <w:r>
              <w:rPr>
                <w:spacing w:val="-2"/>
                <w:w w:val="105"/>
                <w:sz w:val="23"/>
              </w:rPr>
              <w:t>markets</w:t>
            </w:r>
          </w:p>
        </w:tc>
        <w:tc>
          <w:tcPr>
            <w:tcW w:w="1885" w:type="dxa"/>
            <w:tcBorders>
              <w:bottom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06"/>
              <w:rPr>
                <w:b/>
                <w:sz w:val="23"/>
              </w:rPr>
            </w:pPr>
          </w:p>
          <w:p w:rsidR="00487D64" w:rsidRDefault="006F0D93">
            <w:pPr>
              <w:pStyle w:val="TableParagraph"/>
              <w:spacing w:before="1" w:line="247" w:lineRule="auto"/>
              <w:ind w:left="55"/>
              <w:rPr>
                <w:sz w:val="23"/>
              </w:rPr>
            </w:pPr>
            <w:r>
              <w:rPr>
                <w:w w:val="105"/>
                <w:sz w:val="23"/>
              </w:rPr>
              <w:t xml:space="preserve">310 SMEs in </w:t>
            </w:r>
            <w:r>
              <w:rPr>
                <w:spacing w:val="-2"/>
                <w:w w:val="105"/>
                <w:sz w:val="23"/>
              </w:rPr>
              <w:t>emerging</w:t>
            </w:r>
            <w:r>
              <w:rPr>
                <w:spacing w:val="-14"/>
                <w:w w:val="105"/>
                <w:sz w:val="23"/>
              </w:rPr>
              <w:t xml:space="preserve"> </w:t>
            </w:r>
            <w:r>
              <w:rPr>
                <w:spacing w:val="-2"/>
                <w:w w:val="105"/>
                <w:sz w:val="23"/>
              </w:rPr>
              <w:t>markets</w:t>
            </w:r>
          </w:p>
        </w:tc>
        <w:tc>
          <w:tcPr>
            <w:tcW w:w="1848" w:type="dxa"/>
            <w:tcBorders>
              <w:bottom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69"/>
              <w:rPr>
                <w:b/>
                <w:sz w:val="23"/>
              </w:rPr>
            </w:pPr>
          </w:p>
          <w:p w:rsidR="00487D64" w:rsidRDefault="006F0D93">
            <w:pPr>
              <w:pStyle w:val="TableParagraph"/>
              <w:spacing w:line="252" w:lineRule="auto"/>
              <w:ind w:left="43"/>
              <w:rPr>
                <w:sz w:val="23"/>
              </w:rPr>
            </w:pPr>
            <w:r>
              <w:rPr>
                <w:spacing w:val="-2"/>
                <w:w w:val="105"/>
                <w:sz w:val="23"/>
              </w:rPr>
              <w:t>Mixed</w:t>
            </w:r>
            <w:r>
              <w:rPr>
                <w:spacing w:val="-14"/>
                <w:w w:val="105"/>
                <w:sz w:val="23"/>
              </w:rPr>
              <w:t xml:space="preserve"> </w:t>
            </w:r>
            <w:r>
              <w:rPr>
                <w:spacing w:val="-2"/>
                <w:w w:val="105"/>
                <w:sz w:val="23"/>
              </w:rPr>
              <w:t xml:space="preserve">methods </w:t>
            </w:r>
            <w:r>
              <w:rPr>
                <w:w w:val="105"/>
                <w:sz w:val="23"/>
              </w:rPr>
              <w:t xml:space="preserve">(survey + </w:t>
            </w:r>
            <w:r>
              <w:rPr>
                <w:spacing w:val="-2"/>
                <w:w w:val="105"/>
                <w:sz w:val="23"/>
              </w:rPr>
              <w:t>interviews)</w:t>
            </w:r>
          </w:p>
        </w:tc>
        <w:tc>
          <w:tcPr>
            <w:tcW w:w="1721" w:type="dxa"/>
            <w:tcBorders>
              <w:bottom w:val="single" w:sz="4" w:space="0" w:color="000000"/>
            </w:tcBorders>
          </w:tcPr>
          <w:p w:rsidR="00487D64" w:rsidRDefault="006F0D93">
            <w:pPr>
              <w:pStyle w:val="TableParagraph"/>
              <w:spacing w:before="35" w:line="252" w:lineRule="auto"/>
              <w:ind w:left="46" w:right="40"/>
              <w:rPr>
                <w:sz w:val="23"/>
              </w:rPr>
            </w:pPr>
            <w:r>
              <w:rPr>
                <w:spacing w:val="-2"/>
                <w:w w:val="105"/>
                <w:sz w:val="23"/>
              </w:rPr>
              <w:t>Competitor orientation fosters</w:t>
            </w:r>
            <w:r>
              <w:rPr>
                <w:spacing w:val="-14"/>
                <w:w w:val="105"/>
                <w:sz w:val="23"/>
              </w:rPr>
              <w:t xml:space="preserve"> </w:t>
            </w:r>
            <w:r>
              <w:rPr>
                <w:spacing w:val="-2"/>
                <w:w w:val="105"/>
                <w:sz w:val="23"/>
              </w:rPr>
              <w:t xml:space="preserve">proactive strategies, enhances </w:t>
            </w:r>
            <w:r>
              <w:rPr>
                <w:w w:val="105"/>
                <w:sz w:val="23"/>
              </w:rPr>
              <w:t xml:space="preserve">resilience, and supports long- </w:t>
            </w:r>
            <w:r>
              <w:rPr>
                <w:spacing w:val="-4"/>
                <w:w w:val="105"/>
                <w:sz w:val="23"/>
              </w:rPr>
              <w:t xml:space="preserve">term </w:t>
            </w:r>
            <w:r>
              <w:rPr>
                <w:spacing w:val="-2"/>
                <w:w w:val="105"/>
                <w:sz w:val="23"/>
              </w:rPr>
              <w:t>sustainability.</w:t>
            </w:r>
          </w:p>
        </w:tc>
      </w:tr>
    </w:tbl>
    <w:p w:rsidR="00487D64" w:rsidRDefault="00487D64">
      <w:pPr>
        <w:pStyle w:val="TableParagraph"/>
        <w:spacing w:line="252" w:lineRule="auto"/>
        <w:rPr>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pStyle w:val="ListParagraph"/>
        <w:numPr>
          <w:ilvl w:val="2"/>
          <w:numId w:val="16"/>
        </w:numPr>
        <w:tabs>
          <w:tab w:val="left" w:pos="2065"/>
          <w:tab w:val="left" w:pos="2125"/>
        </w:tabs>
        <w:spacing w:before="1" w:line="504" w:lineRule="auto"/>
        <w:ind w:left="2125" w:right="854" w:hanging="707"/>
        <w:rPr>
          <w:b/>
          <w:sz w:val="23"/>
        </w:rPr>
      </w:pPr>
      <w:bookmarkStart w:id="51" w:name="2.4.4_Functional_Coordination_and_Sustai"/>
      <w:bookmarkStart w:id="52" w:name="_bookmark25"/>
      <w:bookmarkEnd w:id="51"/>
      <w:bookmarkEnd w:id="52"/>
      <w:r>
        <w:rPr>
          <w:b/>
          <w:w w:val="105"/>
          <w:sz w:val="23"/>
        </w:rPr>
        <w:t>Functional</w:t>
      </w:r>
      <w:r>
        <w:rPr>
          <w:b/>
          <w:spacing w:val="80"/>
          <w:w w:val="105"/>
          <w:sz w:val="23"/>
        </w:rPr>
        <w:t xml:space="preserve"> </w:t>
      </w:r>
      <w:r>
        <w:rPr>
          <w:b/>
          <w:w w:val="105"/>
          <w:sz w:val="23"/>
        </w:rPr>
        <w:t>Coordination</w:t>
      </w:r>
      <w:r>
        <w:rPr>
          <w:b/>
          <w:spacing w:val="80"/>
          <w:w w:val="105"/>
          <w:sz w:val="23"/>
        </w:rPr>
        <w:t xml:space="preserve"> </w:t>
      </w:r>
      <w:r>
        <w:rPr>
          <w:b/>
          <w:w w:val="105"/>
          <w:sz w:val="23"/>
        </w:rPr>
        <w:t>and</w:t>
      </w:r>
      <w:r>
        <w:rPr>
          <w:b/>
          <w:spacing w:val="80"/>
          <w:w w:val="105"/>
          <w:sz w:val="23"/>
        </w:rPr>
        <w:t xml:space="preserve"> </w:t>
      </w:r>
      <w:r>
        <w:rPr>
          <w:b/>
          <w:w w:val="105"/>
          <w:sz w:val="23"/>
        </w:rPr>
        <w:t>Sustainable</w:t>
      </w:r>
      <w:r>
        <w:rPr>
          <w:b/>
          <w:spacing w:val="80"/>
          <w:w w:val="105"/>
          <w:sz w:val="23"/>
        </w:rPr>
        <w:t xml:space="preserve"> </w:t>
      </w:r>
      <w:r>
        <w:rPr>
          <w:b/>
          <w:w w:val="105"/>
          <w:sz w:val="23"/>
        </w:rPr>
        <w:t>Competitiveness</w:t>
      </w:r>
      <w:r>
        <w:rPr>
          <w:b/>
          <w:spacing w:val="80"/>
          <w:w w:val="105"/>
          <w:sz w:val="23"/>
        </w:rPr>
        <w:t xml:space="preserve"> </w:t>
      </w:r>
      <w:r>
        <w:rPr>
          <w:b/>
          <w:w w:val="105"/>
          <w:sz w:val="23"/>
        </w:rPr>
        <w:t>in</w:t>
      </w:r>
      <w:r>
        <w:rPr>
          <w:b/>
          <w:spacing w:val="80"/>
          <w:w w:val="105"/>
          <w:sz w:val="23"/>
        </w:rPr>
        <w:t xml:space="preserve"> </w:t>
      </w:r>
      <w:r>
        <w:rPr>
          <w:b/>
          <w:w w:val="105"/>
          <w:sz w:val="23"/>
        </w:rPr>
        <w:t xml:space="preserve">Public </w:t>
      </w:r>
      <w:r>
        <w:rPr>
          <w:b/>
          <w:spacing w:val="-2"/>
          <w:w w:val="105"/>
          <w:sz w:val="23"/>
        </w:rPr>
        <w:t>Procurement</w:t>
      </w:r>
    </w:p>
    <w:p w:rsidR="00487D64" w:rsidRDefault="006F0D93">
      <w:pPr>
        <w:pStyle w:val="BodyText"/>
        <w:spacing w:line="248" w:lineRule="exact"/>
        <w:ind w:left="1419"/>
        <w:jc w:val="both"/>
      </w:pPr>
      <w:r>
        <w:rPr>
          <w:w w:val="105"/>
        </w:rPr>
        <w:t>Functional</w:t>
      </w:r>
      <w:r>
        <w:rPr>
          <w:spacing w:val="26"/>
          <w:w w:val="105"/>
        </w:rPr>
        <w:t xml:space="preserve"> </w:t>
      </w:r>
      <w:r>
        <w:rPr>
          <w:w w:val="105"/>
        </w:rPr>
        <w:t>coordination</w:t>
      </w:r>
      <w:r>
        <w:rPr>
          <w:spacing w:val="19"/>
          <w:w w:val="105"/>
        </w:rPr>
        <w:t xml:space="preserve"> </w:t>
      </w:r>
      <w:r>
        <w:rPr>
          <w:w w:val="105"/>
        </w:rPr>
        <w:t>(FC),</w:t>
      </w:r>
      <w:r>
        <w:rPr>
          <w:spacing w:val="32"/>
          <w:w w:val="105"/>
        </w:rPr>
        <w:t xml:space="preserve"> </w:t>
      </w:r>
      <w:r>
        <w:rPr>
          <w:w w:val="105"/>
        </w:rPr>
        <w:t>often</w:t>
      </w:r>
      <w:r>
        <w:rPr>
          <w:spacing w:val="18"/>
          <w:w w:val="105"/>
        </w:rPr>
        <w:t xml:space="preserve"> </w:t>
      </w:r>
      <w:r>
        <w:rPr>
          <w:w w:val="105"/>
        </w:rPr>
        <w:t>termed</w:t>
      </w:r>
      <w:r>
        <w:rPr>
          <w:spacing w:val="18"/>
          <w:w w:val="105"/>
        </w:rPr>
        <w:t xml:space="preserve"> </w:t>
      </w:r>
      <w:r>
        <w:rPr>
          <w:w w:val="105"/>
        </w:rPr>
        <w:t>inter-functional</w:t>
      </w:r>
      <w:r>
        <w:rPr>
          <w:spacing w:val="33"/>
          <w:w w:val="105"/>
        </w:rPr>
        <w:t xml:space="preserve"> </w:t>
      </w:r>
      <w:r>
        <w:rPr>
          <w:w w:val="105"/>
        </w:rPr>
        <w:t>or</w:t>
      </w:r>
      <w:r>
        <w:rPr>
          <w:spacing w:val="28"/>
          <w:w w:val="105"/>
        </w:rPr>
        <w:t xml:space="preserve"> </w:t>
      </w:r>
      <w:r>
        <w:rPr>
          <w:w w:val="105"/>
        </w:rPr>
        <w:t>internal</w:t>
      </w:r>
      <w:r>
        <w:rPr>
          <w:spacing w:val="27"/>
          <w:w w:val="105"/>
        </w:rPr>
        <w:t xml:space="preserve"> </w:t>
      </w:r>
      <w:r>
        <w:rPr>
          <w:spacing w:val="-2"/>
          <w:w w:val="105"/>
        </w:rPr>
        <w:t>integration,</w:t>
      </w:r>
    </w:p>
    <w:p w:rsidR="00487D64" w:rsidRDefault="00487D64">
      <w:pPr>
        <w:pStyle w:val="BodyText"/>
        <w:spacing w:before="26"/>
      </w:pPr>
    </w:p>
    <w:p w:rsidR="00487D64" w:rsidRDefault="006F0D93">
      <w:pPr>
        <w:pStyle w:val="BodyText"/>
        <w:spacing w:line="501" w:lineRule="auto"/>
        <w:ind w:left="1419" w:right="848"/>
        <w:jc w:val="both"/>
      </w:pPr>
      <w:r>
        <w:rPr>
          <w:w w:val="105"/>
        </w:rPr>
        <w:t>refers to the extent to which various organizational units, such as procurement, finance, production,</w:t>
      </w:r>
      <w:r>
        <w:rPr>
          <w:spacing w:val="-1"/>
          <w:w w:val="105"/>
        </w:rPr>
        <w:t xml:space="preserve"> </w:t>
      </w:r>
      <w:r>
        <w:rPr>
          <w:w w:val="105"/>
        </w:rPr>
        <w:t>logistics,</w:t>
      </w:r>
      <w:r>
        <w:rPr>
          <w:spacing w:val="-1"/>
          <w:w w:val="105"/>
        </w:rPr>
        <w:t xml:space="preserve"> </w:t>
      </w:r>
      <w:r>
        <w:rPr>
          <w:w w:val="105"/>
        </w:rPr>
        <w:t>and marketing, collaborate</w:t>
      </w:r>
      <w:r>
        <w:rPr>
          <w:spacing w:val="-3"/>
          <w:w w:val="105"/>
        </w:rPr>
        <w:t xml:space="preserve"> </w:t>
      </w:r>
      <w:r>
        <w:rPr>
          <w:w w:val="105"/>
        </w:rPr>
        <w:t>to</w:t>
      </w:r>
      <w:r>
        <w:rPr>
          <w:spacing w:val="-2"/>
          <w:w w:val="105"/>
        </w:rPr>
        <w:t xml:space="preserve"> </w:t>
      </w:r>
      <w:r>
        <w:rPr>
          <w:w w:val="105"/>
        </w:rPr>
        <w:t>deliver superior value</w:t>
      </w:r>
      <w:r>
        <w:rPr>
          <w:spacing w:val="-3"/>
          <w:w w:val="105"/>
        </w:rPr>
        <w:t xml:space="preserve"> </w:t>
      </w:r>
      <w:r>
        <w:rPr>
          <w:w w:val="105"/>
        </w:rPr>
        <w:t>to customers (N</w:t>
      </w:r>
      <w:r>
        <w:rPr>
          <w:w w:val="105"/>
        </w:rPr>
        <w:t>arver &amp; Slater, 1990). Within the Market Orientation Theory (MOT), FC is essential because it ensures the effective dissemination and utilization of customer</w:t>
      </w:r>
      <w:r>
        <w:rPr>
          <w:spacing w:val="-1"/>
          <w:w w:val="105"/>
        </w:rPr>
        <w:t xml:space="preserve"> </w:t>
      </w:r>
      <w:r>
        <w:rPr>
          <w:w w:val="105"/>
        </w:rPr>
        <w:t>and</w:t>
      </w:r>
      <w:r>
        <w:rPr>
          <w:spacing w:val="-4"/>
          <w:w w:val="105"/>
        </w:rPr>
        <w:t xml:space="preserve"> </w:t>
      </w:r>
      <w:r>
        <w:rPr>
          <w:w w:val="105"/>
        </w:rPr>
        <w:t>competitor</w:t>
      </w:r>
      <w:r>
        <w:rPr>
          <w:spacing w:val="-1"/>
          <w:w w:val="105"/>
        </w:rPr>
        <w:t xml:space="preserve"> </w:t>
      </w:r>
      <w:r>
        <w:rPr>
          <w:w w:val="105"/>
        </w:rPr>
        <w:t>information</w:t>
      </w:r>
      <w:r>
        <w:rPr>
          <w:spacing w:val="-10"/>
          <w:w w:val="105"/>
        </w:rPr>
        <w:t xml:space="preserve"> </w:t>
      </w:r>
      <w:r>
        <w:rPr>
          <w:w w:val="105"/>
        </w:rPr>
        <w:t>across departments,</w:t>
      </w:r>
      <w:r>
        <w:rPr>
          <w:spacing w:val="-2"/>
          <w:w w:val="105"/>
        </w:rPr>
        <w:t xml:space="preserve"> </w:t>
      </w:r>
      <w:r>
        <w:rPr>
          <w:w w:val="105"/>
        </w:rPr>
        <w:t>aligning</w:t>
      </w:r>
      <w:r>
        <w:rPr>
          <w:spacing w:val="-4"/>
          <w:w w:val="105"/>
        </w:rPr>
        <w:t xml:space="preserve"> </w:t>
      </w:r>
      <w:r>
        <w:rPr>
          <w:w w:val="105"/>
        </w:rPr>
        <w:t>internal processes with market requirements. In the context of public procurement, particularly among special group SMEs, FC is theoretically expected to enhance responsiveness, facilitate compliance with complex regulations, and promote sustainable compet</w:t>
      </w:r>
      <w:r>
        <w:rPr>
          <w:w w:val="105"/>
        </w:rPr>
        <w:t>itiveness. By fostering knowledge sharing and eliminating functional silos, FC should enable organizations to prepare accurate bids, optimize resource allocation, and deliver quality outcomes, all of which are critical in regulated procurement environments</w:t>
      </w:r>
      <w:r>
        <w:rPr>
          <w:w w:val="105"/>
        </w:rPr>
        <w:t>.</w:t>
      </w:r>
    </w:p>
    <w:p w:rsidR="00487D64" w:rsidRDefault="006F0D93">
      <w:pPr>
        <w:pStyle w:val="BodyText"/>
        <w:spacing w:before="231" w:line="501" w:lineRule="auto"/>
        <w:ind w:left="1419" w:right="850"/>
        <w:jc w:val="both"/>
      </w:pPr>
      <w:r>
        <w:rPr>
          <w:w w:val="105"/>
        </w:rPr>
        <w:t>Despite these theoretical assertions, empirical evidence on FC’s impact on sustainable competitiveness remains mixed and context-dependent. Several studies confirm</w:t>
      </w:r>
      <w:r>
        <w:rPr>
          <w:spacing w:val="-2"/>
          <w:w w:val="105"/>
        </w:rPr>
        <w:t xml:space="preserve"> </w:t>
      </w:r>
      <w:r>
        <w:rPr>
          <w:w w:val="105"/>
        </w:rPr>
        <w:t>a positive association between FC and competitive advantage. For instance, Mukhtar et al. (2020) conducted a cross-sectional survey of 320 Malaysian service- sector SMEs, analyzed using Structural Equation Modeling (SEM), and found that FC significantly en</w:t>
      </w:r>
      <w:r>
        <w:rPr>
          <w:w w:val="105"/>
        </w:rPr>
        <w:t>hances competitive advantage by improving information flow, resource</w:t>
      </w:r>
      <w:r>
        <w:rPr>
          <w:spacing w:val="-2"/>
          <w:w w:val="105"/>
        </w:rPr>
        <w:t xml:space="preserve"> </w:t>
      </w:r>
      <w:r>
        <w:rPr>
          <w:w w:val="105"/>
        </w:rPr>
        <w:t>sharing,</w:t>
      </w:r>
      <w:r>
        <w:rPr>
          <w:spacing w:val="-6"/>
          <w:w w:val="105"/>
        </w:rPr>
        <w:t xml:space="preserve"> </w:t>
      </w:r>
      <w:r>
        <w:rPr>
          <w:w w:val="105"/>
        </w:rPr>
        <w:t>and</w:t>
      </w:r>
      <w:r>
        <w:rPr>
          <w:spacing w:val="-1"/>
          <w:w w:val="105"/>
        </w:rPr>
        <w:t xml:space="preserve"> </w:t>
      </w:r>
      <w:r>
        <w:rPr>
          <w:w w:val="105"/>
        </w:rPr>
        <w:t>strategic</w:t>
      </w:r>
      <w:r>
        <w:rPr>
          <w:spacing w:val="-8"/>
          <w:w w:val="105"/>
        </w:rPr>
        <w:t xml:space="preserve"> </w:t>
      </w:r>
      <w:r>
        <w:rPr>
          <w:w w:val="105"/>
        </w:rPr>
        <w:t>alignment.</w:t>
      </w:r>
      <w:r>
        <w:rPr>
          <w:spacing w:val="-6"/>
          <w:w w:val="105"/>
        </w:rPr>
        <w:t xml:space="preserve"> </w:t>
      </w:r>
      <w:r>
        <w:rPr>
          <w:w w:val="105"/>
        </w:rPr>
        <w:t>Similarly, Hubnerova et</w:t>
      </w:r>
      <w:r>
        <w:rPr>
          <w:spacing w:val="-6"/>
          <w:w w:val="105"/>
        </w:rPr>
        <w:t xml:space="preserve"> </w:t>
      </w:r>
      <w:r>
        <w:rPr>
          <w:w w:val="105"/>
        </w:rPr>
        <w:t>al.</w:t>
      </w:r>
      <w:r>
        <w:rPr>
          <w:spacing w:val="-6"/>
          <w:w w:val="105"/>
        </w:rPr>
        <w:t xml:space="preserve"> </w:t>
      </w:r>
      <w:r>
        <w:rPr>
          <w:w w:val="105"/>
        </w:rPr>
        <w:t>(2020)</w:t>
      </w:r>
      <w:r>
        <w:rPr>
          <w:b/>
          <w:w w:val="105"/>
        </w:rPr>
        <w:t>,</w:t>
      </w:r>
      <w:r>
        <w:rPr>
          <w:b/>
          <w:spacing w:val="-6"/>
          <w:w w:val="105"/>
        </w:rPr>
        <w:t xml:space="preserve"> </w:t>
      </w:r>
      <w:r>
        <w:rPr>
          <w:w w:val="105"/>
        </w:rPr>
        <w:t>using</w:t>
      </w:r>
      <w:r>
        <w:rPr>
          <w:spacing w:val="-8"/>
          <w:w w:val="105"/>
        </w:rPr>
        <w:t xml:space="preserve"> </w:t>
      </w:r>
      <w:r>
        <w:rPr>
          <w:w w:val="105"/>
        </w:rPr>
        <w:t>a quantitative</w:t>
      </w:r>
      <w:r>
        <w:rPr>
          <w:spacing w:val="59"/>
          <w:w w:val="150"/>
        </w:rPr>
        <w:t xml:space="preserve"> </w:t>
      </w:r>
      <w:r>
        <w:rPr>
          <w:w w:val="105"/>
        </w:rPr>
        <w:t>research</w:t>
      </w:r>
      <w:r>
        <w:rPr>
          <w:spacing w:val="61"/>
          <w:w w:val="150"/>
        </w:rPr>
        <w:t xml:space="preserve"> </w:t>
      </w:r>
      <w:r>
        <w:rPr>
          <w:w w:val="105"/>
        </w:rPr>
        <w:t>design</w:t>
      </w:r>
      <w:r>
        <w:rPr>
          <w:spacing w:val="61"/>
          <w:w w:val="150"/>
        </w:rPr>
        <w:t xml:space="preserve"> </w:t>
      </w:r>
      <w:r>
        <w:rPr>
          <w:w w:val="105"/>
        </w:rPr>
        <w:t>with</w:t>
      </w:r>
      <w:r>
        <w:rPr>
          <w:spacing w:val="61"/>
          <w:w w:val="150"/>
        </w:rPr>
        <w:t xml:space="preserve"> </w:t>
      </w:r>
      <w:r>
        <w:rPr>
          <w:w w:val="105"/>
        </w:rPr>
        <w:t>210</w:t>
      </w:r>
      <w:r>
        <w:rPr>
          <w:spacing w:val="69"/>
          <w:w w:val="150"/>
        </w:rPr>
        <w:t xml:space="preserve"> </w:t>
      </w:r>
      <w:r>
        <w:rPr>
          <w:w w:val="105"/>
        </w:rPr>
        <w:t>SMEs</w:t>
      </w:r>
      <w:r>
        <w:rPr>
          <w:spacing w:val="59"/>
          <w:w w:val="150"/>
        </w:rPr>
        <w:t xml:space="preserve"> </w:t>
      </w:r>
      <w:r>
        <w:rPr>
          <w:w w:val="105"/>
        </w:rPr>
        <w:t>in</w:t>
      </w:r>
      <w:r>
        <w:rPr>
          <w:spacing w:val="79"/>
          <w:w w:val="105"/>
        </w:rPr>
        <w:t xml:space="preserve"> </w:t>
      </w:r>
      <w:r>
        <w:rPr>
          <w:w w:val="105"/>
        </w:rPr>
        <w:t>Central</w:t>
      </w:r>
      <w:r>
        <w:rPr>
          <w:spacing w:val="66"/>
          <w:w w:val="150"/>
        </w:rPr>
        <w:t xml:space="preserve"> </w:t>
      </w:r>
      <w:r>
        <w:rPr>
          <w:w w:val="105"/>
        </w:rPr>
        <w:t>Europe</w:t>
      </w:r>
      <w:r>
        <w:rPr>
          <w:spacing w:val="59"/>
          <w:w w:val="150"/>
        </w:rPr>
        <w:t xml:space="preserve"> </w:t>
      </w:r>
      <w:r>
        <w:rPr>
          <w:w w:val="105"/>
        </w:rPr>
        <w:t>and</w:t>
      </w:r>
      <w:r>
        <w:rPr>
          <w:spacing w:val="68"/>
          <w:w w:val="150"/>
        </w:rPr>
        <w:t xml:space="preserve"> </w:t>
      </w:r>
      <w:r>
        <w:rPr>
          <w:spacing w:val="-2"/>
          <w:w w:val="105"/>
        </w:rPr>
        <w:t>multiple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60"/>
        <w:jc w:val="both"/>
      </w:pPr>
      <w:r>
        <w:rPr>
          <w:w w:val="105"/>
        </w:rPr>
        <w:t>regression</w:t>
      </w:r>
      <w:r>
        <w:rPr>
          <w:spacing w:val="-5"/>
          <w:w w:val="105"/>
        </w:rPr>
        <w:t xml:space="preserve"> </w:t>
      </w:r>
      <w:r>
        <w:rPr>
          <w:w w:val="105"/>
        </w:rPr>
        <w:t>an</w:t>
      </w:r>
      <w:r>
        <w:rPr>
          <w:w w:val="105"/>
        </w:rPr>
        <w:t>alysis</w:t>
      </w:r>
      <w:r>
        <w:rPr>
          <w:b/>
          <w:w w:val="105"/>
        </w:rPr>
        <w:t xml:space="preserve">, </w:t>
      </w:r>
      <w:r>
        <w:rPr>
          <w:w w:val="105"/>
        </w:rPr>
        <w:t>demonstrated that FC fosters</w:t>
      </w:r>
      <w:r>
        <w:rPr>
          <w:spacing w:val="-1"/>
          <w:w w:val="105"/>
        </w:rPr>
        <w:t xml:space="preserve"> </w:t>
      </w:r>
      <w:r>
        <w:rPr>
          <w:w w:val="105"/>
        </w:rPr>
        <w:t>cross-functional</w:t>
      </w:r>
      <w:r>
        <w:rPr>
          <w:spacing w:val="-3"/>
          <w:w w:val="105"/>
        </w:rPr>
        <w:t xml:space="preserve"> </w:t>
      </w:r>
      <w:r>
        <w:rPr>
          <w:w w:val="105"/>
        </w:rPr>
        <w:t>integration, which leads to operational efficiency and stronger market positioning.</w:t>
      </w:r>
    </w:p>
    <w:p w:rsidR="00487D64" w:rsidRDefault="006F0D93">
      <w:pPr>
        <w:pStyle w:val="BodyText"/>
        <w:spacing w:before="236" w:line="501" w:lineRule="auto"/>
        <w:ind w:left="1419" w:right="842"/>
        <w:jc w:val="both"/>
      </w:pPr>
      <w:r>
        <w:rPr>
          <w:w w:val="105"/>
        </w:rPr>
        <w:t>Additional support for FC’s value is provided by Mogaka, Odari, and Arani (2022), who examined 73 Kenyan food and beve</w:t>
      </w:r>
      <w:r>
        <w:rPr>
          <w:w w:val="105"/>
        </w:rPr>
        <w:t>rage manufacturing companies through a cross-sectional survey of 146 managers using OLS regression. Their findings indicated a significant positive relationship (β = 0.617, p &lt; 0.01) between functional integration and competitive advantage, emphasizing the</w:t>
      </w:r>
      <w:r>
        <w:rPr>
          <w:w w:val="105"/>
        </w:rPr>
        <w:t xml:space="preserve"> role of coordinated procurement, production, and marketing in improving responsiveness and cost- effectiveness. Similarly, Szalavetz (2018) underscores that cross-functional collaboration (CFC) is necessary for addressing systemic complexities and sustain</w:t>
      </w:r>
      <w:r>
        <w:rPr>
          <w:w w:val="105"/>
        </w:rPr>
        <w:t>ability</w:t>
      </w:r>
      <w:r>
        <w:rPr>
          <w:spacing w:val="-4"/>
          <w:w w:val="105"/>
        </w:rPr>
        <w:t xml:space="preserve"> </w:t>
      </w:r>
      <w:r>
        <w:rPr>
          <w:w w:val="105"/>
        </w:rPr>
        <w:t>trade-offs,</w:t>
      </w:r>
      <w:r>
        <w:rPr>
          <w:spacing w:val="-2"/>
          <w:w w:val="105"/>
        </w:rPr>
        <w:t xml:space="preserve"> </w:t>
      </w:r>
      <w:r>
        <w:rPr>
          <w:w w:val="105"/>
        </w:rPr>
        <w:t>as it promotes</w:t>
      </w:r>
      <w:r>
        <w:rPr>
          <w:spacing w:val="-6"/>
          <w:w w:val="105"/>
        </w:rPr>
        <w:t xml:space="preserve"> </w:t>
      </w:r>
      <w:r>
        <w:rPr>
          <w:w w:val="105"/>
        </w:rPr>
        <w:t>knowledge</w:t>
      </w:r>
      <w:r>
        <w:rPr>
          <w:spacing w:val="-5"/>
          <w:w w:val="105"/>
        </w:rPr>
        <w:t xml:space="preserve"> </w:t>
      </w:r>
      <w:r>
        <w:rPr>
          <w:w w:val="105"/>
        </w:rPr>
        <w:t>recombination and</w:t>
      </w:r>
      <w:r>
        <w:rPr>
          <w:spacing w:val="-4"/>
          <w:w w:val="105"/>
        </w:rPr>
        <w:t xml:space="preserve"> </w:t>
      </w:r>
      <w:r>
        <w:rPr>
          <w:w w:val="105"/>
        </w:rPr>
        <w:t>the</w:t>
      </w:r>
      <w:r>
        <w:rPr>
          <w:spacing w:val="-5"/>
          <w:w w:val="105"/>
        </w:rPr>
        <w:t xml:space="preserve"> </w:t>
      </w:r>
      <w:r>
        <w:rPr>
          <w:w w:val="105"/>
        </w:rPr>
        <w:t>integration of sustainability goals across organizational functions.</w:t>
      </w:r>
    </w:p>
    <w:p w:rsidR="00487D64" w:rsidRDefault="006F0D93">
      <w:pPr>
        <w:pStyle w:val="BodyText"/>
        <w:spacing w:before="236" w:line="501" w:lineRule="auto"/>
        <w:ind w:left="1419" w:right="848"/>
        <w:jc w:val="both"/>
      </w:pPr>
      <w:r>
        <w:rPr>
          <w:w w:val="105"/>
        </w:rPr>
        <w:t>However, other research suggests that FC’s influence on sustainability outcomes is not always direct and often depends</w:t>
      </w:r>
      <w:r>
        <w:rPr>
          <w:w w:val="105"/>
        </w:rPr>
        <w:t xml:space="preserve"> on complementary capabilities such as technology</w:t>
      </w:r>
      <w:r>
        <w:rPr>
          <w:spacing w:val="-8"/>
          <w:w w:val="105"/>
        </w:rPr>
        <w:t xml:space="preserve"> </w:t>
      </w:r>
      <w:r>
        <w:rPr>
          <w:w w:val="105"/>
        </w:rPr>
        <w:t>adoption</w:t>
      </w:r>
      <w:r>
        <w:rPr>
          <w:spacing w:val="-8"/>
          <w:w w:val="105"/>
        </w:rPr>
        <w:t xml:space="preserve"> </w:t>
      </w:r>
      <w:r>
        <w:rPr>
          <w:w w:val="105"/>
        </w:rPr>
        <w:t>and</w:t>
      </w:r>
      <w:r>
        <w:rPr>
          <w:spacing w:val="-2"/>
          <w:w w:val="105"/>
        </w:rPr>
        <w:t xml:space="preserve"> </w:t>
      </w:r>
      <w:r>
        <w:rPr>
          <w:w w:val="105"/>
        </w:rPr>
        <w:t>strategic</w:t>
      </w:r>
      <w:r>
        <w:rPr>
          <w:spacing w:val="-9"/>
          <w:w w:val="105"/>
        </w:rPr>
        <w:t xml:space="preserve"> </w:t>
      </w:r>
      <w:r>
        <w:rPr>
          <w:w w:val="105"/>
        </w:rPr>
        <w:t>leadership. Waruiru et</w:t>
      </w:r>
      <w:r>
        <w:rPr>
          <w:spacing w:val="-6"/>
          <w:w w:val="105"/>
        </w:rPr>
        <w:t xml:space="preserve"> </w:t>
      </w:r>
      <w:r>
        <w:rPr>
          <w:w w:val="105"/>
        </w:rPr>
        <w:t>al.</w:t>
      </w:r>
      <w:r>
        <w:rPr>
          <w:spacing w:val="-6"/>
          <w:w w:val="105"/>
        </w:rPr>
        <w:t xml:space="preserve"> </w:t>
      </w:r>
      <w:r>
        <w:rPr>
          <w:w w:val="105"/>
        </w:rPr>
        <w:t>(2018),</w:t>
      </w:r>
      <w:r>
        <w:rPr>
          <w:spacing w:val="-6"/>
          <w:w w:val="105"/>
        </w:rPr>
        <w:t xml:space="preserve"> </w:t>
      </w:r>
      <w:r>
        <w:rPr>
          <w:w w:val="105"/>
        </w:rPr>
        <w:t>through</w:t>
      </w:r>
      <w:r>
        <w:rPr>
          <w:spacing w:val="-2"/>
          <w:w w:val="105"/>
        </w:rPr>
        <w:t xml:space="preserve"> </w:t>
      </w:r>
      <w:r>
        <w:rPr>
          <w:w w:val="105"/>
        </w:rPr>
        <w:t>a</w:t>
      </w:r>
      <w:r>
        <w:rPr>
          <w:spacing w:val="-1"/>
          <w:w w:val="105"/>
        </w:rPr>
        <w:t xml:space="preserve"> </w:t>
      </w:r>
      <w:r>
        <w:rPr>
          <w:w w:val="105"/>
        </w:rPr>
        <w:t>survey of 186 Kenyan manufacturing managers analyzed using hierarchical regression, revealed</w:t>
      </w:r>
      <w:r>
        <w:rPr>
          <w:spacing w:val="-2"/>
          <w:w w:val="105"/>
        </w:rPr>
        <w:t xml:space="preserve"> </w:t>
      </w:r>
      <w:r>
        <w:rPr>
          <w:w w:val="105"/>
        </w:rPr>
        <w:t>that while</w:t>
      </w:r>
      <w:r>
        <w:rPr>
          <w:spacing w:val="-3"/>
          <w:w w:val="105"/>
        </w:rPr>
        <w:t xml:space="preserve"> </w:t>
      </w:r>
      <w:r>
        <w:rPr>
          <w:w w:val="105"/>
        </w:rPr>
        <w:t>FC improves coordination efficienc</w:t>
      </w:r>
      <w:r>
        <w:rPr>
          <w:w w:val="105"/>
        </w:rPr>
        <w:t>y, its</w:t>
      </w:r>
      <w:r>
        <w:rPr>
          <w:spacing w:val="-4"/>
          <w:w w:val="105"/>
        </w:rPr>
        <w:t xml:space="preserve"> </w:t>
      </w:r>
      <w:r>
        <w:rPr>
          <w:w w:val="105"/>
        </w:rPr>
        <w:t>impact on sustainability weakens when firms face conflicting economic, social,</w:t>
      </w:r>
      <w:r>
        <w:rPr>
          <w:spacing w:val="-1"/>
          <w:w w:val="105"/>
        </w:rPr>
        <w:t xml:space="preserve"> </w:t>
      </w:r>
      <w:r>
        <w:rPr>
          <w:w w:val="105"/>
        </w:rPr>
        <w:t>and environmental priorities. Similarly, Lopez-Torres et al. (2021) employed a mixed-methods design combining surveys of 250 European SMEs analyzed with PLS-SEM and quali</w:t>
      </w:r>
      <w:r>
        <w:rPr>
          <w:w w:val="105"/>
        </w:rPr>
        <w:t>tative interviews with 15 managers</w:t>
      </w:r>
      <w:r>
        <w:rPr>
          <w:b/>
          <w:w w:val="105"/>
        </w:rPr>
        <w:t xml:space="preserve">, </w:t>
      </w:r>
      <w:r>
        <w:rPr>
          <w:w w:val="105"/>
        </w:rPr>
        <w:t>concluding</w:t>
      </w:r>
      <w:r>
        <w:rPr>
          <w:spacing w:val="-6"/>
          <w:w w:val="105"/>
        </w:rPr>
        <w:t xml:space="preserve"> </w:t>
      </w:r>
      <w:r>
        <w:rPr>
          <w:w w:val="105"/>
        </w:rPr>
        <w:t>that FC</w:t>
      </w:r>
      <w:r>
        <w:rPr>
          <w:spacing w:val="-3"/>
          <w:w w:val="105"/>
        </w:rPr>
        <w:t xml:space="preserve"> </w:t>
      </w:r>
      <w:r>
        <w:rPr>
          <w:w w:val="105"/>
        </w:rPr>
        <w:t>tends</w:t>
      </w:r>
      <w:r>
        <w:rPr>
          <w:spacing w:val="-1"/>
          <w:w w:val="105"/>
        </w:rPr>
        <w:t xml:space="preserve"> </w:t>
      </w:r>
      <w:r>
        <w:rPr>
          <w:w w:val="105"/>
        </w:rPr>
        <w:t>to focus</w:t>
      </w:r>
      <w:r>
        <w:rPr>
          <w:spacing w:val="-1"/>
          <w:w w:val="105"/>
        </w:rPr>
        <w:t xml:space="preserve"> </w:t>
      </w:r>
      <w:r>
        <w:rPr>
          <w:w w:val="105"/>
        </w:rPr>
        <w:t>on operational</w:t>
      </w:r>
      <w:r>
        <w:rPr>
          <w:spacing w:val="-4"/>
          <w:w w:val="105"/>
        </w:rPr>
        <w:t xml:space="preserve"> </w:t>
      </w:r>
      <w:r>
        <w:rPr>
          <w:w w:val="105"/>
        </w:rPr>
        <w:t>alignment</w:t>
      </w:r>
      <w:r>
        <w:rPr>
          <w:spacing w:val="-4"/>
          <w:w w:val="105"/>
        </w:rPr>
        <w:t xml:space="preserve"> </w:t>
      </w:r>
      <w:r>
        <w:rPr>
          <w:w w:val="105"/>
        </w:rPr>
        <w:t>rather than strategic sustainability when short-term cost-efficiency pressures dominate. Maurer</w:t>
      </w:r>
      <w:r>
        <w:rPr>
          <w:spacing w:val="24"/>
          <w:w w:val="105"/>
        </w:rPr>
        <w:t xml:space="preserve"> </w:t>
      </w:r>
      <w:r>
        <w:rPr>
          <w:w w:val="105"/>
        </w:rPr>
        <w:t>(2022), through</w:t>
      </w:r>
      <w:r>
        <w:rPr>
          <w:spacing w:val="29"/>
          <w:w w:val="105"/>
        </w:rPr>
        <w:t xml:space="preserve"> </w:t>
      </w:r>
      <w:r>
        <w:rPr>
          <w:w w:val="105"/>
        </w:rPr>
        <w:t>qualitative interviews and grounded theory, furth</w:t>
      </w:r>
      <w:r>
        <w:rPr>
          <w:w w:val="105"/>
        </w:rPr>
        <w:t>er</w:t>
      </w:r>
      <w:r>
        <w:rPr>
          <w:spacing w:val="24"/>
          <w:w w:val="105"/>
        </w:rPr>
        <w:t xml:space="preserve"> </w:t>
      </w:r>
      <w:r>
        <w:rPr>
          <w:w w:val="105"/>
        </w:rPr>
        <w:t>argued</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8"/>
        <w:jc w:val="both"/>
      </w:pPr>
      <w:r>
        <w:rPr>
          <w:w w:val="105"/>
        </w:rPr>
        <w:t>that coordination mechanisms prioritizing compliance over innovation offer limited competitive gains. Supporting this, Mavengere (2013)</w:t>
      </w:r>
      <w:r>
        <w:rPr>
          <w:b/>
          <w:w w:val="105"/>
        </w:rPr>
        <w:t xml:space="preserve">, </w:t>
      </w:r>
      <w:r>
        <w:rPr>
          <w:w w:val="105"/>
        </w:rPr>
        <w:t>in a case study of Southern African SMEs, found that IT-enabled integration improves ef</w:t>
      </w:r>
      <w:r>
        <w:rPr>
          <w:w w:val="105"/>
        </w:rPr>
        <w:t>ficiency but does not significantly influence competitiveness unless combined with customer-driven innovation and strategic foresight. Crick and Crick (2020), using a longitudinal comparative case study of UK SMEs, also reported that inter-functional align</w:t>
      </w:r>
      <w:r>
        <w:rPr>
          <w:w w:val="105"/>
        </w:rPr>
        <w:t>ment delivers competitive benefits only when linked to market responsiveness and knowledge-sharing routines. Similarly, Loader (2013) observed that while effective internal communication improves bid preparation for SMEs in public procurement, its strategi</w:t>
      </w:r>
      <w:r>
        <w:rPr>
          <w:w w:val="105"/>
        </w:rPr>
        <w:t>c value diminishes under high compliance burdens unless integrated into broader organizational objectives.</w:t>
      </w:r>
    </w:p>
    <w:p w:rsidR="00487D64" w:rsidRDefault="006F0D93">
      <w:pPr>
        <w:pStyle w:val="BodyText"/>
        <w:spacing w:before="237" w:line="501" w:lineRule="auto"/>
        <w:ind w:left="1419" w:right="855"/>
        <w:jc w:val="both"/>
      </w:pPr>
      <w:r>
        <w:rPr>
          <w:w w:val="105"/>
        </w:rPr>
        <w:t>Although existing studies</w:t>
      </w:r>
      <w:r>
        <w:rPr>
          <w:spacing w:val="-6"/>
          <w:w w:val="105"/>
        </w:rPr>
        <w:t xml:space="preserve"> </w:t>
      </w:r>
      <w:r>
        <w:rPr>
          <w:w w:val="105"/>
        </w:rPr>
        <w:t>confirm</w:t>
      </w:r>
      <w:r>
        <w:rPr>
          <w:spacing w:val="-5"/>
          <w:w w:val="105"/>
        </w:rPr>
        <w:t xml:space="preserve"> </w:t>
      </w:r>
      <w:r>
        <w:rPr>
          <w:w w:val="105"/>
        </w:rPr>
        <w:t>that functional coordination enhances</w:t>
      </w:r>
      <w:r>
        <w:rPr>
          <w:spacing w:val="-6"/>
          <w:w w:val="105"/>
        </w:rPr>
        <w:t xml:space="preserve"> </w:t>
      </w:r>
      <w:r>
        <w:rPr>
          <w:w w:val="105"/>
        </w:rPr>
        <w:t>information sharing, operational efficiency,</w:t>
      </w:r>
      <w:r>
        <w:rPr>
          <w:spacing w:val="-5"/>
          <w:w w:val="105"/>
        </w:rPr>
        <w:t xml:space="preserve"> </w:t>
      </w:r>
      <w:r>
        <w:rPr>
          <w:w w:val="105"/>
        </w:rPr>
        <w:t>and competitive</w:t>
      </w:r>
      <w:r>
        <w:rPr>
          <w:spacing w:val="-7"/>
          <w:w w:val="105"/>
        </w:rPr>
        <w:t xml:space="preserve"> </w:t>
      </w:r>
      <w:r>
        <w:rPr>
          <w:w w:val="105"/>
        </w:rPr>
        <w:t>advantage</w:t>
      </w:r>
      <w:r>
        <w:rPr>
          <w:spacing w:val="-8"/>
          <w:w w:val="105"/>
        </w:rPr>
        <w:t xml:space="preserve"> </w:t>
      </w:r>
      <w:r>
        <w:rPr>
          <w:w w:val="105"/>
        </w:rPr>
        <w:t>across</w:t>
      </w:r>
      <w:r>
        <w:rPr>
          <w:spacing w:val="-2"/>
          <w:w w:val="105"/>
        </w:rPr>
        <w:t xml:space="preserve"> </w:t>
      </w:r>
      <w:r>
        <w:rPr>
          <w:w w:val="105"/>
        </w:rPr>
        <w:t>SMEs</w:t>
      </w:r>
      <w:r>
        <w:rPr>
          <w:spacing w:val="-2"/>
          <w:w w:val="105"/>
        </w:rPr>
        <w:t xml:space="preserve"> </w:t>
      </w:r>
      <w:r>
        <w:rPr>
          <w:w w:val="105"/>
        </w:rPr>
        <w:t>(Mukhtar et al.,</w:t>
      </w:r>
      <w:r>
        <w:rPr>
          <w:spacing w:val="-10"/>
          <w:w w:val="105"/>
        </w:rPr>
        <w:t xml:space="preserve"> </w:t>
      </w:r>
      <w:r>
        <w:rPr>
          <w:w w:val="105"/>
        </w:rPr>
        <w:t>2020;</w:t>
      </w:r>
      <w:r>
        <w:rPr>
          <w:spacing w:val="-4"/>
          <w:w w:val="105"/>
        </w:rPr>
        <w:t xml:space="preserve"> </w:t>
      </w:r>
      <w:r>
        <w:rPr>
          <w:w w:val="105"/>
        </w:rPr>
        <w:t>Mogaka et</w:t>
      </w:r>
      <w:r>
        <w:rPr>
          <w:spacing w:val="-4"/>
          <w:w w:val="105"/>
        </w:rPr>
        <w:t xml:space="preserve"> </w:t>
      </w:r>
      <w:r>
        <w:rPr>
          <w:w w:val="105"/>
        </w:rPr>
        <w:t>al.,</w:t>
      </w:r>
      <w:r>
        <w:rPr>
          <w:spacing w:val="-10"/>
          <w:w w:val="105"/>
        </w:rPr>
        <w:t xml:space="preserve"> </w:t>
      </w:r>
      <w:r>
        <w:rPr>
          <w:w w:val="105"/>
        </w:rPr>
        <w:t>2022;</w:t>
      </w:r>
      <w:r>
        <w:rPr>
          <w:spacing w:val="-10"/>
          <w:w w:val="105"/>
        </w:rPr>
        <w:t xml:space="preserve"> </w:t>
      </w:r>
      <w:r>
        <w:rPr>
          <w:w w:val="105"/>
        </w:rPr>
        <w:t>Hubnerova et</w:t>
      </w:r>
      <w:r>
        <w:rPr>
          <w:spacing w:val="-4"/>
          <w:w w:val="105"/>
        </w:rPr>
        <w:t xml:space="preserve"> </w:t>
      </w:r>
      <w:r>
        <w:rPr>
          <w:w w:val="105"/>
        </w:rPr>
        <w:t>al.,</w:t>
      </w:r>
      <w:r>
        <w:rPr>
          <w:spacing w:val="-4"/>
          <w:w w:val="105"/>
        </w:rPr>
        <w:t xml:space="preserve"> </w:t>
      </w:r>
      <w:r>
        <w:rPr>
          <w:w w:val="105"/>
        </w:rPr>
        <w:t>2020),</w:t>
      </w:r>
      <w:r>
        <w:rPr>
          <w:spacing w:val="-10"/>
          <w:w w:val="105"/>
        </w:rPr>
        <w:t xml:space="preserve"> </w:t>
      </w:r>
      <w:r>
        <w:rPr>
          <w:w w:val="105"/>
        </w:rPr>
        <w:t>They do</w:t>
      </w:r>
      <w:r>
        <w:rPr>
          <w:spacing w:val="-6"/>
          <w:w w:val="105"/>
        </w:rPr>
        <w:t xml:space="preserve"> </w:t>
      </w:r>
      <w:r>
        <w:rPr>
          <w:w w:val="105"/>
        </w:rPr>
        <w:t>not</w:t>
      </w:r>
      <w:r>
        <w:rPr>
          <w:spacing w:val="-4"/>
          <w:w w:val="105"/>
        </w:rPr>
        <w:t xml:space="preserve"> </w:t>
      </w:r>
      <w:r>
        <w:rPr>
          <w:w w:val="105"/>
        </w:rPr>
        <w:t>explicitly define its function in public procurement environments, where regulatory compliance, bid accuracy, and cross-departmental collaboration are essential for main</w:t>
      </w:r>
      <w:r>
        <w:rPr>
          <w:w w:val="105"/>
        </w:rPr>
        <w:t xml:space="preserve">taining </w:t>
      </w:r>
      <w:r>
        <w:rPr>
          <w:spacing w:val="-2"/>
          <w:w w:val="105"/>
        </w:rPr>
        <w:t>competitiveness.</w:t>
      </w:r>
    </w:p>
    <w:p w:rsidR="00487D64" w:rsidRDefault="006F0D93">
      <w:pPr>
        <w:pStyle w:val="BodyText"/>
        <w:spacing w:before="235" w:line="501" w:lineRule="auto"/>
        <w:ind w:left="1419" w:right="844"/>
        <w:jc w:val="both"/>
      </w:pPr>
      <w:r>
        <w:rPr>
          <w:w w:val="105"/>
        </w:rPr>
        <w:t>Most prior research emphasizes efficiency gains and strategic alignment, yet provides a limited understanding of how functional coordination enables SMEs, especially those in special groups, to prepare compliant tenders, synchroniz</w:t>
      </w:r>
      <w:r>
        <w:rPr>
          <w:w w:val="105"/>
        </w:rPr>
        <w:t>e procurement with finance and production units, and meet evaluation criteria under strict procurement regulations. This omission is critical given that in Tanzania’s procurement</w:t>
      </w:r>
      <w:r>
        <w:rPr>
          <w:spacing w:val="18"/>
          <w:w w:val="105"/>
        </w:rPr>
        <w:t xml:space="preserve"> </w:t>
      </w:r>
      <w:r>
        <w:rPr>
          <w:w w:val="105"/>
        </w:rPr>
        <w:t>system,</w:t>
      </w:r>
      <w:r>
        <w:rPr>
          <w:spacing w:val="18"/>
          <w:w w:val="105"/>
        </w:rPr>
        <w:t xml:space="preserve"> </w:t>
      </w:r>
      <w:r>
        <w:rPr>
          <w:w w:val="105"/>
        </w:rPr>
        <w:t>successful</w:t>
      </w:r>
      <w:r>
        <w:rPr>
          <w:spacing w:val="13"/>
          <w:w w:val="105"/>
        </w:rPr>
        <w:t xml:space="preserve"> </w:t>
      </w:r>
      <w:r>
        <w:rPr>
          <w:w w:val="105"/>
        </w:rPr>
        <w:t>contract</w:t>
      </w:r>
      <w:r>
        <w:rPr>
          <w:spacing w:val="7"/>
          <w:w w:val="105"/>
        </w:rPr>
        <w:t xml:space="preserve"> </w:t>
      </w:r>
      <w:r>
        <w:rPr>
          <w:w w:val="105"/>
        </w:rPr>
        <w:t>acquisition</w:t>
      </w:r>
      <w:r>
        <w:rPr>
          <w:spacing w:val="11"/>
          <w:w w:val="105"/>
        </w:rPr>
        <w:t xml:space="preserve"> </w:t>
      </w:r>
      <w:r>
        <w:rPr>
          <w:w w:val="105"/>
        </w:rPr>
        <w:t>often</w:t>
      </w:r>
      <w:r>
        <w:rPr>
          <w:spacing w:val="10"/>
          <w:w w:val="105"/>
        </w:rPr>
        <w:t xml:space="preserve"> </w:t>
      </w:r>
      <w:r>
        <w:rPr>
          <w:w w:val="105"/>
        </w:rPr>
        <w:t>depends</w:t>
      </w:r>
      <w:r>
        <w:rPr>
          <w:spacing w:val="9"/>
          <w:w w:val="105"/>
        </w:rPr>
        <w:t xml:space="preserve"> </w:t>
      </w:r>
      <w:r>
        <w:rPr>
          <w:w w:val="105"/>
        </w:rPr>
        <w:t>on</w:t>
      </w:r>
      <w:r>
        <w:rPr>
          <w:spacing w:val="11"/>
          <w:w w:val="105"/>
        </w:rPr>
        <w:t xml:space="preserve"> </w:t>
      </w:r>
      <w:r>
        <w:rPr>
          <w:w w:val="105"/>
        </w:rPr>
        <w:t>the</w:t>
      </w:r>
      <w:r>
        <w:rPr>
          <w:spacing w:val="16"/>
          <w:w w:val="105"/>
        </w:rPr>
        <w:t xml:space="preserve"> </w:t>
      </w:r>
      <w:r>
        <w:rPr>
          <w:w w:val="105"/>
        </w:rPr>
        <w:t>ability</w:t>
      </w:r>
      <w:r>
        <w:rPr>
          <w:spacing w:val="30"/>
          <w:w w:val="105"/>
        </w:rPr>
        <w:t xml:space="preserve"> </w:t>
      </w:r>
      <w:r>
        <w:rPr>
          <w:spacing w:val="-5"/>
          <w:w w:val="105"/>
        </w:rPr>
        <w:t>of</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50"/>
        <w:jc w:val="both"/>
      </w:pPr>
      <w:r>
        <w:rPr>
          <w:w w:val="105"/>
        </w:rPr>
        <w:t>internal</w:t>
      </w:r>
      <w:r>
        <w:rPr>
          <w:spacing w:val="-1"/>
          <w:w w:val="105"/>
        </w:rPr>
        <w:t xml:space="preserve"> </w:t>
      </w:r>
      <w:r>
        <w:rPr>
          <w:w w:val="105"/>
        </w:rPr>
        <w:t>functions</w:t>
      </w:r>
      <w:r>
        <w:rPr>
          <w:spacing w:val="-11"/>
          <w:w w:val="105"/>
        </w:rPr>
        <w:t xml:space="preserve"> </w:t>
      </w:r>
      <w:r>
        <w:rPr>
          <w:w w:val="105"/>
        </w:rPr>
        <w:t>to</w:t>
      </w:r>
      <w:r>
        <w:rPr>
          <w:spacing w:val="-3"/>
          <w:w w:val="105"/>
        </w:rPr>
        <w:t xml:space="preserve"> </w:t>
      </w:r>
      <w:r>
        <w:rPr>
          <w:w w:val="105"/>
        </w:rPr>
        <w:t>coordinate</w:t>
      </w:r>
      <w:r>
        <w:rPr>
          <w:spacing w:val="-10"/>
          <w:w w:val="105"/>
        </w:rPr>
        <w:t xml:space="preserve"> </w:t>
      </w:r>
      <w:r>
        <w:rPr>
          <w:w w:val="105"/>
        </w:rPr>
        <w:t>seamlessly</w:t>
      </w:r>
      <w:r>
        <w:rPr>
          <w:spacing w:val="-9"/>
          <w:w w:val="105"/>
        </w:rPr>
        <w:t xml:space="preserve"> </w:t>
      </w:r>
      <w:r>
        <w:rPr>
          <w:w w:val="105"/>
        </w:rPr>
        <w:t>in</w:t>
      </w:r>
      <w:r>
        <w:rPr>
          <w:spacing w:val="-9"/>
          <w:w w:val="105"/>
        </w:rPr>
        <w:t xml:space="preserve"> </w:t>
      </w:r>
      <w:r>
        <w:rPr>
          <w:w w:val="105"/>
        </w:rPr>
        <w:t>responding</w:t>
      </w:r>
      <w:r>
        <w:rPr>
          <w:spacing w:val="-9"/>
          <w:w w:val="105"/>
        </w:rPr>
        <w:t xml:space="preserve"> </w:t>
      </w:r>
      <w:r>
        <w:rPr>
          <w:w w:val="105"/>
        </w:rPr>
        <w:t>to</w:t>
      </w:r>
      <w:r>
        <w:rPr>
          <w:spacing w:val="-9"/>
          <w:w w:val="105"/>
        </w:rPr>
        <w:t xml:space="preserve"> </w:t>
      </w:r>
      <w:r>
        <w:rPr>
          <w:w w:val="105"/>
        </w:rPr>
        <w:t>complex</w:t>
      </w:r>
      <w:r>
        <w:rPr>
          <w:spacing w:val="-9"/>
          <w:w w:val="105"/>
        </w:rPr>
        <w:t xml:space="preserve"> </w:t>
      </w:r>
      <w:r>
        <w:rPr>
          <w:w w:val="105"/>
        </w:rPr>
        <w:t>requirements. It was hypothesized that (Table 2.3)</w:t>
      </w:r>
      <w:r>
        <w:rPr>
          <w:spacing w:val="40"/>
          <w:w w:val="105"/>
        </w:rPr>
        <w:t xml:space="preserve"> </w:t>
      </w:r>
      <w:r>
        <w:rPr>
          <w:w w:val="105"/>
        </w:rPr>
        <w:t>H3 Functional coordination positively affects</w:t>
      </w:r>
      <w:r>
        <w:rPr>
          <w:spacing w:val="-1"/>
          <w:w w:val="105"/>
        </w:rPr>
        <w:t xml:space="preserve"> </w:t>
      </w:r>
      <w:r>
        <w:rPr>
          <w:w w:val="105"/>
        </w:rPr>
        <w:t>the sustainable competitiveness of special group SMEs in public procurement.</w:t>
      </w:r>
    </w:p>
    <w:p w:rsidR="00487D64" w:rsidRDefault="006F0D93">
      <w:pPr>
        <w:spacing w:before="245" w:after="6" w:line="379" w:lineRule="auto"/>
        <w:ind w:left="2982" w:right="867" w:hanging="1564"/>
        <w:jc w:val="both"/>
        <w:rPr>
          <w:b/>
          <w:sz w:val="23"/>
        </w:rPr>
      </w:pPr>
      <w:r>
        <w:rPr>
          <w:b/>
          <w:w w:val="105"/>
          <w:sz w:val="23"/>
        </w:rPr>
        <w:t>Table 2. 3:</w:t>
      </w:r>
      <w:r>
        <w:rPr>
          <w:b/>
          <w:spacing w:val="40"/>
          <w:w w:val="105"/>
          <w:sz w:val="23"/>
        </w:rPr>
        <w:t xml:space="preserve"> </w:t>
      </w:r>
      <w:r>
        <w:rPr>
          <w:b/>
          <w:w w:val="105"/>
          <w:sz w:val="23"/>
        </w:rPr>
        <w:t>Previous Studies on Functional Coordination and Sustainable Competitiveness in Public Procurement</w:t>
      </w:r>
    </w:p>
    <w:tbl>
      <w:tblPr>
        <w:tblW w:w="0" w:type="auto"/>
        <w:tblInd w:w="1376" w:type="dxa"/>
        <w:tblLayout w:type="fixed"/>
        <w:tblCellMar>
          <w:left w:w="0" w:type="dxa"/>
          <w:right w:w="0" w:type="dxa"/>
        </w:tblCellMar>
        <w:tblLook w:val="01E0" w:firstRow="1" w:lastRow="1" w:firstColumn="1" w:lastColumn="1" w:noHBand="0" w:noVBand="0"/>
      </w:tblPr>
      <w:tblGrid>
        <w:gridCol w:w="1158"/>
        <w:gridCol w:w="1763"/>
        <w:gridCol w:w="1865"/>
        <w:gridCol w:w="1815"/>
        <w:gridCol w:w="1720"/>
      </w:tblGrid>
      <w:tr w:rsidR="00487D64">
        <w:trPr>
          <w:trHeight w:val="592"/>
        </w:trPr>
        <w:tc>
          <w:tcPr>
            <w:tcW w:w="1158" w:type="dxa"/>
            <w:tcBorders>
              <w:top w:val="double" w:sz="4" w:space="0" w:color="000000"/>
              <w:bottom w:val="single" w:sz="4" w:space="0" w:color="000000"/>
            </w:tcBorders>
          </w:tcPr>
          <w:p w:rsidR="00487D64" w:rsidRDefault="006F0D93">
            <w:pPr>
              <w:pStyle w:val="TableParagraph"/>
              <w:spacing w:before="12" w:line="280" w:lineRule="atLeast"/>
              <w:ind w:left="215" w:right="53" w:hanging="116"/>
              <w:rPr>
                <w:b/>
                <w:sz w:val="23"/>
              </w:rPr>
            </w:pPr>
            <w:r>
              <w:rPr>
                <w:b/>
                <w:spacing w:val="-2"/>
                <w:sz w:val="23"/>
              </w:rPr>
              <w:t xml:space="preserve">Author(s) </w:t>
            </w:r>
            <w:r>
              <w:rPr>
                <w:b/>
                <w:w w:val="105"/>
                <w:sz w:val="23"/>
              </w:rPr>
              <w:t>&amp; Year</w:t>
            </w:r>
          </w:p>
        </w:tc>
        <w:tc>
          <w:tcPr>
            <w:tcW w:w="1763" w:type="dxa"/>
            <w:tcBorders>
              <w:top w:val="double" w:sz="4" w:space="0" w:color="000000"/>
              <w:bottom w:val="single" w:sz="4" w:space="0" w:color="000000"/>
            </w:tcBorders>
          </w:tcPr>
          <w:p w:rsidR="00487D64" w:rsidRDefault="006F0D93">
            <w:pPr>
              <w:pStyle w:val="TableParagraph"/>
              <w:spacing w:before="170"/>
              <w:ind w:left="66"/>
              <w:rPr>
                <w:b/>
                <w:sz w:val="23"/>
              </w:rPr>
            </w:pPr>
            <w:r>
              <w:rPr>
                <w:b/>
                <w:spacing w:val="-2"/>
                <w:w w:val="105"/>
                <w:sz w:val="23"/>
              </w:rPr>
              <w:t>Objective/Focus</w:t>
            </w:r>
          </w:p>
        </w:tc>
        <w:tc>
          <w:tcPr>
            <w:tcW w:w="1865" w:type="dxa"/>
            <w:tcBorders>
              <w:top w:val="double" w:sz="4" w:space="0" w:color="000000"/>
              <w:bottom w:val="single" w:sz="4" w:space="0" w:color="000000"/>
            </w:tcBorders>
          </w:tcPr>
          <w:p w:rsidR="00487D64" w:rsidRDefault="006F0D93">
            <w:pPr>
              <w:pStyle w:val="TableParagraph"/>
              <w:spacing w:before="170"/>
              <w:ind w:left="47"/>
              <w:rPr>
                <w:b/>
                <w:sz w:val="23"/>
              </w:rPr>
            </w:pPr>
            <w:r>
              <w:rPr>
                <w:b/>
                <w:spacing w:val="-2"/>
                <w:w w:val="105"/>
                <w:sz w:val="23"/>
              </w:rPr>
              <w:t>Location/Context</w:t>
            </w:r>
          </w:p>
        </w:tc>
        <w:tc>
          <w:tcPr>
            <w:tcW w:w="1815" w:type="dxa"/>
            <w:tcBorders>
              <w:top w:val="double" w:sz="4" w:space="0" w:color="000000"/>
              <w:bottom w:val="single" w:sz="4" w:space="0" w:color="000000"/>
            </w:tcBorders>
          </w:tcPr>
          <w:p w:rsidR="00487D64" w:rsidRDefault="006F0D93">
            <w:pPr>
              <w:pStyle w:val="TableParagraph"/>
              <w:spacing w:before="170"/>
              <w:ind w:left="48"/>
              <w:rPr>
                <w:b/>
                <w:sz w:val="23"/>
              </w:rPr>
            </w:pPr>
            <w:r>
              <w:rPr>
                <w:b/>
                <w:spacing w:val="-2"/>
                <w:w w:val="105"/>
                <w:sz w:val="23"/>
              </w:rPr>
              <w:t>Method/Analysis</w:t>
            </w:r>
          </w:p>
        </w:tc>
        <w:tc>
          <w:tcPr>
            <w:tcW w:w="1720" w:type="dxa"/>
            <w:tcBorders>
              <w:top w:val="double" w:sz="4" w:space="0" w:color="000000"/>
              <w:bottom w:val="single" w:sz="4" w:space="0" w:color="000000"/>
            </w:tcBorders>
          </w:tcPr>
          <w:p w:rsidR="00487D64" w:rsidRDefault="006F0D93">
            <w:pPr>
              <w:pStyle w:val="TableParagraph"/>
              <w:spacing w:before="170"/>
              <w:ind w:left="170"/>
              <w:rPr>
                <w:b/>
                <w:sz w:val="23"/>
              </w:rPr>
            </w:pPr>
            <w:r>
              <w:rPr>
                <w:b/>
                <w:w w:val="105"/>
                <w:sz w:val="23"/>
              </w:rPr>
              <w:t>Key</w:t>
            </w:r>
            <w:r>
              <w:rPr>
                <w:b/>
                <w:spacing w:val="-11"/>
                <w:w w:val="105"/>
                <w:sz w:val="23"/>
              </w:rPr>
              <w:t xml:space="preserve"> </w:t>
            </w:r>
            <w:r>
              <w:rPr>
                <w:b/>
                <w:spacing w:val="-2"/>
                <w:w w:val="105"/>
                <w:sz w:val="23"/>
              </w:rPr>
              <w:t>Findings</w:t>
            </w:r>
          </w:p>
        </w:tc>
      </w:tr>
      <w:tr w:rsidR="00487D64">
        <w:trPr>
          <w:trHeight w:val="2558"/>
        </w:trPr>
        <w:tc>
          <w:tcPr>
            <w:tcW w:w="1158" w:type="dxa"/>
            <w:tcBorders>
              <w:top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22"/>
              <w:rPr>
                <w:b/>
                <w:sz w:val="23"/>
              </w:rPr>
            </w:pPr>
          </w:p>
          <w:p w:rsidR="00487D64" w:rsidRDefault="006F0D93">
            <w:pPr>
              <w:pStyle w:val="TableParagraph"/>
              <w:spacing w:line="247" w:lineRule="auto"/>
              <w:ind w:left="50" w:right="53"/>
              <w:rPr>
                <w:sz w:val="23"/>
              </w:rPr>
            </w:pPr>
            <w:r>
              <w:rPr>
                <w:spacing w:val="-2"/>
                <w:w w:val="105"/>
                <w:sz w:val="23"/>
              </w:rPr>
              <w:t>Mukhtar</w:t>
            </w:r>
            <w:r>
              <w:rPr>
                <w:spacing w:val="-14"/>
                <w:w w:val="105"/>
                <w:sz w:val="23"/>
              </w:rPr>
              <w:t xml:space="preserve"> </w:t>
            </w:r>
            <w:r>
              <w:rPr>
                <w:spacing w:val="-2"/>
                <w:w w:val="105"/>
                <w:sz w:val="23"/>
              </w:rPr>
              <w:t xml:space="preserve">et </w:t>
            </w:r>
            <w:r>
              <w:rPr>
                <w:w w:val="105"/>
                <w:sz w:val="23"/>
              </w:rPr>
              <w:t>al. (2020)</w:t>
            </w:r>
          </w:p>
        </w:tc>
        <w:tc>
          <w:tcPr>
            <w:tcW w:w="1763" w:type="dxa"/>
            <w:tcBorders>
              <w:top w:val="single" w:sz="4" w:space="0" w:color="000000"/>
            </w:tcBorders>
          </w:tcPr>
          <w:p w:rsidR="00487D64" w:rsidRDefault="00487D64">
            <w:pPr>
              <w:pStyle w:val="TableParagraph"/>
              <w:rPr>
                <w:b/>
                <w:sz w:val="23"/>
              </w:rPr>
            </w:pPr>
          </w:p>
          <w:p w:rsidR="00487D64" w:rsidRDefault="00487D64">
            <w:pPr>
              <w:pStyle w:val="TableParagraph"/>
              <w:spacing w:before="212"/>
              <w:rPr>
                <w:b/>
                <w:sz w:val="23"/>
              </w:rPr>
            </w:pPr>
          </w:p>
          <w:p w:rsidR="00487D64" w:rsidRDefault="006F0D93">
            <w:pPr>
              <w:pStyle w:val="TableParagraph"/>
              <w:spacing w:before="1" w:line="249" w:lineRule="auto"/>
              <w:ind w:left="52"/>
              <w:rPr>
                <w:sz w:val="23"/>
              </w:rPr>
            </w:pPr>
            <w:r>
              <w:rPr>
                <w:spacing w:val="-2"/>
                <w:w w:val="105"/>
                <w:sz w:val="23"/>
              </w:rPr>
              <w:t>Examined</w:t>
            </w:r>
            <w:r>
              <w:rPr>
                <w:spacing w:val="-14"/>
                <w:w w:val="105"/>
                <w:sz w:val="23"/>
              </w:rPr>
              <w:t xml:space="preserve"> </w:t>
            </w:r>
            <w:r>
              <w:rPr>
                <w:spacing w:val="-2"/>
                <w:w w:val="105"/>
                <w:sz w:val="23"/>
              </w:rPr>
              <w:t xml:space="preserve">impact </w:t>
            </w:r>
            <w:r>
              <w:rPr>
                <w:w w:val="105"/>
                <w:sz w:val="23"/>
              </w:rPr>
              <w:t xml:space="preserve">of FC on </w:t>
            </w:r>
            <w:r>
              <w:rPr>
                <w:spacing w:val="-2"/>
                <w:w w:val="105"/>
                <w:sz w:val="23"/>
              </w:rPr>
              <w:t>competitive advantage</w:t>
            </w:r>
          </w:p>
        </w:tc>
        <w:tc>
          <w:tcPr>
            <w:tcW w:w="1865" w:type="dxa"/>
            <w:tcBorders>
              <w:top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85"/>
              <w:rPr>
                <w:b/>
                <w:sz w:val="23"/>
              </w:rPr>
            </w:pPr>
          </w:p>
          <w:p w:rsidR="00487D64" w:rsidRDefault="006F0D93">
            <w:pPr>
              <w:pStyle w:val="TableParagraph"/>
              <w:spacing w:line="249" w:lineRule="auto"/>
              <w:ind w:left="32" w:right="416"/>
              <w:rPr>
                <w:sz w:val="23"/>
              </w:rPr>
            </w:pPr>
            <w:r>
              <w:rPr>
                <w:spacing w:val="-2"/>
                <w:w w:val="105"/>
                <w:sz w:val="23"/>
              </w:rPr>
              <w:t>320</w:t>
            </w:r>
            <w:r>
              <w:rPr>
                <w:spacing w:val="-14"/>
                <w:w w:val="105"/>
                <w:sz w:val="23"/>
              </w:rPr>
              <w:t xml:space="preserve"> </w:t>
            </w:r>
            <w:r>
              <w:rPr>
                <w:spacing w:val="-2"/>
                <w:w w:val="105"/>
                <w:sz w:val="23"/>
              </w:rPr>
              <w:t xml:space="preserve">Malaysian service-sector </w:t>
            </w:r>
            <w:r>
              <w:rPr>
                <w:spacing w:val="-4"/>
                <w:w w:val="105"/>
                <w:sz w:val="23"/>
              </w:rPr>
              <w:t>SMEs</w:t>
            </w:r>
          </w:p>
        </w:tc>
        <w:tc>
          <w:tcPr>
            <w:tcW w:w="1815" w:type="dxa"/>
            <w:tcBorders>
              <w:top w:val="single" w:sz="4" w:space="0" w:color="000000"/>
            </w:tcBorders>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22"/>
              <w:rPr>
                <w:b/>
                <w:sz w:val="23"/>
              </w:rPr>
            </w:pPr>
          </w:p>
          <w:p w:rsidR="00487D64" w:rsidRDefault="006F0D93">
            <w:pPr>
              <w:pStyle w:val="TableParagraph"/>
              <w:spacing w:line="247" w:lineRule="auto"/>
              <w:ind w:left="41" w:right="295"/>
              <w:rPr>
                <w:sz w:val="23"/>
              </w:rPr>
            </w:pPr>
            <w:r>
              <w:rPr>
                <w:spacing w:val="-2"/>
                <w:w w:val="105"/>
                <w:sz w:val="23"/>
              </w:rPr>
              <w:t xml:space="preserve">Cross-sectional </w:t>
            </w:r>
            <w:r>
              <w:rPr>
                <w:w w:val="105"/>
                <w:sz w:val="23"/>
              </w:rPr>
              <w:t>survey + SEM</w:t>
            </w:r>
          </w:p>
        </w:tc>
        <w:tc>
          <w:tcPr>
            <w:tcW w:w="1720" w:type="dxa"/>
            <w:tcBorders>
              <w:top w:val="single" w:sz="4" w:space="0" w:color="000000"/>
            </w:tcBorders>
          </w:tcPr>
          <w:p w:rsidR="00487D64" w:rsidRDefault="006F0D93">
            <w:pPr>
              <w:pStyle w:val="TableParagraph"/>
              <w:spacing w:before="50" w:line="249" w:lineRule="auto"/>
              <w:ind w:left="41" w:right="135"/>
              <w:rPr>
                <w:sz w:val="23"/>
              </w:rPr>
            </w:pPr>
            <w:r>
              <w:rPr>
                <w:w w:val="105"/>
                <w:sz w:val="23"/>
              </w:rPr>
              <w:t xml:space="preserve">FC enhances </w:t>
            </w:r>
            <w:r>
              <w:rPr>
                <w:spacing w:val="-2"/>
                <w:w w:val="105"/>
                <w:sz w:val="23"/>
              </w:rPr>
              <w:t xml:space="preserve">competitive </w:t>
            </w:r>
            <w:r>
              <w:rPr>
                <w:w w:val="105"/>
                <w:sz w:val="23"/>
              </w:rPr>
              <w:t>advantage</w:t>
            </w:r>
            <w:r>
              <w:rPr>
                <w:spacing w:val="-1"/>
                <w:w w:val="105"/>
                <w:sz w:val="23"/>
              </w:rPr>
              <w:t xml:space="preserve"> </w:t>
            </w:r>
            <w:r>
              <w:rPr>
                <w:w w:val="105"/>
                <w:sz w:val="23"/>
              </w:rPr>
              <w:t xml:space="preserve">via </w:t>
            </w:r>
            <w:r>
              <w:rPr>
                <w:spacing w:val="-2"/>
                <w:w w:val="105"/>
                <w:sz w:val="23"/>
              </w:rPr>
              <w:t>better information flow,</w:t>
            </w:r>
            <w:r>
              <w:rPr>
                <w:spacing w:val="-14"/>
                <w:w w:val="105"/>
                <w:sz w:val="23"/>
              </w:rPr>
              <w:t xml:space="preserve"> </w:t>
            </w:r>
            <w:r>
              <w:rPr>
                <w:spacing w:val="-2"/>
                <w:w w:val="105"/>
                <w:sz w:val="23"/>
              </w:rPr>
              <w:t xml:space="preserve">resource </w:t>
            </w:r>
            <w:r>
              <w:rPr>
                <w:w w:val="105"/>
                <w:sz w:val="23"/>
              </w:rPr>
              <w:t xml:space="preserve">sharing, and </w:t>
            </w:r>
            <w:r>
              <w:rPr>
                <w:spacing w:val="-2"/>
                <w:w w:val="105"/>
                <w:sz w:val="23"/>
              </w:rPr>
              <w:t>strategic alignment</w:t>
            </w:r>
          </w:p>
        </w:tc>
      </w:tr>
      <w:tr w:rsidR="00487D64">
        <w:trPr>
          <w:trHeight w:val="2269"/>
        </w:trPr>
        <w:tc>
          <w:tcPr>
            <w:tcW w:w="1158" w:type="dxa"/>
          </w:tcPr>
          <w:p w:rsidR="00487D64" w:rsidRDefault="00487D64">
            <w:pPr>
              <w:pStyle w:val="TableParagraph"/>
              <w:rPr>
                <w:b/>
                <w:sz w:val="23"/>
              </w:rPr>
            </w:pPr>
          </w:p>
          <w:p w:rsidR="00487D64" w:rsidRDefault="00487D64">
            <w:pPr>
              <w:pStyle w:val="TableParagraph"/>
              <w:spacing w:before="197"/>
              <w:rPr>
                <w:b/>
                <w:sz w:val="23"/>
              </w:rPr>
            </w:pPr>
          </w:p>
          <w:p w:rsidR="00487D64" w:rsidRDefault="006F0D93">
            <w:pPr>
              <w:pStyle w:val="TableParagraph"/>
              <w:spacing w:line="252" w:lineRule="auto"/>
              <w:ind w:left="50" w:right="53"/>
              <w:rPr>
                <w:sz w:val="23"/>
              </w:rPr>
            </w:pPr>
            <w:r>
              <w:rPr>
                <w:spacing w:val="-2"/>
                <w:sz w:val="23"/>
              </w:rPr>
              <w:t xml:space="preserve">Hubnerova </w:t>
            </w:r>
            <w:r>
              <w:rPr>
                <w:w w:val="105"/>
                <w:sz w:val="23"/>
              </w:rPr>
              <w:t xml:space="preserve">et al. </w:t>
            </w:r>
            <w:r>
              <w:rPr>
                <w:spacing w:val="-2"/>
                <w:w w:val="105"/>
                <w:sz w:val="23"/>
              </w:rPr>
              <w:t>(2020)</w:t>
            </w:r>
          </w:p>
        </w:tc>
        <w:tc>
          <w:tcPr>
            <w:tcW w:w="1763" w:type="dxa"/>
          </w:tcPr>
          <w:p w:rsidR="00487D64" w:rsidRDefault="00487D64">
            <w:pPr>
              <w:pStyle w:val="TableParagraph"/>
              <w:rPr>
                <w:b/>
                <w:sz w:val="23"/>
              </w:rPr>
            </w:pPr>
          </w:p>
          <w:p w:rsidR="00487D64" w:rsidRDefault="00487D64">
            <w:pPr>
              <w:pStyle w:val="TableParagraph"/>
              <w:spacing w:before="197"/>
              <w:rPr>
                <w:b/>
                <w:sz w:val="23"/>
              </w:rPr>
            </w:pPr>
          </w:p>
          <w:p w:rsidR="00487D64" w:rsidRDefault="006F0D93">
            <w:pPr>
              <w:pStyle w:val="TableParagraph"/>
              <w:spacing w:line="252" w:lineRule="auto"/>
              <w:ind w:left="52" w:right="72"/>
              <w:jc w:val="both"/>
              <w:rPr>
                <w:sz w:val="23"/>
              </w:rPr>
            </w:pPr>
            <w:r>
              <w:rPr>
                <w:w w:val="105"/>
                <w:sz w:val="23"/>
              </w:rPr>
              <w:t>Analyzed</w:t>
            </w:r>
            <w:r>
              <w:rPr>
                <w:spacing w:val="-15"/>
                <w:w w:val="105"/>
                <w:sz w:val="23"/>
              </w:rPr>
              <w:t xml:space="preserve"> </w:t>
            </w:r>
            <w:r>
              <w:rPr>
                <w:w w:val="105"/>
                <w:sz w:val="23"/>
              </w:rPr>
              <w:t>role</w:t>
            </w:r>
            <w:r>
              <w:rPr>
                <w:spacing w:val="-10"/>
                <w:w w:val="105"/>
                <w:sz w:val="23"/>
              </w:rPr>
              <w:t xml:space="preserve"> </w:t>
            </w:r>
            <w:r>
              <w:rPr>
                <w:w w:val="105"/>
                <w:sz w:val="23"/>
              </w:rPr>
              <w:t>of FC</w:t>
            </w:r>
            <w:r>
              <w:rPr>
                <w:spacing w:val="-16"/>
                <w:w w:val="105"/>
                <w:sz w:val="23"/>
              </w:rPr>
              <w:t xml:space="preserve"> </w:t>
            </w:r>
            <w:r>
              <w:rPr>
                <w:w w:val="105"/>
                <w:sz w:val="23"/>
              </w:rPr>
              <w:t>in</w:t>
            </w:r>
            <w:r>
              <w:rPr>
                <w:spacing w:val="-15"/>
                <w:w w:val="105"/>
                <w:sz w:val="23"/>
              </w:rPr>
              <w:t xml:space="preserve"> </w:t>
            </w:r>
            <w:r>
              <w:rPr>
                <w:w w:val="105"/>
                <w:sz w:val="23"/>
              </w:rPr>
              <w:t>integration and efficiency</w:t>
            </w:r>
          </w:p>
        </w:tc>
        <w:tc>
          <w:tcPr>
            <w:tcW w:w="1865"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69"/>
              <w:rPr>
                <w:b/>
                <w:sz w:val="23"/>
              </w:rPr>
            </w:pPr>
          </w:p>
          <w:p w:rsidR="00487D64" w:rsidRDefault="006F0D93">
            <w:pPr>
              <w:pStyle w:val="TableParagraph"/>
              <w:spacing w:line="249" w:lineRule="auto"/>
              <w:ind w:left="32"/>
              <w:rPr>
                <w:sz w:val="23"/>
              </w:rPr>
            </w:pPr>
            <w:r>
              <w:rPr>
                <w:w w:val="105"/>
                <w:sz w:val="23"/>
              </w:rPr>
              <w:t xml:space="preserve">210 Central </w:t>
            </w:r>
            <w:r>
              <w:rPr>
                <w:spacing w:val="-2"/>
                <w:w w:val="105"/>
                <w:sz w:val="23"/>
              </w:rPr>
              <w:t>European</w:t>
            </w:r>
            <w:r>
              <w:rPr>
                <w:spacing w:val="-14"/>
                <w:w w:val="105"/>
                <w:sz w:val="23"/>
              </w:rPr>
              <w:t xml:space="preserve"> </w:t>
            </w:r>
            <w:r>
              <w:rPr>
                <w:spacing w:val="-2"/>
                <w:w w:val="105"/>
                <w:sz w:val="23"/>
              </w:rPr>
              <w:t>SMEs</w:t>
            </w:r>
          </w:p>
        </w:tc>
        <w:tc>
          <w:tcPr>
            <w:tcW w:w="1815" w:type="dxa"/>
          </w:tcPr>
          <w:p w:rsidR="00487D64" w:rsidRDefault="00487D64">
            <w:pPr>
              <w:pStyle w:val="TableParagraph"/>
              <w:rPr>
                <w:b/>
                <w:sz w:val="23"/>
              </w:rPr>
            </w:pPr>
          </w:p>
          <w:p w:rsidR="00487D64" w:rsidRDefault="00487D64">
            <w:pPr>
              <w:pStyle w:val="TableParagraph"/>
              <w:spacing w:before="197"/>
              <w:rPr>
                <w:b/>
                <w:sz w:val="23"/>
              </w:rPr>
            </w:pPr>
          </w:p>
          <w:p w:rsidR="00487D64" w:rsidRDefault="006F0D93">
            <w:pPr>
              <w:pStyle w:val="TableParagraph"/>
              <w:spacing w:line="252" w:lineRule="auto"/>
              <w:ind w:left="41" w:right="295"/>
              <w:rPr>
                <w:sz w:val="23"/>
              </w:rPr>
            </w:pPr>
            <w:r>
              <w:rPr>
                <w:spacing w:val="-2"/>
                <w:sz w:val="23"/>
              </w:rPr>
              <w:t xml:space="preserve">Quantitative </w:t>
            </w:r>
            <w:r>
              <w:rPr>
                <w:w w:val="105"/>
                <w:sz w:val="23"/>
              </w:rPr>
              <w:t xml:space="preserve">survey + </w:t>
            </w:r>
            <w:r>
              <w:rPr>
                <w:spacing w:val="-2"/>
                <w:w w:val="105"/>
                <w:sz w:val="23"/>
              </w:rPr>
              <w:t>Regression</w:t>
            </w:r>
          </w:p>
        </w:tc>
        <w:tc>
          <w:tcPr>
            <w:tcW w:w="1720" w:type="dxa"/>
          </w:tcPr>
          <w:p w:rsidR="00487D64" w:rsidRDefault="006F0D93">
            <w:pPr>
              <w:pStyle w:val="TableParagraph"/>
              <w:spacing w:before="35" w:line="249" w:lineRule="auto"/>
              <w:ind w:left="41"/>
              <w:rPr>
                <w:sz w:val="23"/>
              </w:rPr>
            </w:pPr>
            <w:r>
              <w:rPr>
                <w:w w:val="105"/>
                <w:sz w:val="23"/>
              </w:rPr>
              <w:t>FC</w:t>
            </w:r>
            <w:r>
              <w:rPr>
                <w:spacing w:val="-16"/>
                <w:w w:val="105"/>
                <w:sz w:val="23"/>
              </w:rPr>
              <w:t xml:space="preserve"> </w:t>
            </w:r>
            <w:r>
              <w:rPr>
                <w:w w:val="105"/>
                <w:sz w:val="23"/>
              </w:rPr>
              <w:t>fosters</w:t>
            </w:r>
            <w:r>
              <w:rPr>
                <w:spacing w:val="-15"/>
                <w:w w:val="105"/>
                <w:sz w:val="23"/>
              </w:rPr>
              <w:t xml:space="preserve"> </w:t>
            </w:r>
            <w:r>
              <w:rPr>
                <w:w w:val="105"/>
                <w:sz w:val="23"/>
              </w:rPr>
              <w:t xml:space="preserve">cross- </w:t>
            </w:r>
            <w:r>
              <w:rPr>
                <w:spacing w:val="-2"/>
                <w:w w:val="105"/>
                <w:sz w:val="23"/>
              </w:rPr>
              <w:t xml:space="preserve">functional integration, </w:t>
            </w:r>
            <w:r>
              <w:rPr>
                <w:w w:val="105"/>
                <w:sz w:val="23"/>
              </w:rPr>
              <w:t xml:space="preserve">leading to </w:t>
            </w:r>
            <w:r>
              <w:rPr>
                <w:spacing w:val="-2"/>
                <w:w w:val="105"/>
                <w:sz w:val="23"/>
              </w:rPr>
              <w:t xml:space="preserve">operational </w:t>
            </w:r>
            <w:r>
              <w:rPr>
                <w:w w:val="105"/>
                <w:sz w:val="23"/>
              </w:rPr>
              <w:t xml:space="preserve">efficiency and stronger market </w:t>
            </w:r>
            <w:r>
              <w:rPr>
                <w:spacing w:val="-2"/>
                <w:w w:val="105"/>
                <w:sz w:val="23"/>
              </w:rPr>
              <w:t>positioning.</w:t>
            </w:r>
          </w:p>
        </w:tc>
      </w:tr>
      <w:tr w:rsidR="00487D64">
        <w:trPr>
          <w:trHeight w:val="1995"/>
        </w:trPr>
        <w:tc>
          <w:tcPr>
            <w:tcW w:w="1158" w:type="dxa"/>
          </w:tcPr>
          <w:p w:rsidR="00487D64" w:rsidRDefault="00487D64">
            <w:pPr>
              <w:pStyle w:val="TableParagraph"/>
              <w:spacing w:before="180"/>
              <w:rPr>
                <w:b/>
                <w:sz w:val="23"/>
              </w:rPr>
            </w:pPr>
          </w:p>
          <w:p w:rsidR="00487D64" w:rsidRDefault="006F0D93">
            <w:pPr>
              <w:pStyle w:val="TableParagraph"/>
              <w:spacing w:line="249" w:lineRule="auto"/>
              <w:ind w:left="50" w:right="53"/>
              <w:rPr>
                <w:sz w:val="23"/>
              </w:rPr>
            </w:pPr>
            <w:r>
              <w:rPr>
                <w:spacing w:val="-2"/>
                <w:sz w:val="23"/>
              </w:rPr>
              <w:t xml:space="preserve">Mogaka, </w:t>
            </w:r>
            <w:r>
              <w:rPr>
                <w:w w:val="105"/>
                <w:sz w:val="23"/>
              </w:rPr>
              <w:t xml:space="preserve">Odari &amp; </w:t>
            </w:r>
            <w:r>
              <w:rPr>
                <w:spacing w:val="-2"/>
                <w:w w:val="105"/>
                <w:sz w:val="23"/>
              </w:rPr>
              <w:t>Arani (2022)</w:t>
            </w:r>
          </w:p>
        </w:tc>
        <w:tc>
          <w:tcPr>
            <w:tcW w:w="1763" w:type="dxa"/>
          </w:tcPr>
          <w:p w:rsidR="00487D64" w:rsidRDefault="00487D64">
            <w:pPr>
              <w:pStyle w:val="TableParagraph"/>
              <w:spacing w:before="180"/>
              <w:rPr>
                <w:b/>
                <w:sz w:val="23"/>
              </w:rPr>
            </w:pPr>
          </w:p>
          <w:p w:rsidR="00487D64" w:rsidRDefault="006F0D93">
            <w:pPr>
              <w:pStyle w:val="TableParagraph"/>
              <w:spacing w:line="249" w:lineRule="auto"/>
              <w:ind w:left="52"/>
              <w:rPr>
                <w:sz w:val="23"/>
              </w:rPr>
            </w:pPr>
            <w:r>
              <w:rPr>
                <w:spacing w:val="-2"/>
                <w:w w:val="105"/>
                <w:sz w:val="23"/>
              </w:rPr>
              <w:t xml:space="preserve">Investigated functional </w:t>
            </w:r>
            <w:r>
              <w:rPr>
                <w:w w:val="105"/>
                <w:sz w:val="23"/>
              </w:rPr>
              <w:t xml:space="preserve">integration and </w:t>
            </w:r>
            <w:r>
              <w:rPr>
                <w:spacing w:val="-2"/>
                <w:sz w:val="23"/>
              </w:rPr>
              <w:t>competitiveness</w:t>
            </w:r>
          </w:p>
        </w:tc>
        <w:tc>
          <w:tcPr>
            <w:tcW w:w="1865" w:type="dxa"/>
          </w:tcPr>
          <w:p w:rsidR="00487D64" w:rsidRDefault="00487D64">
            <w:pPr>
              <w:pStyle w:val="TableParagraph"/>
              <w:rPr>
                <w:b/>
                <w:sz w:val="23"/>
              </w:rPr>
            </w:pPr>
          </w:p>
          <w:p w:rsidR="00487D64" w:rsidRDefault="00487D64">
            <w:pPr>
              <w:pStyle w:val="TableParagraph"/>
              <w:spacing w:before="60"/>
              <w:rPr>
                <w:b/>
                <w:sz w:val="23"/>
              </w:rPr>
            </w:pPr>
          </w:p>
          <w:p w:rsidR="00487D64" w:rsidRDefault="006F0D93">
            <w:pPr>
              <w:pStyle w:val="TableParagraph"/>
              <w:spacing w:line="249" w:lineRule="auto"/>
              <w:ind w:left="32"/>
              <w:rPr>
                <w:sz w:val="23"/>
              </w:rPr>
            </w:pPr>
            <w:r>
              <w:rPr>
                <w:w w:val="105"/>
                <w:sz w:val="23"/>
              </w:rPr>
              <w:t>73</w:t>
            </w:r>
            <w:r>
              <w:rPr>
                <w:spacing w:val="-16"/>
                <w:w w:val="105"/>
                <w:sz w:val="23"/>
              </w:rPr>
              <w:t xml:space="preserve"> </w:t>
            </w:r>
            <w:r>
              <w:rPr>
                <w:w w:val="105"/>
                <w:sz w:val="23"/>
              </w:rPr>
              <w:t>Kenyan</w:t>
            </w:r>
            <w:r>
              <w:rPr>
                <w:spacing w:val="-15"/>
                <w:w w:val="105"/>
                <w:sz w:val="23"/>
              </w:rPr>
              <w:t xml:space="preserve"> </w:t>
            </w:r>
            <w:r>
              <w:rPr>
                <w:w w:val="105"/>
                <w:sz w:val="23"/>
              </w:rPr>
              <w:t>food</w:t>
            </w:r>
            <w:r>
              <w:rPr>
                <w:spacing w:val="-15"/>
                <w:w w:val="105"/>
                <w:sz w:val="23"/>
              </w:rPr>
              <w:t xml:space="preserve"> </w:t>
            </w:r>
            <w:r>
              <w:rPr>
                <w:w w:val="105"/>
                <w:sz w:val="23"/>
              </w:rPr>
              <w:t>&amp; beverage firms (146 managers)</w:t>
            </w:r>
          </w:p>
        </w:tc>
        <w:tc>
          <w:tcPr>
            <w:tcW w:w="1815" w:type="dxa"/>
          </w:tcPr>
          <w:p w:rsidR="00487D64" w:rsidRDefault="00487D64">
            <w:pPr>
              <w:pStyle w:val="TableParagraph"/>
              <w:rPr>
                <w:b/>
                <w:sz w:val="23"/>
              </w:rPr>
            </w:pPr>
          </w:p>
          <w:p w:rsidR="00487D64" w:rsidRDefault="00487D64">
            <w:pPr>
              <w:pStyle w:val="TableParagraph"/>
              <w:spacing w:before="60"/>
              <w:rPr>
                <w:b/>
                <w:sz w:val="23"/>
              </w:rPr>
            </w:pPr>
          </w:p>
          <w:p w:rsidR="00487D64" w:rsidRDefault="006F0D93">
            <w:pPr>
              <w:pStyle w:val="TableParagraph"/>
              <w:spacing w:line="249" w:lineRule="auto"/>
              <w:ind w:left="41" w:right="295"/>
              <w:rPr>
                <w:sz w:val="23"/>
              </w:rPr>
            </w:pPr>
            <w:r>
              <w:rPr>
                <w:spacing w:val="-2"/>
                <w:w w:val="105"/>
                <w:sz w:val="23"/>
              </w:rPr>
              <w:t xml:space="preserve">Cross-sectional </w:t>
            </w:r>
            <w:r>
              <w:rPr>
                <w:w w:val="105"/>
                <w:sz w:val="23"/>
              </w:rPr>
              <w:t xml:space="preserve">survey + OLS </w:t>
            </w:r>
            <w:r>
              <w:rPr>
                <w:spacing w:val="-2"/>
                <w:w w:val="105"/>
                <w:sz w:val="23"/>
              </w:rPr>
              <w:t>regression</w:t>
            </w:r>
          </w:p>
        </w:tc>
        <w:tc>
          <w:tcPr>
            <w:tcW w:w="1720" w:type="dxa"/>
          </w:tcPr>
          <w:p w:rsidR="00487D64" w:rsidRDefault="006F0D93">
            <w:pPr>
              <w:pStyle w:val="TableParagraph"/>
              <w:spacing w:before="35" w:line="249" w:lineRule="auto"/>
              <w:ind w:left="41"/>
              <w:rPr>
                <w:sz w:val="23"/>
              </w:rPr>
            </w:pPr>
            <w:r>
              <w:rPr>
                <w:w w:val="105"/>
                <w:sz w:val="23"/>
              </w:rPr>
              <w:t xml:space="preserve">FC strongly </w:t>
            </w:r>
            <w:r>
              <w:rPr>
                <w:spacing w:val="-2"/>
                <w:w w:val="105"/>
                <w:sz w:val="23"/>
              </w:rPr>
              <w:t xml:space="preserve">improves responsiveness </w:t>
            </w:r>
            <w:r>
              <w:rPr>
                <w:w w:val="105"/>
                <w:sz w:val="23"/>
              </w:rPr>
              <w:t xml:space="preserve">and cost- </w:t>
            </w:r>
            <w:r>
              <w:rPr>
                <w:spacing w:val="-2"/>
                <w:w w:val="105"/>
                <w:sz w:val="23"/>
              </w:rPr>
              <w:t>effectiveness</w:t>
            </w:r>
            <w:r>
              <w:rPr>
                <w:spacing w:val="-14"/>
                <w:w w:val="105"/>
                <w:sz w:val="23"/>
              </w:rPr>
              <w:t xml:space="preserve"> </w:t>
            </w:r>
            <w:r>
              <w:rPr>
                <w:spacing w:val="-2"/>
                <w:w w:val="105"/>
                <w:sz w:val="23"/>
              </w:rPr>
              <w:t>(β</w:t>
            </w:r>
          </w:p>
          <w:p w:rsidR="00487D64" w:rsidRDefault="006F0D93">
            <w:pPr>
              <w:pStyle w:val="TableParagraph"/>
              <w:spacing w:before="7" w:line="247" w:lineRule="auto"/>
              <w:ind w:left="41" w:right="135"/>
              <w:rPr>
                <w:sz w:val="23"/>
              </w:rPr>
            </w:pPr>
            <w:r>
              <w:rPr>
                <w:w w:val="105"/>
                <w:sz w:val="23"/>
              </w:rPr>
              <w:t>=</w:t>
            </w:r>
            <w:r>
              <w:rPr>
                <w:spacing w:val="-16"/>
                <w:w w:val="105"/>
                <w:sz w:val="23"/>
              </w:rPr>
              <w:t xml:space="preserve"> </w:t>
            </w:r>
            <w:r>
              <w:rPr>
                <w:w w:val="105"/>
                <w:sz w:val="23"/>
              </w:rPr>
              <w:t>0.617,</w:t>
            </w:r>
            <w:r>
              <w:rPr>
                <w:spacing w:val="-15"/>
                <w:w w:val="105"/>
                <w:sz w:val="23"/>
              </w:rPr>
              <w:t xml:space="preserve"> </w:t>
            </w:r>
            <w:r>
              <w:rPr>
                <w:w w:val="105"/>
                <w:sz w:val="23"/>
              </w:rPr>
              <w:t>p</w:t>
            </w:r>
            <w:r>
              <w:rPr>
                <w:spacing w:val="-15"/>
                <w:w w:val="105"/>
                <w:sz w:val="23"/>
              </w:rPr>
              <w:t xml:space="preserve"> </w:t>
            </w:r>
            <w:r>
              <w:rPr>
                <w:w w:val="105"/>
                <w:sz w:val="23"/>
              </w:rPr>
              <w:t xml:space="preserve">&lt; </w:t>
            </w:r>
            <w:r>
              <w:rPr>
                <w:spacing w:val="-2"/>
                <w:w w:val="105"/>
                <w:sz w:val="23"/>
              </w:rPr>
              <w:t>0.01)</w:t>
            </w:r>
          </w:p>
        </w:tc>
      </w:tr>
      <w:tr w:rsidR="00487D64">
        <w:trPr>
          <w:trHeight w:val="1991"/>
        </w:trPr>
        <w:tc>
          <w:tcPr>
            <w:tcW w:w="1158" w:type="dxa"/>
          </w:tcPr>
          <w:p w:rsidR="00487D64" w:rsidRDefault="00487D64">
            <w:pPr>
              <w:pStyle w:val="TableParagraph"/>
              <w:rPr>
                <w:b/>
                <w:sz w:val="23"/>
              </w:rPr>
            </w:pPr>
          </w:p>
          <w:p w:rsidR="00487D64" w:rsidRDefault="00487D64">
            <w:pPr>
              <w:pStyle w:val="TableParagraph"/>
              <w:spacing w:before="190"/>
              <w:rPr>
                <w:b/>
                <w:sz w:val="23"/>
              </w:rPr>
            </w:pPr>
          </w:p>
          <w:p w:rsidR="00487D64" w:rsidRDefault="006F0D93">
            <w:pPr>
              <w:pStyle w:val="TableParagraph"/>
              <w:spacing w:line="254" w:lineRule="auto"/>
              <w:ind w:left="50" w:right="53"/>
              <w:rPr>
                <w:sz w:val="23"/>
              </w:rPr>
            </w:pPr>
            <w:r>
              <w:rPr>
                <w:spacing w:val="-2"/>
                <w:sz w:val="23"/>
              </w:rPr>
              <w:t xml:space="preserve">Szalavetz </w:t>
            </w:r>
            <w:r>
              <w:rPr>
                <w:spacing w:val="-2"/>
                <w:w w:val="105"/>
                <w:sz w:val="23"/>
              </w:rPr>
              <w:t>(2018)</w:t>
            </w:r>
          </w:p>
        </w:tc>
        <w:tc>
          <w:tcPr>
            <w:tcW w:w="1763" w:type="dxa"/>
          </w:tcPr>
          <w:p w:rsidR="00487D64" w:rsidRDefault="00487D64">
            <w:pPr>
              <w:pStyle w:val="TableParagraph"/>
              <w:rPr>
                <w:b/>
                <w:sz w:val="23"/>
              </w:rPr>
            </w:pPr>
          </w:p>
          <w:p w:rsidR="00487D64" w:rsidRDefault="00487D64">
            <w:pPr>
              <w:pStyle w:val="TableParagraph"/>
              <w:spacing w:before="53"/>
              <w:rPr>
                <w:b/>
                <w:sz w:val="23"/>
              </w:rPr>
            </w:pPr>
          </w:p>
          <w:p w:rsidR="00487D64" w:rsidRDefault="006F0D93">
            <w:pPr>
              <w:pStyle w:val="TableParagraph"/>
              <w:spacing w:line="252" w:lineRule="auto"/>
              <w:ind w:left="52" w:right="273"/>
              <w:rPr>
                <w:sz w:val="23"/>
              </w:rPr>
            </w:pPr>
            <w:r>
              <w:rPr>
                <w:w w:val="105"/>
                <w:sz w:val="23"/>
              </w:rPr>
              <w:t>Linked</w:t>
            </w:r>
            <w:r>
              <w:rPr>
                <w:spacing w:val="-16"/>
                <w:w w:val="105"/>
                <w:sz w:val="23"/>
              </w:rPr>
              <w:t xml:space="preserve"> </w:t>
            </w:r>
            <w:r>
              <w:rPr>
                <w:w w:val="105"/>
                <w:sz w:val="23"/>
              </w:rPr>
              <w:t>CFC</w:t>
            </w:r>
            <w:r>
              <w:rPr>
                <w:spacing w:val="-15"/>
                <w:w w:val="105"/>
                <w:sz w:val="23"/>
              </w:rPr>
              <w:t xml:space="preserve"> </w:t>
            </w:r>
            <w:r>
              <w:rPr>
                <w:w w:val="105"/>
                <w:sz w:val="23"/>
              </w:rPr>
              <w:t xml:space="preserve">to </w:t>
            </w:r>
            <w:r>
              <w:rPr>
                <w:spacing w:val="-2"/>
                <w:w w:val="105"/>
                <w:sz w:val="23"/>
              </w:rPr>
              <w:t>sustainability trade-offs</w:t>
            </w:r>
          </w:p>
        </w:tc>
        <w:tc>
          <w:tcPr>
            <w:tcW w:w="1865" w:type="dxa"/>
          </w:tcPr>
          <w:p w:rsidR="00487D64" w:rsidRDefault="00487D64">
            <w:pPr>
              <w:pStyle w:val="TableParagraph"/>
              <w:rPr>
                <w:b/>
                <w:sz w:val="23"/>
              </w:rPr>
            </w:pPr>
          </w:p>
          <w:p w:rsidR="00487D64" w:rsidRDefault="00487D64">
            <w:pPr>
              <w:pStyle w:val="TableParagraph"/>
              <w:spacing w:before="53"/>
              <w:rPr>
                <w:b/>
                <w:sz w:val="23"/>
              </w:rPr>
            </w:pPr>
          </w:p>
          <w:p w:rsidR="00487D64" w:rsidRDefault="006F0D93">
            <w:pPr>
              <w:pStyle w:val="TableParagraph"/>
              <w:spacing w:line="252" w:lineRule="auto"/>
              <w:ind w:left="32"/>
              <w:rPr>
                <w:sz w:val="23"/>
              </w:rPr>
            </w:pPr>
            <w:r>
              <w:rPr>
                <w:w w:val="105"/>
                <w:sz w:val="23"/>
              </w:rPr>
              <w:t xml:space="preserve">European firms (conceptual + </w:t>
            </w:r>
            <w:r>
              <w:rPr>
                <w:sz w:val="23"/>
              </w:rPr>
              <w:t>empirical insights)</w:t>
            </w:r>
          </w:p>
        </w:tc>
        <w:tc>
          <w:tcPr>
            <w:tcW w:w="1815" w:type="dxa"/>
          </w:tcPr>
          <w:p w:rsidR="00487D64" w:rsidRDefault="00487D64">
            <w:pPr>
              <w:pStyle w:val="TableParagraph"/>
              <w:rPr>
                <w:b/>
                <w:sz w:val="23"/>
              </w:rPr>
            </w:pPr>
          </w:p>
          <w:p w:rsidR="00487D64" w:rsidRDefault="00487D64">
            <w:pPr>
              <w:pStyle w:val="TableParagraph"/>
              <w:spacing w:before="190"/>
              <w:rPr>
                <w:b/>
                <w:sz w:val="23"/>
              </w:rPr>
            </w:pPr>
          </w:p>
          <w:p w:rsidR="00487D64" w:rsidRDefault="006F0D93">
            <w:pPr>
              <w:pStyle w:val="TableParagraph"/>
              <w:spacing w:line="254" w:lineRule="auto"/>
              <w:ind w:left="41" w:right="674"/>
              <w:rPr>
                <w:sz w:val="23"/>
              </w:rPr>
            </w:pPr>
            <w:r>
              <w:rPr>
                <w:spacing w:val="-2"/>
                <w:w w:val="105"/>
                <w:sz w:val="23"/>
              </w:rPr>
              <w:t>Case-based analysis</w:t>
            </w:r>
          </w:p>
        </w:tc>
        <w:tc>
          <w:tcPr>
            <w:tcW w:w="1720" w:type="dxa"/>
          </w:tcPr>
          <w:p w:rsidR="00487D64" w:rsidRDefault="006F0D93">
            <w:pPr>
              <w:pStyle w:val="TableParagraph"/>
              <w:spacing w:before="34" w:line="249" w:lineRule="auto"/>
              <w:ind w:left="41"/>
              <w:rPr>
                <w:sz w:val="23"/>
              </w:rPr>
            </w:pPr>
            <w:r>
              <w:rPr>
                <w:w w:val="105"/>
                <w:sz w:val="23"/>
              </w:rPr>
              <w:t xml:space="preserve">FC enables </w:t>
            </w:r>
            <w:r>
              <w:rPr>
                <w:spacing w:val="-2"/>
                <w:w w:val="105"/>
                <w:sz w:val="23"/>
              </w:rPr>
              <w:t xml:space="preserve">knowledge </w:t>
            </w:r>
            <w:r>
              <w:rPr>
                <w:spacing w:val="-2"/>
                <w:sz w:val="23"/>
              </w:rPr>
              <w:t xml:space="preserve">recombination, </w:t>
            </w:r>
            <w:r>
              <w:rPr>
                <w:spacing w:val="-2"/>
                <w:w w:val="105"/>
                <w:sz w:val="23"/>
              </w:rPr>
              <w:t xml:space="preserve">integrating sustainability </w:t>
            </w:r>
            <w:r>
              <w:rPr>
                <w:w w:val="105"/>
                <w:sz w:val="23"/>
              </w:rPr>
              <w:t xml:space="preserve">goals across </w:t>
            </w:r>
            <w:r>
              <w:rPr>
                <w:spacing w:val="-2"/>
                <w:w w:val="105"/>
                <w:sz w:val="23"/>
              </w:rPr>
              <w:t>functions.</w:t>
            </w:r>
          </w:p>
        </w:tc>
      </w:tr>
      <w:tr w:rsidR="00487D64">
        <w:trPr>
          <w:trHeight w:val="892"/>
        </w:trPr>
        <w:tc>
          <w:tcPr>
            <w:tcW w:w="1158" w:type="dxa"/>
            <w:tcBorders>
              <w:bottom w:val="single" w:sz="4" w:space="0" w:color="000000"/>
            </w:tcBorders>
          </w:tcPr>
          <w:p w:rsidR="00487D64" w:rsidRDefault="006F0D93">
            <w:pPr>
              <w:pStyle w:val="TableParagraph"/>
              <w:spacing w:before="168" w:line="254" w:lineRule="auto"/>
              <w:ind w:left="50" w:right="80"/>
              <w:rPr>
                <w:sz w:val="23"/>
              </w:rPr>
            </w:pPr>
            <w:r>
              <w:rPr>
                <w:spacing w:val="-2"/>
                <w:w w:val="105"/>
                <w:sz w:val="23"/>
              </w:rPr>
              <w:t>Waruiru</w:t>
            </w:r>
            <w:r>
              <w:rPr>
                <w:spacing w:val="-14"/>
                <w:w w:val="105"/>
                <w:sz w:val="23"/>
              </w:rPr>
              <w:t xml:space="preserve"> </w:t>
            </w:r>
            <w:r>
              <w:rPr>
                <w:spacing w:val="-2"/>
                <w:w w:val="105"/>
                <w:sz w:val="23"/>
              </w:rPr>
              <w:t xml:space="preserve">et </w:t>
            </w:r>
            <w:r>
              <w:rPr>
                <w:w w:val="105"/>
                <w:sz w:val="23"/>
              </w:rPr>
              <w:t>al. (2018)</w:t>
            </w:r>
          </w:p>
        </w:tc>
        <w:tc>
          <w:tcPr>
            <w:tcW w:w="1763" w:type="dxa"/>
            <w:tcBorders>
              <w:bottom w:val="single" w:sz="4" w:space="0" w:color="000000"/>
            </w:tcBorders>
          </w:tcPr>
          <w:p w:rsidR="00487D64" w:rsidRDefault="006F0D93">
            <w:pPr>
              <w:pStyle w:val="TableParagraph"/>
              <w:spacing w:before="31" w:line="252" w:lineRule="auto"/>
              <w:ind w:left="52" w:right="148"/>
              <w:jc w:val="both"/>
              <w:rPr>
                <w:sz w:val="23"/>
              </w:rPr>
            </w:pPr>
            <w:r>
              <w:rPr>
                <w:w w:val="105"/>
                <w:sz w:val="23"/>
              </w:rPr>
              <w:t>Tested</w:t>
            </w:r>
            <w:r>
              <w:rPr>
                <w:spacing w:val="-16"/>
                <w:w w:val="105"/>
                <w:sz w:val="23"/>
              </w:rPr>
              <w:t xml:space="preserve"> </w:t>
            </w:r>
            <w:r>
              <w:rPr>
                <w:w w:val="105"/>
                <w:sz w:val="23"/>
              </w:rPr>
              <w:t>FC's</w:t>
            </w:r>
            <w:r>
              <w:rPr>
                <w:spacing w:val="-15"/>
                <w:w w:val="105"/>
                <w:sz w:val="23"/>
              </w:rPr>
              <w:t xml:space="preserve"> </w:t>
            </w:r>
            <w:r>
              <w:rPr>
                <w:w w:val="105"/>
                <w:sz w:val="23"/>
              </w:rPr>
              <w:t>role in</w:t>
            </w:r>
            <w:r>
              <w:rPr>
                <w:spacing w:val="-14"/>
                <w:w w:val="105"/>
                <w:sz w:val="23"/>
              </w:rPr>
              <w:t xml:space="preserve"> </w:t>
            </w:r>
            <w:r>
              <w:rPr>
                <w:w w:val="105"/>
                <w:sz w:val="23"/>
              </w:rPr>
              <w:t xml:space="preserve">sustainability </w:t>
            </w:r>
            <w:r>
              <w:rPr>
                <w:spacing w:val="-2"/>
                <w:w w:val="105"/>
                <w:sz w:val="23"/>
              </w:rPr>
              <w:t>outcomes</w:t>
            </w:r>
          </w:p>
        </w:tc>
        <w:tc>
          <w:tcPr>
            <w:tcW w:w="1865" w:type="dxa"/>
            <w:tcBorders>
              <w:bottom w:val="single" w:sz="4" w:space="0" w:color="000000"/>
            </w:tcBorders>
          </w:tcPr>
          <w:p w:rsidR="00487D64" w:rsidRDefault="006F0D93">
            <w:pPr>
              <w:pStyle w:val="TableParagraph"/>
              <w:spacing w:before="31" w:line="252" w:lineRule="auto"/>
              <w:ind w:left="32" w:right="416"/>
              <w:rPr>
                <w:sz w:val="23"/>
              </w:rPr>
            </w:pPr>
            <w:r>
              <w:rPr>
                <w:w w:val="105"/>
                <w:sz w:val="23"/>
              </w:rPr>
              <w:t xml:space="preserve">186 Kenyan </w:t>
            </w:r>
            <w:r>
              <w:rPr>
                <w:spacing w:val="-2"/>
                <w:sz w:val="23"/>
              </w:rPr>
              <w:t xml:space="preserve">manufacturing </w:t>
            </w:r>
            <w:r>
              <w:rPr>
                <w:spacing w:val="-2"/>
                <w:w w:val="105"/>
                <w:sz w:val="23"/>
              </w:rPr>
              <w:t>firms</w:t>
            </w:r>
          </w:p>
        </w:tc>
        <w:tc>
          <w:tcPr>
            <w:tcW w:w="1815" w:type="dxa"/>
            <w:tcBorders>
              <w:bottom w:val="single" w:sz="4" w:space="0" w:color="000000"/>
            </w:tcBorders>
          </w:tcPr>
          <w:p w:rsidR="00487D64" w:rsidRDefault="006F0D93">
            <w:pPr>
              <w:pStyle w:val="TableParagraph"/>
              <w:spacing w:before="31" w:line="252" w:lineRule="auto"/>
              <w:ind w:left="41"/>
              <w:rPr>
                <w:sz w:val="23"/>
              </w:rPr>
            </w:pPr>
            <w:r>
              <w:rPr>
                <w:w w:val="105"/>
                <w:sz w:val="23"/>
              </w:rPr>
              <w:t xml:space="preserve">Survey + </w:t>
            </w:r>
            <w:r>
              <w:rPr>
                <w:spacing w:val="-2"/>
                <w:sz w:val="23"/>
              </w:rPr>
              <w:t xml:space="preserve">Hierarchical </w:t>
            </w:r>
            <w:r>
              <w:rPr>
                <w:spacing w:val="-2"/>
                <w:w w:val="105"/>
                <w:sz w:val="23"/>
              </w:rPr>
              <w:t>regression</w:t>
            </w:r>
          </w:p>
        </w:tc>
        <w:tc>
          <w:tcPr>
            <w:tcW w:w="1720" w:type="dxa"/>
            <w:tcBorders>
              <w:bottom w:val="single" w:sz="4" w:space="0" w:color="000000"/>
            </w:tcBorders>
          </w:tcPr>
          <w:p w:rsidR="00487D64" w:rsidRDefault="006F0D93">
            <w:pPr>
              <w:pStyle w:val="TableParagraph"/>
              <w:spacing w:before="31" w:line="252" w:lineRule="auto"/>
              <w:ind w:left="41" w:right="135"/>
              <w:rPr>
                <w:sz w:val="23"/>
              </w:rPr>
            </w:pPr>
            <w:r>
              <w:rPr>
                <w:w w:val="105"/>
                <w:sz w:val="23"/>
              </w:rPr>
              <w:t xml:space="preserve">FC improves </w:t>
            </w:r>
            <w:r>
              <w:rPr>
                <w:spacing w:val="-2"/>
                <w:w w:val="105"/>
                <w:sz w:val="23"/>
              </w:rPr>
              <w:t>efficiency,</w:t>
            </w:r>
            <w:r>
              <w:rPr>
                <w:spacing w:val="-14"/>
                <w:w w:val="105"/>
                <w:sz w:val="23"/>
              </w:rPr>
              <w:t xml:space="preserve"> </w:t>
            </w:r>
            <w:r>
              <w:rPr>
                <w:spacing w:val="-2"/>
                <w:w w:val="105"/>
                <w:sz w:val="23"/>
              </w:rPr>
              <w:t xml:space="preserve">but </w:t>
            </w:r>
            <w:r>
              <w:rPr>
                <w:spacing w:val="-4"/>
                <w:w w:val="105"/>
                <w:sz w:val="23"/>
              </w:rPr>
              <w:t>the</w:t>
            </w:r>
          </w:p>
        </w:tc>
      </w:tr>
    </w:tbl>
    <w:p w:rsidR="00487D64" w:rsidRDefault="00487D64">
      <w:pPr>
        <w:pStyle w:val="TableParagraph"/>
        <w:spacing w:line="252" w:lineRule="auto"/>
        <w:rPr>
          <w:sz w:val="23"/>
        </w:rPr>
        <w:sectPr w:rsidR="00487D64">
          <w:pgSz w:w="11910" w:h="16850"/>
          <w:pgMar w:top="980" w:right="566" w:bottom="280" w:left="850" w:header="725" w:footer="0" w:gutter="0"/>
          <w:cols w:space="720"/>
        </w:sect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spacing w:before="152" w:after="1"/>
        <w:rPr>
          <w:b/>
          <w:sz w:val="20"/>
        </w:rPr>
      </w:pPr>
    </w:p>
    <w:tbl>
      <w:tblPr>
        <w:tblW w:w="0" w:type="auto"/>
        <w:tblInd w:w="1369" w:type="dxa"/>
        <w:tblLayout w:type="fixed"/>
        <w:tblCellMar>
          <w:left w:w="0" w:type="dxa"/>
          <w:right w:w="0" w:type="dxa"/>
        </w:tblCellMar>
        <w:tblLook w:val="01E0" w:firstRow="1" w:lastRow="1" w:firstColumn="1" w:lastColumn="1" w:noHBand="0" w:noVBand="0"/>
      </w:tblPr>
      <w:tblGrid>
        <w:gridCol w:w="1176"/>
        <w:gridCol w:w="1744"/>
        <w:gridCol w:w="1874"/>
        <w:gridCol w:w="1815"/>
        <w:gridCol w:w="1720"/>
      </w:tblGrid>
      <w:tr w:rsidR="00487D64">
        <w:trPr>
          <w:trHeight w:val="585"/>
        </w:trPr>
        <w:tc>
          <w:tcPr>
            <w:tcW w:w="1176" w:type="dxa"/>
            <w:tcBorders>
              <w:top w:val="double" w:sz="4" w:space="0" w:color="000000"/>
              <w:bottom w:val="single" w:sz="4" w:space="0" w:color="000000"/>
            </w:tcBorders>
          </w:tcPr>
          <w:p w:rsidR="00487D64" w:rsidRDefault="006F0D93">
            <w:pPr>
              <w:pStyle w:val="TableParagraph"/>
              <w:spacing w:before="25" w:line="270" w:lineRule="atLeast"/>
              <w:ind w:left="223" w:hanging="116"/>
              <w:rPr>
                <w:b/>
                <w:sz w:val="23"/>
              </w:rPr>
            </w:pPr>
            <w:r>
              <w:rPr>
                <w:b/>
                <w:spacing w:val="-2"/>
                <w:sz w:val="23"/>
              </w:rPr>
              <w:t xml:space="preserve">Author(s) </w:t>
            </w:r>
            <w:r>
              <w:rPr>
                <w:b/>
                <w:w w:val="105"/>
                <w:sz w:val="23"/>
              </w:rPr>
              <w:t>&amp; Year</w:t>
            </w:r>
          </w:p>
        </w:tc>
        <w:tc>
          <w:tcPr>
            <w:tcW w:w="1744" w:type="dxa"/>
            <w:tcBorders>
              <w:top w:val="double" w:sz="4" w:space="0" w:color="000000"/>
              <w:bottom w:val="single" w:sz="4" w:space="0" w:color="000000"/>
            </w:tcBorders>
          </w:tcPr>
          <w:p w:rsidR="00487D64" w:rsidRDefault="006F0D93">
            <w:pPr>
              <w:pStyle w:val="TableParagraph"/>
              <w:spacing w:before="170"/>
              <w:ind w:left="55"/>
              <w:rPr>
                <w:b/>
                <w:sz w:val="23"/>
              </w:rPr>
            </w:pPr>
            <w:r>
              <w:rPr>
                <w:b/>
                <w:spacing w:val="-2"/>
                <w:w w:val="105"/>
                <w:sz w:val="23"/>
              </w:rPr>
              <w:t>Objective/Focus</w:t>
            </w:r>
          </w:p>
        </w:tc>
        <w:tc>
          <w:tcPr>
            <w:tcW w:w="1874" w:type="dxa"/>
            <w:tcBorders>
              <w:top w:val="double" w:sz="4" w:space="0" w:color="000000"/>
              <w:bottom w:val="single" w:sz="4" w:space="0" w:color="000000"/>
            </w:tcBorders>
          </w:tcPr>
          <w:p w:rsidR="00487D64" w:rsidRDefault="006F0D93">
            <w:pPr>
              <w:pStyle w:val="TableParagraph"/>
              <w:spacing w:before="170"/>
              <w:ind w:left="55"/>
              <w:rPr>
                <w:b/>
                <w:sz w:val="23"/>
              </w:rPr>
            </w:pPr>
            <w:r>
              <w:rPr>
                <w:b/>
                <w:spacing w:val="-2"/>
                <w:w w:val="105"/>
                <w:sz w:val="23"/>
              </w:rPr>
              <w:t>Location/Context</w:t>
            </w:r>
          </w:p>
        </w:tc>
        <w:tc>
          <w:tcPr>
            <w:tcW w:w="1815" w:type="dxa"/>
            <w:tcBorders>
              <w:top w:val="double" w:sz="4" w:space="0" w:color="000000"/>
              <w:bottom w:val="single" w:sz="4" w:space="0" w:color="000000"/>
            </w:tcBorders>
          </w:tcPr>
          <w:p w:rsidR="00487D64" w:rsidRDefault="006F0D93">
            <w:pPr>
              <w:pStyle w:val="TableParagraph"/>
              <w:spacing w:before="170"/>
              <w:ind w:left="47"/>
              <w:rPr>
                <w:b/>
                <w:sz w:val="23"/>
              </w:rPr>
            </w:pPr>
            <w:r>
              <w:rPr>
                <w:b/>
                <w:spacing w:val="-2"/>
                <w:w w:val="105"/>
                <w:sz w:val="23"/>
              </w:rPr>
              <w:t>Method/Analysis</w:t>
            </w:r>
          </w:p>
        </w:tc>
        <w:tc>
          <w:tcPr>
            <w:tcW w:w="1720" w:type="dxa"/>
            <w:tcBorders>
              <w:top w:val="double" w:sz="4" w:space="0" w:color="000000"/>
              <w:bottom w:val="single" w:sz="4" w:space="0" w:color="000000"/>
            </w:tcBorders>
          </w:tcPr>
          <w:p w:rsidR="00487D64" w:rsidRDefault="006F0D93">
            <w:pPr>
              <w:pStyle w:val="TableParagraph"/>
              <w:spacing w:before="170"/>
              <w:ind w:left="170"/>
              <w:rPr>
                <w:b/>
                <w:sz w:val="23"/>
              </w:rPr>
            </w:pPr>
            <w:r>
              <w:rPr>
                <w:b/>
                <w:w w:val="105"/>
                <w:sz w:val="23"/>
              </w:rPr>
              <w:t>Key</w:t>
            </w:r>
            <w:r>
              <w:rPr>
                <w:b/>
                <w:spacing w:val="-11"/>
                <w:w w:val="105"/>
                <w:sz w:val="23"/>
              </w:rPr>
              <w:t xml:space="preserve"> </w:t>
            </w:r>
            <w:r>
              <w:rPr>
                <w:b/>
                <w:spacing w:val="-2"/>
                <w:w w:val="105"/>
                <w:sz w:val="23"/>
              </w:rPr>
              <w:t>Findings</w:t>
            </w:r>
          </w:p>
        </w:tc>
      </w:tr>
      <w:tr w:rsidR="00487D64">
        <w:trPr>
          <w:trHeight w:val="2288"/>
        </w:trPr>
        <w:tc>
          <w:tcPr>
            <w:tcW w:w="1176" w:type="dxa"/>
            <w:tcBorders>
              <w:top w:val="single" w:sz="4" w:space="0" w:color="000000"/>
            </w:tcBorders>
          </w:tcPr>
          <w:p w:rsidR="00487D64" w:rsidRDefault="00487D64">
            <w:pPr>
              <w:pStyle w:val="TableParagraph"/>
            </w:pPr>
          </w:p>
        </w:tc>
        <w:tc>
          <w:tcPr>
            <w:tcW w:w="1744" w:type="dxa"/>
            <w:tcBorders>
              <w:top w:val="single" w:sz="4" w:space="0" w:color="000000"/>
            </w:tcBorders>
          </w:tcPr>
          <w:p w:rsidR="00487D64" w:rsidRDefault="00487D64">
            <w:pPr>
              <w:pStyle w:val="TableParagraph"/>
            </w:pPr>
          </w:p>
        </w:tc>
        <w:tc>
          <w:tcPr>
            <w:tcW w:w="1874" w:type="dxa"/>
            <w:tcBorders>
              <w:top w:val="single" w:sz="4" w:space="0" w:color="000000"/>
            </w:tcBorders>
          </w:tcPr>
          <w:p w:rsidR="00487D64" w:rsidRDefault="00487D64">
            <w:pPr>
              <w:pStyle w:val="TableParagraph"/>
            </w:pPr>
          </w:p>
        </w:tc>
        <w:tc>
          <w:tcPr>
            <w:tcW w:w="1815" w:type="dxa"/>
            <w:tcBorders>
              <w:top w:val="single" w:sz="4" w:space="0" w:color="000000"/>
            </w:tcBorders>
          </w:tcPr>
          <w:p w:rsidR="00487D64" w:rsidRDefault="00487D64">
            <w:pPr>
              <w:pStyle w:val="TableParagraph"/>
            </w:pPr>
          </w:p>
        </w:tc>
        <w:tc>
          <w:tcPr>
            <w:tcW w:w="1720" w:type="dxa"/>
            <w:tcBorders>
              <w:top w:val="single" w:sz="4" w:space="0" w:color="000000"/>
            </w:tcBorders>
          </w:tcPr>
          <w:p w:rsidR="00487D64" w:rsidRDefault="006F0D93">
            <w:pPr>
              <w:pStyle w:val="TableParagraph"/>
              <w:spacing w:before="50" w:line="249" w:lineRule="auto"/>
              <w:ind w:left="40" w:right="135"/>
              <w:rPr>
                <w:sz w:val="23"/>
              </w:rPr>
            </w:pPr>
            <w:r>
              <w:rPr>
                <w:spacing w:val="-2"/>
                <w:w w:val="105"/>
                <w:sz w:val="23"/>
              </w:rPr>
              <w:t>sustainability impact</w:t>
            </w:r>
            <w:r>
              <w:rPr>
                <w:spacing w:val="-14"/>
                <w:w w:val="105"/>
                <w:sz w:val="23"/>
              </w:rPr>
              <w:t xml:space="preserve"> </w:t>
            </w:r>
            <w:r>
              <w:rPr>
                <w:spacing w:val="-2"/>
                <w:w w:val="105"/>
                <w:sz w:val="23"/>
              </w:rPr>
              <w:t xml:space="preserve">weakens under conflicting economic, </w:t>
            </w:r>
            <w:r>
              <w:rPr>
                <w:w w:val="105"/>
                <w:sz w:val="23"/>
              </w:rPr>
              <w:t xml:space="preserve">social, and </w:t>
            </w:r>
            <w:r>
              <w:rPr>
                <w:spacing w:val="-2"/>
                <w:w w:val="105"/>
                <w:sz w:val="23"/>
              </w:rPr>
              <w:t>environmental</w:t>
            </w:r>
          </w:p>
          <w:p w:rsidR="00487D64" w:rsidRDefault="006F0D93">
            <w:pPr>
              <w:pStyle w:val="TableParagraph"/>
              <w:spacing w:before="12"/>
              <w:ind w:left="40"/>
              <w:rPr>
                <w:sz w:val="23"/>
              </w:rPr>
            </w:pPr>
            <w:r>
              <w:rPr>
                <w:spacing w:val="-2"/>
                <w:w w:val="105"/>
                <w:sz w:val="23"/>
              </w:rPr>
              <w:t>priorities</w:t>
            </w:r>
          </w:p>
        </w:tc>
      </w:tr>
      <w:tr w:rsidR="00487D64">
        <w:trPr>
          <w:trHeight w:val="2268"/>
        </w:trPr>
        <w:tc>
          <w:tcPr>
            <w:tcW w:w="1176" w:type="dxa"/>
          </w:tcPr>
          <w:p w:rsidR="00487D64" w:rsidRDefault="00487D64">
            <w:pPr>
              <w:pStyle w:val="TableParagraph"/>
              <w:rPr>
                <w:b/>
                <w:sz w:val="23"/>
              </w:rPr>
            </w:pPr>
          </w:p>
          <w:p w:rsidR="00487D64" w:rsidRDefault="00487D64">
            <w:pPr>
              <w:pStyle w:val="TableParagraph"/>
              <w:spacing w:before="193"/>
              <w:rPr>
                <w:b/>
                <w:sz w:val="23"/>
              </w:rPr>
            </w:pPr>
          </w:p>
          <w:p w:rsidR="00487D64" w:rsidRDefault="006F0D93">
            <w:pPr>
              <w:pStyle w:val="TableParagraph"/>
              <w:spacing w:line="252" w:lineRule="auto"/>
              <w:ind w:left="57" w:right="176"/>
              <w:rPr>
                <w:sz w:val="23"/>
              </w:rPr>
            </w:pPr>
            <w:r>
              <w:rPr>
                <w:spacing w:val="-2"/>
                <w:w w:val="105"/>
                <w:sz w:val="23"/>
              </w:rPr>
              <w:t xml:space="preserve">Lopez- </w:t>
            </w:r>
            <w:r>
              <w:rPr>
                <w:w w:val="105"/>
                <w:sz w:val="23"/>
              </w:rPr>
              <w:t>Torres et al.</w:t>
            </w:r>
            <w:r>
              <w:rPr>
                <w:spacing w:val="-16"/>
                <w:w w:val="105"/>
                <w:sz w:val="23"/>
              </w:rPr>
              <w:t xml:space="preserve"> </w:t>
            </w:r>
            <w:r>
              <w:rPr>
                <w:w w:val="105"/>
                <w:sz w:val="23"/>
              </w:rPr>
              <w:t>(2021)</w:t>
            </w:r>
          </w:p>
        </w:tc>
        <w:tc>
          <w:tcPr>
            <w:tcW w:w="1744" w:type="dxa"/>
          </w:tcPr>
          <w:p w:rsidR="00487D64" w:rsidRDefault="00487D64">
            <w:pPr>
              <w:pStyle w:val="TableParagraph"/>
              <w:rPr>
                <w:b/>
                <w:sz w:val="23"/>
              </w:rPr>
            </w:pPr>
          </w:p>
          <w:p w:rsidR="00487D64" w:rsidRDefault="00487D64">
            <w:pPr>
              <w:pStyle w:val="TableParagraph"/>
              <w:spacing w:before="56"/>
              <w:rPr>
                <w:b/>
                <w:sz w:val="23"/>
              </w:rPr>
            </w:pPr>
          </w:p>
          <w:p w:rsidR="00487D64" w:rsidRDefault="006F0D93">
            <w:pPr>
              <w:pStyle w:val="TableParagraph"/>
              <w:spacing w:line="249" w:lineRule="auto"/>
              <w:ind w:left="41" w:right="63"/>
              <w:rPr>
                <w:sz w:val="23"/>
              </w:rPr>
            </w:pPr>
            <w:r>
              <w:rPr>
                <w:w w:val="105"/>
                <w:sz w:val="23"/>
              </w:rPr>
              <w:t>Explored</w:t>
            </w:r>
            <w:r>
              <w:rPr>
                <w:spacing w:val="-16"/>
                <w:w w:val="105"/>
                <w:sz w:val="23"/>
              </w:rPr>
              <w:t xml:space="preserve"> </w:t>
            </w:r>
            <w:r>
              <w:rPr>
                <w:w w:val="105"/>
                <w:sz w:val="23"/>
              </w:rPr>
              <w:t>FC</w:t>
            </w:r>
            <w:r>
              <w:rPr>
                <w:spacing w:val="-15"/>
                <w:w w:val="105"/>
                <w:sz w:val="23"/>
              </w:rPr>
              <w:t xml:space="preserve"> </w:t>
            </w:r>
            <w:r>
              <w:rPr>
                <w:w w:val="105"/>
                <w:sz w:val="23"/>
              </w:rPr>
              <w:t xml:space="preserve">and </w:t>
            </w:r>
            <w:r>
              <w:rPr>
                <w:spacing w:val="-2"/>
                <w:w w:val="105"/>
                <w:sz w:val="23"/>
              </w:rPr>
              <w:t xml:space="preserve">sustainability </w:t>
            </w:r>
            <w:r>
              <w:rPr>
                <w:w w:val="105"/>
                <w:sz w:val="23"/>
              </w:rPr>
              <w:t xml:space="preserve">under cost </w:t>
            </w:r>
            <w:r>
              <w:rPr>
                <w:spacing w:val="-2"/>
                <w:w w:val="105"/>
                <w:sz w:val="23"/>
              </w:rPr>
              <w:t>pressures</w:t>
            </w:r>
          </w:p>
        </w:tc>
        <w:tc>
          <w:tcPr>
            <w:tcW w:w="1874" w:type="dxa"/>
          </w:tcPr>
          <w:p w:rsidR="00487D64" w:rsidRDefault="00487D64">
            <w:pPr>
              <w:pStyle w:val="TableParagraph"/>
              <w:rPr>
                <w:b/>
                <w:sz w:val="23"/>
              </w:rPr>
            </w:pPr>
          </w:p>
          <w:p w:rsidR="00487D64" w:rsidRDefault="00487D64">
            <w:pPr>
              <w:pStyle w:val="TableParagraph"/>
              <w:spacing w:before="193"/>
              <w:rPr>
                <w:b/>
                <w:sz w:val="23"/>
              </w:rPr>
            </w:pPr>
          </w:p>
          <w:p w:rsidR="00487D64" w:rsidRDefault="006F0D93">
            <w:pPr>
              <w:pStyle w:val="TableParagraph"/>
              <w:ind w:left="41"/>
              <w:rPr>
                <w:sz w:val="23"/>
              </w:rPr>
            </w:pPr>
            <w:r>
              <w:rPr>
                <w:w w:val="105"/>
                <w:sz w:val="23"/>
              </w:rPr>
              <w:t>250</w:t>
            </w:r>
            <w:r>
              <w:rPr>
                <w:spacing w:val="-1"/>
                <w:w w:val="105"/>
                <w:sz w:val="23"/>
              </w:rPr>
              <w:t xml:space="preserve"> </w:t>
            </w:r>
            <w:r>
              <w:rPr>
                <w:spacing w:val="-2"/>
                <w:w w:val="105"/>
                <w:sz w:val="23"/>
              </w:rPr>
              <w:t>European</w:t>
            </w:r>
          </w:p>
          <w:p w:rsidR="00487D64" w:rsidRDefault="006F0D93">
            <w:pPr>
              <w:pStyle w:val="TableParagraph"/>
              <w:spacing w:before="17"/>
              <w:ind w:left="41"/>
              <w:rPr>
                <w:sz w:val="23"/>
              </w:rPr>
            </w:pPr>
            <w:r>
              <w:rPr>
                <w:w w:val="105"/>
                <w:sz w:val="23"/>
              </w:rPr>
              <w:t>SMEs</w:t>
            </w:r>
            <w:r>
              <w:rPr>
                <w:spacing w:val="-11"/>
                <w:w w:val="105"/>
                <w:sz w:val="23"/>
              </w:rPr>
              <w:t xml:space="preserve"> </w:t>
            </w:r>
            <w:r>
              <w:rPr>
                <w:w w:val="105"/>
                <w:sz w:val="23"/>
              </w:rPr>
              <w:t>+</w:t>
            </w:r>
            <w:r>
              <w:rPr>
                <w:spacing w:val="-8"/>
                <w:w w:val="105"/>
                <w:sz w:val="23"/>
              </w:rPr>
              <w:t xml:space="preserve"> </w:t>
            </w:r>
            <w:r>
              <w:rPr>
                <w:spacing w:val="-5"/>
                <w:w w:val="105"/>
                <w:sz w:val="23"/>
              </w:rPr>
              <w:t>15</w:t>
            </w:r>
          </w:p>
          <w:p w:rsidR="00487D64" w:rsidRDefault="006F0D93">
            <w:pPr>
              <w:pStyle w:val="TableParagraph"/>
              <w:spacing w:before="9"/>
              <w:ind w:left="41"/>
              <w:rPr>
                <w:sz w:val="23"/>
              </w:rPr>
            </w:pPr>
            <w:r>
              <w:rPr>
                <w:spacing w:val="-2"/>
                <w:w w:val="105"/>
                <w:sz w:val="23"/>
              </w:rPr>
              <w:t>managers</w:t>
            </w:r>
          </w:p>
        </w:tc>
        <w:tc>
          <w:tcPr>
            <w:tcW w:w="1815" w:type="dxa"/>
          </w:tcPr>
          <w:p w:rsidR="00487D64" w:rsidRDefault="00487D64">
            <w:pPr>
              <w:pStyle w:val="TableParagraph"/>
              <w:rPr>
                <w:b/>
                <w:sz w:val="23"/>
              </w:rPr>
            </w:pPr>
          </w:p>
          <w:p w:rsidR="00487D64" w:rsidRDefault="00487D64">
            <w:pPr>
              <w:pStyle w:val="TableParagraph"/>
              <w:spacing w:before="193"/>
              <w:rPr>
                <w:b/>
                <w:sz w:val="23"/>
              </w:rPr>
            </w:pPr>
          </w:p>
          <w:p w:rsidR="00487D64" w:rsidRDefault="006F0D93">
            <w:pPr>
              <w:pStyle w:val="TableParagraph"/>
              <w:spacing w:line="254" w:lineRule="auto"/>
              <w:ind w:left="40" w:right="276"/>
              <w:rPr>
                <w:sz w:val="23"/>
              </w:rPr>
            </w:pPr>
            <w:r>
              <w:rPr>
                <w:spacing w:val="-2"/>
                <w:w w:val="105"/>
                <w:sz w:val="23"/>
              </w:rPr>
              <w:t>Mixed</w:t>
            </w:r>
            <w:r>
              <w:rPr>
                <w:spacing w:val="-14"/>
                <w:w w:val="105"/>
                <w:sz w:val="23"/>
              </w:rPr>
              <w:t xml:space="preserve"> </w:t>
            </w:r>
            <w:r>
              <w:rPr>
                <w:spacing w:val="-2"/>
                <w:w w:val="105"/>
                <w:sz w:val="23"/>
              </w:rPr>
              <w:t xml:space="preserve">methods </w:t>
            </w:r>
            <w:r>
              <w:rPr>
                <w:w w:val="105"/>
                <w:sz w:val="23"/>
              </w:rPr>
              <w:t>(PLS-SEM +</w:t>
            </w:r>
          </w:p>
          <w:p w:rsidR="00487D64" w:rsidRDefault="006F0D93">
            <w:pPr>
              <w:pStyle w:val="TableParagraph"/>
              <w:spacing w:line="259" w:lineRule="exact"/>
              <w:ind w:left="40"/>
              <w:rPr>
                <w:sz w:val="23"/>
              </w:rPr>
            </w:pPr>
            <w:r>
              <w:rPr>
                <w:spacing w:val="-2"/>
                <w:w w:val="105"/>
                <w:sz w:val="23"/>
              </w:rPr>
              <w:t>interviews)</w:t>
            </w:r>
          </w:p>
        </w:tc>
        <w:tc>
          <w:tcPr>
            <w:tcW w:w="1720" w:type="dxa"/>
          </w:tcPr>
          <w:p w:rsidR="00487D64" w:rsidRDefault="006F0D93">
            <w:pPr>
              <w:pStyle w:val="TableParagraph"/>
              <w:spacing w:before="31" w:line="249" w:lineRule="auto"/>
              <w:ind w:left="40" w:right="182"/>
              <w:rPr>
                <w:sz w:val="23"/>
              </w:rPr>
            </w:pPr>
            <w:r>
              <w:rPr>
                <w:w w:val="105"/>
                <w:sz w:val="23"/>
              </w:rPr>
              <w:t xml:space="preserve">FC supports </w:t>
            </w:r>
            <w:r>
              <w:rPr>
                <w:spacing w:val="-2"/>
                <w:w w:val="105"/>
                <w:sz w:val="23"/>
              </w:rPr>
              <w:t xml:space="preserve">operational </w:t>
            </w:r>
            <w:r>
              <w:rPr>
                <w:w w:val="105"/>
                <w:sz w:val="23"/>
              </w:rPr>
              <w:t xml:space="preserve">alignment, but </w:t>
            </w:r>
            <w:r>
              <w:rPr>
                <w:spacing w:val="-2"/>
                <w:w w:val="105"/>
                <w:sz w:val="23"/>
              </w:rPr>
              <w:t xml:space="preserve">strategic </w:t>
            </w:r>
            <w:r>
              <w:rPr>
                <w:sz w:val="23"/>
              </w:rPr>
              <w:t xml:space="preserve">sustainability is </w:t>
            </w:r>
            <w:r>
              <w:rPr>
                <w:w w:val="105"/>
                <w:sz w:val="23"/>
              </w:rPr>
              <w:t>undermined by short-term cost</w:t>
            </w:r>
          </w:p>
          <w:p w:rsidR="00487D64" w:rsidRDefault="006F0D93">
            <w:pPr>
              <w:pStyle w:val="TableParagraph"/>
              <w:spacing w:before="12"/>
              <w:ind w:left="40"/>
              <w:rPr>
                <w:sz w:val="23"/>
              </w:rPr>
            </w:pPr>
            <w:r>
              <w:rPr>
                <w:spacing w:val="-2"/>
                <w:w w:val="105"/>
                <w:sz w:val="23"/>
              </w:rPr>
              <w:t>pressures</w:t>
            </w:r>
          </w:p>
        </w:tc>
      </w:tr>
      <w:tr w:rsidR="00487D64">
        <w:trPr>
          <w:trHeight w:val="1991"/>
        </w:trPr>
        <w:tc>
          <w:tcPr>
            <w:tcW w:w="1176" w:type="dxa"/>
          </w:tcPr>
          <w:p w:rsidR="00487D64" w:rsidRDefault="00487D64">
            <w:pPr>
              <w:pStyle w:val="TableParagraph"/>
              <w:rPr>
                <w:b/>
                <w:sz w:val="23"/>
              </w:rPr>
            </w:pPr>
          </w:p>
          <w:p w:rsidR="00487D64" w:rsidRDefault="00487D64">
            <w:pPr>
              <w:pStyle w:val="TableParagraph"/>
              <w:spacing w:before="193"/>
              <w:rPr>
                <w:b/>
                <w:sz w:val="23"/>
              </w:rPr>
            </w:pPr>
          </w:p>
          <w:p w:rsidR="00487D64" w:rsidRDefault="006F0D93">
            <w:pPr>
              <w:pStyle w:val="TableParagraph"/>
              <w:spacing w:line="254" w:lineRule="auto"/>
              <w:ind w:left="57"/>
              <w:rPr>
                <w:sz w:val="23"/>
              </w:rPr>
            </w:pPr>
            <w:r>
              <w:rPr>
                <w:spacing w:val="-2"/>
                <w:sz w:val="23"/>
              </w:rPr>
              <w:t xml:space="preserve">Maurer </w:t>
            </w:r>
            <w:r>
              <w:rPr>
                <w:spacing w:val="-2"/>
                <w:w w:val="105"/>
                <w:sz w:val="23"/>
              </w:rPr>
              <w:t>(2022)</w:t>
            </w:r>
          </w:p>
        </w:tc>
        <w:tc>
          <w:tcPr>
            <w:tcW w:w="1744" w:type="dxa"/>
          </w:tcPr>
          <w:p w:rsidR="00487D64" w:rsidRDefault="00487D64">
            <w:pPr>
              <w:pStyle w:val="TableParagraph"/>
              <w:spacing w:before="184"/>
              <w:rPr>
                <w:b/>
                <w:sz w:val="23"/>
              </w:rPr>
            </w:pPr>
          </w:p>
          <w:p w:rsidR="00487D64" w:rsidRDefault="006F0D93">
            <w:pPr>
              <w:pStyle w:val="TableParagraph"/>
              <w:spacing w:line="249" w:lineRule="auto"/>
              <w:ind w:left="41"/>
              <w:rPr>
                <w:sz w:val="23"/>
              </w:rPr>
            </w:pPr>
            <w:r>
              <w:rPr>
                <w:spacing w:val="-2"/>
                <w:w w:val="105"/>
                <w:sz w:val="23"/>
              </w:rPr>
              <w:t>Studied coordination mechanisms</w:t>
            </w:r>
            <w:r>
              <w:rPr>
                <w:spacing w:val="-14"/>
                <w:w w:val="105"/>
                <w:sz w:val="23"/>
              </w:rPr>
              <w:t xml:space="preserve"> </w:t>
            </w:r>
            <w:r>
              <w:rPr>
                <w:spacing w:val="-2"/>
                <w:w w:val="105"/>
                <w:sz w:val="23"/>
              </w:rPr>
              <w:t>and competitiveness</w:t>
            </w:r>
          </w:p>
        </w:tc>
        <w:tc>
          <w:tcPr>
            <w:tcW w:w="1874"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66"/>
              <w:rPr>
                <w:b/>
                <w:sz w:val="23"/>
              </w:rPr>
            </w:pPr>
          </w:p>
          <w:p w:rsidR="00487D64" w:rsidRDefault="006F0D93">
            <w:pPr>
              <w:pStyle w:val="TableParagraph"/>
              <w:ind w:left="41"/>
              <w:rPr>
                <w:sz w:val="23"/>
              </w:rPr>
            </w:pPr>
            <w:r>
              <w:rPr>
                <w:sz w:val="23"/>
              </w:rPr>
              <w:t>European</w:t>
            </w:r>
            <w:r>
              <w:rPr>
                <w:spacing w:val="33"/>
                <w:sz w:val="23"/>
              </w:rPr>
              <w:t xml:space="preserve"> </w:t>
            </w:r>
            <w:r>
              <w:rPr>
                <w:spacing w:val="-4"/>
                <w:sz w:val="23"/>
              </w:rPr>
              <w:t>SMEs</w:t>
            </w:r>
          </w:p>
        </w:tc>
        <w:tc>
          <w:tcPr>
            <w:tcW w:w="1815" w:type="dxa"/>
          </w:tcPr>
          <w:p w:rsidR="00487D64" w:rsidRDefault="00487D64">
            <w:pPr>
              <w:pStyle w:val="TableParagraph"/>
              <w:rPr>
                <w:b/>
                <w:sz w:val="23"/>
              </w:rPr>
            </w:pPr>
          </w:p>
          <w:p w:rsidR="00487D64" w:rsidRDefault="00487D64">
            <w:pPr>
              <w:pStyle w:val="TableParagraph"/>
              <w:spacing w:before="56"/>
              <w:rPr>
                <w:b/>
                <w:sz w:val="23"/>
              </w:rPr>
            </w:pPr>
          </w:p>
          <w:p w:rsidR="00487D64" w:rsidRDefault="006F0D93">
            <w:pPr>
              <w:pStyle w:val="TableParagraph"/>
              <w:spacing w:line="252" w:lineRule="auto"/>
              <w:ind w:left="40"/>
              <w:rPr>
                <w:sz w:val="23"/>
              </w:rPr>
            </w:pPr>
            <w:r>
              <w:rPr>
                <w:spacing w:val="-2"/>
                <w:w w:val="105"/>
                <w:sz w:val="23"/>
              </w:rPr>
              <w:t xml:space="preserve">Qualitative </w:t>
            </w:r>
            <w:r>
              <w:rPr>
                <w:w w:val="105"/>
                <w:sz w:val="23"/>
              </w:rPr>
              <w:t xml:space="preserve">interviews + </w:t>
            </w:r>
            <w:r>
              <w:rPr>
                <w:spacing w:val="-2"/>
                <w:w w:val="105"/>
                <w:sz w:val="23"/>
              </w:rPr>
              <w:t>Grounded</w:t>
            </w:r>
            <w:r>
              <w:rPr>
                <w:spacing w:val="-14"/>
                <w:w w:val="105"/>
                <w:sz w:val="23"/>
              </w:rPr>
              <w:t xml:space="preserve"> </w:t>
            </w:r>
            <w:r>
              <w:rPr>
                <w:spacing w:val="-2"/>
                <w:w w:val="105"/>
                <w:sz w:val="23"/>
              </w:rPr>
              <w:t>theory</w:t>
            </w:r>
          </w:p>
        </w:tc>
        <w:tc>
          <w:tcPr>
            <w:tcW w:w="1720" w:type="dxa"/>
          </w:tcPr>
          <w:p w:rsidR="00487D64" w:rsidRDefault="006F0D93">
            <w:pPr>
              <w:pStyle w:val="TableParagraph"/>
              <w:spacing w:before="31" w:line="249" w:lineRule="auto"/>
              <w:ind w:left="40" w:right="135"/>
              <w:rPr>
                <w:sz w:val="23"/>
              </w:rPr>
            </w:pPr>
            <w:r>
              <w:rPr>
                <w:spacing w:val="-2"/>
                <w:w w:val="105"/>
                <w:sz w:val="23"/>
              </w:rPr>
              <w:t>Compliance- driven coordination mechanisms provide</w:t>
            </w:r>
            <w:r>
              <w:rPr>
                <w:spacing w:val="-14"/>
                <w:w w:val="105"/>
                <w:sz w:val="23"/>
              </w:rPr>
              <w:t xml:space="preserve"> </w:t>
            </w:r>
            <w:r>
              <w:rPr>
                <w:spacing w:val="-2"/>
                <w:w w:val="105"/>
                <w:sz w:val="23"/>
              </w:rPr>
              <w:t>limited competitive gains</w:t>
            </w:r>
          </w:p>
        </w:tc>
      </w:tr>
      <w:tr w:rsidR="00487D64">
        <w:trPr>
          <w:trHeight w:val="2546"/>
        </w:trPr>
        <w:tc>
          <w:tcPr>
            <w:tcW w:w="1176"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06"/>
              <w:rPr>
                <w:b/>
                <w:sz w:val="23"/>
              </w:rPr>
            </w:pPr>
          </w:p>
          <w:p w:rsidR="00487D64" w:rsidRDefault="006F0D93">
            <w:pPr>
              <w:pStyle w:val="TableParagraph"/>
              <w:spacing w:line="247" w:lineRule="auto"/>
              <w:ind w:left="57"/>
              <w:rPr>
                <w:sz w:val="23"/>
              </w:rPr>
            </w:pPr>
            <w:r>
              <w:rPr>
                <w:spacing w:val="-2"/>
                <w:sz w:val="23"/>
              </w:rPr>
              <w:t xml:space="preserve">Mavengere </w:t>
            </w:r>
            <w:r>
              <w:rPr>
                <w:spacing w:val="-2"/>
                <w:w w:val="105"/>
                <w:sz w:val="23"/>
              </w:rPr>
              <w:t>(2013)</w:t>
            </w:r>
          </w:p>
        </w:tc>
        <w:tc>
          <w:tcPr>
            <w:tcW w:w="1744" w:type="dxa"/>
          </w:tcPr>
          <w:p w:rsidR="00487D64" w:rsidRDefault="00487D64">
            <w:pPr>
              <w:pStyle w:val="TableParagraph"/>
              <w:rPr>
                <w:b/>
                <w:sz w:val="23"/>
              </w:rPr>
            </w:pPr>
          </w:p>
          <w:p w:rsidR="00487D64" w:rsidRDefault="00487D64">
            <w:pPr>
              <w:pStyle w:val="TableParagraph"/>
              <w:spacing w:before="197"/>
              <w:rPr>
                <w:b/>
                <w:sz w:val="23"/>
              </w:rPr>
            </w:pPr>
          </w:p>
          <w:p w:rsidR="00487D64" w:rsidRDefault="006F0D93">
            <w:pPr>
              <w:pStyle w:val="TableParagraph"/>
              <w:spacing w:line="249" w:lineRule="auto"/>
              <w:ind w:left="41"/>
              <w:rPr>
                <w:sz w:val="23"/>
              </w:rPr>
            </w:pPr>
            <w:r>
              <w:rPr>
                <w:w w:val="105"/>
                <w:sz w:val="23"/>
              </w:rPr>
              <w:t xml:space="preserve">Assessed IT- </w:t>
            </w:r>
            <w:r>
              <w:rPr>
                <w:spacing w:val="-2"/>
                <w:w w:val="105"/>
                <w:sz w:val="23"/>
              </w:rPr>
              <w:t xml:space="preserve">enabled </w:t>
            </w:r>
            <w:r>
              <w:rPr>
                <w:w w:val="105"/>
                <w:sz w:val="23"/>
              </w:rPr>
              <w:t xml:space="preserve">integration and </w:t>
            </w:r>
            <w:r>
              <w:rPr>
                <w:spacing w:val="-2"/>
                <w:sz w:val="23"/>
              </w:rPr>
              <w:t>competitiveness</w:t>
            </w:r>
          </w:p>
        </w:tc>
        <w:tc>
          <w:tcPr>
            <w:tcW w:w="1874"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206"/>
              <w:rPr>
                <w:b/>
                <w:sz w:val="23"/>
              </w:rPr>
            </w:pPr>
          </w:p>
          <w:p w:rsidR="00487D64" w:rsidRDefault="006F0D93">
            <w:pPr>
              <w:pStyle w:val="TableParagraph"/>
              <w:spacing w:line="247" w:lineRule="auto"/>
              <w:ind w:left="41"/>
              <w:rPr>
                <w:sz w:val="23"/>
              </w:rPr>
            </w:pPr>
            <w:r>
              <w:rPr>
                <w:spacing w:val="-2"/>
                <w:w w:val="105"/>
                <w:sz w:val="23"/>
              </w:rPr>
              <w:t>Southern</w:t>
            </w:r>
            <w:r>
              <w:rPr>
                <w:spacing w:val="-14"/>
                <w:w w:val="105"/>
                <w:sz w:val="23"/>
              </w:rPr>
              <w:t xml:space="preserve"> </w:t>
            </w:r>
            <w:r>
              <w:rPr>
                <w:spacing w:val="-2"/>
                <w:w w:val="105"/>
                <w:sz w:val="23"/>
              </w:rPr>
              <w:t xml:space="preserve">African </w:t>
            </w:r>
            <w:r>
              <w:rPr>
                <w:spacing w:val="-4"/>
                <w:w w:val="105"/>
                <w:sz w:val="23"/>
              </w:rPr>
              <w:t>SMEs</w:t>
            </w:r>
          </w:p>
        </w:tc>
        <w:tc>
          <w:tcPr>
            <w:tcW w:w="1815"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79"/>
              <w:rPr>
                <w:b/>
                <w:sz w:val="23"/>
              </w:rPr>
            </w:pPr>
          </w:p>
          <w:p w:rsidR="00487D64" w:rsidRDefault="006F0D93">
            <w:pPr>
              <w:pStyle w:val="TableParagraph"/>
              <w:ind w:left="40"/>
              <w:rPr>
                <w:sz w:val="23"/>
              </w:rPr>
            </w:pPr>
            <w:r>
              <w:rPr>
                <w:w w:val="105"/>
                <w:sz w:val="23"/>
              </w:rPr>
              <w:t>Case</w:t>
            </w:r>
            <w:r>
              <w:rPr>
                <w:spacing w:val="-8"/>
                <w:w w:val="105"/>
                <w:sz w:val="23"/>
              </w:rPr>
              <w:t xml:space="preserve"> </w:t>
            </w:r>
            <w:r>
              <w:rPr>
                <w:spacing w:val="-2"/>
                <w:w w:val="105"/>
                <w:sz w:val="23"/>
              </w:rPr>
              <w:t>study</w:t>
            </w:r>
          </w:p>
        </w:tc>
        <w:tc>
          <w:tcPr>
            <w:tcW w:w="1720" w:type="dxa"/>
          </w:tcPr>
          <w:p w:rsidR="00487D64" w:rsidRDefault="006F0D93">
            <w:pPr>
              <w:pStyle w:val="TableParagraph"/>
              <w:spacing w:before="35" w:line="249" w:lineRule="auto"/>
              <w:ind w:left="40" w:right="135"/>
              <w:rPr>
                <w:sz w:val="23"/>
              </w:rPr>
            </w:pPr>
            <w:r>
              <w:rPr>
                <w:w w:val="105"/>
                <w:sz w:val="23"/>
              </w:rPr>
              <w:t xml:space="preserve">IT-enabled FC </w:t>
            </w:r>
            <w:r>
              <w:rPr>
                <w:spacing w:val="-2"/>
                <w:w w:val="105"/>
                <w:sz w:val="23"/>
              </w:rPr>
              <w:t xml:space="preserve">improves </w:t>
            </w:r>
            <w:r>
              <w:rPr>
                <w:w w:val="105"/>
                <w:sz w:val="23"/>
              </w:rPr>
              <w:t xml:space="preserve">efficiency but does not </w:t>
            </w:r>
            <w:r>
              <w:rPr>
                <w:spacing w:val="-2"/>
                <w:w w:val="105"/>
                <w:sz w:val="23"/>
              </w:rPr>
              <w:t xml:space="preserve">enhance </w:t>
            </w:r>
            <w:r>
              <w:rPr>
                <w:spacing w:val="-2"/>
                <w:sz w:val="23"/>
              </w:rPr>
              <w:t xml:space="preserve">competitiveness </w:t>
            </w:r>
            <w:r>
              <w:rPr>
                <w:spacing w:val="-2"/>
                <w:w w:val="105"/>
                <w:sz w:val="23"/>
              </w:rPr>
              <w:t xml:space="preserve">without </w:t>
            </w:r>
            <w:r>
              <w:rPr>
                <w:w w:val="105"/>
                <w:sz w:val="23"/>
              </w:rPr>
              <w:t>innovation and</w:t>
            </w:r>
          </w:p>
          <w:p w:rsidR="00487D64" w:rsidRDefault="006F0D93">
            <w:pPr>
              <w:pStyle w:val="TableParagraph"/>
              <w:spacing w:before="10"/>
              <w:ind w:left="40"/>
              <w:rPr>
                <w:sz w:val="23"/>
              </w:rPr>
            </w:pPr>
            <w:r>
              <w:rPr>
                <w:spacing w:val="-2"/>
                <w:w w:val="105"/>
                <w:sz w:val="23"/>
              </w:rPr>
              <w:t>foresight</w:t>
            </w:r>
          </w:p>
        </w:tc>
      </w:tr>
      <w:tr w:rsidR="00487D64">
        <w:trPr>
          <w:trHeight w:val="1991"/>
        </w:trPr>
        <w:tc>
          <w:tcPr>
            <w:tcW w:w="1176" w:type="dxa"/>
          </w:tcPr>
          <w:p w:rsidR="00487D64" w:rsidRDefault="00487D64">
            <w:pPr>
              <w:pStyle w:val="TableParagraph"/>
              <w:rPr>
                <w:b/>
                <w:sz w:val="23"/>
              </w:rPr>
            </w:pPr>
          </w:p>
          <w:p w:rsidR="00487D64" w:rsidRDefault="00487D64">
            <w:pPr>
              <w:pStyle w:val="TableParagraph"/>
              <w:spacing w:before="56"/>
              <w:rPr>
                <w:b/>
                <w:sz w:val="23"/>
              </w:rPr>
            </w:pPr>
          </w:p>
          <w:p w:rsidR="00487D64" w:rsidRDefault="006F0D93">
            <w:pPr>
              <w:pStyle w:val="TableParagraph"/>
              <w:spacing w:line="252" w:lineRule="auto"/>
              <w:ind w:left="57" w:right="340"/>
              <w:rPr>
                <w:sz w:val="23"/>
              </w:rPr>
            </w:pPr>
            <w:r>
              <w:rPr>
                <w:spacing w:val="-2"/>
                <w:w w:val="105"/>
                <w:sz w:val="23"/>
              </w:rPr>
              <w:t>Crick</w:t>
            </w:r>
            <w:r>
              <w:rPr>
                <w:spacing w:val="-14"/>
                <w:w w:val="105"/>
                <w:sz w:val="23"/>
              </w:rPr>
              <w:t xml:space="preserve"> </w:t>
            </w:r>
            <w:r>
              <w:rPr>
                <w:spacing w:val="-2"/>
                <w:w w:val="105"/>
                <w:sz w:val="23"/>
              </w:rPr>
              <w:t>&amp; Crick (2020)</w:t>
            </w:r>
          </w:p>
        </w:tc>
        <w:tc>
          <w:tcPr>
            <w:tcW w:w="1744" w:type="dxa"/>
          </w:tcPr>
          <w:p w:rsidR="00487D64" w:rsidRDefault="00487D64">
            <w:pPr>
              <w:pStyle w:val="TableParagraph"/>
              <w:spacing w:before="47"/>
              <w:rPr>
                <w:b/>
                <w:sz w:val="23"/>
              </w:rPr>
            </w:pPr>
          </w:p>
          <w:p w:rsidR="00487D64" w:rsidRDefault="006F0D93">
            <w:pPr>
              <w:pStyle w:val="TableParagraph"/>
              <w:spacing w:line="249" w:lineRule="auto"/>
              <w:ind w:left="41"/>
              <w:rPr>
                <w:sz w:val="23"/>
              </w:rPr>
            </w:pPr>
            <w:r>
              <w:rPr>
                <w:spacing w:val="-2"/>
                <w:w w:val="105"/>
                <w:sz w:val="23"/>
              </w:rPr>
              <w:t>Compared</w:t>
            </w:r>
            <w:r>
              <w:rPr>
                <w:spacing w:val="-14"/>
                <w:w w:val="105"/>
                <w:sz w:val="23"/>
              </w:rPr>
              <w:t xml:space="preserve"> </w:t>
            </w:r>
            <w:r>
              <w:rPr>
                <w:spacing w:val="-2"/>
                <w:w w:val="105"/>
                <w:sz w:val="23"/>
              </w:rPr>
              <w:t xml:space="preserve">inter- functional </w:t>
            </w:r>
            <w:r>
              <w:rPr>
                <w:w w:val="105"/>
                <w:sz w:val="23"/>
              </w:rPr>
              <w:t xml:space="preserve">alignment and </w:t>
            </w:r>
            <w:r>
              <w:rPr>
                <w:spacing w:val="-2"/>
                <w:w w:val="105"/>
                <w:sz w:val="23"/>
              </w:rPr>
              <w:t>market responsiveness</w:t>
            </w:r>
          </w:p>
        </w:tc>
        <w:tc>
          <w:tcPr>
            <w:tcW w:w="1874" w:type="dxa"/>
          </w:tcPr>
          <w:p w:rsidR="00487D64" w:rsidRDefault="00487D64">
            <w:pPr>
              <w:pStyle w:val="TableParagraph"/>
              <w:rPr>
                <w:b/>
                <w:sz w:val="23"/>
              </w:rPr>
            </w:pPr>
          </w:p>
          <w:p w:rsidR="00487D64" w:rsidRDefault="00487D64">
            <w:pPr>
              <w:pStyle w:val="TableParagraph"/>
              <w:rPr>
                <w:b/>
                <w:sz w:val="23"/>
              </w:rPr>
            </w:pPr>
          </w:p>
          <w:p w:rsidR="00487D64" w:rsidRDefault="00487D64">
            <w:pPr>
              <w:pStyle w:val="TableParagraph"/>
              <w:spacing w:before="66"/>
              <w:rPr>
                <w:b/>
                <w:sz w:val="23"/>
              </w:rPr>
            </w:pPr>
          </w:p>
          <w:p w:rsidR="00487D64" w:rsidRDefault="006F0D93">
            <w:pPr>
              <w:pStyle w:val="TableParagraph"/>
              <w:ind w:left="41"/>
              <w:rPr>
                <w:sz w:val="23"/>
              </w:rPr>
            </w:pPr>
            <w:r>
              <w:rPr>
                <w:w w:val="105"/>
                <w:sz w:val="23"/>
              </w:rPr>
              <w:t>UK</w:t>
            </w:r>
            <w:r>
              <w:rPr>
                <w:spacing w:val="-9"/>
                <w:w w:val="105"/>
                <w:sz w:val="23"/>
              </w:rPr>
              <w:t xml:space="preserve"> </w:t>
            </w:r>
            <w:r>
              <w:rPr>
                <w:spacing w:val="-4"/>
                <w:w w:val="105"/>
                <w:sz w:val="23"/>
              </w:rPr>
              <w:t>SMEs</w:t>
            </w:r>
          </w:p>
        </w:tc>
        <w:tc>
          <w:tcPr>
            <w:tcW w:w="1815" w:type="dxa"/>
          </w:tcPr>
          <w:p w:rsidR="00487D64" w:rsidRDefault="00487D64">
            <w:pPr>
              <w:pStyle w:val="TableParagraph"/>
              <w:rPr>
                <w:b/>
                <w:sz w:val="23"/>
              </w:rPr>
            </w:pPr>
          </w:p>
          <w:p w:rsidR="00487D64" w:rsidRDefault="00487D64">
            <w:pPr>
              <w:pStyle w:val="TableParagraph"/>
              <w:spacing w:before="56"/>
              <w:rPr>
                <w:b/>
                <w:sz w:val="23"/>
              </w:rPr>
            </w:pPr>
          </w:p>
          <w:p w:rsidR="00487D64" w:rsidRDefault="006F0D93">
            <w:pPr>
              <w:pStyle w:val="TableParagraph"/>
              <w:spacing w:line="252" w:lineRule="auto"/>
              <w:ind w:left="40"/>
              <w:rPr>
                <w:sz w:val="23"/>
              </w:rPr>
            </w:pPr>
            <w:r>
              <w:rPr>
                <w:spacing w:val="-2"/>
                <w:w w:val="105"/>
                <w:sz w:val="23"/>
              </w:rPr>
              <w:t>Longitudinal comparative</w:t>
            </w:r>
            <w:r>
              <w:rPr>
                <w:spacing w:val="-14"/>
                <w:w w:val="105"/>
                <w:sz w:val="23"/>
              </w:rPr>
              <w:t xml:space="preserve"> </w:t>
            </w:r>
            <w:r>
              <w:rPr>
                <w:spacing w:val="-2"/>
                <w:w w:val="105"/>
                <w:sz w:val="23"/>
              </w:rPr>
              <w:t>case study</w:t>
            </w:r>
          </w:p>
        </w:tc>
        <w:tc>
          <w:tcPr>
            <w:tcW w:w="1720" w:type="dxa"/>
          </w:tcPr>
          <w:p w:rsidR="00487D64" w:rsidRDefault="006F0D93">
            <w:pPr>
              <w:pStyle w:val="TableParagraph"/>
              <w:spacing w:before="31" w:line="249" w:lineRule="auto"/>
              <w:ind w:left="40" w:right="184"/>
              <w:rPr>
                <w:sz w:val="23"/>
              </w:rPr>
            </w:pPr>
            <w:r>
              <w:rPr>
                <w:w w:val="105"/>
                <w:sz w:val="23"/>
              </w:rPr>
              <w:t xml:space="preserve">FC yields </w:t>
            </w:r>
            <w:r>
              <w:rPr>
                <w:spacing w:val="-2"/>
                <w:w w:val="105"/>
                <w:sz w:val="23"/>
              </w:rPr>
              <w:t xml:space="preserve">competitive </w:t>
            </w:r>
            <w:r>
              <w:rPr>
                <w:w w:val="105"/>
                <w:sz w:val="23"/>
              </w:rPr>
              <w:t xml:space="preserve">benefits only when linked to </w:t>
            </w:r>
            <w:r>
              <w:rPr>
                <w:spacing w:val="-2"/>
                <w:w w:val="105"/>
                <w:sz w:val="23"/>
              </w:rPr>
              <w:t xml:space="preserve">knowledge- </w:t>
            </w:r>
            <w:r>
              <w:rPr>
                <w:w w:val="105"/>
                <w:sz w:val="23"/>
              </w:rPr>
              <w:t xml:space="preserve">sharing and </w:t>
            </w:r>
            <w:r>
              <w:rPr>
                <w:spacing w:val="-2"/>
                <w:sz w:val="23"/>
              </w:rPr>
              <w:t>responsiveness.</w:t>
            </w:r>
          </w:p>
        </w:tc>
      </w:tr>
      <w:tr w:rsidR="00487D64">
        <w:trPr>
          <w:trHeight w:val="1191"/>
        </w:trPr>
        <w:tc>
          <w:tcPr>
            <w:tcW w:w="1176" w:type="dxa"/>
            <w:tcBorders>
              <w:bottom w:val="single" w:sz="4" w:space="0" w:color="000000"/>
            </w:tcBorders>
          </w:tcPr>
          <w:p w:rsidR="00487D64" w:rsidRDefault="00487D64">
            <w:pPr>
              <w:pStyle w:val="TableParagraph"/>
              <w:spacing w:before="43"/>
              <w:rPr>
                <w:b/>
                <w:sz w:val="23"/>
              </w:rPr>
            </w:pPr>
          </w:p>
          <w:p w:rsidR="00487D64" w:rsidRDefault="006F0D93">
            <w:pPr>
              <w:pStyle w:val="TableParagraph"/>
              <w:spacing w:before="1" w:line="254" w:lineRule="auto"/>
              <w:ind w:left="57"/>
              <w:rPr>
                <w:sz w:val="23"/>
              </w:rPr>
            </w:pPr>
            <w:r>
              <w:rPr>
                <w:spacing w:val="-2"/>
                <w:sz w:val="23"/>
              </w:rPr>
              <w:t xml:space="preserve">Loader </w:t>
            </w:r>
            <w:r>
              <w:rPr>
                <w:spacing w:val="-2"/>
                <w:w w:val="105"/>
                <w:sz w:val="23"/>
              </w:rPr>
              <w:t>(2013)</w:t>
            </w:r>
          </w:p>
        </w:tc>
        <w:tc>
          <w:tcPr>
            <w:tcW w:w="1744" w:type="dxa"/>
            <w:tcBorders>
              <w:bottom w:val="single" w:sz="4" w:space="0" w:color="000000"/>
            </w:tcBorders>
          </w:tcPr>
          <w:p w:rsidR="00487D64" w:rsidRDefault="006F0D93">
            <w:pPr>
              <w:pStyle w:val="TableParagraph"/>
              <w:spacing w:before="35" w:line="249" w:lineRule="auto"/>
              <w:ind w:left="41" w:right="88"/>
              <w:rPr>
                <w:sz w:val="23"/>
              </w:rPr>
            </w:pPr>
            <w:r>
              <w:rPr>
                <w:spacing w:val="-2"/>
                <w:w w:val="105"/>
                <w:sz w:val="23"/>
              </w:rPr>
              <w:t>Analyzed internal communication and</w:t>
            </w:r>
            <w:r>
              <w:rPr>
                <w:spacing w:val="-14"/>
                <w:w w:val="105"/>
                <w:sz w:val="23"/>
              </w:rPr>
              <w:t xml:space="preserve"> </w:t>
            </w:r>
            <w:r>
              <w:rPr>
                <w:spacing w:val="-2"/>
                <w:w w:val="105"/>
                <w:sz w:val="23"/>
              </w:rPr>
              <w:t>procurement</w:t>
            </w:r>
          </w:p>
        </w:tc>
        <w:tc>
          <w:tcPr>
            <w:tcW w:w="1874" w:type="dxa"/>
            <w:tcBorders>
              <w:bottom w:val="single" w:sz="4" w:space="0" w:color="000000"/>
            </w:tcBorders>
          </w:tcPr>
          <w:p w:rsidR="00487D64" w:rsidRDefault="006F0D93">
            <w:pPr>
              <w:pStyle w:val="TableParagraph"/>
              <w:spacing w:before="171" w:line="252" w:lineRule="auto"/>
              <w:ind w:left="41" w:right="63"/>
              <w:rPr>
                <w:sz w:val="23"/>
              </w:rPr>
            </w:pPr>
            <w:r>
              <w:rPr>
                <w:w w:val="105"/>
                <w:sz w:val="23"/>
              </w:rPr>
              <w:t>UK</w:t>
            </w:r>
            <w:r>
              <w:rPr>
                <w:spacing w:val="-16"/>
                <w:w w:val="105"/>
                <w:sz w:val="23"/>
              </w:rPr>
              <w:t xml:space="preserve"> </w:t>
            </w:r>
            <w:r>
              <w:rPr>
                <w:w w:val="105"/>
                <w:sz w:val="23"/>
              </w:rPr>
              <w:t>SMEs</w:t>
            </w:r>
            <w:r>
              <w:rPr>
                <w:spacing w:val="-15"/>
                <w:w w:val="105"/>
                <w:sz w:val="23"/>
              </w:rPr>
              <w:t xml:space="preserve"> </w:t>
            </w:r>
            <w:r>
              <w:rPr>
                <w:w w:val="105"/>
                <w:sz w:val="23"/>
              </w:rPr>
              <w:t xml:space="preserve">in </w:t>
            </w:r>
            <w:r>
              <w:rPr>
                <w:spacing w:val="-2"/>
                <w:w w:val="105"/>
                <w:sz w:val="23"/>
              </w:rPr>
              <w:t>public procurement</w:t>
            </w:r>
          </w:p>
        </w:tc>
        <w:tc>
          <w:tcPr>
            <w:tcW w:w="1815" w:type="dxa"/>
            <w:tcBorders>
              <w:bottom w:val="single" w:sz="4" w:space="0" w:color="000000"/>
            </w:tcBorders>
          </w:tcPr>
          <w:p w:rsidR="00487D64" w:rsidRDefault="00487D64">
            <w:pPr>
              <w:pStyle w:val="TableParagraph"/>
              <w:spacing w:before="43"/>
              <w:rPr>
                <w:b/>
                <w:sz w:val="23"/>
              </w:rPr>
            </w:pPr>
          </w:p>
          <w:p w:rsidR="00487D64" w:rsidRDefault="006F0D93">
            <w:pPr>
              <w:pStyle w:val="TableParagraph"/>
              <w:spacing w:before="1" w:line="254" w:lineRule="auto"/>
              <w:ind w:left="40" w:right="536"/>
              <w:rPr>
                <w:sz w:val="23"/>
              </w:rPr>
            </w:pPr>
            <w:r>
              <w:rPr>
                <w:w w:val="105"/>
                <w:sz w:val="23"/>
              </w:rPr>
              <w:t>Case</w:t>
            </w:r>
            <w:r>
              <w:rPr>
                <w:spacing w:val="-16"/>
                <w:w w:val="105"/>
                <w:sz w:val="23"/>
              </w:rPr>
              <w:t xml:space="preserve"> </w:t>
            </w:r>
            <w:r>
              <w:rPr>
                <w:w w:val="105"/>
                <w:sz w:val="23"/>
              </w:rPr>
              <w:t>study</w:t>
            </w:r>
            <w:r>
              <w:rPr>
                <w:spacing w:val="-15"/>
                <w:w w:val="105"/>
                <w:sz w:val="23"/>
              </w:rPr>
              <w:t xml:space="preserve"> </w:t>
            </w:r>
            <w:r>
              <w:rPr>
                <w:w w:val="105"/>
                <w:sz w:val="23"/>
              </w:rPr>
              <w:t xml:space="preserve">+ </w:t>
            </w:r>
            <w:r>
              <w:rPr>
                <w:spacing w:val="-2"/>
                <w:w w:val="105"/>
                <w:sz w:val="23"/>
              </w:rPr>
              <w:t>Interviews</w:t>
            </w:r>
          </w:p>
        </w:tc>
        <w:tc>
          <w:tcPr>
            <w:tcW w:w="1720" w:type="dxa"/>
            <w:tcBorders>
              <w:bottom w:val="single" w:sz="4" w:space="0" w:color="000000"/>
            </w:tcBorders>
          </w:tcPr>
          <w:p w:rsidR="00487D64" w:rsidRDefault="006F0D93">
            <w:pPr>
              <w:pStyle w:val="TableParagraph"/>
              <w:spacing w:before="35" w:line="249" w:lineRule="auto"/>
              <w:ind w:left="40"/>
              <w:rPr>
                <w:sz w:val="23"/>
              </w:rPr>
            </w:pPr>
            <w:r>
              <w:rPr>
                <w:spacing w:val="-2"/>
                <w:w w:val="105"/>
                <w:sz w:val="23"/>
              </w:rPr>
              <w:t xml:space="preserve">Internal communication </w:t>
            </w:r>
            <w:r>
              <w:rPr>
                <w:w w:val="105"/>
                <w:sz w:val="23"/>
              </w:rPr>
              <w:t xml:space="preserve">improves bid </w:t>
            </w:r>
            <w:r>
              <w:rPr>
                <w:spacing w:val="-2"/>
                <w:w w:val="105"/>
                <w:sz w:val="23"/>
              </w:rPr>
              <w:t>preparation,</w:t>
            </w:r>
            <w:r>
              <w:rPr>
                <w:spacing w:val="-14"/>
                <w:w w:val="105"/>
                <w:sz w:val="23"/>
              </w:rPr>
              <w:t xml:space="preserve"> </w:t>
            </w:r>
            <w:r>
              <w:rPr>
                <w:spacing w:val="-2"/>
                <w:w w:val="105"/>
                <w:sz w:val="23"/>
              </w:rPr>
              <w:t>but</w:t>
            </w:r>
          </w:p>
        </w:tc>
      </w:tr>
    </w:tbl>
    <w:p w:rsidR="00487D64" w:rsidRDefault="00487D64">
      <w:pPr>
        <w:pStyle w:val="TableParagraph"/>
        <w:spacing w:line="249" w:lineRule="auto"/>
        <w:rPr>
          <w:sz w:val="23"/>
        </w:rPr>
        <w:sectPr w:rsidR="00487D64">
          <w:pgSz w:w="11910" w:h="16850"/>
          <w:pgMar w:top="980" w:right="566" w:bottom="280" w:left="850" w:header="725" w:footer="0" w:gutter="0"/>
          <w:cols w:space="720"/>
        </w:sect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spacing w:before="152" w:after="1"/>
        <w:rPr>
          <w:b/>
          <w:sz w:val="20"/>
        </w:rPr>
      </w:pPr>
    </w:p>
    <w:tbl>
      <w:tblPr>
        <w:tblW w:w="0" w:type="auto"/>
        <w:tblInd w:w="1369" w:type="dxa"/>
        <w:tblLayout w:type="fixed"/>
        <w:tblCellMar>
          <w:left w:w="0" w:type="dxa"/>
          <w:right w:w="0" w:type="dxa"/>
        </w:tblCellMar>
        <w:tblLook w:val="01E0" w:firstRow="1" w:lastRow="1" w:firstColumn="1" w:lastColumn="1" w:noHBand="0" w:noVBand="0"/>
      </w:tblPr>
      <w:tblGrid>
        <w:gridCol w:w="1166"/>
        <w:gridCol w:w="1760"/>
        <w:gridCol w:w="1870"/>
        <w:gridCol w:w="1876"/>
        <w:gridCol w:w="1655"/>
      </w:tblGrid>
      <w:tr w:rsidR="00487D64">
        <w:trPr>
          <w:trHeight w:val="585"/>
        </w:trPr>
        <w:tc>
          <w:tcPr>
            <w:tcW w:w="1166" w:type="dxa"/>
            <w:tcBorders>
              <w:top w:val="double" w:sz="4" w:space="0" w:color="000000"/>
              <w:bottom w:val="single" w:sz="4" w:space="0" w:color="000000"/>
            </w:tcBorders>
          </w:tcPr>
          <w:p w:rsidR="00487D64" w:rsidRDefault="006F0D93">
            <w:pPr>
              <w:pStyle w:val="TableParagraph"/>
              <w:spacing w:before="25" w:line="270" w:lineRule="atLeast"/>
              <w:ind w:left="223" w:right="63" w:hanging="116"/>
              <w:rPr>
                <w:b/>
                <w:sz w:val="23"/>
              </w:rPr>
            </w:pPr>
            <w:r>
              <w:rPr>
                <w:b/>
                <w:spacing w:val="-2"/>
                <w:sz w:val="23"/>
              </w:rPr>
              <w:t xml:space="preserve">Author(s) </w:t>
            </w:r>
            <w:r>
              <w:rPr>
                <w:b/>
                <w:w w:val="105"/>
                <w:sz w:val="23"/>
              </w:rPr>
              <w:t>&amp; Year</w:t>
            </w:r>
          </w:p>
        </w:tc>
        <w:tc>
          <w:tcPr>
            <w:tcW w:w="1760" w:type="dxa"/>
            <w:tcBorders>
              <w:top w:val="double" w:sz="4" w:space="0" w:color="000000"/>
              <w:bottom w:val="single" w:sz="4" w:space="0" w:color="000000"/>
            </w:tcBorders>
          </w:tcPr>
          <w:p w:rsidR="00487D64" w:rsidRDefault="006F0D93">
            <w:pPr>
              <w:pStyle w:val="TableParagraph"/>
              <w:spacing w:before="170"/>
              <w:ind w:left="65"/>
              <w:rPr>
                <w:b/>
                <w:sz w:val="23"/>
              </w:rPr>
            </w:pPr>
            <w:r>
              <w:rPr>
                <w:b/>
                <w:spacing w:val="-2"/>
                <w:w w:val="105"/>
                <w:sz w:val="23"/>
              </w:rPr>
              <w:t>Objective/Focus</w:t>
            </w:r>
          </w:p>
        </w:tc>
        <w:tc>
          <w:tcPr>
            <w:tcW w:w="1870" w:type="dxa"/>
            <w:tcBorders>
              <w:top w:val="double" w:sz="4" w:space="0" w:color="000000"/>
              <w:bottom w:val="single" w:sz="4" w:space="0" w:color="000000"/>
            </w:tcBorders>
          </w:tcPr>
          <w:p w:rsidR="00487D64" w:rsidRDefault="006F0D93">
            <w:pPr>
              <w:pStyle w:val="TableParagraph"/>
              <w:spacing w:before="170"/>
              <w:ind w:left="49"/>
              <w:rPr>
                <w:b/>
                <w:sz w:val="23"/>
              </w:rPr>
            </w:pPr>
            <w:r>
              <w:rPr>
                <w:b/>
                <w:spacing w:val="-2"/>
                <w:w w:val="105"/>
                <w:sz w:val="23"/>
              </w:rPr>
              <w:t>Location/Context</w:t>
            </w:r>
          </w:p>
        </w:tc>
        <w:tc>
          <w:tcPr>
            <w:tcW w:w="1876" w:type="dxa"/>
            <w:tcBorders>
              <w:top w:val="double" w:sz="4" w:space="0" w:color="000000"/>
              <w:bottom w:val="single" w:sz="4" w:space="0" w:color="000000"/>
            </w:tcBorders>
          </w:tcPr>
          <w:p w:rsidR="00487D64" w:rsidRDefault="006F0D93">
            <w:pPr>
              <w:pStyle w:val="TableParagraph"/>
              <w:spacing w:before="170"/>
              <w:ind w:left="45"/>
              <w:rPr>
                <w:b/>
                <w:sz w:val="23"/>
              </w:rPr>
            </w:pPr>
            <w:r>
              <w:rPr>
                <w:b/>
                <w:spacing w:val="-2"/>
                <w:w w:val="105"/>
                <w:sz w:val="23"/>
              </w:rPr>
              <w:t>Method/Analysis</w:t>
            </w:r>
          </w:p>
        </w:tc>
        <w:tc>
          <w:tcPr>
            <w:tcW w:w="1655" w:type="dxa"/>
            <w:tcBorders>
              <w:top w:val="double" w:sz="4" w:space="0" w:color="000000"/>
              <w:bottom w:val="single" w:sz="4" w:space="0" w:color="000000"/>
            </w:tcBorders>
          </w:tcPr>
          <w:p w:rsidR="00487D64" w:rsidRDefault="006F0D93">
            <w:pPr>
              <w:pStyle w:val="TableParagraph"/>
              <w:spacing w:before="170"/>
              <w:ind w:left="107"/>
              <w:rPr>
                <w:b/>
                <w:sz w:val="23"/>
              </w:rPr>
            </w:pPr>
            <w:r>
              <w:rPr>
                <w:b/>
                <w:w w:val="105"/>
                <w:sz w:val="23"/>
              </w:rPr>
              <w:t>Key</w:t>
            </w:r>
            <w:r>
              <w:rPr>
                <w:b/>
                <w:spacing w:val="-11"/>
                <w:w w:val="105"/>
                <w:sz w:val="23"/>
              </w:rPr>
              <w:t xml:space="preserve"> </w:t>
            </w:r>
            <w:r>
              <w:rPr>
                <w:b/>
                <w:spacing w:val="-2"/>
                <w:w w:val="105"/>
                <w:sz w:val="23"/>
              </w:rPr>
              <w:t>Findings</w:t>
            </w:r>
          </w:p>
        </w:tc>
      </w:tr>
      <w:tr w:rsidR="00487D64">
        <w:trPr>
          <w:trHeight w:val="1488"/>
        </w:trPr>
        <w:tc>
          <w:tcPr>
            <w:tcW w:w="1166" w:type="dxa"/>
            <w:tcBorders>
              <w:top w:val="single" w:sz="4" w:space="0" w:color="000000"/>
              <w:bottom w:val="single" w:sz="4" w:space="0" w:color="000000"/>
            </w:tcBorders>
          </w:tcPr>
          <w:p w:rsidR="00487D64" w:rsidRDefault="00487D64">
            <w:pPr>
              <w:pStyle w:val="TableParagraph"/>
            </w:pPr>
          </w:p>
        </w:tc>
        <w:tc>
          <w:tcPr>
            <w:tcW w:w="1760" w:type="dxa"/>
            <w:tcBorders>
              <w:top w:val="single" w:sz="4" w:space="0" w:color="000000"/>
              <w:bottom w:val="single" w:sz="4" w:space="0" w:color="000000"/>
            </w:tcBorders>
          </w:tcPr>
          <w:p w:rsidR="00487D64" w:rsidRDefault="006F0D93">
            <w:pPr>
              <w:pStyle w:val="TableParagraph"/>
              <w:spacing w:before="50"/>
              <w:ind w:left="51"/>
              <w:rPr>
                <w:sz w:val="23"/>
              </w:rPr>
            </w:pPr>
            <w:r>
              <w:rPr>
                <w:spacing w:val="-2"/>
                <w:w w:val="105"/>
                <w:sz w:val="23"/>
              </w:rPr>
              <w:t>performance</w:t>
            </w:r>
          </w:p>
        </w:tc>
        <w:tc>
          <w:tcPr>
            <w:tcW w:w="1870" w:type="dxa"/>
            <w:tcBorders>
              <w:top w:val="single" w:sz="4" w:space="0" w:color="000000"/>
              <w:bottom w:val="single" w:sz="4" w:space="0" w:color="000000"/>
            </w:tcBorders>
          </w:tcPr>
          <w:p w:rsidR="00487D64" w:rsidRDefault="00487D64">
            <w:pPr>
              <w:pStyle w:val="TableParagraph"/>
            </w:pPr>
          </w:p>
        </w:tc>
        <w:tc>
          <w:tcPr>
            <w:tcW w:w="1876" w:type="dxa"/>
            <w:tcBorders>
              <w:top w:val="single" w:sz="4" w:space="0" w:color="000000"/>
              <w:bottom w:val="single" w:sz="4" w:space="0" w:color="000000"/>
            </w:tcBorders>
          </w:tcPr>
          <w:p w:rsidR="00487D64" w:rsidRDefault="00487D64">
            <w:pPr>
              <w:pStyle w:val="TableParagraph"/>
            </w:pPr>
          </w:p>
        </w:tc>
        <w:tc>
          <w:tcPr>
            <w:tcW w:w="1655" w:type="dxa"/>
            <w:tcBorders>
              <w:top w:val="single" w:sz="4" w:space="0" w:color="000000"/>
              <w:bottom w:val="single" w:sz="4" w:space="0" w:color="000000"/>
            </w:tcBorders>
          </w:tcPr>
          <w:p w:rsidR="00487D64" w:rsidRDefault="006F0D93">
            <w:pPr>
              <w:pStyle w:val="TableParagraph"/>
              <w:spacing w:before="50" w:line="252" w:lineRule="auto"/>
              <w:ind w:left="-23" w:right="131"/>
              <w:rPr>
                <w:sz w:val="23"/>
              </w:rPr>
            </w:pPr>
            <w:r>
              <w:rPr>
                <w:spacing w:val="-2"/>
                <w:w w:val="105"/>
                <w:sz w:val="23"/>
              </w:rPr>
              <w:t>strategic</w:t>
            </w:r>
            <w:r>
              <w:rPr>
                <w:spacing w:val="-14"/>
                <w:w w:val="105"/>
                <w:sz w:val="23"/>
              </w:rPr>
              <w:t xml:space="preserve"> </w:t>
            </w:r>
            <w:r>
              <w:rPr>
                <w:spacing w:val="-2"/>
                <w:w w:val="105"/>
                <w:sz w:val="23"/>
              </w:rPr>
              <w:t>value diminishes under compliance burdens.</w:t>
            </w:r>
          </w:p>
        </w:tc>
      </w:tr>
    </w:tbl>
    <w:p w:rsidR="00487D64" w:rsidRDefault="00487D64">
      <w:pPr>
        <w:pStyle w:val="BodyText"/>
        <w:rPr>
          <w:b/>
        </w:rPr>
      </w:pPr>
    </w:p>
    <w:p w:rsidR="00487D64" w:rsidRDefault="00487D64">
      <w:pPr>
        <w:pStyle w:val="BodyText"/>
        <w:rPr>
          <w:b/>
        </w:rPr>
      </w:pPr>
    </w:p>
    <w:p w:rsidR="00487D64" w:rsidRDefault="00487D64">
      <w:pPr>
        <w:pStyle w:val="BodyText"/>
        <w:spacing w:before="239"/>
        <w:rPr>
          <w:b/>
        </w:rPr>
      </w:pPr>
    </w:p>
    <w:p w:rsidR="00487D64" w:rsidRDefault="006F0D93">
      <w:pPr>
        <w:pStyle w:val="ListParagraph"/>
        <w:numPr>
          <w:ilvl w:val="2"/>
          <w:numId w:val="16"/>
        </w:numPr>
        <w:tabs>
          <w:tab w:val="left" w:pos="1970"/>
          <w:tab w:val="left" w:pos="2125"/>
        </w:tabs>
        <w:spacing w:before="1" w:line="504" w:lineRule="auto"/>
        <w:ind w:left="2125" w:right="857" w:hanging="707"/>
        <w:jc w:val="both"/>
        <w:rPr>
          <w:b/>
          <w:sz w:val="23"/>
        </w:rPr>
      </w:pPr>
      <w:bookmarkStart w:id="53" w:name="2.4.5_The_moderation_effect_of_Strategic"/>
      <w:bookmarkStart w:id="54" w:name="_bookmark26"/>
      <w:bookmarkEnd w:id="53"/>
      <w:bookmarkEnd w:id="54"/>
      <w:r>
        <w:rPr>
          <w:b/>
          <w:w w:val="105"/>
          <w:sz w:val="23"/>
        </w:rPr>
        <w:t>The moderation</w:t>
      </w:r>
      <w:r>
        <w:rPr>
          <w:b/>
          <w:spacing w:val="-1"/>
          <w:w w:val="105"/>
          <w:sz w:val="23"/>
        </w:rPr>
        <w:t xml:space="preserve"> </w:t>
      </w:r>
      <w:r>
        <w:rPr>
          <w:b/>
          <w:w w:val="105"/>
          <w:sz w:val="23"/>
        </w:rPr>
        <w:t>effect of Strategic Flexibility</w:t>
      </w:r>
      <w:r>
        <w:rPr>
          <w:b/>
          <w:spacing w:val="-2"/>
          <w:w w:val="105"/>
          <w:sz w:val="23"/>
        </w:rPr>
        <w:t xml:space="preserve"> </w:t>
      </w:r>
      <w:r>
        <w:rPr>
          <w:b/>
          <w:w w:val="105"/>
          <w:sz w:val="23"/>
        </w:rPr>
        <w:t xml:space="preserve">on the Relationship between Market Orientation and Sustainable Competitiveness in Public </w:t>
      </w:r>
      <w:r>
        <w:rPr>
          <w:b/>
          <w:spacing w:val="-2"/>
          <w:w w:val="105"/>
          <w:sz w:val="23"/>
        </w:rPr>
        <w:t>Procurement.</w:t>
      </w:r>
    </w:p>
    <w:p w:rsidR="00487D64" w:rsidRDefault="006F0D93">
      <w:pPr>
        <w:pStyle w:val="BodyText"/>
        <w:spacing w:line="248" w:lineRule="exact"/>
        <w:ind w:left="1419"/>
        <w:jc w:val="both"/>
      </w:pPr>
      <w:r>
        <w:rPr>
          <w:w w:val="105"/>
        </w:rPr>
        <w:t>Research</w:t>
      </w:r>
      <w:r>
        <w:rPr>
          <w:spacing w:val="10"/>
          <w:w w:val="105"/>
        </w:rPr>
        <w:t xml:space="preserve"> </w:t>
      </w:r>
      <w:r>
        <w:rPr>
          <w:w w:val="105"/>
        </w:rPr>
        <w:t>on</w:t>
      </w:r>
      <w:r>
        <w:rPr>
          <w:spacing w:val="11"/>
          <w:w w:val="105"/>
        </w:rPr>
        <w:t xml:space="preserve"> </w:t>
      </w:r>
      <w:r>
        <w:rPr>
          <w:w w:val="105"/>
        </w:rPr>
        <w:t>the</w:t>
      </w:r>
      <w:r>
        <w:rPr>
          <w:spacing w:val="16"/>
          <w:w w:val="105"/>
        </w:rPr>
        <w:t xml:space="preserve"> </w:t>
      </w:r>
      <w:r>
        <w:rPr>
          <w:w w:val="105"/>
        </w:rPr>
        <w:t>multidimensional</w:t>
      </w:r>
      <w:r>
        <w:rPr>
          <w:spacing w:val="13"/>
          <w:w w:val="105"/>
        </w:rPr>
        <w:t xml:space="preserve"> </w:t>
      </w:r>
      <w:r>
        <w:rPr>
          <w:w w:val="105"/>
        </w:rPr>
        <w:t>MO</w:t>
      </w:r>
      <w:r>
        <w:rPr>
          <w:spacing w:val="21"/>
          <w:w w:val="105"/>
        </w:rPr>
        <w:t xml:space="preserve"> </w:t>
      </w:r>
      <w:r>
        <w:rPr>
          <w:w w:val="105"/>
        </w:rPr>
        <w:t>SC</w:t>
      </w:r>
      <w:r>
        <w:rPr>
          <w:spacing w:val="14"/>
          <w:w w:val="105"/>
        </w:rPr>
        <w:t xml:space="preserve"> </w:t>
      </w:r>
      <w:r>
        <w:rPr>
          <w:w w:val="105"/>
        </w:rPr>
        <w:t>relationship</w:t>
      </w:r>
      <w:r>
        <w:rPr>
          <w:spacing w:val="11"/>
          <w:w w:val="105"/>
        </w:rPr>
        <w:t xml:space="preserve"> </w:t>
      </w:r>
      <w:r>
        <w:rPr>
          <w:w w:val="105"/>
        </w:rPr>
        <w:t>has</w:t>
      </w:r>
      <w:r>
        <w:rPr>
          <w:spacing w:val="9"/>
          <w:w w:val="105"/>
        </w:rPr>
        <w:t xml:space="preserve"> </w:t>
      </w:r>
      <w:r>
        <w:rPr>
          <w:w w:val="105"/>
        </w:rPr>
        <w:t>been</w:t>
      </w:r>
      <w:r>
        <w:rPr>
          <w:spacing w:val="17"/>
          <w:w w:val="105"/>
        </w:rPr>
        <w:t xml:space="preserve"> </w:t>
      </w:r>
      <w:r>
        <w:rPr>
          <w:w w:val="105"/>
        </w:rPr>
        <w:t>producing</w:t>
      </w:r>
      <w:r>
        <w:rPr>
          <w:spacing w:val="11"/>
          <w:w w:val="105"/>
        </w:rPr>
        <w:t xml:space="preserve"> </w:t>
      </w:r>
      <w:r>
        <w:rPr>
          <w:spacing w:val="-2"/>
          <w:w w:val="105"/>
        </w:rPr>
        <w:t>varying</w:t>
      </w:r>
    </w:p>
    <w:p w:rsidR="00487D64" w:rsidRDefault="00487D64">
      <w:pPr>
        <w:pStyle w:val="BodyText"/>
        <w:spacing w:before="25"/>
      </w:pPr>
    </w:p>
    <w:p w:rsidR="00487D64" w:rsidRDefault="006F0D93">
      <w:pPr>
        <w:pStyle w:val="BodyText"/>
        <w:spacing w:line="501" w:lineRule="auto"/>
        <w:ind w:left="1419" w:right="853"/>
        <w:jc w:val="both"/>
      </w:pPr>
      <w:r>
        <w:rPr>
          <w:w w:val="105"/>
        </w:rPr>
        <w:t>degrees of correlation. Consequently, Brozovic (2023), through undertaking</w:t>
      </w:r>
      <w:r>
        <w:rPr>
          <w:w w:val="105"/>
        </w:rPr>
        <w:t xml:space="preserve"> a systematic</w:t>
      </w:r>
      <w:r>
        <w:rPr>
          <w:spacing w:val="-7"/>
          <w:w w:val="105"/>
        </w:rPr>
        <w:t xml:space="preserve"> </w:t>
      </w:r>
      <w:r>
        <w:rPr>
          <w:w w:val="105"/>
        </w:rPr>
        <w:t>literature review</w:t>
      </w:r>
      <w:r>
        <w:rPr>
          <w:spacing w:val="-1"/>
          <w:w w:val="105"/>
        </w:rPr>
        <w:t xml:space="preserve"> </w:t>
      </w:r>
      <w:r>
        <w:rPr>
          <w:w w:val="105"/>
        </w:rPr>
        <w:t>of</w:t>
      </w:r>
      <w:r>
        <w:rPr>
          <w:spacing w:val="-2"/>
          <w:w w:val="105"/>
        </w:rPr>
        <w:t xml:space="preserve"> </w:t>
      </w:r>
      <w:r>
        <w:rPr>
          <w:w w:val="105"/>
        </w:rPr>
        <w:t>15 empirical studies, points</w:t>
      </w:r>
      <w:r>
        <w:rPr>
          <w:spacing w:val="-1"/>
          <w:w w:val="105"/>
        </w:rPr>
        <w:t xml:space="preserve"> </w:t>
      </w:r>
      <w:r>
        <w:rPr>
          <w:w w:val="105"/>
        </w:rPr>
        <w:t>out</w:t>
      </w:r>
      <w:r>
        <w:rPr>
          <w:spacing w:val="-4"/>
          <w:w w:val="105"/>
        </w:rPr>
        <w:t xml:space="preserve"> </w:t>
      </w:r>
      <w:r>
        <w:rPr>
          <w:w w:val="105"/>
        </w:rPr>
        <w:t>that the</w:t>
      </w:r>
      <w:r>
        <w:rPr>
          <w:spacing w:val="-7"/>
          <w:w w:val="105"/>
        </w:rPr>
        <w:t xml:space="preserve"> </w:t>
      </w:r>
      <w:r>
        <w:rPr>
          <w:w w:val="105"/>
        </w:rPr>
        <w:t>application of moderating variables should help reduce the substantial number of unexplained variances in the relationship. The importance of</w:t>
      </w:r>
      <w:r>
        <w:rPr>
          <w:spacing w:val="-1"/>
          <w:w w:val="105"/>
        </w:rPr>
        <w:t xml:space="preserve"> </w:t>
      </w:r>
      <w:r>
        <w:rPr>
          <w:w w:val="105"/>
        </w:rPr>
        <w:t>using moderator models is that they can help to determine situations where strategic flexibility is most beneficial and situations where</w:t>
      </w:r>
      <w:r>
        <w:rPr>
          <w:spacing w:val="-1"/>
          <w:w w:val="105"/>
        </w:rPr>
        <w:t xml:space="preserve"> </w:t>
      </w:r>
      <w:r>
        <w:rPr>
          <w:w w:val="105"/>
        </w:rPr>
        <w:t>it is harmful to Sustainable competitiveness in public procurement.</w:t>
      </w:r>
    </w:p>
    <w:p w:rsidR="00487D64" w:rsidRDefault="006F0D93">
      <w:pPr>
        <w:pStyle w:val="BodyText"/>
        <w:spacing w:before="234" w:line="501" w:lineRule="auto"/>
        <w:ind w:left="1419" w:right="852"/>
        <w:jc w:val="both"/>
      </w:pPr>
      <w:r>
        <w:rPr>
          <w:w w:val="105"/>
        </w:rPr>
        <w:t>Strategic flexibility is widely regarded as a dynam</w:t>
      </w:r>
      <w:r>
        <w:rPr>
          <w:w w:val="105"/>
        </w:rPr>
        <w:t>ic capability enabling firms to reconfigure</w:t>
      </w:r>
      <w:r>
        <w:rPr>
          <w:spacing w:val="-1"/>
          <w:w w:val="105"/>
        </w:rPr>
        <w:t xml:space="preserve"> </w:t>
      </w:r>
      <w:r>
        <w:rPr>
          <w:w w:val="105"/>
        </w:rPr>
        <w:t>resources, revise strategies, and adapt to uncertainty (Sanchez, 1995). In public procurement, this</w:t>
      </w:r>
      <w:r>
        <w:rPr>
          <w:spacing w:val="-2"/>
          <w:w w:val="105"/>
        </w:rPr>
        <w:t xml:space="preserve"> </w:t>
      </w:r>
      <w:r>
        <w:rPr>
          <w:w w:val="105"/>
        </w:rPr>
        <w:t>capability can help SMEs</w:t>
      </w:r>
      <w:r>
        <w:rPr>
          <w:spacing w:val="-1"/>
          <w:w w:val="105"/>
        </w:rPr>
        <w:t xml:space="preserve"> </w:t>
      </w:r>
      <w:r>
        <w:rPr>
          <w:w w:val="105"/>
        </w:rPr>
        <w:t>respond to market and regulatory turbulence. Brozovic (2023) asserts that firms with hi</w:t>
      </w:r>
      <w:r>
        <w:rPr>
          <w:w w:val="105"/>
        </w:rPr>
        <w:t>gher levels of strategic flexibility</w:t>
      </w:r>
      <w:r>
        <w:rPr>
          <w:spacing w:val="-2"/>
          <w:w w:val="105"/>
        </w:rPr>
        <w:t xml:space="preserve"> </w:t>
      </w:r>
      <w:r>
        <w:rPr>
          <w:w w:val="105"/>
        </w:rPr>
        <w:t>tend</w:t>
      </w:r>
      <w:r>
        <w:rPr>
          <w:spacing w:val="-8"/>
          <w:w w:val="105"/>
        </w:rPr>
        <w:t xml:space="preserve"> </w:t>
      </w:r>
      <w:r>
        <w:rPr>
          <w:w w:val="105"/>
        </w:rPr>
        <w:t>to</w:t>
      </w:r>
      <w:r>
        <w:rPr>
          <w:spacing w:val="-8"/>
          <w:w w:val="105"/>
        </w:rPr>
        <w:t xml:space="preserve"> </w:t>
      </w:r>
      <w:r>
        <w:rPr>
          <w:w w:val="105"/>
        </w:rPr>
        <w:t>achieve</w:t>
      </w:r>
      <w:r>
        <w:rPr>
          <w:spacing w:val="-3"/>
          <w:w w:val="105"/>
        </w:rPr>
        <w:t xml:space="preserve"> </w:t>
      </w:r>
      <w:r>
        <w:rPr>
          <w:w w:val="105"/>
        </w:rPr>
        <w:t>stronger financial performance</w:t>
      </w:r>
      <w:r>
        <w:rPr>
          <w:spacing w:val="-9"/>
          <w:w w:val="105"/>
        </w:rPr>
        <w:t xml:space="preserve"> </w:t>
      </w:r>
      <w:r>
        <w:rPr>
          <w:w w:val="105"/>
        </w:rPr>
        <w:t>and</w:t>
      </w:r>
      <w:r>
        <w:rPr>
          <w:spacing w:val="-8"/>
          <w:w w:val="105"/>
        </w:rPr>
        <w:t xml:space="preserve"> </w:t>
      </w:r>
      <w:r>
        <w:rPr>
          <w:w w:val="105"/>
        </w:rPr>
        <w:t>competitive</w:t>
      </w:r>
      <w:r>
        <w:rPr>
          <w:spacing w:val="-9"/>
          <w:w w:val="105"/>
        </w:rPr>
        <w:t xml:space="preserve"> </w:t>
      </w:r>
      <w:r>
        <w:rPr>
          <w:w w:val="105"/>
        </w:rPr>
        <w:t>advantage. Similarly, Morgan et al. (2019), using survey-based research on global firms analyzed through SEM, found that firms with higher adaptability show</w:t>
      </w:r>
      <w:r>
        <w:rPr>
          <w:w w:val="105"/>
        </w:rPr>
        <w:t xml:space="preserve"> improved performance</w:t>
      </w:r>
      <w:r>
        <w:rPr>
          <w:spacing w:val="4"/>
          <w:w w:val="105"/>
        </w:rPr>
        <w:t xml:space="preserve"> </w:t>
      </w:r>
      <w:r>
        <w:rPr>
          <w:w w:val="105"/>
        </w:rPr>
        <w:t>amid</w:t>
      </w:r>
      <w:r>
        <w:rPr>
          <w:spacing w:val="11"/>
          <w:w w:val="105"/>
        </w:rPr>
        <w:t xml:space="preserve"> </w:t>
      </w:r>
      <w:r>
        <w:rPr>
          <w:w w:val="105"/>
        </w:rPr>
        <w:t>market</w:t>
      </w:r>
      <w:r>
        <w:rPr>
          <w:spacing w:val="8"/>
          <w:w w:val="105"/>
        </w:rPr>
        <w:t xml:space="preserve"> </w:t>
      </w:r>
      <w:r>
        <w:rPr>
          <w:w w:val="105"/>
        </w:rPr>
        <w:t>volatility.</w:t>
      </w:r>
      <w:r>
        <w:rPr>
          <w:spacing w:val="7"/>
          <w:w w:val="105"/>
        </w:rPr>
        <w:t xml:space="preserve"> </w:t>
      </w:r>
      <w:r>
        <w:rPr>
          <w:w w:val="105"/>
        </w:rPr>
        <w:t>Sen</w:t>
      </w:r>
      <w:r>
        <w:rPr>
          <w:spacing w:val="6"/>
          <w:w w:val="105"/>
        </w:rPr>
        <w:t xml:space="preserve"> </w:t>
      </w:r>
      <w:r>
        <w:rPr>
          <w:w w:val="105"/>
        </w:rPr>
        <w:t>et</w:t>
      </w:r>
      <w:r>
        <w:rPr>
          <w:spacing w:val="1"/>
          <w:w w:val="105"/>
        </w:rPr>
        <w:t xml:space="preserve"> </w:t>
      </w:r>
      <w:r>
        <w:rPr>
          <w:w w:val="105"/>
        </w:rPr>
        <w:t>al.</w:t>
      </w:r>
      <w:r>
        <w:rPr>
          <w:spacing w:val="7"/>
          <w:w w:val="105"/>
        </w:rPr>
        <w:t xml:space="preserve"> </w:t>
      </w:r>
      <w:r>
        <w:rPr>
          <w:w w:val="105"/>
        </w:rPr>
        <w:t>(2023),</w:t>
      </w:r>
      <w:r>
        <w:rPr>
          <w:spacing w:val="1"/>
          <w:w w:val="105"/>
        </w:rPr>
        <w:t xml:space="preserve"> </w:t>
      </w:r>
      <w:r>
        <w:rPr>
          <w:w w:val="105"/>
        </w:rPr>
        <w:t>in</w:t>
      </w:r>
      <w:r>
        <w:rPr>
          <w:spacing w:val="-1"/>
          <w:w w:val="105"/>
        </w:rPr>
        <w:t xml:space="preserve"> </w:t>
      </w:r>
      <w:r>
        <w:rPr>
          <w:w w:val="105"/>
        </w:rPr>
        <w:t>a</w:t>
      </w:r>
      <w:r>
        <w:rPr>
          <w:spacing w:val="21"/>
          <w:w w:val="105"/>
        </w:rPr>
        <w:t xml:space="preserve"> </w:t>
      </w:r>
      <w:r>
        <w:rPr>
          <w:w w:val="105"/>
        </w:rPr>
        <w:t>quantitative</w:t>
      </w:r>
      <w:r>
        <w:rPr>
          <w:spacing w:val="4"/>
          <w:w w:val="105"/>
        </w:rPr>
        <w:t xml:space="preserve"> </w:t>
      </w:r>
      <w:r>
        <w:rPr>
          <w:w w:val="105"/>
        </w:rPr>
        <w:t>study</w:t>
      </w:r>
      <w:r>
        <w:rPr>
          <w:spacing w:val="5"/>
          <w:w w:val="105"/>
        </w:rPr>
        <w:t xml:space="preserve"> </w:t>
      </w:r>
      <w:r>
        <w:rPr>
          <w:w w:val="105"/>
        </w:rPr>
        <w:t>of</w:t>
      </w:r>
      <w:r>
        <w:rPr>
          <w:spacing w:val="3"/>
          <w:w w:val="105"/>
        </w:rPr>
        <w:t xml:space="preserve"> </w:t>
      </w:r>
      <w:r>
        <w:rPr>
          <w:spacing w:val="-5"/>
          <w:w w:val="105"/>
        </w:rPr>
        <w:t>220</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53"/>
        <w:jc w:val="both"/>
      </w:pPr>
      <w:r>
        <w:rPr>
          <w:w w:val="105"/>
        </w:rPr>
        <w:t>SMEs in emerging markets using PLS-SEM, concluded that flexibility and adaptability allow SMEs to compete effectively by reallocating</w:t>
      </w:r>
      <w:r>
        <w:rPr>
          <w:w w:val="105"/>
        </w:rPr>
        <w:t xml:space="preserve"> resources and exploring new markets.</w:t>
      </w:r>
    </w:p>
    <w:p w:rsidR="00487D64" w:rsidRDefault="006F0D93">
      <w:pPr>
        <w:pStyle w:val="BodyText"/>
        <w:spacing w:before="245" w:line="501" w:lineRule="auto"/>
        <w:ind w:left="1419" w:right="844"/>
        <w:jc w:val="both"/>
      </w:pPr>
      <w:r>
        <w:rPr>
          <w:w w:val="105"/>
        </w:rPr>
        <w:t xml:space="preserve">Other studies corroborate this position. Guo and Cao (2014) conducted a survey- based analysis using hierarchical regression and reported that strategic flexibility enhances risk mitigation and resilience in turbulent </w:t>
      </w:r>
      <w:r>
        <w:rPr>
          <w:w w:val="105"/>
        </w:rPr>
        <w:t>markets. Likewise, Khan et al. (2022) applied SEM in a study of family firms in an emerging economy and found that strategic flexibility strengthens the positive effect of strategic orientations on sustainable competitive performance by enabling rapid reso</w:t>
      </w:r>
      <w:r>
        <w:rPr>
          <w:w w:val="105"/>
        </w:rPr>
        <w:t>urce reconfiguration. Yang et al. (2022), using a hybrid SEM-neural network model with Chinese SMEs, confirmed that strategic flexibility significantly amplifies the role of competitor orientation in achieving competitive advantage and economic sustainabil</w:t>
      </w:r>
      <w:r>
        <w:rPr>
          <w:w w:val="105"/>
        </w:rPr>
        <w:t>ity.</w:t>
      </w:r>
    </w:p>
    <w:p w:rsidR="00487D64" w:rsidRDefault="006F0D93">
      <w:pPr>
        <w:pStyle w:val="BodyText"/>
        <w:spacing w:before="240" w:line="501" w:lineRule="auto"/>
        <w:ind w:left="1419" w:right="849"/>
        <w:jc w:val="both"/>
      </w:pPr>
      <w:r>
        <w:rPr>
          <w:w w:val="105"/>
        </w:rPr>
        <w:t>Despite these findings, some studies question the universal significance of strategic flexibility. Aabo et al. (2024), using longitudinal data analysis of SMEs in Europe, noted that while flexibility supports adaptation, its direct impact on firm grow</w:t>
      </w:r>
      <w:r>
        <w:rPr>
          <w:w w:val="105"/>
        </w:rPr>
        <w:t>th remains inconclusive. Similarly, Mohammad et al. (2024), in a regression-based study of 284 SMEs in South Asia</w:t>
      </w:r>
      <w:r>
        <w:rPr>
          <w:b/>
          <w:w w:val="105"/>
        </w:rPr>
        <w:t xml:space="preserve">, </w:t>
      </w:r>
      <w:r>
        <w:rPr>
          <w:w w:val="105"/>
        </w:rPr>
        <w:t>reported that strategic flexibility did not significantly moderate the relationship between</w:t>
      </w:r>
      <w:r>
        <w:rPr>
          <w:w w:val="105"/>
        </w:rPr>
        <w:t xml:space="preserve"> strategic planning and performance, suggesting that flexibility alone is insufficient without systemic support. Vem et al. (2022) echoed this view in a survey-based SEM study of 300 Indian SMEs</w:t>
      </w:r>
      <w:r>
        <w:rPr>
          <w:b/>
          <w:w w:val="105"/>
        </w:rPr>
        <w:t xml:space="preserve">, </w:t>
      </w:r>
      <w:r>
        <w:rPr>
          <w:w w:val="105"/>
        </w:rPr>
        <w:t>finding that coordination flexibility fails to improve perfo</w:t>
      </w:r>
      <w:r>
        <w:rPr>
          <w:w w:val="105"/>
        </w:rPr>
        <w:t>rmance when complementary practices</w:t>
      </w:r>
      <w:r>
        <w:rPr>
          <w:spacing w:val="35"/>
          <w:w w:val="105"/>
        </w:rPr>
        <w:t xml:space="preserve"> </w:t>
      </w:r>
      <w:r>
        <w:rPr>
          <w:w w:val="105"/>
        </w:rPr>
        <w:t>like</w:t>
      </w:r>
      <w:r>
        <w:rPr>
          <w:spacing w:val="29"/>
          <w:w w:val="105"/>
        </w:rPr>
        <w:t xml:space="preserve"> </w:t>
      </w:r>
      <w:r>
        <w:rPr>
          <w:w w:val="105"/>
        </w:rPr>
        <w:t>HR</w:t>
      </w:r>
      <w:r>
        <w:rPr>
          <w:spacing w:val="34"/>
          <w:w w:val="105"/>
        </w:rPr>
        <w:t xml:space="preserve"> </w:t>
      </w:r>
      <w:r>
        <w:rPr>
          <w:w w:val="105"/>
        </w:rPr>
        <w:t>alignment</w:t>
      </w:r>
      <w:r>
        <w:rPr>
          <w:spacing w:val="39"/>
          <w:w w:val="105"/>
        </w:rPr>
        <w:t xml:space="preserve"> </w:t>
      </w:r>
      <w:r>
        <w:rPr>
          <w:w w:val="105"/>
        </w:rPr>
        <w:t>are</w:t>
      </w:r>
      <w:r>
        <w:rPr>
          <w:spacing w:val="29"/>
          <w:w w:val="105"/>
        </w:rPr>
        <w:t xml:space="preserve"> </w:t>
      </w:r>
      <w:r>
        <w:rPr>
          <w:w w:val="105"/>
        </w:rPr>
        <w:t>absent.</w:t>
      </w:r>
      <w:r>
        <w:rPr>
          <w:spacing w:val="38"/>
          <w:w w:val="105"/>
        </w:rPr>
        <w:t xml:space="preserve"> </w:t>
      </w:r>
      <w:r>
        <w:rPr>
          <w:w w:val="105"/>
        </w:rPr>
        <w:t>These</w:t>
      </w:r>
      <w:r>
        <w:rPr>
          <w:spacing w:val="37"/>
          <w:w w:val="105"/>
        </w:rPr>
        <w:t xml:space="preserve"> </w:t>
      </w:r>
      <w:r>
        <w:rPr>
          <w:w w:val="105"/>
        </w:rPr>
        <w:t>findings</w:t>
      </w:r>
      <w:r>
        <w:rPr>
          <w:spacing w:val="35"/>
          <w:w w:val="105"/>
        </w:rPr>
        <w:t xml:space="preserve"> </w:t>
      </w:r>
      <w:r>
        <w:rPr>
          <w:w w:val="105"/>
        </w:rPr>
        <w:t>highlight</w:t>
      </w:r>
      <w:r>
        <w:rPr>
          <w:spacing w:val="39"/>
          <w:w w:val="105"/>
        </w:rPr>
        <w:t xml:space="preserve"> </w:t>
      </w:r>
      <w:r>
        <w:rPr>
          <w:w w:val="105"/>
        </w:rPr>
        <w:t>that</w:t>
      </w:r>
      <w:r>
        <w:rPr>
          <w:spacing w:val="39"/>
          <w:w w:val="105"/>
        </w:rPr>
        <w:t xml:space="preserve"> </w:t>
      </w:r>
      <w:r>
        <w:rPr>
          <w:w w:val="105"/>
        </w:rPr>
        <w:t>flexibility’s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0"/>
        <w:jc w:val="both"/>
      </w:pPr>
      <w:r>
        <w:rPr>
          <w:w w:val="105"/>
        </w:rPr>
        <w:t xml:space="preserve">benefits are highly context-dependent, particularly in regulated sectors like public </w:t>
      </w:r>
      <w:r>
        <w:rPr>
          <w:spacing w:val="-2"/>
          <w:w w:val="105"/>
        </w:rPr>
        <w:t>procurement.</w:t>
      </w:r>
    </w:p>
    <w:p w:rsidR="00487D64" w:rsidRDefault="006F0D93">
      <w:pPr>
        <w:pStyle w:val="BodyText"/>
        <w:spacing w:before="236" w:line="501" w:lineRule="auto"/>
        <w:ind w:left="1419" w:right="849"/>
        <w:jc w:val="both"/>
      </w:pPr>
      <w:r>
        <w:rPr>
          <w:w w:val="105"/>
        </w:rPr>
        <w:t>Contextual realities of sp</w:t>
      </w:r>
      <w:r>
        <w:rPr>
          <w:w w:val="105"/>
        </w:rPr>
        <w:t>ecial group SMEs in Tanzania, such as procedural rigidity, resource constraints, and lack of technological readiness, further complicate the moderating effect of flexibility. Kasumaningtyas and Cempena (2024), using PLS- SEM with Indonesian MSMEs</w:t>
      </w:r>
      <w:r>
        <w:rPr>
          <w:b/>
          <w:w w:val="105"/>
        </w:rPr>
        <w:t xml:space="preserve">, </w:t>
      </w:r>
      <w:r>
        <w:rPr>
          <w:w w:val="105"/>
        </w:rPr>
        <w:t>revealed</w:t>
      </w:r>
      <w:r>
        <w:rPr>
          <w:w w:val="105"/>
        </w:rPr>
        <w:t xml:space="preserve"> that digital and technological capabilities mediate the positive impact of customer orientation on innovation. Without these enablers, flexibility fails to produce significant gains. The same logic applies to Tanzanian</w:t>
      </w:r>
      <w:r>
        <w:rPr>
          <w:spacing w:val="-8"/>
          <w:w w:val="105"/>
        </w:rPr>
        <w:t xml:space="preserve"> </w:t>
      </w:r>
      <w:r>
        <w:rPr>
          <w:w w:val="105"/>
        </w:rPr>
        <w:t>SMEs:</w:t>
      </w:r>
      <w:r>
        <w:rPr>
          <w:spacing w:val="-6"/>
          <w:w w:val="105"/>
        </w:rPr>
        <w:t xml:space="preserve"> </w:t>
      </w:r>
      <w:r>
        <w:rPr>
          <w:w w:val="105"/>
        </w:rPr>
        <w:t>although</w:t>
      </w:r>
      <w:r>
        <w:rPr>
          <w:spacing w:val="-8"/>
          <w:w w:val="105"/>
        </w:rPr>
        <w:t xml:space="preserve"> </w:t>
      </w:r>
      <w:r>
        <w:rPr>
          <w:w w:val="105"/>
        </w:rPr>
        <w:t>theoretically</w:t>
      </w:r>
      <w:r>
        <w:rPr>
          <w:spacing w:val="-2"/>
          <w:w w:val="105"/>
        </w:rPr>
        <w:t xml:space="preserve"> </w:t>
      </w:r>
      <w:r>
        <w:rPr>
          <w:w w:val="105"/>
        </w:rPr>
        <w:t>capable</w:t>
      </w:r>
      <w:r>
        <w:rPr>
          <w:spacing w:val="-9"/>
          <w:w w:val="105"/>
        </w:rPr>
        <w:t xml:space="preserve"> </w:t>
      </w:r>
      <w:r>
        <w:rPr>
          <w:w w:val="105"/>
        </w:rPr>
        <w:t>of</w:t>
      </w:r>
      <w:r>
        <w:rPr>
          <w:spacing w:val="-4"/>
          <w:w w:val="105"/>
        </w:rPr>
        <w:t xml:space="preserve"> </w:t>
      </w:r>
      <w:r>
        <w:rPr>
          <w:w w:val="105"/>
        </w:rPr>
        <w:t>strategic</w:t>
      </w:r>
      <w:r>
        <w:rPr>
          <w:spacing w:val="-9"/>
          <w:w w:val="105"/>
        </w:rPr>
        <w:t xml:space="preserve"> </w:t>
      </w:r>
      <w:r>
        <w:rPr>
          <w:w w:val="105"/>
        </w:rPr>
        <w:t>adjustment,</w:t>
      </w:r>
      <w:r>
        <w:rPr>
          <w:spacing w:val="-12"/>
          <w:w w:val="105"/>
        </w:rPr>
        <w:t xml:space="preserve"> </w:t>
      </w:r>
      <w:r>
        <w:rPr>
          <w:w w:val="105"/>
        </w:rPr>
        <w:t>they</w:t>
      </w:r>
      <w:r>
        <w:rPr>
          <w:spacing w:val="-8"/>
          <w:w w:val="105"/>
        </w:rPr>
        <w:t xml:space="preserve"> </w:t>
      </w:r>
      <w:r>
        <w:rPr>
          <w:w w:val="105"/>
        </w:rPr>
        <w:t>may</w:t>
      </w:r>
      <w:r>
        <w:rPr>
          <w:spacing w:val="-8"/>
          <w:w w:val="105"/>
        </w:rPr>
        <w:t xml:space="preserve"> </w:t>
      </w:r>
      <w:r>
        <w:rPr>
          <w:w w:val="105"/>
        </w:rPr>
        <w:t>be practically limited by compliance requirements and a lack of</w:t>
      </w:r>
      <w:r>
        <w:rPr>
          <w:spacing w:val="-2"/>
          <w:w w:val="105"/>
        </w:rPr>
        <w:t xml:space="preserve"> </w:t>
      </w:r>
      <w:r>
        <w:rPr>
          <w:w w:val="105"/>
        </w:rPr>
        <w:t>infrastructure.</w:t>
      </w:r>
    </w:p>
    <w:p w:rsidR="00487D64" w:rsidRDefault="006F0D93">
      <w:pPr>
        <w:pStyle w:val="BodyText"/>
        <w:spacing w:before="232" w:line="501" w:lineRule="auto"/>
        <w:ind w:left="1419" w:right="847"/>
        <w:jc w:val="both"/>
      </w:pPr>
      <w:r>
        <w:rPr>
          <w:w w:val="105"/>
        </w:rPr>
        <w:t>Although several studies have demonstrated that strategic flexibility enhances adaptability, innovation, and resilience in turbulent environm</w:t>
      </w:r>
      <w:r>
        <w:rPr>
          <w:w w:val="105"/>
        </w:rPr>
        <w:t>ents (Brozovic, 2023; Morgan et al., 2019; Khan et al., 2022; Yang et al., 2022), they have not explained well how this skill affects the link between market orientation and long-term competitiveness in very regulated procurement situations.</w:t>
      </w:r>
    </w:p>
    <w:p w:rsidR="00487D64" w:rsidRDefault="006F0D93">
      <w:pPr>
        <w:pStyle w:val="BodyText"/>
        <w:spacing w:before="240" w:line="501" w:lineRule="auto"/>
        <w:ind w:left="1419" w:right="848"/>
        <w:jc w:val="both"/>
      </w:pPr>
      <w:r>
        <w:rPr>
          <w:w w:val="105"/>
        </w:rPr>
        <w:t>Much of</w:t>
      </w:r>
      <w:r>
        <w:rPr>
          <w:spacing w:val="-2"/>
          <w:w w:val="105"/>
        </w:rPr>
        <w:t xml:space="preserve"> </w:t>
      </w:r>
      <w:r>
        <w:rPr>
          <w:w w:val="105"/>
        </w:rPr>
        <w:t>the literature emphasizes flexibility as</w:t>
      </w:r>
      <w:r>
        <w:rPr>
          <w:spacing w:val="-1"/>
          <w:w w:val="105"/>
        </w:rPr>
        <w:t xml:space="preserve"> </w:t>
      </w:r>
      <w:r>
        <w:rPr>
          <w:w w:val="105"/>
        </w:rPr>
        <w:t>a general performance enhancer, yet provides limited insight into its role in enabling SMEs, particularly special group SMEs, to modify the way they use resources, change their bidding strategy, and change the way t</w:t>
      </w:r>
      <w:r>
        <w:rPr>
          <w:w w:val="105"/>
        </w:rPr>
        <w:t>hey do things internally when there are procurement-specific uncertainties like changes in compliance, obstacles in bidding, or changes in assessment criteria. This omission is crucial, as in Tanzania’s procurement system, firms often face procedural rigid</w:t>
      </w:r>
      <w:r>
        <w:rPr>
          <w:w w:val="105"/>
        </w:rPr>
        <w:t>ity and resource constraints that require adaptive mechanisms to translate market intelligence into sustainable competitiveness.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1419"/>
        <w:jc w:val="both"/>
        <w:rPr>
          <w:b/>
          <w:sz w:val="23"/>
        </w:rPr>
      </w:pPr>
      <w:r>
        <w:rPr>
          <w:b/>
          <w:sz w:val="23"/>
        </w:rPr>
        <w:t>It</w:t>
      </w:r>
      <w:r>
        <w:rPr>
          <w:b/>
          <w:spacing w:val="22"/>
          <w:sz w:val="23"/>
        </w:rPr>
        <w:t xml:space="preserve"> </w:t>
      </w:r>
      <w:r>
        <w:rPr>
          <w:b/>
          <w:sz w:val="23"/>
        </w:rPr>
        <w:t>is</w:t>
      </w:r>
      <w:r>
        <w:rPr>
          <w:b/>
          <w:spacing w:val="22"/>
          <w:sz w:val="23"/>
        </w:rPr>
        <w:t xml:space="preserve"> </w:t>
      </w:r>
      <w:r>
        <w:rPr>
          <w:b/>
          <w:sz w:val="23"/>
        </w:rPr>
        <w:t>therefore</w:t>
      </w:r>
      <w:r>
        <w:rPr>
          <w:b/>
          <w:spacing w:val="25"/>
          <w:sz w:val="23"/>
        </w:rPr>
        <w:t xml:space="preserve"> </w:t>
      </w:r>
      <w:r>
        <w:rPr>
          <w:b/>
          <w:sz w:val="23"/>
        </w:rPr>
        <w:t>hypothesized</w:t>
      </w:r>
      <w:r>
        <w:rPr>
          <w:b/>
          <w:spacing w:val="19"/>
          <w:sz w:val="23"/>
        </w:rPr>
        <w:t xml:space="preserve"> </w:t>
      </w:r>
      <w:r>
        <w:rPr>
          <w:b/>
          <w:spacing w:val="-4"/>
          <w:sz w:val="23"/>
        </w:rPr>
        <w:t>that:</w:t>
      </w:r>
    </w:p>
    <w:p w:rsidR="00487D64" w:rsidRDefault="00487D64">
      <w:pPr>
        <w:pStyle w:val="BodyText"/>
        <w:spacing w:before="18"/>
        <w:rPr>
          <w:b/>
        </w:rPr>
      </w:pPr>
    </w:p>
    <w:p w:rsidR="00487D64" w:rsidRDefault="006F0D93">
      <w:pPr>
        <w:pStyle w:val="BodyText"/>
        <w:spacing w:line="496" w:lineRule="auto"/>
        <w:ind w:left="1419" w:right="864"/>
        <w:jc w:val="both"/>
      </w:pPr>
      <w:r>
        <w:rPr>
          <w:w w:val="105"/>
        </w:rPr>
        <w:t>H4 Strategic flexibility moderates</w:t>
      </w:r>
      <w:r>
        <w:rPr>
          <w:spacing w:val="-5"/>
          <w:w w:val="105"/>
        </w:rPr>
        <w:t xml:space="preserve"> </w:t>
      </w:r>
      <w:r>
        <w:rPr>
          <w:w w:val="105"/>
        </w:rPr>
        <w:t>the</w:t>
      </w:r>
      <w:r>
        <w:rPr>
          <w:spacing w:val="-4"/>
          <w:w w:val="105"/>
        </w:rPr>
        <w:t xml:space="preserve"> </w:t>
      </w:r>
      <w:r>
        <w:rPr>
          <w:w w:val="105"/>
        </w:rPr>
        <w:t>relationship</w:t>
      </w:r>
      <w:r>
        <w:rPr>
          <w:spacing w:val="-3"/>
          <w:w w:val="105"/>
        </w:rPr>
        <w:t xml:space="preserve"> </w:t>
      </w:r>
      <w:r>
        <w:rPr>
          <w:w w:val="105"/>
        </w:rPr>
        <w:t>between customer orientation</w:t>
      </w:r>
      <w:r>
        <w:rPr>
          <w:spacing w:val="-3"/>
          <w:w w:val="105"/>
        </w:rPr>
        <w:t xml:space="preserve"> </w:t>
      </w:r>
      <w:r>
        <w:rPr>
          <w:w w:val="105"/>
        </w:rPr>
        <w:t>and the sustainable competitiveness of special group SMEs in public procurement</w:t>
      </w:r>
    </w:p>
    <w:p w:rsidR="00487D64" w:rsidRDefault="006F0D93">
      <w:pPr>
        <w:pStyle w:val="BodyText"/>
        <w:spacing w:before="8" w:line="504" w:lineRule="auto"/>
        <w:ind w:left="1419" w:right="863"/>
        <w:jc w:val="both"/>
      </w:pPr>
      <w:r>
        <w:rPr>
          <w:w w:val="105"/>
        </w:rPr>
        <w:t>H5 Strategic flexibility moderates the relationship between competitor orientation and the sustainable competitiveness of special group SMEs in pub</w:t>
      </w:r>
      <w:r>
        <w:rPr>
          <w:w w:val="105"/>
        </w:rPr>
        <w:t>lic procurement.</w:t>
      </w:r>
    </w:p>
    <w:p w:rsidR="00487D64" w:rsidRDefault="006F0D93">
      <w:pPr>
        <w:pStyle w:val="BodyText"/>
        <w:spacing w:line="504" w:lineRule="auto"/>
        <w:ind w:left="1419" w:right="860"/>
        <w:jc w:val="both"/>
      </w:pPr>
      <w:r>
        <w:rPr>
          <w:w w:val="105"/>
        </w:rPr>
        <w:t>H6 Strategic flexibility moderates the relationship between functional coordination and the sustainable competitiveness of special group SMEs in public procurement.</w:t>
      </w:r>
    </w:p>
    <w:p w:rsidR="00487D64" w:rsidRDefault="006F0D93">
      <w:pPr>
        <w:pStyle w:val="BodyText"/>
        <w:spacing w:line="501" w:lineRule="auto"/>
        <w:ind w:left="1419" w:right="852"/>
        <w:jc w:val="both"/>
      </w:pPr>
      <w:r>
        <w:rPr>
          <w:w w:val="105"/>
        </w:rPr>
        <w:t>Lopez-Torres (2023) conducted a study in Mexico to measure the impact of s</w:t>
      </w:r>
      <w:r>
        <w:rPr>
          <w:w w:val="105"/>
        </w:rPr>
        <w:t>ustainability on competitiveness in SMES. The study applied SEM, and the results indicated a significant positive effect of SMEs’ sustainability on competitiveness. The adjusted measurement model shows validity and reliability through the various tests app</w:t>
      </w:r>
      <w:r>
        <w:rPr>
          <w:w w:val="105"/>
        </w:rPr>
        <w:t xml:space="preserve">lied. Thus, firms should not view sustainability as detrimental to their </w:t>
      </w:r>
      <w:r>
        <w:rPr>
          <w:spacing w:val="-2"/>
          <w:w w:val="105"/>
        </w:rPr>
        <w:t>competitiveness.</w:t>
      </w:r>
    </w:p>
    <w:p w:rsidR="00487D64" w:rsidRDefault="006F0D93">
      <w:pPr>
        <w:pStyle w:val="BodyText"/>
        <w:spacing w:before="224" w:line="501" w:lineRule="auto"/>
        <w:ind w:left="1419" w:right="844"/>
        <w:jc w:val="both"/>
      </w:pPr>
      <w:r>
        <w:rPr>
          <w:w w:val="105"/>
        </w:rPr>
        <w:t>Lopez-Torres, Montejano-García, Alvarez-Torres, and Perez-Ramos (2022) conducted a study on Sustainability for competitiveness in firms, a systematic literature revie</w:t>
      </w:r>
      <w:r>
        <w:rPr>
          <w:w w:val="105"/>
        </w:rPr>
        <w:t>w.</w:t>
      </w:r>
      <w:r>
        <w:rPr>
          <w:spacing w:val="-4"/>
          <w:w w:val="105"/>
        </w:rPr>
        <w:t xml:space="preserve"> </w:t>
      </w:r>
      <w:r>
        <w:rPr>
          <w:w w:val="105"/>
        </w:rPr>
        <w:t>The paper</w:t>
      </w:r>
      <w:r>
        <w:rPr>
          <w:spacing w:val="-2"/>
          <w:w w:val="105"/>
        </w:rPr>
        <w:t xml:space="preserve"> </w:t>
      </w:r>
      <w:r>
        <w:rPr>
          <w:w w:val="105"/>
        </w:rPr>
        <w:t>aimed to present a systematic review</w:t>
      </w:r>
      <w:r>
        <w:rPr>
          <w:spacing w:val="-1"/>
          <w:w w:val="105"/>
        </w:rPr>
        <w:t xml:space="preserve"> </w:t>
      </w:r>
      <w:r>
        <w:rPr>
          <w:w w:val="105"/>
        </w:rPr>
        <w:t>of</w:t>
      </w:r>
      <w:r>
        <w:rPr>
          <w:spacing w:val="-2"/>
          <w:w w:val="105"/>
        </w:rPr>
        <w:t xml:space="preserve"> </w:t>
      </w:r>
      <w:r>
        <w:rPr>
          <w:w w:val="105"/>
        </w:rPr>
        <w:t>the literature on sustainability for the competitiveness of firms to identify the state of the art, significant discussions, and new research directions. Findings from the paper revealed critical variabl</w:t>
      </w:r>
      <w:r>
        <w:rPr>
          <w:w w:val="105"/>
        </w:rPr>
        <w:t>es analyzed in the selected articles, sustainability strategies for competitiveness, strategies for sustainability, organizational aspects for sustainability and competitiveness, measurement of sustainability, models, moderating factors for sustainability,</w:t>
      </w:r>
      <w:r>
        <w:rPr>
          <w:w w:val="105"/>
        </w:rPr>
        <w:t xml:space="preserve"> and new future research directions.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6"/>
        <w:jc w:val="both"/>
      </w:pPr>
      <w:r>
        <w:rPr>
          <w:w w:val="105"/>
        </w:rPr>
        <w:t>Jewel</w:t>
      </w:r>
      <w:r>
        <w:rPr>
          <w:spacing w:val="-4"/>
          <w:w w:val="105"/>
        </w:rPr>
        <w:t xml:space="preserve"> </w:t>
      </w:r>
      <w:r>
        <w:rPr>
          <w:w w:val="105"/>
        </w:rPr>
        <w:t>and Ali</w:t>
      </w:r>
      <w:r>
        <w:rPr>
          <w:spacing w:val="-4"/>
          <w:w w:val="105"/>
        </w:rPr>
        <w:t xml:space="preserve"> </w:t>
      </w:r>
      <w:r>
        <w:rPr>
          <w:w w:val="105"/>
        </w:rPr>
        <w:t>(2023)</w:t>
      </w:r>
      <w:r>
        <w:rPr>
          <w:spacing w:val="-2"/>
          <w:w w:val="105"/>
        </w:rPr>
        <w:t xml:space="preserve"> </w:t>
      </w:r>
      <w:r>
        <w:rPr>
          <w:w w:val="105"/>
        </w:rPr>
        <w:t>conducted a study on addressing the SDGs</w:t>
      </w:r>
      <w:r>
        <w:rPr>
          <w:spacing w:val="-8"/>
          <w:w w:val="105"/>
        </w:rPr>
        <w:t xml:space="preserve"> </w:t>
      </w:r>
      <w:r>
        <w:rPr>
          <w:w w:val="105"/>
        </w:rPr>
        <w:t>through sustainable public</w:t>
      </w:r>
      <w:r>
        <w:rPr>
          <w:spacing w:val="-3"/>
          <w:w w:val="105"/>
        </w:rPr>
        <w:t xml:space="preserve"> </w:t>
      </w:r>
      <w:r>
        <w:rPr>
          <w:w w:val="105"/>
        </w:rPr>
        <w:t>procurement:</w:t>
      </w:r>
      <w:r>
        <w:rPr>
          <w:spacing w:val="-7"/>
          <w:w w:val="105"/>
        </w:rPr>
        <w:t xml:space="preserve"> </w:t>
      </w:r>
      <w:r>
        <w:rPr>
          <w:w w:val="105"/>
        </w:rPr>
        <w:t>a study</w:t>
      </w:r>
      <w:r>
        <w:rPr>
          <w:spacing w:val="-3"/>
          <w:w w:val="105"/>
        </w:rPr>
        <w:t xml:space="preserve"> </w:t>
      </w:r>
      <w:r>
        <w:rPr>
          <w:w w:val="105"/>
        </w:rPr>
        <w:t>on</w:t>
      </w:r>
      <w:r>
        <w:rPr>
          <w:spacing w:val="-9"/>
          <w:w w:val="105"/>
        </w:rPr>
        <w:t xml:space="preserve"> </w:t>
      </w:r>
      <w:r>
        <w:rPr>
          <w:w w:val="105"/>
        </w:rPr>
        <w:t>Bangladesh,</w:t>
      </w:r>
      <w:r>
        <w:rPr>
          <w:spacing w:val="-7"/>
          <w:w w:val="105"/>
        </w:rPr>
        <w:t xml:space="preserve"> </w:t>
      </w:r>
      <w:r>
        <w:rPr>
          <w:w w:val="105"/>
        </w:rPr>
        <w:t>to</w:t>
      </w:r>
      <w:r>
        <w:rPr>
          <w:spacing w:val="-3"/>
          <w:w w:val="105"/>
        </w:rPr>
        <w:t xml:space="preserve"> </w:t>
      </w:r>
      <w:r>
        <w:rPr>
          <w:w w:val="105"/>
        </w:rPr>
        <w:t>examine</w:t>
      </w:r>
      <w:r>
        <w:rPr>
          <w:spacing w:val="-1"/>
          <w:w w:val="105"/>
        </w:rPr>
        <w:t xml:space="preserve"> </w:t>
      </w:r>
      <w:r>
        <w:rPr>
          <w:w w:val="105"/>
        </w:rPr>
        <w:t>the</w:t>
      </w:r>
      <w:r>
        <w:rPr>
          <w:spacing w:val="-3"/>
          <w:w w:val="105"/>
        </w:rPr>
        <w:t xml:space="preserve"> </w:t>
      </w:r>
      <w:r>
        <w:rPr>
          <w:w w:val="105"/>
        </w:rPr>
        <w:t>existing</w:t>
      </w:r>
      <w:r>
        <w:rPr>
          <w:spacing w:val="-3"/>
          <w:w w:val="105"/>
        </w:rPr>
        <w:t xml:space="preserve"> </w:t>
      </w:r>
      <w:r>
        <w:rPr>
          <w:w w:val="105"/>
        </w:rPr>
        <w:t>legal framework supporting or constraining the</w:t>
      </w:r>
      <w:r>
        <w:rPr>
          <w:w w:val="105"/>
        </w:rPr>
        <w:t xml:space="preserve"> practice of Sustainable public procurement. The research used a mixed approach; the research findings denote that public procurement is fairly controlled by the Public Procurement Act and Rules, which emphasize economic factors, where social and environme</w:t>
      </w:r>
      <w:r>
        <w:rPr>
          <w:w w:val="105"/>
        </w:rPr>
        <w:t>ntal factors have not been significantly considered. The Government is yet to use procurement as a strategic tool to achieve the concerned SDGs goals. As a result, public procurement professionals</w:t>
      </w:r>
      <w:r>
        <w:rPr>
          <w:spacing w:val="-10"/>
          <w:w w:val="105"/>
        </w:rPr>
        <w:t xml:space="preserve"> </w:t>
      </w:r>
      <w:r>
        <w:rPr>
          <w:w w:val="105"/>
        </w:rPr>
        <w:t>are</w:t>
      </w:r>
      <w:r>
        <w:rPr>
          <w:spacing w:val="-2"/>
          <w:w w:val="105"/>
        </w:rPr>
        <w:t xml:space="preserve"> </w:t>
      </w:r>
      <w:r>
        <w:rPr>
          <w:w w:val="105"/>
        </w:rPr>
        <w:t>not sufficiently</w:t>
      </w:r>
      <w:r>
        <w:rPr>
          <w:spacing w:val="-7"/>
          <w:w w:val="105"/>
        </w:rPr>
        <w:t xml:space="preserve"> </w:t>
      </w:r>
      <w:r>
        <w:rPr>
          <w:w w:val="105"/>
        </w:rPr>
        <w:t>equipped</w:t>
      </w:r>
      <w:r>
        <w:rPr>
          <w:spacing w:val="-7"/>
          <w:w w:val="105"/>
        </w:rPr>
        <w:t xml:space="preserve"> </w:t>
      </w:r>
      <w:r>
        <w:rPr>
          <w:w w:val="105"/>
        </w:rPr>
        <w:t>with</w:t>
      </w:r>
      <w:r>
        <w:rPr>
          <w:spacing w:val="-13"/>
          <w:w w:val="105"/>
        </w:rPr>
        <w:t xml:space="preserve"> </w:t>
      </w:r>
      <w:r>
        <w:rPr>
          <w:w w:val="105"/>
        </w:rPr>
        <w:t>the</w:t>
      </w:r>
      <w:r>
        <w:rPr>
          <w:spacing w:val="-8"/>
          <w:w w:val="105"/>
        </w:rPr>
        <w:t xml:space="preserve"> </w:t>
      </w:r>
      <w:r>
        <w:rPr>
          <w:w w:val="105"/>
        </w:rPr>
        <w:t>required</w:t>
      </w:r>
      <w:r>
        <w:rPr>
          <w:spacing w:val="-13"/>
          <w:w w:val="105"/>
        </w:rPr>
        <w:t xml:space="preserve"> </w:t>
      </w:r>
      <w:r>
        <w:rPr>
          <w:w w:val="105"/>
        </w:rPr>
        <w:t>knowledge</w:t>
      </w:r>
      <w:r>
        <w:rPr>
          <w:spacing w:val="-8"/>
          <w:w w:val="105"/>
        </w:rPr>
        <w:t xml:space="preserve"> </w:t>
      </w:r>
      <w:r>
        <w:rPr>
          <w:w w:val="105"/>
        </w:rPr>
        <w:t>and</w:t>
      </w:r>
      <w:r>
        <w:rPr>
          <w:spacing w:val="-7"/>
          <w:w w:val="105"/>
        </w:rPr>
        <w:t xml:space="preserve"> </w:t>
      </w:r>
      <w:r>
        <w:rPr>
          <w:w w:val="105"/>
        </w:rPr>
        <w:t>concepts of SPP.</w:t>
      </w:r>
    </w:p>
    <w:p w:rsidR="00487D64" w:rsidRDefault="006F0D93">
      <w:pPr>
        <w:pStyle w:val="BodyText"/>
        <w:spacing w:before="235" w:line="501" w:lineRule="auto"/>
        <w:ind w:left="1419" w:right="846"/>
        <w:jc w:val="both"/>
      </w:pPr>
      <w:r>
        <w:rPr>
          <w:w w:val="105"/>
        </w:rPr>
        <w:t>This research also found that there are potential opportunities to practice SPP in the public sector through the inclusion of it in procurement regulations, as public procurement professionals are already used to following the procurem</w:t>
      </w:r>
      <w:r>
        <w:rPr>
          <w:w w:val="105"/>
        </w:rPr>
        <w:t>ent act and rules, and sustainability criteria are considered while development projects are selected. This research conveys the message of the participants from the public procurement professionals to the concerned government authority to take effective i</w:t>
      </w:r>
      <w:r>
        <w:rPr>
          <w:w w:val="105"/>
        </w:rPr>
        <w:t>nitiatives to incorporate SPP in the procurement legal system. There is a scope to conduct more studies and policy-level discussions to develop a country-specific policy framework so</w:t>
      </w:r>
      <w:r>
        <w:rPr>
          <w:spacing w:val="-3"/>
          <w:w w:val="105"/>
        </w:rPr>
        <w:t xml:space="preserve"> </w:t>
      </w:r>
      <w:r>
        <w:rPr>
          <w:w w:val="105"/>
        </w:rPr>
        <w:t>that it can be used</w:t>
      </w:r>
      <w:r>
        <w:rPr>
          <w:spacing w:val="-3"/>
          <w:w w:val="105"/>
        </w:rPr>
        <w:t xml:space="preserve"> </w:t>
      </w:r>
      <w:r>
        <w:rPr>
          <w:w w:val="105"/>
        </w:rPr>
        <w:t>as</w:t>
      </w:r>
      <w:r>
        <w:rPr>
          <w:spacing w:val="-5"/>
          <w:w w:val="105"/>
        </w:rPr>
        <w:t xml:space="preserve"> </w:t>
      </w:r>
      <w:r>
        <w:rPr>
          <w:w w:val="105"/>
        </w:rPr>
        <w:t>a strategic tool to</w:t>
      </w:r>
      <w:r>
        <w:rPr>
          <w:spacing w:val="-3"/>
          <w:w w:val="105"/>
        </w:rPr>
        <w:t xml:space="preserve"> </w:t>
      </w:r>
      <w:r>
        <w:rPr>
          <w:w w:val="105"/>
        </w:rPr>
        <w:t>achieve</w:t>
      </w:r>
      <w:r>
        <w:rPr>
          <w:spacing w:val="-4"/>
          <w:w w:val="105"/>
        </w:rPr>
        <w:t xml:space="preserve"> </w:t>
      </w:r>
      <w:r>
        <w:rPr>
          <w:w w:val="105"/>
        </w:rPr>
        <w:t>the SDGs.</w:t>
      </w:r>
    </w:p>
    <w:p w:rsidR="00487D64" w:rsidRDefault="00487D64">
      <w:pPr>
        <w:pStyle w:val="BodyText"/>
        <w:spacing w:before="5"/>
      </w:pPr>
    </w:p>
    <w:p w:rsidR="00487D64" w:rsidRDefault="006F0D93">
      <w:pPr>
        <w:pStyle w:val="BodyText"/>
        <w:spacing w:line="501" w:lineRule="auto"/>
        <w:ind w:left="1419" w:right="858"/>
        <w:jc w:val="both"/>
      </w:pPr>
      <w:r>
        <w:rPr>
          <w:w w:val="105"/>
        </w:rPr>
        <w:t>Alotaibi an</w:t>
      </w:r>
      <w:r>
        <w:rPr>
          <w:w w:val="105"/>
        </w:rPr>
        <w:t>d Zhang (2017) conducted a study on the relationship between export market orientation</w:t>
      </w:r>
      <w:r>
        <w:rPr>
          <w:spacing w:val="-3"/>
          <w:w w:val="105"/>
        </w:rPr>
        <w:t xml:space="preserve"> </w:t>
      </w:r>
      <w:r>
        <w:rPr>
          <w:w w:val="105"/>
        </w:rPr>
        <w:t>and export performance, with</w:t>
      </w:r>
      <w:r>
        <w:rPr>
          <w:spacing w:val="-3"/>
          <w:w w:val="105"/>
        </w:rPr>
        <w:t xml:space="preserve"> </w:t>
      </w:r>
      <w:r>
        <w:rPr>
          <w:w w:val="105"/>
        </w:rPr>
        <w:t>the main emphasis on investigating the relationship between export market orientation</w:t>
      </w:r>
      <w:r>
        <w:rPr>
          <w:spacing w:val="-2"/>
          <w:w w:val="105"/>
        </w:rPr>
        <w:t xml:space="preserve"> </w:t>
      </w:r>
      <w:r>
        <w:rPr>
          <w:w w:val="105"/>
        </w:rPr>
        <w:t>and export performance in Saudi Arabian</w:t>
      </w:r>
      <w:r>
        <w:rPr>
          <w:spacing w:val="42"/>
          <w:w w:val="105"/>
        </w:rPr>
        <w:t xml:space="preserve">  </w:t>
      </w:r>
      <w:r>
        <w:rPr>
          <w:w w:val="105"/>
        </w:rPr>
        <w:t>firms.</w:t>
      </w:r>
      <w:r>
        <w:rPr>
          <w:spacing w:val="36"/>
          <w:w w:val="105"/>
        </w:rPr>
        <w:t xml:space="preserve">  </w:t>
      </w:r>
      <w:r>
        <w:rPr>
          <w:w w:val="105"/>
        </w:rPr>
        <w:t>The</w:t>
      </w:r>
      <w:r>
        <w:rPr>
          <w:spacing w:val="38"/>
          <w:w w:val="105"/>
        </w:rPr>
        <w:t xml:space="preserve">  </w:t>
      </w:r>
      <w:r>
        <w:rPr>
          <w:w w:val="105"/>
        </w:rPr>
        <w:t>study</w:t>
      </w:r>
      <w:r>
        <w:rPr>
          <w:spacing w:val="39"/>
          <w:w w:val="105"/>
        </w:rPr>
        <w:t xml:space="preserve">  </w:t>
      </w:r>
      <w:r>
        <w:rPr>
          <w:w w:val="105"/>
        </w:rPr>
        <w:t>employed</w:t>
      </w:r>
      <w:r>
        <w:rPr>
          <w:spacing w:val="39"/>
          <w:w w:val="105"/>
        </w:rPr>
        <w:t xml:space="preserve">  </w:t>
      </w:r>
      <w:r>
        <w:rPr>
          <w:w w:val="105"/>
        </w:rPr>
        <w:t>structural</w:t>
      </w:r>
      <w:r>
        <w:rPr>
          <w:spacing w:val="40"/>
          <w:w w:val="105"/>
        </w:rPr>
        <w:t xml:space="preserve">  </w:t>
      </w:r>
      <w:r>
        <w:rPr>
          <w:w w:val="105"/>
        </w:rPr>
        <w:t>equation</w:t>
      </w:r>
      <w:r>
        <w:rPr>
          <w:spacing w:val="39"/>
          <w:w w:val="105"/>
        </w:rPr>
        <w:t xml:space="preserve">  </w:t>
      </w:r>
      <w:r>
        <w:rPr>
          <w:w w:val="105"/>
        </w:rPr>
        <w:t>modelling</w:t>
      </w:r>
      <w:r>
        <w:rPr>
          <w:spacing w:val="39"/>
          <w:w w:val="105"/>
        </w:rPr>
        <w:t xml:space="preserve">  </w:t>
      </w:r>
      <w:r>
        <w:rPr>
          <w:spacing w:val="-2"/>
          <w:w w:val="105"/>
        </w:rPr>
        <w:t>(SEM)</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7"/>
        <w:jc w:val="both"/>
      </w:pPr>
      <w:r>
        <w:rPr>
          <w:w w:val="105"/>
        </w:rPr>
        <w:t>implemented</w:t>
      </w:r>
      <w:r>
        <w:rPr>
          <w:spacing w:val="-8"/>
          <w:w w:val="105"/>
        </w:rPr>
        <w:t xml:space="preserve"> </w:t>
      </w:r>
      <w:r>
        <w:rPr>
          <w:w w:val="105"/>
        </w:rPr>
        <w:t>using</w:t>
      </w:r>
      <w:r>
        <w:rPr>
          <w:spacing w:val="-2"/>
          <w:w w:val="105"/>
        </w:rPr>
        <w:t xml:space="preserve"> </w:t>
      </w:r>
      <w:r>
        <w:rPr>
          <w:w w:val="105"/>
        </w:rPr>
        <w:t>AMOS</w:t>
      </w:r>
      <w:r>
        <w:rPr>
          <w:spacing w:val="-1"/>
          <w:w w:val="105"/>
        </w:rPr>
        <w:t xml:space="preserve"> </w:t>
      </w:r>
      <w:r>
        <w:rPr>
          <w:w w:val="105"/>
        </w:rPr>
        <w:t>software.</w:t>
      </w:r>
      <w:r>
        <w:rPr>
          <w:spacing w:val="-6"/>
          <w:w w:val="105"/>
        </w:rPr>
        <w:t xml:space="preserve"> </w:t>
      </w:r>
      <w:r>
        <w:rPr>
          <w:w w:val="105"/>
        </w:rPr>
        <w:t>Results</w:t>
      </w:r>
      <w:r>
        <w:rPr>
          <w:spacing w:val="-11"/>
          <w:w w:val="105"/>
        </w:rPr>
        <w:t xml:space="preserve"> </w:t>
      </w:r>
      <w:r>
        <w:rPr>
          <w:w w:val="105"/>
        </w:rPr>
        <w:t>of</w:t>
      </w:r>
      <w:r>
        <w:rPr>
          <w:spacing w:val="-3"/>
          <w:w w:val="105"/>
        </w:rPr>
        <w:t xml:space="preserve"> </w:t>
      </w:r>
      <w:r>
        <w:rPr>
          <w:w w:val="105"/>
        </w:rPr>
        <w:t>the</w:t>
      </w:r>
      <w:r>
        <w:rPr>
          <w:spacing w:val="-9"/>
          <w:w w:val="105"/>
        </w:rPr>
        <w:t xml:space="preserve"> </w:t>
      </w:r>
      <w:r>
        <w:rPr>
          <w:w w:val="105"/>
        </w:rPr>
        <w:t>SEM</w:t>
      </w:r>
      <w:r>
        <w:rPr>
          <w:spacing w:val="-7"/>
          <w:w w:val="105"/>
        </w:rPr>
        <w:t xml:space="preserve"> </w:t>
      </w:r>
      <w:r>
        <w:rPr>
          <w:w w:val="105"/>
        </w:rPr>
        <w:t>analysis</w:t>
      </w:r>
      <w:r>
        <w:rPr>
          <w:spacing w:val="-4"/>
          <w:w w:val="105"/>
        </w:rPr>
        <w:t xml:space="preserve"> </w:t>
      </w:r>
      <w:r>
        <w:rPr>
          <w:w w:val="105"/>
        </w:rPr>
        <w:t>showed</w:t>
      </w:r>
      <w:r>
        <w:rPr>
          <w:spacing w:val="-8"/>
          <w:w w:val="105"/>
        </w:rPr>
        <w:t xml:space="preserve"> </w:t>
      </w:r>
      <w:r>
        <w:rPr>
          <w:w w:val="105"/>
        </w:rPr>
        <w:t>that</w:t>
      </w:r>
      <w:r>
        <w:rPr>
          <w:spacing w:val="-6"/>
          <w:w w:val="105"/>
        </w:rPr>
        <w:t xml:space="preserve"> </w:t>
      </w:r>
      <w:r>
        <w:rPr>
          <w:w w:val="105"/>
        </w:rPr>
        <w:t>export market orientation has an impact on export performance. The mediator variable export strategy was</w:t>
      </w:r>
      <w:r>
        <w:rPr>
          <w:w w:val="105"/>
        </w:rPr>
        <w:t xml:space="preserve"> found to have a partial mediation role in the relationship. The literature on international trade is expanded by adding the perspective of Saudi export firms. Managers of export firms can employ the study to support their firm towards the effect of market</w:t>
      </w:r>
      <w:r>
        <w:rPr>
          <w:w w:val="105"/>
        </w:rPr>
        <w:t xml:space="preserve"> orientation on their performance.</w:t>
      </w:r>
    </w:p>
    <w:p w:rsidR="00487D64" w:rsidRDefault="006F0D93">
      <w:pPr>
        <w:pStyle w:val="BodyText"/>
        <w:spacing w:before="235" w:line="501" w:lineRule="auto"/>
        <w:ind w:left="1419" w:right="858"/>
        <w:jc w:val="both"/>
      </w:pPr>
      <w:r>
        <w:rPr>
          <w:w w:val="105"/>
        </w:rPr>
        <w:t>Guerra and Camargo (2024). Conducted a study on the Mediation of learning orientation</w:t>
      </w:r>
      <w:r>
        <w:rPr>
          <w:spacing w:val="-4"/>
          <w:w w:val="105"/>
        </w:rPr>
        <w:t xml:space="preserve"> </w:t>
      </w:r>
      <w:r>
        <w:rPr>
          <w:w w:val="105"/>
        </w:rPr>
        <w:t>on</w:t>
      </w:r>
      <w:r>
        <w:rPr>
          <w:spacing w:val="-4"/>
          <w:w w:val="105"/>
        </w:rPr>
        <w:t xml:space="preserve"> </w:t>
      </w:r>
      <w:r>
        <w:rPr>
          <w:w w:val="105"/>
        </w:rPr>
        <w:t>market</w:t>
      </w:r>
      <w:r>
        <w:rPr>
          <w:spacing w:val="-1"/>
          <w:w w:val="105"/>
        </w:rPr>
        <w:t xml:space="preserve"> </w:t>
      </w:r>
      <w:r>
        <w:rPr>
          <w:w w:val="105"/>
        </w:rPr>
        <w:t>orientation</w:t>
      </w:r>
      <w:r>
        <w:rPr>
          <w:spacing w:val="-10"/>
          <w:w w:val="105"/>
        </w:rPr>
        <w:t xml:space="preserve"> </w:t>
      </w:r>
      <w:r>
        <w:rPr>
          <w:w w:val="105"/>
        </w:rPr>
        <w:t>and</w:t>
      </w:r>
      <w:r>
        <w:rPr>
          <w:spacing w:val="-10"/>
          <w:w w:val="105"/>
        </w:rPr>
        <w:t xml:space="preserve"> </w:t>
      </w:r>
      <w:r>
        <w:rPr>
          <w:w w:val="105"/>
        </w:rPr>
        <w:t>business</w:t>
      </w:r>
      <w:r>
        <w:rPr>
          <w:spacing w:val="-5"/>
          <w:w w:val="105"/>
        </w:rPr>
        <w:t xml:space="preserve"> </w:t>
      </w:r>
      <w:r>
        <w:rPr>
          <w:w w:val="105"/>
        </w:rPr>
        <w:t>performance:</w:t>
      </w:r>
      <w:r>
        <w:rPr>
          <w:spacing w:val="-1"/>
          <w:w w:val="105"/>
        </w:rPr>
        <w:t xml:space="preserve"> </w:t>
      </w:r>
      <w:r>
        <w:rPr>
          <w:w w:val="105"/>
        </w:rPr>
        <w:t>evidence</w:t>
      </w:r>
      <w:r>
        <w:rPr>
          <w:spacing w:val="-4"/>
          <w:w w:val="105"/>
        </w:rPr>
        <w:t xml:space="preserve"> </w:t>
      </w:r>
      <w:r>
        <w:rPr>
          <w:w w:val="105"/>
        </w:rPr>
        <w:t>from</w:t>
      </w:r>
      <w:r>
        <w:rPr>
          <w:spacing w:val="-4"/>
          <w:w w:val="105"/>
        </w:rPr>
        <w:t xml:space="preserve"> </w:t>
      </w:r>
      <w:r>
        <w:rPr>
          <w:w w:val="105"/>
        </w:rPr>
        <w:t>Brazilian SMEs.</w:t>
      </w:r>
      <w:r>
        <w:rPr>
          <w:spacing w:val="-5"/>
          <w:w w:val="105"/>
        </w:rPr>
        <w:t xml:space="preserve"> </w:t>
      </w:r>
      <w:r>
        <w:rPr>
          <w:w w:val="105"/>
        </w:rPr>
        <w:t>The</w:t>
      </w:r>
      <w:r>
        <w:rPr>
          <w:spacing w:val="-1"/>
          <w:w w:val="105"/>
        </w:rPr>
        <w:t xml:space="preserve"> </w:t>
      </w:r>
      <w:r>
        <w:rPr>
          <w:w w:val="105"/>
        </w:rPr>
        <w:t>study aimed to investigate</w:t>
      </w:r>
      <w:r>
        <w:rPr>
          <w:spacing w:val="-1"/>
          <w:w w:val="105"/>
        </w:rPr>
        <w:t xml:space="preserve"> </w:t>
      </w:r>
      <w:r>
        <w:rPr>
          <w:w w:val="105"/>
        </w:rPr>
        <w:t>the</w:t>
      </w:r>
      <w:r>
        <w:rPr>
          <w:spacing w:val="-1"/>
          <w:w w:val="105"/>
        </w:rPr>
        <w:t xml:space="preserve"> </w:t>
      </w:r>
      <w:r>
        <w:rPr>
          <w:w w:val="105"/>
        </w:rPr>
        <w:t>mediating effect of</w:t>
      </w:r>
      <w:r>
        <w:rPr>
          <w:spacing w:val="-9"/>
          <w:w w:val="105"/>
        </w:rPr>
        <w:t xml:space="preserve"> </w:t>
      </w:r>
      <w:r>
        <w:rPr>
          <w:w w:val="105"/>
        </w:rPr>
        <w:t>le</w:t>
      </w:r>
      <w:r>
        <w:rPr>
          <w:w w:val="105"/>
        </w:rPr>
        <w:t>arning orientation on the market orientation and business performance of industrial Small and Medium Enterprises</w:t>
      </w:r>
      <w:r>
        <w:rPr>
          <w:spacing w:val="-2"/>
          <w:w w:val="105"/>
        </w:rPr>
        <w:t xml:space="preserve"> </w:t>
      </w:r>
      <w:r>
        <w:rPr>
          <w:w w:val="105"/>
        </w:rPr>
        <w:t>(SMEs) in the metal mechanics</w:t>
      </w:r>
      <w:r>
        <w:rPr>
          <w:spacing w:val="-2"/>
          <w:w w:val="105"/>
        </w:rPr>
        <w:t xml:space="preserve"> </w:t>
      </w:r>
      <w:r>
        <w:rPr>
          <w:w w:val="105"/>
        </w:rPr>
        <w:t>and wine sectors</w:t>
      </w:r>
      <w:r>
        <w:rPr>
          <w:spacing w:val="-2"/>
          <w:w w:val="105"/>
        </w:rPr>
        <w:t xml:space="preserve"> </w:t>
      </w:r>
      <w:r>
        <w:rPr>
          <w:w w:val="105"/>
        </w:rPr>
        <w:t>in southern Brazil. The survey</w:t>
      </w:r>
      <w:r>
        <w:rPr>
          <w:spacing w:val="-7"/>
          <w:w w:val="105"/>
        </w:rPr>
        <w:t xml:space="preserve"> </w:t>
      </w:r>
      <w:r>
        <w:rPr>
          <w:w w:val="105"/>
        </w:rPr>
        <w:t>results</w:t>
      </w:r>
      <w:r>
        <w:rPr>
          <w:spacing w:val="-3"/>
          <w:w w:val="105"/>
        </w:rPr>
        <w:t xml:space="preserve"> </w:t>
      </w:r>
      <w:r>
        <w:rPr>
          <w:w w:val="105"/>
        </w:rPr>
        <w:t>showed</w:t>
      </w:r>
      <w:r>
        <w:rPr>
          <w:spacing w:val="-1"/>
          <w:w w:val="105"/>
        </w:rPr>
        <w:t xml:space="preserve"> </w:t>
      </w:r>
      <w:r>
        <w:rPr>
          <w:w w:val="105"/>
        </w:rPr>
        <w:t>that there</w:t>
      </w:r>
      <w:r>
        <w:rPr>
          <w:spacing w:val="-8"/>
          <w:w w:val="105"/>
        </w:rPr>
        <w:t xml:space="preserve"> </w:t>
      </w:r>
      <w:r>
        <w:rPr>
          <w:w w:val="105"/>
        </w:rPr>
        <w:t>is</w:t>
      </w:r>
      <w:r>
        <w:rPr>
          <w:spacing w:val="-9"/>
          <w:w w:val="105"/>
        </w:rPr>
        <w:t xml:space="preserve"> </w:t>
      </w:r>
      <w:r>
        <w:rPr>
          <w:w w:val="105"/>
        </w:rPr>
        <w:t>a</w:t>
      </w:r>
      <w:r>
        <w:rPr>
          <w:spacing w:val="-2"/>
          <w:w w:val="105"/>
        </w:rPr>
        <w:t xml:space="preserve"> </w:t>
      </w:r>
      <w:r>
        <w:rPr>
          <w:w w:val="105"/>
        </w:rPr>
        <w:t>positive</w:t>
      </w:r>
      <w:r>
        <w:rPr>
          <w:spacing w:val="-8"/>
          <w:w w:val="105"/>
        </w:rPr>
        <w:t xml:space="preserve"> </w:t>
      </w:r>
      <w:r>
        <w:rPr>
          <w:w w:val="105"/>
        </w:rPr>
        <w:t>and</w:t>
      </w:r>
      <w:r>
        <w:rPr>
          <w:spacing w:val="-1"/>
          <w:w w:val="105"/>
        </w:rPr>
        <w:t xml:space="preserve"> </w:t>
      </w:r>
      <w:r>
        <w:rPr>
          <w:w w:val="105"/>
        </w:rPr>
        <w:t>significant</w:t>
      </w:r>
      <w:r>
        <w:rPr>
          <w:spacing w:val="-5"/>
          <w:w w:val="105"/>
        </w:rPr>
        <w:t xml:space="preserve"> </w:t>
      </w:r>
      <w:r>
        <w:rPr>
          <w:w w:val="105"/>
        </w:rPr>
        <w:t>relations</w:t>
      </w:r>
      <w:r>
        <w:rPr>
          <w:w w:val="105"/>
        </w:rPr>
        <w:t>hip</w:t>
      </w:r>
      <w:r>
        <w:rPr>
          <w:spacing w:val="-1"/>
          <w:w w:val="105"/>
        </w:rPr>
        <w:t xml:space="preserve"> </w:t>
      </w:r>
      <w:r>
        <w:rPr>
          <w:w w:val="105"/>
        </w:rPr>
        <w:t>between</w:t>
      </w:r>
      <w:r>
        <w:rPr>
          <w:spacing w:val="-7"/>
          <w:w w:val="105"/>
        </w:rPr>
        <w:t xml:space="preserve"> </w:t>
      </w:r>
      <w:r>
        <w:rPr>
          <w:w w:val="105"/>
        </w:rPr>
        <w:t>the variables market orientation, learning orientation, and business performance in the investigated sectors. Learning orientation mediates the relationship between market orientation and business performance.</w:t>
      </w:r>
    </w:p>
    <w:p w:rsidR="00487D64" w:rsidRDefault="006F0D93">
      <w:pPr>
        <w:pStyle w:val="BodyText"/>
        <w:spacing w:before="240" w:line="501" w:lineRule="auto"/>
        <w:ind w:left="1419" w:right="848"/>
        <w:jc w:val="both"/>
      </w:pPr>
      <w:r>
        <w:rPr>
          <w:w w:val="105"/>
        </w:rPr>
        <w:t>Gligor, Gölgeci, Newman, and</w:t>
      </w:r>
      <w:r>
        <w:rPr>
          <w:w w:val="105"/>
        </w:rPr>
        <w:t xml:space="preserve"> Bozkurt (2021) On their study on the performance implications</w:t>
      </w:r>
      <w:r>
        <w:rPr>
          <w:spacing w:val="-3"/>
          <w:w w:val="105"/>
        </w:rPr>
        <w:t xml:space="preserve"> </w:t>
      </w:r>
      <w:r>
        <w:rPr>
          <w:w w:val="105"/>
        </w:rPr>
        <w:t>of</w:t>
      </w:r>
      <w:r>
        <w:rPr>
          <w:spacing w:val="-10"/>
          <w:w w:val="105"/>
        </w:rPr>
        <w:t xml:space="preserve"> </w:t>
      </w:r>
      <w:r>
        <w:rPr>
          <w:w w:val="105"/>
        </w:rPr>
        <w:t>the</w:t>
      </w:r>
      <w:r>
        <w:rPr>
          <w:spacing w:val="-2"/>
          <w:w w:val="105"/>
        </w:rPr>
        <w:t xml:space="preserve"> </w:t>
      </w:r>
      <w:r>
        <w:rPr>
          <w:w w:val="105"/>
        </w:rPr>
        <w:t>buyer-supplier market</w:t>
      </w:r>
      <w:r>
        <w:rPr>
          <w:spacing w:val="-5"/>
          <w:w w:val="105"/>
        </w:rPr>
        <w:t xml:space="preserve"> </w:t>
      </w:r>
      <w:r>
        <w:rPr>
          <w:w w:val="105"/>
        </w:rPr>
        <w:t>orientation, fit in</w:t>
      </w:r>
      <w:r>
        <w:rPr>
          <w:spacing w:val="-1"/>
          <w:w w:val="105"/>
        </w:rPr>
        <w:t xml:space="preserve"> </w:t>
      </w:r>
      <w:r>
        <w:rPr>
          <w:w w:val="105"/>
        </w:rPr>
        <w:t>the</w:t>
      </w:r>
      <w:r>
        <w:rPr>
          <w:spacing w:val="-2"/>
          <w:w w:val="105"/>
        </w:rPr>
        <w:t xml:space="preserve"> </w:t>
      </w:r>
      <w:r>
        <w:rPr>
          <w:w w:val="105"/>
        </w:rPr>
        <w:t>USA. The</w:t>
      </w:r>
      <w:r>
        <w:rPr>
          <w:spacing w:val="-2"/>
          <w:w w:val="105"/>
        </w:rPr>
        <w:t xml:space="preserve"> </w:t>
      </w:r>
      <w:r>
        <w:rPr>
          <w:w w:val="105"/>
        </w:rPr>
        <w:t>aim was</w:t>
      </w:r>
      <w:r>
        <w:rPr>
          <w:spacing w:val="-9"/>
          <w:w w:val="105"/>
        </w:rPr>
        <w:t xml:space="preserve"> </w:t>
      </w:r>
      <w:r>
        <w:rPr>
          <w:w w:val="105"/>
        </w:rPr>
        <w:t>to examine the link between market orientation and performance offer a few insights into how the interplay between a firm’s</w:t>
      </w:r>
      <w:r>
        <w:rPr>
          <w:w w:val="105"/>
        </w:rPr>
        <w:t xml:space="preserve"> market orientation (MO) and its key supplier’s MO influences the firm’s performance. The findings indicate a direct and positive</w:t>
      </w:r>
      <w:r>
        <w:rPr>
          <w:spacing w:val="-6"/>
          <w:w w:val="105"/>
        </w:rPr>
        <w:t xml:space="preserve"> </w:t>
      </w:r>
      <w:r>
        <w:rPr>
          <w:w w:val="105"/>
        </w:rPr>
        <w:t>relationship between MO fit and ROA. This highlights the need for firms to focus both on their own MO and their key suppliers’</w:t>
      </w:r>
      <w:r>
        <w:rPr>
          <w:w w:val="105"/>
        </w:rPr>
        <w:t xml:space="preserve"> MO as sources of competitive advantage</w:t>
      </w:r>
      <w:r>
        <w:rPr>
          <w:spacing w:val="-1"/>
          <w:w w:val="105"/>
        </w:rPr>
        <w:t xml:space="preserve"> </w:t>
      </w:r>
      <w:r>
        <w:rPr>
          <w:w w:val="105"/>
        </w:rPr>
        <w:t>in today’s business environment. The strength of</w:t>
      </w:r>
      <w:r>
        <w:rPr>
          <w:spacing w:val="-3"/>
          <w:w w:val="105"/>
        </w:rPr>
        <w:t xml:space="preserve"> </w:t>
      </w:r>
      <w:r>
        <w:rPr>
          <w:w w:val="105"/>
        </w:rPr>
        <w:t>the</w:t>
      </w:r>
      <w:r>
        <w:rPr>
          <w:spacing w:val="-1"/>
          <w:w w:val="105"/>
        </w:rPr>
        <w:t xml:space="preserve"> </w:t>
      </w:r>
      <w:r>
        <w:rPr>
          <w:w w:val="105"/>
        </w:rPr>
        <w:t>relationship between</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7"/>
        <w:jc w:val="both"/>
      </w:pPr>
      <w:r>
        <w:rPr>
          <w:w w:val="105"/>
        </w:rPr>
        <w:t>MO fit and ROA increases when the exchanged business volume increases between the</w:t>
      </w:r>
      <w:r>
        <w:rPr>
          <w:spacing w:val="-1"/>
          <w:w w:val="105"/>
        </w:rPr>
        <w:t xml:space="preserve"> </w:t>
      </w:r>
      <w:r>
        <w:rPr>
          <w:w w:val="105"/>
        </w:rPr>
        <w:t>focal firm</w:t>
      </w:r>
      <w:r>
        <w:rPr>
          <w:spacing w:val="-7"/>
          <w:w w:val="105"/>
        </w:rPr>
        <w:t xml:space="preserve"> </w:t>
      </w:r>
      <w:r>
        <w:rPr>
          <w:w w:val="105"/>
        </w:rPr>
        <w:t>and its</w:t>
      </w:r>
      <w:r>
        <w:rPr>
          <w:spacing w:val="-2"/>
          <w:w w:val="105"/>
        </w:rPr>
        <w:t xml:space="preserve"> </w:t>
      </w:r>
      <w:r>
        <w:rPr>
          <w:w w:val="105"/>
        </w:rPr>
        <w:t>supplier</w:t>
      </w:r>
      <w:r>
        <w:rPr>
          <w:spacing w:val="-3"/>
          <w:w w:val="105"/>
        </w:rPr>
        <w:t xml:space="preserve"> </w:t>
      </w:r>
      <w:r>
        <w:rPr>
          <w:w w:val="105"/>
        </w:rPr>
        <w:t>and when</w:t>
      </w:r>
      <w:r>
        <w:rPr>
          <w:spacing w:val="-6"/>
          <w:w w:val="105"/>
        </w:rPr>
        <w:t xml:space="preserve"> </w:t>
      </w:r>
      <w:r>
        <w:rPr>
          <w:w w:val="105"/>
        </w:rPr>
        <w:t>t</w:t>
      </w:r>
      <w:r>
        <w:rPr>
          <w:w w:val="105"/>
        </w:rPr>
        <w:t>he</w:t>
      </w:r>
      <w:r>
        <w:rPr>
          <w:spacing w:val="-7"/>
          <w:w w:val="105"/>
        </w:rPr>
        <w:t xml:space="preserve"> </w:t>
      </w:r>
      <w:r>
        <w:rPr>
          <w:w w:val="105"/>
        </w:rPr>
        <w:t>respective</w:t>
      </w:r>
      <w:r>
        <w:rPr>
          <w:spacing w:val="-7"/>
          <w:w w:val="105"/>
        </w:rPr>
        <w:t xml:space="preserve"> </w:t>
      </w:r>
      <w:r>
        <w:rPr>
          <w:w w:val="105"/>
        </w:rPr>
        <w:t>relationship</w:t>
      </w:r>
      <w:r>
        <w:rPr>
          <w:spacing w:val="-6"/>
          <w:w w:val="105"/>
        </w:rPr>
        <w:t xml:space="preserve"> </w:t>
      </w:r>
      <w:r>
        <w:rPr>
          <w:w w:val="105"/>
        </w:rPr>
        <w:t>progresses</w:t>
      </w:r>
      <w:r>
        <w:rPr>
          <w:spacing w:val="-8"/>
          <w:w w:val="105"/>
        </w:rPr>
        <w:t xml:space="preserve"> </w:t>
      </w:r>
      <w:r>
        <w:rPr>
          <w:w w:val="105"/>
        </w:rPr>
        <w:t>in</w:t>
      </w:r>
      <w:r>
        <w:rPr>
          <w:spacing w:val="-6"/>
          <w:w w:val="105"/>
        </w:rPr>
        <w:t xml:space="preserve"> </w:t>
      </w:r>
      <w:r>
        <w:rPr>
          <w:w w:val="105"/>
        </w:rPr>
        <w:t>age. Furthermore, firms with</w:t>
      </w:r>
      <w:r>
        <w:rPr>
          <w:spacing w:val="-2"/>
          <w:w w:val="105"/>
        </w:rPr>
        <w:t xml:space="preserve"> </w:t>
      </w:r>
      <w:r>
        <w:rPr>
          <w:w w:val="105"/>
        </w:rPr>
        <w:t>MO fit</w:t>
      </w:r>
      <w:r>
        <w:rPr>
          <w:spacing w:val="-7"/>
          <w:w w:val="105"/>
        </w:rPr>
        <w:t xml:space="preserve"> </w:t>
      </w:r>
      <w:r>
        <w:rPr>
          <w:w w:val="105"/>
        </w:rPr>
        <w:t>perform</w:t>
      </w:r>
      <w:r>
        <w:rPr>
          <w:spacing w:val="-3"/>
          <w:w w:val="105"/>
        </w:rPr>
        <w:t xml:space="preserve"> </w:t>
      </w:r>
      <w:r>
        <w:rPr>
          <w:w w:val="105"/>
        </w:rPr>
        <w:t>best, followed</w:t>
      </w:r>
      <w:r>
        <w:rPr>
          <w:spacing w:val="-2"/>
          <w:w w:val="105"/>
        </w:rPr>
        <w:t xml:space="preserve"> </w:t>
      </w:r>
      <w:r>
        <w:rPr>
          <w:w w:val="105"/>
        </w:rPr>
        <w:t>by</w:t>
      </w:r>
      <w:r>
        <w:rPr>
          <w:spacing w:val="-2"/>
          <w:w w:val="105"/>
        </w:rPr>
        <w:t xml:space="preserve"> </w:t>
      </w:r>
      <w:r>
        <w:rPr>
          <w:w w:val="105"/>
        </w:rPr>
        <w:t>firms</w:t>
      </w:r>
      <w:r>
        <w:rPr>
          <w:spacing w:val="-4"/>
          <w:w w:val="105"/>
        </w:rPr>
        <w:t xml:space="preserve"> </w:t>
      </w:r>
      <w:r>
        <w:rPr>
          <w:w w:val="105"/>
        </w:rPr>
        <w:t>with</w:t>
      </w:r>
      <w:r>
        <w:rPr>
          <w:spacing w:val="-8"/>
          <w:w w:val="105"/>
        </w:rPr>
        <w:t xml:space="preserve"> </w:t>
      </w:r>
      <w:r>
        <w:rPr>
          <w:w w:val="105"/>
        </w:rPr>
        <w:t>higher</w:t>
      </w:r>
      <w:r>
        <w:rPr>
          <w:spacing w:val="-5"/>
          <w:w w:val="105"/>
        </w:rPr>
        <w:t xml:space="preserve"> </w:t>
      </w:r>
      <w:r>
        <w:rPr>
          <w:w w:val="105"/>
        </w:rPr>
        <w:t>supplier MO misfit (the firm’s MO is lower than its key supplier’s MO), while firms with lower supplier MO misfit (the firm’s MO is hig</w:t>
      </w:r>
      <w:r>
        <w:rPr>
          <w:w w:val="105"/>
        </w:rPr>
        <w:t>her than its key supplier’s MO) are the laggards.</w:t>
      </w:r>
    </w:p>
    <w:p w:rsidR="00487D64" w:rsidRDefault="006F0D93">
      <w:pPr>
        <w:pStyle w:val="BodyText"/>
        <w:spacing w:before="235" w:line="501" w:lineRule="auto"/>
        <w:ind w:left="1419" w:right="848"/>
        <w:jc w:val="both"/>
      </w:pPr>
      <w:r>
        <w:rPr>
          <w:w w:val="105"/>
        </w:rPr>
        <w:t xml:space="preserve">Royo-Vela, Amezquita Salazar, and Puig Blanco (2022) studied Market orientation in service clusters and its effect on the marketing performance of SMEs. The main objective is to address research gaps about </w:t>
      </w:r>
      <w:r>
        <w:rPr>
          <w:w w:val="105"/>
        </w:rPr>
        <w:t>the relationship between market orientation and marketing performance when small- and medium-sized enterprises (SMEs) are located within a service cluster. The study applied SMARTPLS, and the results showed that, among the SMEs, membership in an urban serv</w:t>
      </w:r>
      <w:r>
        <w:rPr>
          <w:w w:val="105"/>
        </w:rPr>
        <w:t>ices cluster did not significantly influence marketing performance or the implementation of market orientation practices. No differences were observed in internal managerial practices implemented between companies that were collocated and isolated. However</w:t>
      </w:r>
      <w:r>
        <w:rPr>
          <w:w w:val="105"/>
        </w:rPr>
        <w:t xml:space="preserve">, a higher level of competitor orientation was associated with greater marketing performance. Given the verified absence of moderating and mediating effects, our work provides a reasonable basis for proposing future research and practical recommendations. </w:t>
      </w:r>
      <w:r>
        <w:rPr>
          <w:w w:val="105"/>
        </w:rPr>
        <w:t>Table 2.4 shows previous studies.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after="13" w:line="499" w:lineRule="auto"/>
        <w:ind w:left="2982" w:right="852" w:hanging="1564"/>
        <w:jc w:val="both"/>
        <w:rPr>
          <w:b/>
          <w:sz w:val="23"/>
        </w:rPr>
      </w:pPr>
      <w:r>
        <w:rPr>
          <w:b/>
          <w:w w:val="105"/>
          <w:sz w:val="23"/>
        </w:rPr>
        <w:t>Table 2. 4: Previous Studies on Strategic Flexibility Moderation and the Relationship between MO and Sustainable Competitiveness in Public</w:t>
      </w:r>
      <w:r>
        <w:rPr>
          <w:b/>
          <w:spacing w:val="40"/>
          <w:w w:val="105"/>
          <w:sz w:val="23"/>
        </w:rPr>
        <w:t xml:space="preserve"> </w:t>
      </w:r>
      <w:r>
        <w:rPr>
          <w:b/>
          <w:w w:val="105"/>
          <w:sz w:val="23"/>
        </w:rPr>
        <w:t>Procurement</w:t>
      </w:r>
    </w:p>
    <w:tbl>
      <w:tblPr>
        <w:tblW w:w="0" w:type="auto"/>
        <w:tblInd w:w="1376" w:type="dxa"/>
        <w:tblLayout w:type="fixed"/>
        <w:tblCellMar>
          <w:left w:w="0" w:type="dxa"/>
          <w:right w:w="0" w:type="dxa"/>
        </w:tblCellMar>
        <w:tblLook w:val="01E0" w:firstRow="1" w:lastRow="1" w:firstColumn="1" w:lastColumn="1" w:noHBand="0" w:noVBand="0"/>
      </w:tblPr>
      <w:tblGrid>
        <w:gridCol w:w="1484"/>
        <w:gridCol w:w="1559"/>
        <w:gridCol w:w="1598"/>
        <w:gridCol w:w="1562"/>
        <w:gridCol w:w="2120"/>
      </w:tblGrid>
      <w:tr w:rsidR="00487D64">
        <w:trPr>
          <w:trHeight w:val="491"/>
        </w:trPr>
        <w:tc>
          <w:tcPr>
            <w:tcW w:w="1484" w:type="dxa"/>
            <w:tcBorders>
              <w:top w:val="double" w:sz="4" w:space="0" w:color="000000"/>
              <w:bottom w:val="single" w:sz="4" w:space="0" w:color="000000"/>
            </w:tcBorders>
          </w:tcPr>
          <w:p w:rsidR="00487D64" w:rsidRDefault="006F0D93">
            <w:pPr>
              <w:pStyle w:val="TableParagraph"/>
              <w:spacing w:before="11" w:line="230" w:lineRule="atLeast"/>
              <w:ind w:left="540" w:right="205" w:hanging="318"/>
              <w:rPr>
                <w:b/>
                <w:sz w:val="20"/>
              </w:rPr>
            </w:pPr>
            <w:r>
              <w:rPr>
                <w:b/>
                <w:sz w:val="20"/>
              </w:rPr>
              <w:t>Author(s)</w:t>
            </w:r>
            <w:r>
              <w:rPr>
                <w:b/>
                <w:spacing w:val="-13"/>
                <w:sz w:val="20"/>
              </w:rPr>
              <w:t xml:space="preserve"> </w:t>
            </w:r>
            <w:r>
              <w:rPr>
                <w:b/>
                <w:sz w:val="20"/>
              </w:rPr>
              <w:t xml:space="preserve">&amp; </w:t>
            </w:r>
            <w:r>
              <w:rPr>
                <w:b/>
                <w:spacing w:val="-4"/>
                <w:sz w:val="20"/>
              </w:rPr>
              <w:t>Year</w:t>
            </w:r>
          </w:p>
        </w:tc>
        <w:tc>
          <w:tcPr>
            <w:tcW w:w="1559" w:type="dxa"/>
            <w:tcBorders>
              <w:top w:val="double" w:sz="4" w:space="0" w:color="000000"/>
              <w:bottom w:val="single" w:sz="4" w:space="0" w:color="000000"/>
            </w:tcBorders>
          </w:tcPr>
          <w:p w:rsidR="00487D64" w:rsidRDefault="006F0D93">
            <w:pPr>
              <w:pStyle w:val="TableParagraph"/>
              <w:spacing w:before="140"/>
              <w:ind w:left="100"/>
              <w:rPr>
                <w:b/>
                <w:sz w:val="20"/>
              </w:rPr>
            </w:pPr>
            <w:r>
              <w:rPr>
                <w:b/>
                <w:spacing w:val="-2"/>
                <w:sz w:val="20"/>
              </w:rPr>
              <w:t>Objective/Focus</w:t>
            </w:r>
          </w:p>
        </w:tc>
        <w:tc>
          <w:tcPr>
            <w:tcW w:w="1598" w:type="dxa"/>
            <w:tcBorders>
              <w:top w:val="double" w:sz="4" w:space="0" w:color="000000"/>
              <w:bottom w:val="single" w:sz="4" w:space="0" w:color="000000"/>
            </w:tcBorders>
          </w:tcPr>
          <w:p w:rsidR="00487D64" w:rsidRDefault="006F0D93">
            <w:pPr>
              <w:pStyle w:val="TableParagraph"/>
              <w:spacing w:before="140"/>
              <w:ind w:left="62"/>
              <w:rPr>
                <w:b/>
                <w:sz w:val="20"/>
              </w:rPr>
            </w:pPr>
            <w:r>
              <w:rPr>
                <w:b/>
                <w:spacing w:val="-2"/>
                <w:sz w:val="20"/>
              </w:rPr>
              <w:t>Location/Context</w:t>
            </w:r>
          </w:p>
        </w:tc>
        <w:tc>
          <w:tcPr>
            <w:tcW w:w="1562" w:type="dxa"/>
            <w:tcBorders>
              <w:top w:val="double" w:sz="4" w:space="0" w:color="000000"/>
              <w:bottom w:val="single" w:sz="4" w:space="0" w:color="000000"/>
            </w:tcBorders>
          </w:tcPr>
          <w:p w:rsidR="00487D64" w:rsidRDefault="006F0D93">
            <w:pPr>
              <w:pStyle w:val="TableParagraph"/>
              <w:spacing w:before="140"/>
              <w:ind w:left="63"/>
              <w:rPr>
                <w:b/>
                <w:sz w:val="20"/>
              </w:rPr>
            </w:pPr>
            <w:r>
              <w:rPr>
                <w:b/>
                <w:spacing w:val="-2"/>
                <w:sz w:val="20"/>
              </w:rPr>
              <w:t>Method/Analysis</w:t>
            </w:r>
          </w:p>
        </w:tc>
        <w:tc>
          <w:tcPr>
            <w:tcW w:w="2120" w:type="dxa"/>
            <w:tcBorders>
              <w:top w:val="double" w:sz="4" w:space="0" w:color="000000"/>
              <w:bottom w:val="single" w:sz="4" w:space="0" w:color="000000"/>
            </w:tcBorders>
          </w:tcPr>
          <w:p w:rsidR="00487D64" w:rsidRDefault="006F0D93">
            <w:pPr>
              <w:pStyle w:val="TableParagraph"/>
              <w:spacing w:before="140"/>
              <w:ind w:left="489"/>
              <w:rPr>
                <w:b/>
                <w:sz w:val="20"/>
              </w:rPr>
            </w:pPr>
            <w:r>
              <w:rPr>
                <w:b/>
                <w:sz w:val="20"/>
              </w:rPr>
              <w:t>Key</w:t>
            </w:r>
            <w:r>
              <w:rPr>
                <w:b/>
                <w:spacing w:val="-5"/>
                <w:sz w:val="20"/>
              </w:rPr>
              <w:t xml:space="preserve"> </w:t>
            </w:r>
            <w:r>
              <w:rPr>
                <w:b/>
                <w:spacing w:val="-2"/>
                <w:sz w:val="20"/>
              </w:rPr>
              <w:t>Findings</w:t>
            </w:r>
          </w:p>
        </w:tc>
      </w:tr>
      <w:tr w:rsidR="00487D64">
        <w:trPr>
          <w:trHeight w:val="1230"/>
        </w:trPr>
        <w:tc>
          <w:tcPr>
            <w:tcW w:w="1484" w:type="dxa"/>
            <w:tcBorders>
              <w:top w:val="single" w:sz="4" w:space="0" w:color="000000"/>
            </w:tcBorders>
          </w:tcPr>
          <w:p w:rsidR="00487D64" w:rsidRDefault="00487D64">
            <w:pPr>
              <w:pStyle w:val="TableParagraph"/>
              <w:rPr>
                <w:b/>
                <w:sz w:val="20"/>
              </w:rPr>
            </w:pPr>
          </w:p>
          <w:p w:rsidR="00487D64" w:rsidRDefault="00487D64">
            <w:pPr>
              <w:pStyle w:val="TableParagraph"/>
              <w:spacing w:before="43"/>
              <w:rPr>
                <w:b/>
                <w:sz w:val="20"/>
              </w:rPr>
            </w:pPr>
          </w:p>
          <w:p w:rsidR="00487D64" w:rsidRDefault="006F0D93">
            <w:pPr>
              <w:pStyle w:val="TableParagraph"/>
              <w:ind w:right="68"/>
              <w:jc w:val="center"/>
              <w:rPr>
                <w:sz w:val="20"/>
              </w:rPr>
            </w:pPr>
            <w:r>
              <w:rPr>
                <w:spacing w:val="-2"/>
                <w:sz w:val="20"/>
              </w:rPr>
              <w:t>Brozovic</w:t>
            </w:r>
            <w:r>
              <w:rPr>
                <w:spacing w:val="1"/>
                <w:sz w:val="20"/>
              </w:rPr>
              <w:t xml:space="preserve"> </w:t>
            </w:r>
            <w:r>
              <w:rPr>
                <w:spacing w:val="-2"/>
                <w:sz w:val="20"/>
              </w:rPr>
              <w:t>(2023)</w:t>
            </w:r>
          </w:p>
        </w:tc>
        <w:tc>
          <w:tcPr>
            <w:tcW w:w="1559" w:type="dxa"/>
            <w:tcBorders>
              <w:top w:val="single" w:sz="4" w:space="0" w:color="000000"/>
            </w:tcBorders>
          </w:tcPr>
          <w:p w:rsidR="00487D64" w:rsidRDefault="006F0D93">
            <w:pPr>
              <w:pStyle w:val="TableParagraph"/>
              <w:spacing w:before="166" w:line="237" w:lineRule="auto"/>
              <w:ind w:left="36" w:right="155"/>
              <w:rPr>
                <w:sz w:val="20"/>
              </w:rPr>
            </w:pPr>
            <w:r>
              <w:rPr>
                <w:spacing w:val="-2"/>
                <w:sz w:val="20"/>
              </w:rPr>
              <w:t xml:space="preserve">Reviewed </w:t>
            </w:r>
            <w:r>
              <w:rPr>
                <w:sz w:val="20"/>
              </w:rPr>
              <w:t>empirical</w:t>
            </w:r>
            <w:r>
              <w:rPr>
                <w:spacing w:val="-13"/>
                <w:sz w:val="20"/>
              </w:rPr>
              <w:t xml:space="preserve"> </w:t>
            </w:r>
            <w:r>
              <w:rPr>
                <w:sz w:val="20"/>
              </w:rPr>
              <w:t>studies on MO–SC</w:t>
            </w:r>
          </w:p>
          <w:p w:rsidR="00487D64" w:rsidRDefault="006F0D93">
            <w:pPr>
              <w:pStyle w:val="TableParagraph"/>
              <w:spacing w:line="229" w:lineRule="exact"/>
              <w:ind w:left="36"/>
              <w:rPr>
                <w:sz w:val="20"/>
              </w:rPr>
            </w:pPr>
            <w:r>
              <w:rPr>
                <w:spacing w:val="-2"/>
                <w:sz w:val="20"/>
              </w:rPr>
              <w:t>relationship</w:t>
            </w:r>
          </w:p>
        </w:tc>
        <w:tc>
          <w:tcPr>
            <w:tcW w:w="1598" w:type="dxa"/>
            <w:tcBorders>
              <w:top w:val="single" w:sz="4" w:space="0" w:color="000000"/>
            </w:tcBorders>
          </w:tcPr>
          <w:p w:rsidR="00487D64" w:rsidRDefault="00487D64">
            <w:pPr>
              <w:pStyle w:val="TableParagraph"/>
              <w:spacing w:before="158"/>
              <w:rPr>
                <w:b/>
                <w:sz w:val="20"/>
              </w:rPr>
            </w:pPr>
          </w:p>
          <w:p w:rsidR="00487D64" w:rsidRDefault="006F0D93">
            <w:pPr>
              <w:pStyle w:val="TableParagraph"/>
              <w:ind w:left="40" w:right="79"/>
              <w:rPr>
                <w:sz w:val="20"/>
              </w:rPr>
            </w:pPr>
            <w:r>
              <w:rPr>
                <w:sz w:val="20"/>
              </w:rPr>
              <w:t>Systematic</w:t>
            </w:r>
            <w:r>
              <w:rPr>
                <w:spacing w:val="-13"/>
                <w:sz w:val="20"/>
              </w:rPr>
              <w:t xml:space="preserve"> </w:t>
            </w:r>
            <w:r>
              <w:rPr>
                <w:sz w:val="20"/>
              </w:rPr>
              <w:t>review (15 studies)</w:t>
            </w:r>
          </w:p>
        </w:tc>
        <w:tc>
          <w:tcPr>
            <w:tcW w:w="1562" w:type="dxa"/>
            <w:tcBorders>
              <w:top w:val="single" w:sz="4" w:space="0" w:color="000000"/>
            </w:tcBorders>
          </w:tcPr>
          <w:p w:rsidR="00487D64" w:rsidRDefault="00487D64">
            <w:pPr>
              <w:pStyle w:val="TableParagraph"/>
              <w:rPr>
                <w:b/>
                <w:sz w:val="20"/>
              </w:rPr>
            </w:pPr>
          </w:p>
          <w:p w:rsidR="00487D64" w:rsidRDefault="00487D64">
            <w:pPr>
              <w:pStyle w:val="TableParagraph"/>
              <w:spacing w:before="43"/>
              <w:rPr>
                <w:b/>
                <w:sz w:val="20"/>
              </w:rPr>
            </w:pPr>
          </w:p>
          <w:p w:rsidR="00487D64" w:rsidRDefault="006F0D93">
            <w:pPr>
              <w:pStyle w:val="TableParagraph"/>
              <w:ind w:left="42"/>
              <w:rPr>
                <w:sz w:val="20"/>
              </w:rPr>
            </w:pPr>
            <w:r>
              <w:rPr>
                <w:spacing w:val="-2"/>
                <w:sz w:val="20"/>
              </w:rPr>
              <w:t>Literature</w:t>
            </w:r>
            <w:r>
              <w:rPr>
                <w:spacing w:val="4"/>
                <w:sz w:val="20"/>
              </w:rPr>
              <w:t xml:space="preserve"> </w:t>
            </w:r>
            <w:r>
              <w:rPr>
                <w:spacing w:val="-2"/>
                <w:sz w:val="20"/>
              </w:rPr>
              <w:t>review</w:t>
            </w:r>
          </w:p>
        </w:tc>
        <w:tc>
          <w:tcPr>
            <w:tcW w:w="2120" w:type="dxa"/>
            <w:tcBorders>
              <w:top w:val="single" w:sz="4" w:space="0" w:color="000000"/>
            </w:tcBorders>
          </w:tcPr>
          <w:p w:rsidR="00487D64" w:rsidRDefault="006F0D93">
            <w:pPr>
              <w:pStyle w:val="TableParagraph"/>
              <w:spacing w:before="51" w:line="237" w:lineRule="auto"/>
              <w:ind w:left="43"/>
              <w:rPr>
                <w:sz w:val="20"/>
              </w:rPr>
            </w:pPr>
            <w:r>
              <w:rPr>
                <w:sz w:val="20"/>
              </w:rPr>
              <w:t>Strategic flexibility reduces unexplained variance; identifies conditions</w:t>
            </w:r>
            <w:r>
              <w:rPr>
                <w:spacing w:val="-11"/>
                <w:sz w:val="20"/>
              </w:rPr>
              <w:t xml:space="preserve"> </w:t>
            </w:r>
            <w:r>
              <w:rPr>
                <w:sz w:val="20"/>
              </w:rPr>
              <w:t>where</w:t>
            </w:r>
            <w:r>
              <w:rPr>
                <w:spacing w:val="-13"/>
                <w:sz w:val="20"/>
              </w:rPr>
              <w:t xml:space="preserve"> </w:t>
            </w:r>
            <w:r>
              <w:rPr>
                <w:sz w:val="20"/>
              </w:rPr>
              <w:t>SF</w:t>
            </w:r>
            <w:r>
              <w:rPr>
                <w:spacing w:val="-8"/>
                <w:sz w:val="20"/>
              </w:rPr>
              <w:t xml:space="preserve"> </w:t>
            </w:r>
            <w:r>
              <w:rPr>
                <w:sz w:val="20"/>
              </w:rPr>
              <w:t>is beneficial vs. harmful</w:t>
            </w:r>
          </w:p>
        </w:tc>
      </w:tr>
      <w:tr w:rsidR="00487D64">
        <w:trPr>
          <w:trHeight w:val="749"/>
        </w:trPr>
        <w:tc>
          <w:tcPr>
            <w:tcW w:w="1484" w:type="dxa"/>
          </w:tcPr>
          <w:p w:rsidR="00487D64" w:rsidRDefault="006F0D93">
            <w:pPr>
              <w:pStyle w:val="TableParagraph"/>
              <w:spacing w:before="144"/>
              <w:ind w:left="50" w:right="205"/>
              <w:rPr>
                <w:sz w:val="20"/>
              </w:rPr>
            </w:pPr>
            <w:r>
              <w:rPr>
                <w:sz w:val="20"/>
              </w:rPr>
              <w:t>Morgan</w:t>
            </w:r>
            <w:r>
              <w:rPr>
                <w:spacing w:val="-13"/>
                <w:sz w:val="20"/>
              </w:rPr>
              <w:t xml:space="preserve"> </w:t>
            </w:r>
            <w:r>
              <w:rPr>
                <w:sz w:val="20"/>
              </w:rPr>
              <w:t>et</w:t>
            </w:r>
            <w:r>
              <w:rPr>
                <w:spacing w:val="-12"/>
                <w:sz w:val="20"/>
              </w:rPr>
              <w:t xml:space="preserve"> </w:t>
            </w:r>
            <w:r>
              <w:rPr>
                <w:sz w:val="20"/>
              </w:rPr>
              <w:t xml:space="preserve">al. </w:t>
            </w:r>
            <w:r>
              <w:rPr>
                <w:spacing w:val="-2"/>
                <w:sz w:val="20"/>
              </w:rPr>
              <w:t>(2019)</w:t>
            </w:r>
          </w:p>
        </w:tc>
        <w:tc>
          <w:tcPr>
            <w:tcW w:w="1559" w:type="dxa"/>
          </w:tcPr>
          <w:p w:rsidR="00487D64" w:rsidRDefault="006F0D93">
            <w:pPr>
              <w:pStyle w:val="TableParagraph"/>
              <w:spacing w:before="30" w:line="237" w:lineRule="auto"/>
              <w:ind w:left="36" w:right="233"/>
              <w:rPr>
                <w:sz w:val="20"/>
              </w:rPr>
            </w:pPr>
            <w:r>
              <w:rPr>
                <w:spacing w:val="-2"/>
                <w:sz w:val="20"/>
              </w:rPr>
              <w:t xml:space="preserve">Assessed </w:t>
            </w:r>
            <w:r>
              <w:rPr>
                <w:sz w:val="20"/>
              </w:rPr>
              <w:t>adaptability</w:t>
            </w:r>
            <w:r>
              <w:rPr>
                <w:spacing w:val="-13"/>
                <w:sz w:val="20"/>
              </w:rPr>
              <w:t xml:space="preserve"> </w:t>
            </w:r>
            <w:r>
              <w:rPr>
                <w:sz w:val="20"/>
              </w:rPr>
              <w:t xml:space="preserve">and </w:t>
            </w:r>
            <w:r>
              <w:rPr>
                <w:spacing w:val="-2"/>
                <w:sz w:val="20"/>
              </w:rPr>
              <w:t>performance</w:t>
            </w:r>
          </w:p>
        </w:tc>
        <w:tc>
          <w:tcPr>
            <w:tcW w:w="1598" w:type="dxa"/>
          </w:tcPr>
          <w:p w:rsidR="00487D64" w:rsidRDefault="00487D64">
            <w:pPr>
              <w:pStyle w:val="TableParagraph"/>
              <w:spacing w:before="29"/>
              <w:rPr>
                <w:b/>
                <w:sz w:val="20"/>
              </w:rPr>
            </w:pPr>
          </w:p>
          <w:p w:rsidR="00487D64" w:rsidRDefault="006F0D93">
            <w:pPr>
              <w:pStyle w:val="TableParagraph"/>
              <w:ind w:left="40"/>
              <w:rPr>
                <w:sz w:val="20"/>
              </w:rPr>
            </w:pPr>
            <w:r>
              <w:rPr>
                <w:sz w:val="20"/>
              </w:rPr>
              <w:t>Global</w:t>
            </w:r>
            <w:r>
              <w:rPr>
                <w:spacing w:val="-13"/>
                <w:sz w:val="20"/>
              </w:rPr>
              <w:t xml:space="preserve"> </w:t>
            </w:r>
            <w:r>
              <w:rPr>
                <w:spacing w:val="-2"/>
                <w:sz w:val="20"/>
              </w:rPr>
              <w:t>firms</w:t>
            </w:r>
          </w:p>
        </w:tc>
        <w:tc>
          <w:tcPr>
            <w:tcW w:w="1562" w:type="dxa"/>
          </w:tcPr>
          <w:p w:rsidR="00487D64" w:rsidRDefault="00487D64">
            <w:pPr>
              <w:pStyle w:val="TableParagraph"/>
              <w:spacing w:before="29"/>
              <w:rPr>
                <w:b/>
                <w:sz w:val="20"/>
              </w:rPr>
            </w:pPr>
          </w:p>
          <w:p w:rsidR="00487D64" w:rsidRDefault="006F0D93">
            <w:pPr>
              <w:pStyle w:val="TableParagraph"/>
              <w:ind w:left="42"/>
              <w:rPr>
                <w:sz w:val="20"/>
              </w:rPr>
            </w:pPr>
            <w:r>
              <w:rPr>
                <w:sz w:val="20"/>
              </w:rPr>
              <w:t>Survey</w:t>
            </w:r>
            <w:r>
              <w:rPr>
                <w:spacing w:val="-12"/>
                <w:sz w:val="20"/>
              </w:rPr>
              <w:t xml:space="preserve"> </w:t>
            </w:r>
            <w:r>
              <w:rPr>
                <w:sz w:val="20"/>
              </w:rPr>
              <w:t>+</w:t>
            </w:r>
            <w:r>
              <w:rPr>
                <w:spacing w:val="-2"/>
                <w:sz w:val="20"/>
              </w:rPr>
              <w:t xml:space="preserve"> </w:t>
            </w:r>
            <w:r>
              <w:rPr>
                <w:spacing w:val="-5"/>
                <w:sz w:val="20"/>
              </w:rPr>
              <w:t>SEM</w:t>
            </w:r>
          </w:p>
        </w:tc>
        <w:tc>
          <w:tcPr>
            <w:tcW w:w="2120" w:type="dxa"/>
          </w:tcPr>
          <w:p w:rsidR="00487D64" w:rsidRDefault="006F0D93">
            <w:pPr>
              <w:pStyle w:val="TableParagraph"/>
              <w:spacing w:before="30" w:line="237" w:lineRule="auto"/>
              <w:ind w:left="43"/>
              <w:rPr>
                <w:sz w:val="20"/>
              </w:rPr>
            </w:pPr>
            <w:r>
              <w:rPr>
                <w:sz w:val="20"/>
              </w:rPr>
              <w:t>Higher adaptability improves</w:t>
            </w:r>
            <w:r>
              <w:rPr>
                <w:spacing w:val="-13"/>
                <w:sz w:val="20"/>
              </w:rPr>
              <w:t xml:space="preserve"> </w:t>
            </w:r>
            <w:r>
              <w:rPr>
                <w:sz w:val="20"/>
              </w:rPr>
              <w:t>performance</w:t>
            </w:r>
            <w:r>
              <w:rPr>
                <w:spacing w:val="-12"/>
                <w:sz w:val="20"/>
              </w:rPr>
              <w:t xml:space="preserve"> </w:t>
            </w:r>
            <w:r>
              <w:rPr>
                <w:sz w:val="20"/>
              </w:rPr>
              <w:t>in volatile markets</w:t>
            </w:r>
          </w:p>
        </w:tc>
      </w:tr>
      <w:tr w:rsidR="00487D64">
        <w:trPr>
          <w:trHeight w:val="983"/>
        </w:trPr>
        <w:tc>
          <w:tcPr>
            <w:tcW w:w="1484" w:type="dxa"/>
          </w:tcPr>
          <w:p w:rsidR="00487D64" w:rsidRDefault="00487D64">
            <w:pPr>
              <w:pStyle w:val="TableParagraph"/>
              <w:spacing w:before="144"/>
              <w:rPr>
                <w:b/>
                <w:sz w:val="20"/>
              </w:rPr>
            </w:pPr>
          </w:p>
          <w:p w:rsidR="00487D64" w:rsidRDefault="006F0D93">
            <w:pPr>
              <w:pStyle w:val="TableParagraph"/>
              <w:ind w:left="14" w:right="68"/>
              <w:jc w:val="center"/>
              <w:rPr>
                <w:sz w:val="20"/>
              </w:rPr>
            </w:pPr>
            <w:r>
              <w:rPr>
                <w:sz w:val="20"/>
              </w:rPr>
              <w:t>Sen</w:t>
            </w:r>
            <w:r>
              <w:rPr>
                <w:spacing w:val="-3"/>
                <w:sz w:val="20"/>
              </w:rPr>
              <w:t xml:space="preserve"> </w:t>
            </w:r>
            <w:r>
              <w:rPr>
                <w:sz w:val="20"/>
              </w:rPr>
              <w:t>et</w:t>
            </w:r>
            <w:r>
              <w:rPr>
                <w:spacing w:val="-3"/>
                <w:sz w:val="20"/>
              </w:rPr>
              <w:t xml:space="preserve"> </w:t>
            </w:r>
            <w:r>
              <w:rPr>
                <w:sz w:val="20"/>
              </w:rPr>
              <w:t>al.</w:t>
            </w:r>
            <w:r>
              <w:rPr>
                <w:spacing w:val="-2"/>
                <w:sz w:val="20"/>
              </w:rPr>
              <w:t xml:space="preserve"> (2023)</w:t>
            </w:r>
          </w:p>
        </w:tc>
        <w:tc>
          <w:tcPr>
            <w:tcW w:w="1559" w:type="dxa"/>
          </w:tcPr>
          <w:p w:rsidR="00487D64" w:rsidRDefault="006F0D93">
            <w:pPr>
              <w:pStyle w:val="TableParagraph"/>
              <w:spacing w:before="144"/>
              <w:ind w:left="36" w:right="66"/>
              <w:rPr>
                <w:sz w:val="20"/>
              </w:rPr>
            </w:pPr>
            <w:r>
              <w:rPr>
                <w:sz w:val="20"/>
              </w:rPr>
              <w:t>Studied</w:t>
            </w:r>
            <w:r>
              <w:rPr>
                <w:spacing w:val="-13"/>
                <w:sz w:val="20"/>
              </w:rPr>
              <w:t xml:space="preserve"> </w:t>
            </w:r>
            <w:r>
              <w:rPr>
                <w:sz w:val="20"/>
              </w:rPr>
              <w:t xml:space="preserve">flexibility </w:t>
            </w:r>
            <w:r>
              <w:rPr>
                <w:spacing w:val="-4"/>
                <w:sz w:val="20"/>
              </w:rPr>
              <w:t xml:space="preserve">and </w:t>
            </w:r>
            <w:r>
              <w:rPr>
                <w:spacing w:val="-2"/>
                <w:sz w:val="20"/>
              </w:rPr>
              <w:t>competitiveness</w:t>
            </w:r>
          </w:p>
        </w:tc>
        <w:tc>
          <w:tcPr>
            <w:tcW w:w="1598" w:type="dxa"/>
          </w:tcPr>
          <w:p w:rsidR="00487D64" w:rsidRDefault="00487D64">
            <w:pPr>
              <w:pStyle w:val="TableParagraph"/>
              <w:spacing w:before="29"/>
              <w:rPr>
                <w:b/>
                <w:sz w:val="20"/>
              </w:rPr>
            </w:pPr>
          </w:p>
          <w:p w:rsidR="00487D64" w:rsidRDefault="006F0D93">
            <w:pPr>
              <w:pStyle w:val="TableParagraph"/>
              <w:ind w:left="40"/>
              <w:rPr>
                <w:sz w:val="20"/>
              </w:rPr>
            </w:pPr>
            <w:r>
              <w:rPr>
                <w:sz w:val="20"/>
              </w:rPr>
              <w:t xml:space="preserve">220 SMEs in </w:t>
            </w:r>
            <w:r>
              <w:rPr>
                <w:spacing w:val="-2"/>
                <w:sz w:val="20"/>
              </w:rPr>
              <w:t>emerging</w:t>
            </w:r>
            <w:r>
              <w:rPr>
                <w:spacing w:val="-11"/>
                <w:sz w:val="20"/>
              </w:rPr>
              <w:t xml:space="preserve"> </w:t>
            </w:r>
            <w:r>
              <w:rPr>
                <w:spacing w:val="-2"/>
                <w:sz w:val="20"/>
              </w:rPr>
              <w:t>markets</w:t>
            </w:r>
          </w:p>
        </w:tc>
        <w:tc>
          <w:tcPr>
            <w:tcW w:w="1562" w:type="dxa"/>
          </w:tcPr>
          <w:p w:rsidR="00487D64" w:rsidRDefault="00487D64">
            <w:pPr>
              <w:pStyle w:val="TableParagraph"/>
              <w:spacing w:before="144"/>
              <w:rPr>
                <w:b/>
                <w:sz w:val="20"/>
              </w:rPr>
            </w:pPr>
          </w:p>
          <w:p w:rsidR="00487D64" w:rsidRDefault="006F0D93">
            <w:pPr>
              <w:pStyle w:val="TableParagraph"/>
              <w:ind w:left="42"/>
              <w:rPr>
                <w:sz w:val="20"/>
              </w:rPr>
            </w:pPr>
            <w:r>
              <w:rPr>
                <w:spacing w:val="-2"/>
                <w:sz w:val="20"/>
              </w:rPr>
              <w:t>PLS-</w:t>
            </w:r>
            <w:r>
              <w:rPr>
                <w:spacing w:val="-5"/>
                <w:sz w:val="20"/>
              </w:rPr>
              <w:t>SEM</w:t>
            </w:r>
          </w:p>
        </w:tc>
        <w:tc>
          <w:tcPr>
            <w:tcW w:w="2120" w:type="dxa"/>
          </w:tcPr>
          <w:p w:rsidR="00487D64" w:rsidRDefault="006F0D93">
            <w:pPr>
              <w:pStyle w:val="TableParagraph"/>
              <w:spacing w:before="29"/>
              <w:ind w:left="43" w:right="51"/>
              <w:rPr>
                <w:sz w:val="20"/>
              </w:rPr>
            </w:pPr>
            <w:r>
              <w:rPr>
                <w:sz w:val="20"/>
              </w:rPr>
              <w:t>Flexibility</w:t>
            </w:r>
            <w:r>
              <w:rPr>
                <w:spacing w:val="-5"/>
                <w:sz w:val="20"/>
              </w:rPr>
              <w:t xml:space="preserve"> </w:t>
            </w:r>
            <w:r>
              <w:rPr>
                <w:sz w:val="20"/>
              </w:rPr>
              <w:t>enables resource reallocation, new</w:t>
            </w:r>
            <w:r>
              <w:rPr>
                <w:spacing w:val="-5"/>
                <w:sz w:val="20"/>
              </w:rPr>
              <w:t xml:space="preserve"> </w:t>
            </w:r>
            <w:r>
              <w:rPr>
                <w:sz w:val="20"/>
              </w:rPr>
              <w:t>market</w:t>
            </w:r>
            <w:r>
              <w:rPr>
                <w:spacing w:val="-2"/>
                <w:sz w:val="20"/>
              </w:rPr>
              <w:t xml:space="preserve"> </w:t>
            </w:r>
            <w:r>
              <w:rPr>
                <w:sz w:val="20"/>
              </w:rPr>
              <w:t>exploration, and</w:t>
            </w:r>
            <w:r>
              <w:rPr>
                <w:spacing w:val="-13"/>
                <w:sz w:val="20"/>
              </w:rPr>
              <w:t xml:space="preserve"> </w:t>
            </w:r>
            <w:r>
              <w:rPr>
                <w:sz w:val="20"/>
              </w:rPr>
              <w:t>competitive</w:t>
            </w:r>
            <w:r>
              <w:rPr>
                <w:spacing w:val="-12"/>
                <w:sz w:val="20"/>
              </w:rPr>
              <w:t xml:space="preserve"> </w:t>
            </w:r>
            <w:r>
              <w:rPr>
                <w:spacing w:val="-2"/>
                <w:sz w:val="20"/>
              </w:rPr>
              <w:t>success.</w:t>
            </w:r>
          </w:p>
        </w:tc>
      </w:tr>
      <w:tr w:rsidR="00487D64">
        <w:trPr>
          <w:trHeight w:val="749"/>
        </w:trPr>
        <w:tc>
          <w:tcPr>
            <w:tcW w:w="1484" w:type="dxa"/>
          </w:tcPr>
          <w:p w:rsidR="00487D64" w:rsidRDefault="006F0D93">
            <w:pPr>
              <w:pStyle w:val="TableParagraph"/>
              <w:spacing w:before="140"/>
              <w:ind w:left="50" w:right="205"/>
              <w:rPr>
                <w:sz w:val="20"/>
              </w:rPr>
            </w:pPr>
            <w:r>
              <w:rPr>
                <w:sz w:val="20"/>
              </w:rPr>
              <w:t>Guo</w:t>
            </w:r>
            <w:r>
              <w:rPr>
                <w:spacing w:val="-13"/>
                <w:sz w:val="20"/>
              </w:rPr>
              <w:t xml:space="preserve"> </w:t>
            </w:r>
            <w:r>
              <w:rPr>
                <w:sz w:val="20"/>
              </w:rPr>
              <w:t>&amp;</w:t>
            </w:r>
            <w:r>
              <w:rPr>
                <w:spacing w:val="-12"/>
                <w:sz w:val="20"/>
              </w:rPr>
              <w:t xml:space="preserve"> </w:t>
            </w:r>
            <w:r>
              <w:rPr>
                <w:sz w:val="20"/>
              </w:rPr>
              <w:t xml:space="preserve">Cao </w:t>
            </w:r>
            <w:r>
              <w:rPr>
                <w:spacing w:val="-2"/>
                <w:sz w:val="20"/>
              </w:rPr>
              <w:t>(2014)</w:t>
            </w:r>
          </w:p>
        </w:tc>
        <w:tc>
          <w:tcPr>
            <w:tcW w:w="1559" w:type="dxa"/>
          </w:tcPr>
          <w:p w:rsidR="00487D64" w:rsidRDefault="006F0D93">
            <w:pPr>
              <w:pStyle w:val="TableParagraph"/>
              <w:spacing w:before="25"/>
              <w:ind w:left="36" w:right="110"/>
              <w:rPr>
                <w:sz w:val="20"/>
              </w:rPr>
            </w:pPr>
            <w:r>
              <w:rPr>
                <w:sz w:val="20"/>
              </w:rPr>
              <w:t>Examined risk mitigation in turbulent</w:t>
            </w:r>
            <w:r>
              <w:rPr>
                <w:spacing w:val="-13"/>
                <w:sz w:val="20"/>
              </w:rPr>
              <w:t xml:space="preserve"> </w:t>
            </w:r>
            <w:r>
              <w:rPr>
                <w:sz w:val="20"/>
              </w:rPr>
              <w:t>markets</w:t>
            </w:r>
          </w:p>
        </w:tc>
        <w:tc>
          <w:tcPr>
            <w:tcW w:w="1598" w:type="dxa"/>
          </w:tcPr>
          <w:p w:rsidR="00487D64" w:rsidRDefault="00487D64">
            <w:pPr>
              <w:pStyle w:val="TableParagraph"/>
              <w:spacing w:before="25"/>
              <w:rPr>
                <w:b/>
                <w:sz w:val="20"/>
              </w:rPr>
            </w:pPr>
          </w:p>
          <w:p w:rsidR="00487D64" w:rsidRDefault="006F0D93">
            <w:pPr>
              <w:pStyle w:val="TableParagraph"/>
              <w:ind w:left="40"/>
              <w:rPr>
                <w:sz w:val="20"/>
              </w:rPr>
            </w:pPr>
            <w:r>
              <w:rPr>
                <w:sz w:val="20"/>
              </w:rPr>
              <w:t>Chinese</w:t>
            </w:r>
            <w:r>
              <w:rPr>
                <w:spacing w:val="-4"/>
                <w:sz w:val="20"/>
              </w:rPr>
              <w:t xml:space="preserve"> </w:t>
            </w:r>
            <w:r>
              <w:rPr>
                <w:spacing w:val="-2"/>
                <w:sz w:val="20"/>
              </w:rPr>
              <w:t>firms</w:t>
            </w:r>
          </w:p>
        </w:tc>
        <w:tc>
          <w:tcPr>
            <w:tcW w:w="1562" w:type="dxa"/>
          </w:tcPr>
          <w:p w:rsidR="00487D64" w:rsidRDefault="006F0D93">
            <w:pPr>
              <w:pStyle w:val="TableParagraph"/>
              <w:spacing w:before="25"/>
              <w:ind w:left="42"/>
              <w:rPr>
                <w:sz w:val="20"/>
              </w:rPr>
            </w:pPr>
            <w:r>
              <w:rPr>
                <w:sz w:val="20"/>
              </w:rPr>
              <w:t>Survey</w:t>
            </w:r>
            <w:r>
              <w:rPr>
                <w:spacing w:val="-5"/>
                <w:sz w:val="20"/>
              </w:rPr>
              <w:t xml:space="preserve"> </w:t>
            </w:r>
            <w:r>
              <w:rPr>
                <w:sz w:val="20"/>
              </w:rPr>
              <w:t xml:space="preserve">+ </w:t>
            </w:r>
            <w:r>
              <w:rPr>
                <w:spacing w:val="-2"/>
                <w:sz w:val="20"/>
              </w:rPr>
              <w:t>Hierarchical regression</w:t>
            </w:r>
          </w:p>
        </w:tc>
        <w:tc>
          <w:tcPr>
            <w:tcW w:w="2120" w:type="dxa"/>
          </w:tcPr>
          <w:p w:rsidR="00487D64" w:rsidRDefault="006F0D93">
            <w:pPr>
              <w:pStyle w:val="TableParagraph"/>
              <w:spacing w:before="140"/>
              <w:ind w:left="43" w:right="51"/>
              <w:rPr>
                <w:sz w:val="20"/>
              </w:rPr>
            </w:pPr>
            <w:r>
              <w:rPr>
                <w:sz w:val="20"/>
              </w:rPr>
              <w:t>SF</w:t>
            </w:r>
            <w:r>
              <w:rPr>
                <w:spacing w:val="-13"/>
                <w:sz w:val="20"/>
              </w:rPr>
              <w:t xml:space="preserve"> </w:t>
            </w:r>
            <w:r>
              <w:rPr>
                <w:sz w:val="20"/>
              </w:rPr>
              <w:t>enhances</w:t>
            </w:r>
            <w:r>
              <w:rPr>
                <w:spacing w:val="-12"/>
                <w:sz w:val="20"/>
              </w:rPr>
              <w:t xml:space="preserve"> </w:t>
            </w:r>
            <w:r>
              <w:rPr>
                <w:sz w:val="20"/>
              </w:rPr>
              <w:t>resilience and risk mitigation</w:t>
            </w:r>
          </w:p>
        </w:tc>
      </w:tr>
      <w:tr w:rsidR="00487D64">
        <w:trPr>
          <w:trHeight w:val="1210"/>
        </w:trPr>
        <w:tc>
          <w:tcPr>
            <w:tcW w:w="1484" w:type="dxa"/>
          </w:tcPr>
          <w:p w:rsidR="00487D64" w:rsidRDefault="00487D64">
            <w:pPr>
              <w:pStyle w:val="TableParagraph"/>
              <w:spacing w:before="141"/>
              <w:rPr>
                <w:b/>
                <w:sz w:val="20"/>
              </w:rPr>
            </w:pPr>
          </w:p>
          <w:p w:rsidR="00487D64" w:rsidRDefault="006F0D93">
            <w:pPr>
              <w:pStyle w:val="TableParagraph"/>
              <w:ind w:left="50" w:right="205"/>
              <w:rPr>
                <w:sz w:val="20"/>
              </w:rPr>
            </w:pPr>
            <w:r>
              <w:rPr>
                <w:sz w:val="20"/>
              </w:rPr>
              <w:t>Khan</w:t>
            </w:r>
            <w:r>
              <w:rPr>
                <w:spacing w:val="-13"/>
                <w:sz w:val="20"/>
              </w:rPr>
              <w:t xml:space="preserve"> </w:t>
            </w:r>
            <w:r>
              <w:rPr>
                <w:sz w:val="20"/>
              </w:rPr>
              <w:t>et</w:t>
            </w:r>
            <w:r>
              <w:rPr>
                <w:spacing w:val="-12"/>
                <w:sz w:val="20"/>
              </w:rPr>
              <w:t xml:space="preserve"> </w:t>
            </w:r>
            <w:r>
              <w:rPr>
                <w:sz w:val="20"/>
              </w:rPr>
              <w:t xml:space="preserve">al. </w:t>
            </w:r>
            <w:r>
              <w:rPr>
                <w:spacing w:val="-2"/>
                <w:sz w:val="20"/>
              </w:rPr>
              <w:t>(2022)</w:t>
            </w:r>
          </w:p>
        </w:tc>
        <w:tc>
          <w:tcPr>
            <w:tcW w:w="1559" w:type="dxa"/>
          </w:tcPr>
          <w:p w:rsidR="00487D64" w:rsidRDefault="00487D64">
            <w:pPr>
              <w:pStyle w:val="TableParagraph"/>
              <w:spacing w:before="141"/>
              <w:rPr>
                <w:b/>
                <w:sz w:val="20"/>
              </w:rPr>
            </w:pPr>
          </w:p>
          <w:p w:rsidR="00487D64" w:rsidRDefault="006F0D93">
            <w:pPr>
              <w:pStyle w:val="TableParagraph"/>
              <w:ind w:left="36" w:right="33"/>
              <w:rPr>
                <w:sz w:val="20"/>
              </w:rPr>
            </w:pPr>
            <w:r>
              <w:rPr>
                <w:sz w:val="20"/>
              </w:rPr>
              <w:t>Analyzed family firms’</w:t>
            </w:r>
            <w:r>
              <w:rPr>
                <w:spacing w:val="-13"/>
                <w:sz w:val="20"/>
              </w:rPr>
              <w:t xml:space="preserve"> </w:t>
            </w:r>
            <w:r>
              <w:rPr>
                <w:sz w:val="20"/>
              </w:rPr>
              <w:t>orientations</w:t>
            </w:r>
          </w:p>
        </w:tc>
        <w:tc>
          <w:tcPr>
            <w:tcW w:w="1598" w:type="dxa"/>
          </w:tcPr>
          <w:p w:rsidR="00487D64" w:rsidRDefault="00487D64">
            <w:pPr>
              <w:pStyle w:val="TableParagraph"/>
              <w:spacing w:before="141"/>
              <w:rPr>
                <w:b/>
                <w:sz w:val="20"/>
              </w:rPr>
            </w:pPr>
          </w:p>
          <w:p w:rsidR="00487D64" w:rsidRDefault="006F0D93">
            <w:pPr>
              <w:pStyle w:val="TableParagraph"/>
              <w:ind w:left="40" w:right="278"/>
              <w:rPr>
                <w:sz w:val="20"/>
              </w:rPr>
            </w:pPr>
            <w:r>
              <w:rPr>
                <w:spacing w:val="-2"/>
                <w:sz w:val="20"/>
              </w:rPr>
              <w:t xml:space="preserve">Emerging </w:t>
            </w:r>
            <w:r>
              <w:rPr>
                <w:sz w:val="20"/>
              </w:rPr>
              <w:t>economy</w:t>
            </w:r>
            <w:r>
              <w:rPr>
                <w:spacing w:val="-13"/>
                <w:sz w:val="20"/>
              </w:rPr>
              <w:t xml:space="preserve"> </w:t>
            </w:r>
            <w:r>
              <w:rPr>
                <w:sz w:val="20"/>
              </w:rPr>
              <w:t>SMEs</w:t>
            </w:r>
          </w:p>
        </w:tc>
        <w:tc>
          <w:tcPr>
            <w:tcW w:w="1562"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42"/>
              <w:rPr>
                <w:sz w:val="20"/>
              </w:rPr>
            </w:pPr>
            <w:r>
              <w:rPr>
                <w:spacing w:val="-5"/>
                <w:sz w:val="20"/>
              </w:rPr>
              <w:t>SEM</w:t>
            </w:r>
          </w:p>
        </w:tc>
        <w:tc>
          <w:tcPr>
            <w:tcW w:w="2120" w:type="dxa"/>
          </w:tcPr>
          <w:p w:rsidR="00487D64" w:rsidRDefault="006F0D93">
            <w:pPr>
              <w:pStyle w:val="TableParagraph"/>
              <w:spacing w:before="25"/>
              <w:ind w:left="43" w:right="120"/>
              <w:rPr>
                <w:sz w:val="20"/>
              </w:rPr>
            </w:pPr>
            <w:r>
              <w:rPr>
                <w:sz w:val="20"/>
              </w:rPr>
              <w:t>SF strengthens effect of orientations on sustainable</w:t>
            </w:r>
            <w:r>
              <w:rPr>
                <w:spacing w:val="-13"/>
                <w:sz w:val="20"/>
              </w:rPr>
              <w:t xml:space="preserve"> </w:t>
            </w:r>
            <w:r>
              <w:rPr>
                <w:sz w:val="20"/>
              </w:rPr>
              <w:t xml:space="preserve">performance via resource </w:t>
            </w:r>
            <w:r>
              <w:rPr>
                <w:spacing w:val="-2"/>
                <w:sz w:val="20"/>
              </w:rPr>
              <w:t>reconfiguration.</w:t>
            </w:r>
          </w:p>
        </w:tc>
      </w:tr>
      <w:tr w:rsidR="00487D64">
        <w:trPr>
          <w:trHeight w:val="1210"/>
        </w:trPr>
        <w:tc>
          <w:tcPr>
            <w:tcW w:w="1484" w:type="dxa"/>
          </w:tcPr>
          <w:p w:rsidR="00487D64" w:rsidRDefault="00487D64">
            <w:pPr>
              <w:pStyle w:val="TableParagraph"/>
              <w:spacing w:before="141"/>
              <w:rPr>
                <w:b/>
                <w:sz w:val="20"/>
              </w:rPr>
            </w:pPr>
          </w:p>
          <w:p w:rsidR="00487D64" w:rsidRDefault="006F0D93">
            <w:pPr>
              <w:pStyle w:val="TableParagraph"/>
              <w:ind w:left="50" w:right="205"/>
              <w:rPr>
                <w:sz w:val="20"/>
              </w:rPr>
            </w:pPr>
            <w:r>
              <w:rPr>
                <w:sz w:val="20"/>
              </w:rPr>
              <w:t>Yang</w:t>
            </w:r>
            <w:r>
              <w:rPr>
                <w:spacing w:val="-13"/>
                <w:sz w:val="20"/>
              </w:rPr>
              <w:t xml:space="preserve"> </w:t>
            </w:r>
            <w:r>
              <w:rPr>
                <w:sz w:val="20"/>
              </w:rPr>
              <w:t>et</w:t>
            </w:r>
            <w:r>
              <w:rPr>
                <w:spacing w:val="-12"/>
                <w:sz w:val="20"/>
              </w:rPr>
              <w:t xml:space="preserve"> </w:t>
            </w:r>
            <w:r>
              <w:rPr>
                <w:sz w:val="20"/>
              </w:rPr>
              <w:t xml:space="preserve">al. </w:t>
            </w:r>
            <w:r>
              <w:rPr>
                <w:spacing w:val="-2"/>
                <w:sz w:val="20"/>
              </w:rPr>
              <w:t>(2022)</w:t>
            </w:r>
          </w:p>
        </w:tc>
        <w:tc>
          <w:tcPr>
            <w:tcW w:w="1559" w:type="dxa"/>
          </w:tcPr>
          <w:p w:rsidR="00487D64" w:rsidRDefault="00487D64">
            <w:pPr>
              <w:pStyle w:val="TableParagraph"/>
              <w:spacing w:before="26"/>
              <w:rPr>
                <w:b/>
                <w:sz w:val="20"/>
              </w:rPr>
            </w:pPr>
          </w:p>
          <w:p w:rsidR="00487D64" w:rsidRDefault="006F0D93">
            <w:pPr>
              <w:pStyle w:val="TableParagraph"/>
              <w:ind w:left="36"/>
              <w:rPr>
                <w:sz w:val="20"/>
              </w:rPr>
            </w:pPr>
            <w:r>
              <w:rPr>
                <w:sz w:val="20"/>
              </w:rPr>
              <w:t>Modeled</w:t>
            </w:r>
            <w:r>
              <w:rPr>
                <w:spacing w:val="-13"/>
                <w:sz w:val="20"/>
              </w:rPr>
              <w:t xml:space="preserve"> </w:t>
            </w:r>
            <w:r>
              <w:rPr>
                <w:sz w:val="20"/>
              </w:rPr>
              <w:t>SF</w:t>
            </w:r>
            <w:r>
              <w:rPr>
                <w:spacing w:val="-12"/>
                <w:sz w:val="20"/>
              </w:rPr>
              <w:t xml:space="preserve"> </w:t>
            </w:r>
            <w:r>
              <w:rPr>
                <w:sz w:val="20"/>
              </w:rPr>
              <w:t xml:space="preserve">with </w:t>
            </w:r>
            <w:r>
              <w:rPr>
                <w:spacing w:val="-2"/>
                <w:sz w:val="20"/>
              </w:rPr>
              <w:t>competitor orientation</w:t>
            </w:r>
          </w:p>
        </w:tc>
        <w:tc>
          <w:tcPr>
            <w:tcW w:w="1598"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40"/>
              <w:rPr>
                <w:sz w:val="20"/>
              </w:rPr>
            </w:pPr>
            <w:r>
              <w:rPr>
                <w:sz w:val="20"/>
              </w:rPr>
              <w:t>Chinese</w:t>
            </w:r>
            <w:r>
              <w:rPr>
                <w:spacing w:val="-6"/>
                <w:sz w:val="20"/>
              </w:rPr>
              <w:t xml:space="preserve"> </w:t>
            </w:r>
            <w:r>
              <w:rPr>
                <w:spacing w:val="-4"/>
                <w:sz w:val="20"/>
              </w:rPr>
              <w:t>SMEs</w:t>
            </w:r>
          </w:p>
        </w:tc>
        <w:tc>
          <w:tcPr>
            <w:tcW w:w="1562" w:type="dxa"/>
          </w:tcPr>
          <w:p w:rsidR="00487D64" w:rsidRDefault="00487D64">
            <w:pPr>
              <w:pStyle w:val="TableParagraph"/>
              <w:spacing w:before="141"/>
              <w:rPr>
                <w:b/>
                <w:sz w:val="20"/>
              </w:rPr>
            </w:pPr>
          </w:p>
          <w:p w:rsidR="00487D64" w:rsidRDefault="006F0D93">
            <w:pPr>
              <w:pStyle w:val="TableParagraph"/>
              <w:ind w:left="42"/>
              <w:rPr>
                <w:sz w:val="20"/>
              </w:rPr>
            </w:pPr>
            <w:r>
              <w:rPr>
                <w:sz w:val="20"/>
              </w:rPr>
              <w:t>SEM</w:t>
            </w:r>
            <w:r>
              <w:rPr>
                <w:spacing w:val="-13"/>
                <w:sz w:val="20"/>
              </w:rPr>
              <w:t xml:space="preserve"> </w:t>
            </w:r>
            <w:r>
              <w:rPr>
                <w:sz w:val="20"/>
              </w:rPr>
              <w:t>+</w:t>
            </w:r>
            <w:r>
              <w:rPr>
                <w:spacing w:val="-12"/>
                <w:sz w:val="20"/>
              </w:rPr>
              <w:t xml:space="preserve"> </w:t>
            </w:r>
            <w:r>
              <w:rPr>
                <w:sz w:val="20"/>
              </w:rPr>
              <w:t xml:space="preserve">Neural </w:t>
            </w:r>
            <w:r>
              <w:rPr>
                <w:spacing w:val="-2"/>
                <w:sz w:val="20"/>
              </w:rPr>
              <w:t>networks</w:t>
            </w:r>
          </w:p>
        </w:tc>
        <w:tc>
          <w:tcPr>
            <w:tcW w:w="2120" w:type="dxa"/>
          </w:tcPr>
          <w:p w:rsidR="00487D64" w:rsidRDefault="006F0D93">
            <w:pPr>
              <w:pStyle w:val="TableParagraph"/>
              <w:spacing w:before="25"/>
              <w:ind w:left="43"/>
              <w:rPr>
                <w:sz w:val="20"/>
              </w:rPr>
            </w:pPr>
            <w:r>
              <w:rPr>
                <w:sz w:val="20"/>
              </w:rPr>
              <w:t>SF amplifies the competitor orientation’s effect on competitive advantage</w:t>
            </w:r>
            <w:r>
              <w:rPr>
                <w:spacing w:val="-13"/>
                <w:sz w:val="20"/>
              </w:rPr>
              <w:t xml:space="preserve"> </w:t>
            </w:r>
            <w:r>
              <w:rPr>
                <w:sz w:val="20"/>
              </w:rPr>
              <w:t>and</w:t>
            </w:r>
            <w:r>
              <w:rPr>
                <w:spacing w:val="-12"/>
                <w:sz w:val="20"/>
              </w:rPr>
              <w:t xml:space="preserve"> </w:t>
            </w:r>
            <w:r>
              <w:rPr>
                <w:sz w:val="20"/>
              </w:rPr>
              <w:t xml:space="preserve">economic </w:t>
            </w:r>
            <w:r>
              <w:rPr>
                <w:spacing w:val="-2"/>
                <w:sz w:val="20"/>
              </w:rPr>
              <w:t>sustainability</w:t>
            </w:r>
          </w:p>
        </w:tc>
      </w:tr>
      <w:tr w:rsidR="00487D64">
        <w:trPr>
          <w:trHeight w:val="748"/>
        </w:trPr>
        <w:tc>
          <w:tcPr>
            <w:tcW w:w="1484" w:type="dxa"/>
          </w:tcPr>
          <w:p w:rsidR="00487D64" w:rsidRDefault="006F0D93">
            <w:pPr>
              <w:pStyle w:val="TableParagraph"/>
              <w:spacing w:before="140"/>
              <w:ind w:left="50" w:right="205"/>
              <w:rPr>
                <w:sz w:val="20"/>
              </w:rPr>
            </w:pPr>
            <w:r>
              <w:rPr>
                <w:sz w:val="20"/>
              </w:rPr>
              <w:t>Aabo</w:t>
            </w:r>
            <w:r>
              <w:rPr>
                <w:spacing w:val="-13"/>
                <w:sz w:val="20"/>
              </w:rPr>
              <w:t xml:space="preserve"> </w:t>
            </w:r>
            <w:r>
              <w:rPr>
                <w:sz w:val="20"/>
              </w:rPr>
              <w:t>et</w:t>
            </w:r>
            <w:r>
              <w:rPr>
                <w:spacing w:val="-12"/>
                <w:sz w:val="20"/>
              </w:rPr>
              <w:t xml:space="preserve"> </w:t>
            </w:r>
            <w:r>
              <w:rPr>
                <w:sz w:val="20"/>
              </w:rPr>
              <w:t xml:space="preserve">al. </w:t>
            </w:r>
            <w:r>
              <w:rPr>
                <w:spacing w:val="-2"/>
                <w:sz w:val="20"/>
              </w:rPr>
              <w:t>(2024)</w:t>
            </w:r>
          </w:p>
        </w:tc>
        <w:tc>
          <w:tcPr>
            <w:tcW w:w="1559" w:type="dxa"/>
          </w:tcPr>
          <w:p w:rsidR="00487D64" w:rsidRDefault="006F0D93">
            <w:pPr>
              <w:pStyle w:val="TableParagraph"/>
              <w:spacing w:before="140"/>
              <w:ind w:left="36" w:right="266"/>
              <w:rPr>
                <w:sz w:val="20"/>
              </w:rPr>
            </w:pPr>
            <w:r>
              <w:rPr>
                <w:sz w:val="20"/>
              </w:rPr>
              <w:t>Investigated</w:t>
            </w:r>
            <w:r>
              <w:rPr>
                <w:spacing w:val="-13"/>
                <w:sz w:val="20"/>
              </w:rPr>
              <w:t xml:space="preserve"> </w:t>
            </w:r>
            <w:r>
              <w:rPr>
                <w:sz w:val="20"/>
              </w:rPr>
              <w:t>SF and growth</w:t>
            </w:r>
          </w:p>
        </w:tc>
        <w:tc>
          <w:tcPr>
            <w:tcW w:w="1598" w:type="dxa"/>
          </w:tcPr>
          <w:p w:rsidR="00487D64" w:rsidRDefault="00487D64">
            <w:pPr>
              <w:pStyle w:val="TableParagraph"/>
              <w:spacing w:before="25"/>
              <w:rPr>
                <w:b/>
                <w:sz w:val="20"/>
              </w:rPr>
            </w:pPr>
          </w:p>
          <w:p w:rsidR="00487D64" w:rsidRDefault="006F0D93">
            <w:pPr>
              <w:pStyle w:val="TableParagraph"/>
              <w:spacing w:before="1"/>
              <w:ind w:left="40"/>
              <w:rPr>
                <w:sz w:val="20"/>
              </w:rPr>
            </w:pPr>
            <w:r>
              <w:rPr>
                <w:sz w:val="20"/>
              </w:rPr>
              <w:t>European</w:t>
            </w:r>
            <w:r>
              <w:rPr>
                <w:spacing w:val="-14"/>
                <w:sz w:val="20"/>
              </w:rPr>
              <w:t xml:space="preserve"> </w:t>
            </w:r>
            <w:r>
              <w:rPr>
                <w:spacing w:val="-4"/>
                <w:sz w:val="20"/>
              </w:rPr>
              <w:t>SMEs</w:t>
            </w:r>
          </w:p>
        </w:tc>
        <w:tc>
          <w:tcPr>
            <w:tcW w:w="1562" w:type="dxa"/>
          </w:tcPr>
          <w:p w:rsidR="00487D64" w:rsidRDefault="006F0D93">
            <w:pPr>
              <w:pStyle w:val="TableParagraph"/>
              <w:spacing w:before="140"/>
              <w:ind w:left="42" w:right="96"/>
              <w:rPr>
                <w:sz w:val="20"/>
              </w:rPr>
            </w:pPr>
            <w:r>
              <w:rPr>
                <w:sz w:val="20"/>
              </w:rPr>
              <w:t>Longitudinal</w:t>
            </w:r>
            <w:r>
              <w:rPr>
                <w:spacing w:val="-13"/>
                <w:sz w:val="20"/>
              </w:rPr>
              <w:t xml:space="preserve"> </w:t>
            </w:r>
            <w:r>
              <w:rPr>
                <w:sz w:val="20"/>
              </w:rPr>
              <w:t xml:space="preserve">data </w:t>
            </w:r>
            <w:r>
              <w:rPr>
                <w:spacing w:val="-2"/>
                <w:sz w:val="20"/>
              </w:rPr>
              <w:t>analysis</w:t>
            </w:r>
          </w:p>
        </w:tc>
        <w:tc>
          <w:tcPr>
            <w:tcW w:w="2120" w:type="dxa"/>
          </w:tcPr>
          <w:p w:rsidR="00487D64" w:rsidRDefault="006F0D93">
            <w:pPr>
              <w:pStyle w:val="TableParagraph"/>
              <w:spacing w:before="25"/>
              <w:ind w:left="43"/>
              <w:rPr>
                <w:sz w:val="20"/>
              </w:rPr>
            </w:pPr>
            <w:r>
              <w:rPr>
                <w:sz w:val="20"/>
              </w:rPr>
              <w:t>SF supports adaptation, but</w:t>
            </w:r>
            <w:r>
              <w:rPr>
                <w:spacing w:val="-13"/>
                <w:sz w:val="20"/>
              </w:rPr>
              <w:t xml:space="preserve"> </w:t>
            </w:r>
            <w:r>
              <w:rPr>
                <w:sz w:val="20"/>
              </w:rPr>
              <w:t>direct</w:t>
            </w:r>
            <w:r>
              <w:rPr>
                <w:spacing w:val="-12"/>
                <w:sz w:val="20"/>
              </w:rPr>
              <w:t xml:space="preserve"> </w:t>
            </w:r>
            <w:r>
              <w:rPr>
                <w:sz w:val="20"/>
              </w:rPr>
              <w:t>growth</w:t>
            </w:r>
            <w:r>
              <w:rPr>
                <w:spacing w:val="-13"/>
                <w:sz w:val="20"/>
              </w:rPr>
              <w:t xml:space="preserve"> </w:t>
            </w:r>
            <w:r>
              <w:rPr>
                <w:sz w:val="20"/>
              </w:rPr>
              <w:t>impact remains inconclusive</w:t>
            </w:r>
          </w:p>
        </w:tc>
      </w:tr>
      <w:tr w:rsidR="00487D64">
        <w:trPr>
          <w:trHeight w:val="1210"/>
        </w:trPr>
        <w:tc>
          <w:tcPr>
            <w:tcW w:w="1484" w:type="dxa"/>
          </w:tcPr>
          <w:p w:rsidR="00487D64" w:rsidRDefault="00487D64">
            <w:pPr>
              <w:pStyle w:val="TableParagraph"/>
              <w:spacing w:before="141"/>
              <w:rPr>
                <w:b/>
                <w:sz w:val="20"/>
              </w:rPr>
            </w:pPr>
          </w:p>
          <w:p w:rsidR="00487D64" w:rsidRDefault="006F0D93">
            <w:pPr>
              <w:pStyle w:val="TableParagraph"/>
              <w:ind w:left="50" w:right="33"/>
              <w:rPr>
                <w:sz w:val="20"/>
              </w:rPr>
            </w:pPr>
            <w:r>
              <w:rPr>
                <w:sz w:val="20"/>
              </w:rPr>
              <w:t>Mohammad</w:t>
            </w:r>
            <w:r>
              <w:rPr>
                <w:spacing w:val="-13"/>
                <w:sz w:val="20"/>
              </w:rPr>
              <w:t xml:space="preserve"> </w:t>
            </w:r>
            <w:r>
              <w:rPr>
                <w:sz w:val="20"/>
              </w:rPr>
              <w:t>et</w:t>
            </w:r>
            <w:r>
              <w:rPr>
                <w:spacing w:val="-12"/>
                <w:sz w:val="20"/>
              </w:rPr>
              <w:t xml:space="preserve"> </w:t>
            </w:r>
            <w:r>
              <w:rPr>
                <w:sz w:val="20"/>
              </w:rPr>
              <w:t xml:space="preserve">al. </w:t>
            </w:r>
            <w:r>
              <w:rPr>
                <w:spacing w:val="-2"/>
                <w:sz w:val="20"/>
              </w:rPr>
              <w:t>(2024)</w:t>
            </w:r>
          </w:p>
        </w:tc>
        <w:tc>
          <w:tcPr>
            <w:tcW w:w="1559" w:type="dxa"/>
          </w:tcPr>
          <w:p w:rsidR="00487D64" w:rsidRDefault="00487D64">
            <w:pPr>
              <w:pStyle w:val="TableParagraph"/>
              <w:spacing w:before="141"/>
              <w:rPr>
                <w:b/>
                <w:sz w:val="20"/>
              </w:rPr>
            </w:pPr>
          </w:p>
          <w:p w:rsidR="00487D64" w:rsidRDefault="006F0D93">
            <w:pPr>
              <w:pStyle w:val="TableParagraph"/>
              <w:ind w:left="36" w:right="244"/>
              <w:rPr>
                <w:sz w:val="20"/>
              </w:rPr>
            </w:pPr>
            <w:r>
              <w:rPr>
                <w:sz w:val="20"/>
              </w:rPr>
              <w:t>Tested SFs moderating</w:t>
            </w:r>
            <w:r>
              <w:rPr>
                <w:spacing w:val="-13"/>
                <w:sz w:val="20"/>
              </w:rPr>
              <w:t xml:space="preserve"> </w:t>
            </w:r>
            <w:r>
              <w:rPr>
                <w:sz w:val="20"/>
              </w:rPr>
              <w:t>role</w:t>
            </w:r>
          </w:p>
        </w:tc>
        <w:tc>
          <w:tcPr>
            <w:tcW w:w="1598" w:type="dxa"/>
          </w:tcPr>
          <w:p w:rsidR="00487D64" w:rsidRDefault="00487D64">
            <w:pPr>
              <w:pStyle w:val="TableParagraph"/>
              <w:spacing w:before="141"/>
              <w:rPr>
                <w:b/>
                <w:sz w:val="20"/>
              </w:rPr>
            </w:pPr>
          </w:p>
          <w:p w:rsidR="00487D64" w:rsidRDefault="006F0D93">
            <w:pPr>
              <w:pStyle w:val="TableParagraph"/>
              <w:ind w:left="40"/>
              <w:rPr>
                <w:sz w:val="20"/>
              </w:rPr>
            </w:pPr>
            <w:r>
              <w:rPr>
                <w:sz w:val="20"/>
              </w:rPr>
              <w:t>284</w:t>
            </w:r>
            <w:r>
              <w:rPr>
                <w:spacing w:val="-13"/>
                <w:sz w:val="20"/>
              </w:rPr>
              <w:t xml:space="preserve"> </w:t>
            </w:r>
            <w:r>
              <w:rPr>
                <w:sz w:val="20"/>
              </w:rPr>
              <w:t>South</w:t>
            </w:r>
            <w:r>
              <w:rPr>
                <w:spacing w:val="-12"/>
                <w:sz w:val="20"/>
              </w:rPr>
              <w:t xml:space="preserve"> </w:t>
            </w:r>
            <w:r>
              <w:rPr>
                <w:sz w:val="20"/>
              </w:rPr>
              <w:t xml:space="preserve">Asian </w:t>
            </w:r>
            <w:r>
              <w:rPr>
                <w:spacing w:val="-4"/>
                <w:sz w:val="20"/>
              </w:rPr>
              <w:t>SMEs</w:t>
            </w:r>
          </w:p>
        </w:tc>
        <w:tc>
          <w:tcPr>
            <w:tcW w:w="1562"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42"/>
              <w:rPr>
                <w:sz w:val="20"/>
              </w:rPr>
            </w:pPr>
            <w:r>
              <w:rPr>
                <w:spacing w:val="-2"/>
                <w:sz w:val="20"/>
              </w:rPr>
              <w:t>Regression</w:t>
            </w:r>
          </w:p>
        </w:tc>
        <w:tc>
          <w:tcPr>
            <w:tcW w:w="2120" w:type="dxa"/>
          </w:tcPr>
          <w:p w:rsidR="00487D64" w:rsidRDefault="006F0D93">
            <w:pPr>
              <w:pStyle w:val="TableParagraph"/>
              <w:spacing w:before="25"/>
              <w:ind w:left="43"/>
              <w:rPr>
                <w:sz w:val="20"/>
              </w:rPr>
            </w:pPr>
            <w:r>
              <w:rPr>
                <w:sz w:val="20"/>
              </w:rPr>
              <w:t>SF did not significantly moderate planning– performance link; flexibility</w:t>
            </w:r>
            <w:r>
              <w:rPr>
                <w:spacing w:val="-5"/>
                <w:sz w:val="20"/>
              </w:rPr>
              <w:t xml:space="preserve"> </w:t>
            </w:r>
            <w:r>
              <w:rPr>
                <w:sz w:val="20"/>
              </w:rPr>
              <w:t>insufficient without</w:t>
            </w:r>
            <w:r>
              <w:rPr>
                <w:spacing w:val="-13"/>
                <w:sz w:val="20"/>
              </w:rPr>
              <w:t xml:space="preserve"> </w:t>
            </w:r>
            <w:r>
              <w:rPr>
                <w:sz w:val="20"/>
              </w:rPr>
              <w:t>systemic</w:t>
            </w:r>
            <w:r>
              <w:rPr>
                <w:spacing w:val="-12"/>
                <w:sz w:val="20"/>
              </w:rPr>
              <w:t xml:space="preserve"> </w:t>
            </w:r>
            <w:r>
              <w:rPr>
                <w:sz w:val="20"/>
              </w:rPr>
              <w:t>support</w:t>
            </w:r>
          </w:p>
        </w:tc>
      </w:tr>
      <w:tr w:rsidR="00487D64">
        <w:trPr>
          <w:trHeight w:val="979"/>
        </w:trPr>
        <w:tc>
          <w:tcPr>
            <w:tcW w:w="1484" w:type="dxa"/>
          </w:tcPr>
          <w:p w:rsidR="00487D64" w:rsidRDefault="00487D64">
            <w:pPr>
              <w:pStyle w:val="TableParagraph"/>
              <w:spacing w:before="26"/>
              <w:rPr>
                <w:b/>
                <w:sz w:val="20"/>
              </w:rPr>
            </w:pPr>
          </w:p>
          <w:p w:rsidR="00487D64" w:rsidRDefault="006F0D93">
            <w:pPr>
              <w:pStyle w:val="TableParagraph"/>
              <w:ind w:left="50" w:right="205"/>
              <w:rPr>
                <w:sz w:val="20"/>
              </w:rPr>
            </w:pPr>
            <w:r>
              <w:rPr>
                <w:sz w:val="20"/>
              </w:rPr>
              <w:t>Vem</w:t>
            </w:r>
            <w:r>
              <w:rPr>
                <w:spacing w:val="-13"/>
                <w:sz w:val="20"/>
              </w:rPr>
              <w:t xml:space="preserve"> </w:t>
            </w:r>
            <w:r>
              <w:rPr>
                <w:sz w:val="20"/>
              </w:rPr>
              <w:t>et</w:t>
            </w:r>
            <w:r>
              <w:rPr>
                <w:spacing w:val="-13"/>
                <w:sz w:val="20"/>
              </w:rPr>
              <w:t xml:space="preserve"> </w:t>
            </w:r>
            <w:r>
              <w:rPr>
                <w:sz w:val="20"/>
              </w:rPr>
              <w:t xml:space="preserve">al. </w:t>
            </w:r>
            <w:r>
              <w:rPr>
                <w:spacing w:val="-2"/>
                <w:sz w:val="20"/>
              </w:rPr>
              <w:t>(2022)</w:t>
            </w:r>
          </w:p>
        </w:tc>
        <w:tc>
          <w:tcPr>
            <w:tcW w:w="1559" w:type="dxa"/>
          </w:tcPr>
          <w:p w:rsidR="00487D64" w:rsidRDefault="006F0D93">
            <w:pPr>
              <w:pStyle w:val="TableParagraph"/>
              <w:spacing w:before="141"/>
              <w:ind w:left="36"/>
              <w:rPr>
                <w:sz w:val="20"/>
              </w:rPr>
            </w:pPr>
            <w:r>
              <w:rPr>
                <w:spacing w:val="-2"/>
                <w:sz w:val="20"/>
              </w:rPr>
              <w:t>Studied coordination flexibility</w:t>
            </w:r>
          </w:p>
        </w:tc>
        <w:tc>
          <w:tcPr>
            <w:tcW w:w="1598" w:type="dxa"/>
          </w:tcPr>
          <w:p w:rsidR="00487D64" w:rsidRDefault="00487D64">
            <w:pPr>
              <w:pStyle w:val="TableParagraph"/>
              <w:spacing w:before="141"/>
              <w:rPr>
                <w:b/>
                <w:sz w:val="20"/>
              </w:rPr>
            </w:pPr>
          </w:p>
          <w:p w:rsidR="00487D64" w:rsidRDefault="006F0D93">
            <w:pPr>
              <w:pStyle w:val="TableParagraph"/>
              <w:ind w:left="40"/>
              <w:rPr>
                <w:sz w:val="20"/>
              </w:rPr>
            </w:pPr>
            <w:r>
              <w:rPr>
                <w:sz w:val="20"/>
              </w:rPr>
              <w:t>300</w:t>
            </w:r>
            <w:r>
              <w:rPr>
                <w:spacing w:val="-9"/>
                <w:sz w:val="20"/>
              </w:rPr>
              <w:t xml:space="preserve"> </w:t>
            </w:r>
            <w:r>
              <w:rPr>
                <w:sz w:val="20"/>
              </w:rPr>
              <w:t>Indian</w:t>
            </w:r>
            <w:r>
              <w:rPr>
                <w:spacing w:val="-6"/>
                <w:sz w:val="20"/>
              </w:rPr>
              <w:t xml:space="preserve"> </w:t>
            </w:r>
            <w:r>
              <w:rPr>
                <w:spacing w:val="-4"/>
                <w:sz w:val="20"/>
              </w:rPr>
              <w:t>SMEs</w:t>
            </w:r>
          </w:p>
        </w:tc>
        <w:tc>
          <w:tcPr>
            <w:tcW w:w="1562" w:type="dxa"/>
          </w:tcPr>
          <w:p w:rsidR="00487D64" w:rsidRDefault="00487D64">
            <w:pPr>
              <w:pStyle w:val="TableParagraph"/>
              <w:spacing w:before="141"/>
              <w:rPr>
                <w:b/>
                <w:sz w:val="20"/>
              </w:rPr>
            </w:pPr>
          </w:p>
          <w:p w:rsidR="00487D64" w:rsidRDefault="006F0D93">
            <w:pPr>
              <w:pStyle w:val="TableParagraph"/>
              <w:ind w:left="42"/>
              <w:rPr>
                <w:sz w:val="20"/>
              </w:rPr>
            </w:pPr>
            <w:r>
              <w:rPr>
                <w:sz w:val="20"/>
              </w:rPr>
              <w:t>Survey</w:t>
            </w:r>
            <w:r>
              <w:rPr>
                <w:spacing w:val="-12"/>
                <w:sz w:val="20"/>
              </w:rPr>
              <w:t xml:space="preserve"> </w:t>
            </w:r>
            <w:r>
              <w:rPr>
                <w:sz w:val="20"/>
              </w:rPr>
              <w:t>+</w:t>
            </w:r>
            <w:r>
              <w:rPr>
                <w:spacing w:val="-2"/>
                <w:sz w:val="20"/>
              </w:rPr>
              <w:t xml:space="preserve"> </w:t>
            </w:r>
            <w:r>
              <w:rPr>
                <w:spacing w:val="-5"/>
                <w:sz w:val="20"/>
              </w:rPr>
              <w:t>SEM</w:t>
            </w:r>
          </w:p>
        </w:tc>
        <w:tc>
          <w:tcPr>
            <w:tcW w:w="2120" w:type="dxa"/>
          </w:tcPr>
          <w:p w:rsidR="00487D64" w:rsidRDefault="006F0D93">
            <w:pPr>
              <w:pStyle w:val="TableParagraph"/>
              <w:spacing w:before="25"/>
              <w:ind w:left="43" w:right="164"/>
              <w:rPr>
                <w:sz w:val="20"/>
              </w:rPr>
            </w:pPr>
            <w:r>
              <w:rPr>
                <w:sz w:val="20"/>
              </w:rPr>
              <w:t>Flexibility fails to improve performance without</w:t>
            </w:r>
            <w:r>
              <w:rPr>
                <w:spacing w:val="-13"/>
                <w:sz w:val="20"/>
              </w:rPr>
              <w:t xml:space="preserve"> </w:t>
            </w:r>
            <w:r>
              <w:rPr>
                <w:sz w:val="20"/>
              </w:rPr>
              <w:t>complementary HR alignment</w:t>
            </w:r>
          </w:p>
        </w:tc>
      </w:tr>
      <w:tr w:rsidR="00487D64">
        <w:trPr>
          <w:trHeight w:val="1210"/>
        </w:trPr>
        <w:tc>
          <w:tcPr>
            <w:tcW w:w="1484" w:type="dxa"/>
          </w:tcPr>
          <w:p w:rsidR="00487D64" w:rsidRDefault="00487D64">
            <w:pPr>
              <w:pStyle w:val="TableParagraph"/>
              <w:spacing w:before="25"/>
              <w:rPr>
                <w:b/>
                <w:sz w:val="20"/>
              </w:rPr>
            </w:pPr>
          </w:p>
          <w:p w:rsidR="00487D64" w:rsidRDefault="006F0D93">
            <w:pPr>
              <w:pStyle w:val="TableParagraph"/>
              <w:ind w:left="50" w:right="33"/>
              <w:rPr>
                <w:sz w:val="20"/>
              </w:rPr>
            </w:pPr>
            <w:r>
              <w:rPr>
                <w:spacing w:val="-2"/>
                <w:sz w:val="20"/>
              </w:rPr>
              <w:t xml:space="preserve">Kasumaningtyas </w:t>
            </w:r>
            <w:r>
              <w:rPr>
                <w:sz w:val="20"/>
              </w:rPr>
              <w:t xml:space="preserve">&amp; Cempena </w:t>
            </w:r>
            <w:r>
              <w:rPr>
                <w:spacing w:val="-2"/>
                <w:sz w:val="20"/>
              </w:rPr>
              <w:t>(2024)</w:t>
            </w:r>
          </w:p>
        </w:tc>
        <w:tc>
          <w:tcPr>
            <w:tcW w:w="1559" w:type="dxa"/>
          </w:tcPr>
          <w:p w:rsidR="00487D64" w:rsidRDefault="00487D64">
            <w:pPr>
              <w:pStyle w:val="TableParagraph"/>
              <w:spacing w:before="25"/>
              <w:rPr>
                <w:b/>
                <w:sz w:val="20"/>
              </w:rPr>
            </w:pPr>
          </w:p>
          <w:p w:rsidR="00487D64" w:rsidRDefault="006F0D93">
            <w:pPr>
              <w:pStyle w:val="TableParagraph"/>
              <w:ind w:left="36" w:right="391"/>
              <w:jc w:val="both"/>
              <w:rPr>
                <w:sz w:val="20"/>
              </w:rPr>
            </w:pPr>
            <w:r>
              <w:rPr>
                <w:sz w:val="20"/>
              </w:rPr>
              <w:t>Tested</w:t>
            </w:r>
            <w:r>
              <w:rPr>
                <w:spacing w:val="-3"/>
                <w:sz w:val="20"/>
              </w:rPr>
              <w:t xml:space="preserve"> </w:t>
            </w:r>
            <w:r>
              <w:rPr>
                <w:sz w:val="20"/>
              </w:rPr>
              <w:t>digital capabilities</w:t>
            </w:r>
            <w:r>
              <w:rPr>
                <w:spacing w:val="-13"/>
                <w:sz w:val="20"/>
              </w:rPr>
              <w:t xml:space="preserve"> </w:t>
            </w:r>
            <w:r>
              <w:rPr>
                <w:sz w:val="20"/>
              </w:rPr>
              <w:t xml:space="preserve">as </w:t>
            </w:r>
            <w:r>
              <w:rPr>
                <w:spacing w:val="-2"/>
                <w:sz w:val="20"/>
              </w:rPr>
              <w:t>mediators</w:t>
            </w:r>
          </w:p>
        </w:tc>
        <w:tc>
          <w:tcPr>
            <w:tcW w:w="1598" w:type="dxa"/>
          </w:tcPr>
          <w:p w:rsidR="00487D64" w:rsidRDefault="00487D64">
            <w:pPr>
              <w:pStyle w:val="TableParagraph"/>
              <w:spacing w:before="141"/>
              <w:rPr>
                <w:b/>
                <w:sz w:val="20"/>
              </w:rPr>
            </w:pPr>
          </w:p>
          <w:p w:rsidR="00487D64" w:rsidRDefault="006F0D93">
            <w:pPr>
              <w:pStyle w:val="TableParagraph"/>
              <w:ind w:left="40" w:right="680"/>
              <w:rPr>
                <w:sz w:val="20"/>
              </w:rPr>
            </w:pPr>
            <w:r>
              <w:rPr>
                <w:spacing w:val="-2"/>
                <w:sz w:val="20"/>
              </w:rPr>
              <w:t>Indonesian MSMEs</w:t>
            </w:r>
          </w:p>
        </w:tc>
        <w:tc>
          <w:tcPr>
            <w:tcW w:w="1562"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42"/>
              <w:rPr>
                <w:sz w:val="20"/>
              </w:rPr>
            </w:pPr>
            <w:r>
              <w:rPr>
                <w:spacing w:val="-2"/>
                <w:sz w:val="20"/>
              </w:rPr>
              <w:t>PLS-</w:t>
            </w:r>
            <w:r>
              <w:rPr>
                <w:spacing w:val="-5"/>
                <w:sz w:val="20"/>
              </w:rPr>
              <w:t>SEM</w:t>
            </w:r>
          </w:p>
        </w:tc>
        <w:tc>
          <w:tcPr>
            <w:tcW w:w="2120" w:type="dxa"/>
          </w:tcPr>
          <w:p w:rsidR="00487D64" w:rsidRDefault="006F0D93">
            <w:pPr>
              <w:pStyle w:val="TableParagraph"/>
              <w:spacing w:before="25"/>
              <w:ind w:left="43"/>
              <w:rPr>
                <w:sz w:val="20"/>
              </w:rPr>
            </w:pPr>
            <w:r>
              <w:rPr>
                <w:spacing w:val="-2"/>
                <w:sz w:val="20"/>
              </w:rPr>
              <w:t>Digital/technological readiness</w:t>
            </w:r>
            <w:r>
              <w:rPr>
                <w:spacing w:val="4"/>
                <w:sz w:val="20"/>
              </w:rPr>
              <w:t xml:space="preserve"> </w:t>
            </w:r>
            <w:r>
              <w:rPr>
                <w:spacing w:val="-2"/>
                <w:sz w:val="20"/>
              </w:rPr>
              <w:t>mediates</w:t>
            </w:r>
            <w:r>
              <w:rPr>
                <w:sz w:val="20"/>
              </w:rPr>
              <w:t xml:space="preserve"> </w:t>
            </w:r>
            <w:r>
              <w:rPr>
                <w:spacing w:val="-5"/>
                <w:sz w:val="20"/>
              </w:rPr>
              <w:t>CO</w:t>
            </w:r>
          </w:p>
          <w:p w:rsidR="00487D64" w:rsidRDefault="006F0D93">
            <w:pPr>
              <w:pStyle w:val="TableParagraph"/>
              <w:spacing w:before="1"/>
              <w:ind w:left="43"/>
              <w:rPr>
                <w:sz w:val="20"/>
              </w:rPr>
            </w:pPr>
            <w:r>
              <w:rPr>
                <w:sz w:val="20"/>
              </w:rPr>
              <w:t>→</w:t>
            </w:r>
            <w:r>
              <w:rPr>
                <w:spacing w:val="-13"/>
                <w:sz w:val="20"/>
              </w:rPr>
              <w:t xml:space="preserve"> </w:t>
            </w:r>
            <w:r>
              <w:rPr>
                <w:sz w:val="20"/>
              </w:rPr>
              <w:t>Innovation;</w:t>
            </w:r>
            <w:r>
              <w:rPr>
                <w:spacing w:val="-12"/>
                <w:sz w:val="20"/>
              </w:rPr>
              <w:t xml:space="preserve"> </w:t>
            </w:r>
            <w:r>
              <w:rPr>
                <w:sz w:val="20"/>
              </w:rPr>
              <w:t>without enablers, SF fails to generate gains</w:t>
            </w:r>
          </w:p>
        </w:tc>
      </w:tr>
      <w:tr w:rsidR="00487D64">
        <w:trPr>
          <w:trHeight w:val="527"/>
        </w:trPr>
        <w:tc>
          <w:tcPr>
            <w:tcW w:w="1484" w:type="dxa"/>
            <w:tcBorders>
              <w:bottom w:val="single" w:sz="4" w:space="0" w:color="000000"/>
            </w:tcBorders>
          </w:tcPr>
          <w:p w:rsidR="00487D64" w:rsidRDefault="006F0D93">
            <w:pPr>
              <w:pStyle w:val="TableParagraph"/>
              <w:spacing w:before="25"/>
              <w:ind w:left="50" w:right="349"/>
              <w:rPr>
                <w:sz w:val="20"/>
              </w:rPr>
            </w:pPr>
            <w:r>
              <w:rPr>
                <w:spacing w:val="-2"/>
                <w:sz w:val="20"/>
              </w:rPr>
              <w:t>Lopez-Torres (2023)</w:t>
            </w:r>
          </w:p>
        </w:tc>
        <w:tc>
          <w:tcPr>
            <w:tcW w:w="1559" w:type="dxa"/>
            <w:tcBorders>
              <w:bottom w:val="single" w:sz="4" w:space="0" w:color="000000"/>
            </w:tcBorders>
          </w:tcPr>
          <w:p w:rsidR="00487D64" w:rsidRDefault="006F0D93">
            <w:pPr>
              <w:pStyle w:val="TableParagraph"/>
              <w:spacing w:before="25"/>
              <w:ind w:left="36" w:right="199"/>
              <w:rPr>
                <w:sz w:val="20"/>
              </w:rPr>
            </w:pPr>
            <w:r>
              <w:rPr>
                <w:spacing w:val="-2"/>
                <w:sz w:val="20"/>
              </w:rPr>
              <w:t xml:space="preserve">Measured </w:t>
            </w:r>
            <w:r>
              <w:rPr>
                <w:sz w:val="20"/>
              </w:rPr>
              <w:t>sustainability</w:t>
            </w:r>
            <w:r>
              <w:rPr>
                <w:spacing w:val="-13"/>
                <w:sz w:val="20"/>
              </w:rPr>
              <w:t xml:space="preserve"> </w:t>
            </w:r>
            <w:r>
              <w:rPr>
                <w:sz w:val="20"/>
              </w:rPr>
              <w:t>→</w:t>
            </w:r>
          </w:p>
        </w:tc>
        <w:tc>
          <w:tcPr>
            <w:tcW w:w="1598" w:type="dxa"/>
            <w:tcBorders>
              <w:bottom w:val="single" w:sz="4" w:space="0" w:color="000000"/>
            </w:tcBorders>
          </w:tcPr>
          <w:p w:rsidR="00487D64" w:rsidRDefault="006F0D93">
            <w:pPr>
              <w:pStyle w:val="TableParagraph"/>
              <w:spacing w:before="140"/>
              <w:ind w:left="40"/>
              <w:rPr>
                <w:sz w:val="20"/>
              </w:rPr>
            </w:pPr>
            <w:r>
              <w:rPr>
                <w:sz w:val="20"/>
              </w:rPr>
              <w:t>Mexican</w:t>
            </w:r>
            <w:r>
              <w:rPr>
                <w:spacing w:val="-13"/>
                <w:sz w:val="20"/>
              </w:rPr>
              <w:t xml:space="preserve"> </w:t>
            </w:r>
            <w:r>
              <w:rPr>
                <w:spacing w:val="-4"/>
                <w:sz w:val="20"/>
              </w:rPr>
              <w:t>SMEs</w:t>
            </w:r>
          </w:p>
        </w:tc>
        <w:tc>
          <w:tcPr>
            <w:tcW w:w="1562" w:type="dxa"/>
            <w:tcBorders>
              <w:bottom w:val="single" w:sz="4" w:space="0" w:color="000000"/>
            </w:tcBorders>
          </w:tcPr>
          <w:p w:rsidR="00487D64" w:rsidRDefault="006F0D93">
            <w:pPr>
              <w:pStyle w:val="TableParagraph"/>
              <w:spacing w:before="140"/>
              <w:ind w:left="42"/>
              <w:rPr>
                <w:sz w:val="20"/>
              </w:rPr>
            </w:pPr>
            <w:r>
              <w:rPr>
                <w:spacing w:val="-5"/>
                <w:sz w:val="20"/>
              </w:rPr>
              <w:t>SEM</w:t>
            </w:r>
          </w:p>
        </w:tc>
        <w:tc>
          <w:tcPr>
            <w:tcW w:w="2120" w:type="dxa"/>
            <w:tcBorders>
              <w:bottom w:val="single" w:sz="4" w:space="0" w:color="000000"/>
            </w:tcBorders>
          </w:tcPr>
          <w:p w:rsidR="00487D64" w:rsidRDefault="006F0D93">
            <w:pPr>
              <w:pStyle w:val="TableParagraph"/>
              <w:spacing w:before="25"/>
              <w:ind w:left="43" w:right="51"/>
              <w:rPr>
                <w:sz w:val="20"/>
              </w:rPr>
            </w:pPr>
            <w:r>
              <w:rPr>
                <w:spacing w:val="-2"/>
                <w:sz w:val="20"/>
              </w:rPr>
              <w:t>Sustainability significantly</w:t>
            </w:r>
            <w:r>
              <w:rPr>
                <w:spacing w:val="-7"/>
                <w:sz w:val="20"/>
              </w:rPr>
              <w:t xml:space="preserve"> </w:t>
            </w:r>
            <w:r>
              <w:rPr>
                <w:spacing w:val="-2"/>
                <w:sz w:val="20"/>
              </w:rPr>
              <w:t>improves</w:t>
            </w:r>
          </w:p>
        </w:tc>
      </w:tr>
    </w:tbl>
    <w:p w:rsidR="00487D64" w:rsidRDefault="00487D64">
      <w:pPr>
        <w:pStyle w:val="TableParagraph"/>
        <w:rPr>
          <w:sz w:val="20"/>
        </w:rPr>
        <w:sectPr w:rsidR="00487D64">
          <w:pgSz w:w="11910" w:h="16850"/>
          <w:pgMar w:top="980" w:right="566" w:bottom="280" w:left="850" w:header="725" w:footer="0" w:gutter="0"/>
          <w:cols w:space="720"/>
        </w:sect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spacing w:before="152" w:after="1"/>
        <w:rPr>
          <w:b/>
          <w:sz w:val="20"/>
        </w:rPr>
      </w:pPr>
    </w:p>
    <w:tbl>
      <w:tblPr>
        <w:tblW w:w="0" w:type="auto"/>
        <w:tblInd w:w="1369" w:type="dxa"/>
        <w:tblLayout w:type="fixed"/>
        <w:tblCellMar>
          <w:left w:w="0" w:type="dxa"/>
          <w:right w:w="0" w:type="dxa"/>
        </w:tblCellMar>
        <w:tblLook w:val="01E0" w:firstRow="1" w:lastRow="1" w:firstColumn="1" w:lastColumn="1" w:noHBand="0" w:noVBand="0"/>
      </w:tblPr>
      <w:tblGrid>
        <w:gridCol w:w="1449"/>
        <w:gridCol w:w="1583"/>
        <w:gridCol w:w="1615"/>
        <w:gridCol w:w="1561"/>
        <w:gridCol w:w="2119"/>
      </w:tblGrid>
      <w:tr w:rsidR="00487D64">
        <w:trPr>
          <w:trHeight w:val="491"/>
        </w:trPr>
        <w:tc>
          <w:tcPr>
            <w:tcW w:w="1449" w:type="dxa"/>
            <w:tcBorders>
              <w:top w:val="double" w:sz="4" w:space="0" w:color="000000"/>
              <w:bottom w:val="single" w:sz="4" w:space="0" w:color="000000"/>
            </w:tcBorders>
          </w:tcPr>
          <w:p w:rsidR="00487D64" w:rsidRDefault="006F0D93">
            <w:pPr>
              <w:pStyle w:val="TableParagraph"/>
              <w:spacing w:before="11" w:line="230" w:lineRule="atLeast"/>
              <w:ind w:left="547" w:right="163" w:hanging="318"/>
              <w:rPr>
                <w:b/>
                <w:sz w:val="20"/>
              </w:rPr>
            </w:pPr>
            <w:r>
              <w:rPr>
                <w:b/>
                <w:sz w:val="20"/>
              </w:rPr>
              <w:t>Author(s)</w:t>
            </w:r>
            <w:r>
              <w:rPr>
                <w:b/>
                <w:spacing w:val="-13"/>
                <w:sz w:val="20"/>
              </w:rPr>
              <w:t xml:space="preserve"> </w:t>
            </w:r>
            <w:r>
              <w:rPr>
                <w:b/>
                <w:sz w:val="20"/>
              </w:rPr>
              <w:t xml:space="preserve">&amp; </w:t>
            </w:r>
            <w:r>
              <w:rPr>
                <w:b/>
                <w:spacing w:val="-4"/>
                <w:sz w:val="20"/>
              </w:rPr>
              <w:t>Year</w:t>
            </w:r>
          </w:p>
        </w:tc>
        <w:tc>
          <w:tcPr>
            <w:tcW w:w="1583" w:type="dxa"/>
            <w:tcBorders>
              <w:top w:val="double" w:sz="4" w:space="0" w:color="000000"/>
              <w:bottom w:val="single" w:sz="4" w:space="0" w:color="000000"/>
            </w:tcBorders>
          </w:tcPr>
          <w:p w:rsidR="00487D64" w:rsidRDefault="006F0D93">
            <w:pPr>
              <w:pStyle w:val="TableParagraph"/>
              <w:spacing w:before="140"/>
              <w:ind w:left="143"/>
              <w:rPr>
                <w:b/>
                <w:sz w:val="20"/>
              </w:rPr>
            </w:pPr>
            <w:r>
              <w:rPr>
                <w:b/>
                <w:spacing w:val="-2"/>
                <w:sz w:val="20"/>
              </w:rPr>
              <w:t>Objective/Focus</w:t>
            </w:r>
          </w:p>
        </w:tc>
        <w:tc>
          <w:tcPr>
            <w:tcW w:w="1615" w:type="dxa"/>
            <w:tcBorders>
              <w:top w:val="double" w:sz="4" w:space="0" w:color="000000"/>
              <w:bottom w:val="single" w:sz="4" w:space="0" w:color="000000"/>
            </w:tcBorders>
          </w:tcPr>
          <w:p w:rsidR="00487D64" w:rsidRDefault="006F0D93">
            <w:pPr>
              <w:pStyle w:val="TableParagraph"/>
              <w:spacing w:before="140"/>
              <w:ind w:left="80"/>
              <w:rPr>
                <w:b/>
                <w:sz w:val="20"/>
              </w:rPr>
            </w:pPr>
            <w:r>
              <w:rPr>
                <w:b/>
                <w:spacing w:val="-2"/>
                <w:sz w:val="20"/>
              </w:rPr>
              <w:t>Location/Context</w:t>
            </w:r>
          </w:p>
        </w:tc>
        <w:tc>
          <w:tcPr>
            <w:tcW w:w="1561" w:type="dxa"/>
            <w:tcBorders>
              <w:top w:val="double" w:sz="4" w:space="0" w:color="000000"/>
              <w:bottom w:val="single" w:sz="4" w:space="0" w:color="000000"/>
            </w:tcBorders>
          </w:tcPr>
          <w:p w:rsidR="00487D64" w:rsidRDefault="006F0D93">
            <w:pPr>
              <w:pStyle w:val="TableParagraph"/>
              <w:spacing w:before="140"/>
              <w:ind w:left="64"/>
              <w:rPr>
                <w:b/>
                <w:sz w:val="20"/>
              </w:rPr>
            </w:pPr>
            <w:r>
              <w:rPr>
                <w:b/>
                <w:spacing w:val="-2"/>
                <w:sz w:val="20"/>
              </w:rPr>
              <w:t>Method/Analysis</w:t>
            </w:r>
          </w:p>
        </w:tc>
        <w:tc>
          <w:tcPr>
            <w:tcW w:w="2119" w:type="dxa"/>
            <w:tcBorders>
              <w:top w:val="double" w:sz="4" w:space="0" w:color="000000"/>
              <w:bottom w:val="single" w:sz="4" w:space="0" w:color="000000"/>
            </w:tcBorders>
          </w:tcPr>
          <w:p w:rsidR="00487D64" w:rsidRDefault="006F0D93">
            <w:pPr>
              <w:pStyle w:val="TableParagraph"/>
              <w:spacing w:before="140"/>
              <w:ind w:left="491"/>
              <w:rPr>
                <w:b/>
                <w:sz w:val="20"/>
              </w:rPr>
            </w:pPr>
            <w:r>
              <w:rPr>
                <w:b/>
                <w:sz w:val="20"/>
              </w:rPr>
              <w:t>Key</w:t>
            </w:r>
            <w:r>
              <w:rPr>
                <w:b/>
                <w:spacing w:val="-5"/>
                <w:sz w:val="20"/>
              </w:rPr>
              <w:t xml:space="preserve"> </w:t>
            </w:r>
            <w:r>
              <w:rPr>
                <w:b/>
                <w:spacing w:val="-2"/>
                <w:sz w:val="20"/>
              </w:rPr>
              <w:t>Findings</w:t>
            </w:r>
          </w:p>
        </w:tc>
      </w:tr>
      <w:tr w:rsidR="00487D64">
        <w:trPr>
          <w:trHeight w:val="769"/>
        </w:trPr>
        <w:tc>
          <w:tcPr>
            <w:tcW w:w="1449" w:type="dxa"/>
            <w:tcBorders>
              <w:top w:val="single" w:sz="4" w:space="0" w:color="000000"/>
            </w:tcBorders>
          </w:tcPr>
          <w:p w:rsidR="00487D64" w:rsidRDefault="00487D64">
            <w:pPr>
              <w:pStyle w:val="TableParagraph"/>
              <w:rPr>
                <w:sz w:val="20"/>
              </w:rPr>
            </w:pPr>
          </w:p>
        </w:tc>
        <w:tc>
          <w:tcPr>
            <w:tcW w:w="1583" w:type="dxa"/>
            <w:tcBorders>
              <w:top w:val="single" w:sz="4" w:space="0" w:color="000000"/>
            </w:tcBorders>
          </w:tcPr>
          <w:p w:rsidR="00487D64" w:rsidRDefault="006F0D93">
            <w:pPr>
              <w:pStyle w:val="TableParagraph"/>
              <w:spacing w:before="49"/>
              <w:ind w:left="78"/>
              <w:rPr>
                <w:sz w:val="20"/>
              </w:rPr>
            </w:pPr>
            <w:r>
              <w:rPr>
                <w:spacing w:val="-2"/>
                <w:sz w:val="20"/>
              </w:rPr>
              <w:t>competitiveness</w:t>
            </w:r>
          </w:p>
        </w:tc>
        <w:tc>
          <w:tcPr>
            <w:tcW w:w="1615" w:type="dxa"/>
            <w:tcBorders>
              <w:top w:val="single" w:sz="4" w:space="0" w:color="000000"/>
            </w:tcBorders>
          </w:tcPr>
          <w:p w:rsidR="00487D64" w:rsidRDefault="00487D64">
            <w:pPr>
              <w:pStyle w:val="TableParagraph"/>
              <w:rPr>
                <w:sz w:val="20"/>
              </w:rPr>
            </w:pPr>
          </w:p>
        </w:tc>
        <w:tc>
          <w:tcPr>
            <w:tcW w:w="1561" w:type="dxa"/>
            <w:tcBorders>
              <w:top w:val="single" w:sz="4" w:space="0" w:color="000000"/>
            </w:tcBorders>
          </w:tcPr>
          <w:p w:rsidR="00487D64" w:rsidRDefault="00487D64">
            <w:pPr>
              <w:pStyle w:val="TableParagraph"/>
              <w:rPr>
                <w:sz w:val="20"/>
              </w:rPr>
            </w:pPr>
          </w:p>
        </w:tc>
        <w:tc>
          <w:tcPr>
            <w:tcW w:w="2119" w:type="dxa"/>
            <w:tcBorders>
              <w:top w:val="single" w:sz="4" w:space="0" w:color="000000"/>
            </w:tcBorders>
          </w:tcPr>
          <w:p w:rsidR="00487D64" w:rsidRDefault="006F0D93">
            <w:pPr>
              <w:pStyle w:val="TableParagraph"/>
              <w:spacing w:before="51" w:line="237" w:lineRule="auto"/>
              <w:ind w:left="45" w:right="395"/>
              <w:rPr>
                <w:sz w:val="20"/>
              </w:rPr>
            </w:pPr>
            <w:r>
              <w:rPr>
                <w:spacing w:val="-2"/>
                <w:sz w:val="20"/>
              </w:rPr>
              <w:t xml:space="preserve">competitiveness; </w:t>
            </w:r>
            <w:r>
              <w:rPr>
                <w:sz w:val="20"/>
              </w:rPr>
              <w:t xml:space="preserve">validated model </w:t>
            </w:r>
            <w:r>
              <w:rPr>
                <w:spacing w:val="-2"/>
                <w:sz w:val="20"/>
              </w:rPr>
              <w:t>reliability</w:t>
            </w:r>
          </w:p>
        </w:tc>
      </w:tr>
      <w:tr w:rsidR="00487D64">
        <w:trPr>
          <w:trHeight w:val="983"/>
        </w:trPr>
        <w:tc>
          <w:tcPr>
            <w:tcW w:w="1449" w:type="dxa"/>
          </w:tcPr>
          <w:p w:rsidR="00487D64" w:rsidRDefault="00487D64">
            <w:pPr>
              <w:pStyle w:val="TableParagraph"/>
              <w:spacing w:before="29"/>
              <w:rPr>
                <w:b/>
                <w:sz w:val="20"/>
              </w:rPr>
            </w:pPr>
          </w:p>
          <w:p w:rsidR="00487D64" w:rsidRDefault="006F0D93">
            <w:pPr>
              <w:pStyle w:val="TableParagraph"/>
              <w:spacing w:before="1"/>
              <w:ind w:left="57" w:right="68"/>
              <w:rPr>
                <w:sz w:val="20"/>
              </w:rPr>
            </w:pPr>
            <w:r>
              <w:rPr>
                <w:spacing w:val="-2"/>
                <w:sz w:val="20"/>
              </w:rPr>
              <w:t>Lopez-Torres</w:t>
            </w:r>
            <w:r>
              <w:rPr>
                <w:spacing w:val="-11"/>
                <w:sz w:val="20"/>
              </w:rPr>
              <w:t xml:space="preserve"> </w:t>
            </w:r>
            <w:r>
              <w:rPr>
                <w:spacing w:val="-2"/>
                <w:sz w:val="20"/>
              </w:rPr>
              <w:t xml:space="preserve">et </w:t>
            </w:r>
            <w:r>
              <w:rPr>
                <w:sz w:val="20"/>
              </w:rPr>
              <w:t>al. (2022)</w:t>
            </w:r>
          </w:p>
        </w:tc>
        <w:tc>
          <w:tcPr>
            <w:tcW w:w="1583" w:type="dxa"/>
          </w:tcPr>
          <w:p w:rsidR="00487D64" w:rsidRDefault="006F0D93">
            <w:pPr>
              <w:pStyle w:val="TableParagraph"/>
              <w:spacing w:before="29"/>
              <w:ind w:left="78"/>
              <w:rPr>
                <w:sz w:val="20"/>
              </w:rPr>
            </w:pPr>
            <w:r>
              <w:rPr>
                <w:spacing w:val="-2"/>
                <w:sz w:val="20"/>
              </w:rPr>
              <w:t>Reviewed sustainability competitiveness literature</w:t>
            </w:r>
          </w:p>
        </w:tc>
        <w:tc>
          <w:tcPr>
            <w:tcW w:w="1615" w:type="dxa"/>
          </w:tcPr>
          <w:p w:rsidR="00487D64" w:rsidRDefault="00487D64">
            <w:pPr>
              <w:pStyle w:val="TableParagraph"/>
              <w:spacing w:before="145"/>
              <w:rPr>
                <w:b/>
                <w:sz w:val="20"/>
              </w:rPr>
            </w:pPr>
          </w:p>
          <w:p w:rsidR="00487D64" w:rsidRDefault="006F0D93">
            <w:pPr>
              <w:pStyle w:val="TableParagraph"/>
              <w:ind w:left="58"/>
              <w:rPr>
                <w:sz w:val="20"/>
              </w:rPr>
            </w:pPr>
            <w:r>
              <w:rPr>
                <w:sz w:val="20"/>
              </w:rPr>
              <w:t>Global</w:t>
            </w:r>
            <w:r>
              <w:rPr>
                <w:spacing w:val="-13"/>
                <w:sz w:val="20"/>
              </w:rPr>
              <w:t xml:space="preserve"> </w:t>
            </w:r>
            <w:r>
              <w:rPr>
                <w:spacing w:val="-2"/>
                <w:sz w:val="20"/>
              </w:rPr>
              <w:t>firms</w:t>
            </w:r>
          </w:p>
        </w:tc>
        <w:tc>
          <w:tcPr>
            <w:tcW w:w="1561" w:type="dxa"/>
          </w:tcPr>
          <w:p w:rsidR="00487D64" w:rsidRDefault="00487D64">
            <w:pPr>
              <w:pStyle w:val="TableParagraph"/>
              <w:spacing w:before="145"/>
              <w:rPr>
                <w:b/>
                <w:sz w:val="20"/>
              </w:rPr>
            </w:pPr>
          </w:p>
          <w:p w:rsidR="00487D64" w:rsidRDefault="006F0D93">
            <w:pPr>
              <w:pStyle w:val="TableParagraph"/>
              <w:ind w:left="43"/>
              <w:rPr>
                <w:sz w:val="20"/>
              </w:rPr>
            </w:pPr>
            <w:r>
              <w:rPr>
                <w:spacing w:val="-2"/>
                <w:sz w:val="20"/>
              </w:rPr>
              <w:t>Systematic</w:t>
            </w:r>
            <w:r>
              <w:rPr>
                <w:sz w:val="20"/>
              </w:rPr>
              <w:t xml:space="preserve"> </w:t>
            </w:r>
            <w:r>
              <w:rPr>
                <w:spacing w:val="-2"/>
                <w:sz w:val="20"/>
              </w:rPr>
              <w:t>review</w:t>
            </w:r>
          </w:p>
        </w:tc>
        <w:tc>
          <w:tcPr>
            <w:tcW w:w="2119" w:type="dxa"/>
          </w:tcPr>
          <w:p w:rsidR="00487D64" w:rsidRDefault="006F0D93">
            <w:pPr>
              <w:pStyle w:val="TableParagraph"/>
              <w:spacing w:before="29"/>
              <w:ind w:left="45"/>
              <w:rPr>
                <w:sz w:val="20"/>
              </w:rPr>
            </w:pPr>
            <w:r>
              <w:rPr>
                <w:sz w:val="20"/>
              </w:rPr>
              <w:t xml:space="preserve">Identified key </w:t>
            </w:r>
            <w:r>
              <w:rPr>
                <w:spacing w:val="-2"/>
                <w:sz w:val="20"/>
              </w:rPr>
              <w:t>sustainability</w:t>
            </w:r>
            <w:r>
              <w:rPr>
                <w:spacing w:val="-5"/>
                <w:sz w:val="20"/>
              </w:rPr>
              <w:t xml:space="preserve"> </w:t>
            </w:r>
            <w:r>
              <w:rPr>
                <w:spacing w:val="-2"/>
                <w:sz w:val="20"/>
              </w:rPr>
              <w:t xml:space="preserve">strategies, </w:t>
            </w:r>
            <w:r>
              <w:rPr>
                <w:sz w:val="20"/>
              </w:rPr>
              <w:t>moderating</w:t>
            </w:r>
            <w:r>
              <w:rPr>
                <w:spacing w:val="-9"/>
                <w:sz w:val="20"/>
              </w:rPr>
              <w:t xml:space="preserve"> </w:t>
            </w:r>
            <w:r>
              <w:rPr>
                <w:sz w:val="20"/>
              </w:rPr>
              <w:t>factors,</w:t>
            </w:r>
            <w:r>
              <w:rPr>
                <w:spacing w:val="-9"/>
                <w:sz w:val="20"/>
              </w:rPr>
              <w:t xml:space="preserve"> </w:t>
            </w:r>
            <w:r>
              <w:rPr>
                <w:sz w:val="20"/>
              </w:rPr>
              <w:t>and organizational enablers</w:t>
            </w:r>
          </w:p>
        </w:tc>
      </w:tr>
      <w:tr w:rsidR="00487D64">
        <w:trPr>
          <w:trHeight w:val="1667"/>
        </w:trPr>
        <w:tc>
          <w:tcPr>
            <w:tcW w:w="1449" w:type="dxa"/>
          </w:tcPr>
          <w:p w:rsidR="00487D64" w:rsidRDefault="00487D64">
            <w:pPr>
              <w:pStyle w:val="TableParagraph"/>
              <w:rPr>
                <w:b/>
                <w:sz w:val="20"/>
              </w:rPr>
            </w:pPr>
          </w:p>
          <w:p w:rsidR="00487D64" w:rsidRDefault="00487D64">
            <w:pPr>
              <w:pStyle w:val="TableParagraph"/>
              <w:spacing w:before="141"/>
              <w:rPr>
                <w:b/>
                <w:sz w:val="20"/>
              </w:rPr>
            </w:pPr>
          </w:p>
          <w:p w:rsidR="00487D64" w:rsidRDefault="006F0D93">
            <w:pPr>
              <w:pStyle w:val="TableParagraph"/>
              <w:ind w:left="57" w:right="68"/>
              <w:rPr>
                <w:sz w:val="20"/>
              </w:rPr>
            </w:pPr>
            <w:r>
              <w:rPr>
                <w:sz w:val="20"/>
              </w:rPr>
              <w:t>Jewel</w:t>
            </w:r>
            <w:r>
              <w:rPr>
                <w:spacing w:val="-13"/>
                <w:sz w:val="20"/>
              </w:rPr>
              <w:t xml:space="preserve"> </w:t>
            </w:r>
            <w:r>
              <w:rPr>
                <w:sz w:val="20"/>
              </w:rPr>
              <w:t>&amp;</w:t>
            </w:r>
            <w:r>
              <w:rPr>
                <w:spacing w:val="-12"/>
                <w:sz w:val="20"/>
              </w:rPr>
              <w:t xml:space="preserve"> </w:t>
            </w:r>
            <w:r>
              <w:rPr>
                <w:sz w:val="20"/>
              </w:rPr>
              <w:t xml:space="preserve">Ali </w:t>
            </w:r>
            <w:r>
              <w:rPr>
                <w:spacing w:val="-2"/>
                <w:sz w:val="20"/>
              </w:rPr>
              <w:t>(2023)</w:t>
            </w:r>
          </w:p>
        </w:tc>
        <w:tc>
          <w:tcPr>
            <w:tcW w:w="1583" w:type="dxa"/>
          </w:tcPr>
          <w:p w:rsidR="00487D64" w:rsidRDefault="00487D64">
            <w:pPr>
              <w:pStyle w:val="TableParagraph"/>
              <w:rPr>
                <w:b/>
                <w:sz w:val="20"/>
              </w:rPr>
            </w:pPr>
          </w:p>
          <w:p w:rsidR="00487D64" w:rsidRDefault="00487D64">
            <w:pPr>
              <w:pStyle w:val="TableParagraph"/>
              <w:spacing w:before="141"/>
              <w:rPr>
                <w:b/>
                <w:sz w:val="20"/>
              </w:rPr>
            </w:pPr>
          </w:p>
          <w:p w:rsidR="00487D64" w:rsidRDefault="006F0D93">
            <w:pPr>
              <w:pStyle w:val="TableParagraph"/>
              <w:ind w:left="78" w:right="303"/>
              <w:rPr>
                <w:sz w:val="20"/>
              </w:rPr>
            </w:pPr>
            <w:r>
              <w:rPr>
                <w:sz w:val="20"/>
              </w:rPr>
              <w:t>Examined</w:t>
            </w:r>
            <w:r>
              <w:rPr>
                <w:spacing w:val="-13"/>
                <w:sz w:val="20"/>
              </w:rPr>
              <w:t xml:space="preserve"> </w:t>
            </w:r>
            <w:r>
              <w:rPr>
                <w:sz w:val="20"/>
              </w:rPr>
              <w:t>SPP and SDGs</w:t>
            </w:r>
          </w:p>
        </w:tc>
        <w:tc>
          <w:tcPr>
            <w:tcW w:w="1615" w:type="dxa"/>
          </w:tcPr>
          <w:p w:rsidR="00487D64" w:rsidRDefault="00487D64">
            <w:pPr>
              <w:pStyle w:val="TableParagraph"/>
              <w:rPr>
                <w:b/>
                <w:sz w:val="20"/>
              </w:rPr>
            </w:pPr>
          </w:p>
          <w:p w:rsidR="00487D64" w:rsidRDefault="00487D64">
            <w:pPr>
              <w:pStyle w:val="TableParagraph"/>
              <w:spacing w:before="141"/>
              <w:rPr>
                <w:b/>
                <w:sz w:val="20"/>
              </w:rPr>
            </w:pPr>
          </w:p>
          <w:p w:rsidR="00487D64" w:rsidRDefault="006F0D93">
            <w:pPr>
              <w:pStyle w:val="TableParagraph"/>
              <w:ind w:left="58" w:right="67"/>
              <w:rPr>
                <w:sz w:val="20"/>
              </w:rPr>
            </w:pPr>
            <w:r>
              <w:rPr>
                <w:sz w:val="20"/>
              </w:rPr>
              <w:t>Bangladesh</w:t>
            </w:r>
            <w:r>
              <w:rPr>
                <w:spacing w:val="-13"/>
                <w:sz w:val="20"/>
              </w:rPr>
              <w:t xml:space="preserve"> </w:t>
            </w:r>
            <w:r>
              <w:rPr>
                <w:sz w:val="20"/>
              </w:rPr>
              <w:t xml:space="preserve">public </w:t>
            </w:r>
            <w:r>
              <w:rPr>
                <w:spacing w:val="-2"/>
                <w:sz w:val="20"/>
              </w:rPr>
              <w:t>procurement</w:t>
            </w:r>
          </w:p>
        </w:tc>
        <w:tc>
          <w:tcPr>
            <w:tcW w:w="1561" w:type="dxa"/>
          </w:tcPr>
          <w:p w:rsidR="00487D64" w:rsidRDefault="00487D64">
            <w:pPr>
              <w:pStyle w:val="TableParagraph"/>
              <w:rPr>
                <w:b/>
                <w:sz w:val="20"/>
              </w:rPr>
            </w:pPr>
          </w:p>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spacing w:before="1"/>
              <w:ind w:left="43"/>
              <w:rPr>
                <w:sz w:val="20"/>
              </w:rPr>
            </w:pPr>
            <w:r>
              <w:rPr>
                <w:sz w:val="20"/>
              </w:rPr>
              <w:t>Mixed</w:t>
            </w:r>
            <w:r>
              <w:rPr>
                <w:spacing w:val="-5"/>
                <w:sz w:val="20"/>
              </w:rPr>
              <w:t xml:space="preserve"> </w:t>
            </w:r>
            <w:r>
              <w:rPr>
                <w:spacing w:val="-2"/>
                <w:sz w:val="20"/>
              </w:rPr>
              <w:t>methods</w:t>
            </w:r>
          </w:p>
        </w:tc>
        <w:tc>
          <w:tcPr>
            <w:tcW w:w="2119" w:type="dxa"/>
          </w:tcPr>
          <w:p w:rsidR="00487D64" w:rsidRDefault="006F0D93">
            <w:pPr>
              <w:pStyle w:val="TableParagraph"/>
              <w:spacing w:before="25"/>
              <w:ind w:left="45" w:right="395"/>
              <w:rPr>
                <w:sz w:val="20"/>
              </w:rPr>
            </w:pPr>
            <w:r>
              <w:rPr>
                <w:sz w:val="20"/>
              </w:rPr>
              <w:t>Procurement laws emphasize</w:t>
            </w:r>
            <w:r>
              <w:rPr>
                <w:spacing w:val="-13"/>
                <w:sz w:val="20"/>
              </w:rPr>
              <w:t xml:space="preserve"> </w:t>
            </w:r>
            <w:r>
              <w:rPr>
                <w:sz w:val="20"/>
              </w:rPr>
              <w:t xml:space="preserve">economic </w:t>
            </w:r>
            <w:r>
              <w:rPr>
                <w:spacing w:val="-4"/>
                <w:sz w:val="20"/>
              </w:rPr>
              <w:t xml:space="preserve">over </w:t>
            </w:r>
            <w:r>
              <w:rPr>
                <w:spacing w:val="-2"/>
                <w:sz w:val="20"/>
              </w:rPr>
              <w:t xml:space="preserve">social/environmental </w:t>
            </w:r>
            <w:r>
              <w:rPr>
                <w:sz w:val="20"/>
              </w:rPr>
              <w:t>factors; SPP opportunities</w:t>
            </w:r>
            <w:r>
              <w:rPr>
                <w:spacing w:val="-13"/>
                <w:sz w:val="20"/>
              </w:rPr>
              <w:t xml:space="preserve"> </w:t>
            </w:r>
            <w:r>
              <w:rPr>
                <w:sz w:val="20"/>
              </w:rPr>
              <w:t xml:space="preserve">remain </w:t>
            </w:r>
            <w:r>
              <w:rPr>
                <w:spacing w:val="-2"/>
                <w:sz w:val="20"/>
              </w:rPr>
              <w:t>underutilized</w:t>
            </w:r>
          </w:p>
        </w:tc>
      </w:tr>
      <w:tr w:rsidR="00487D64">
        <w:trPr>
          <w:trHeight w:val="983"/>
        </w:trPr>
        <w:tc>
          <w:tcPr>
            <w:tcW w:w="1449" w:type="dxa"/>
          </w:tcPr>
          <w:p w:rsidR="00487D64" w:rsidRDefault="00487D64">
            <w:pPr>
              <w:pStyle w:val="TableParagraph"/>
              <w:spacing w:before="29"/>
              <w:rPr>
                <w:b/>
                <w:sz w:val="20"/>
              </w:rPr>
            </w:pPr>
          </w:p>
          <w:p w:rsidR="00487D64" w:rsidRDefault="006F0D93">
            <w:pPr>
              <w:pStyle w:val="TableParagraph"/>
              <w:ind w:left="57" w:right="290"/>
              <w:rPr>
                <w:sz w:val="20"/>
              </w:rPr>
            </w:pPr>
            <w:r>
              <w:rPr>
                <w:sz w:val="20"/>
              </w:rPr>
              <w:t>Alotaibi &amp; Zhang</w:t>
            </w:r>
            <w:r>
              <w:rPr>
                <w:spacing w:val="-13"/>
                <w:sz w:val="20"/>
              </w:rPr>
              <w:t xml:space="preserve"> </w:t>
            </w:r>
            <w:r>
              <w:rPr>
                <w:sz w:val="20"/>
              </w:rPr>
              <w:t>(2017)</w:t>
            </w:r>
          </w:p>
        </w:tc>
        <w:tc>
          <w:tcPr>
            <w:tcW w:w="1583" w:type="dxa"/>
          </w:tcPr>
          <w:p w:rsidR="00487D64" w:rsidRDefault="006F0D93">
            <w:pPr>
              <w:pStyle w:val="TableParagraph"/>
              <w:spacing w:before="144"/>
              <w:ind w:left="78" w:right="303"/>
              <w:rPr>
                <w:sz w:val="20"/>
              </w:rPr>
            </w:pPr>
            <w:r>
              <w:rPr>
                <w:sz w:val="20"/>
              </w:rPr>
              <w:t>Studied</w:t>
            </w:r>
            <w:r>
              <w:rPr>
                <w:spacing w:val="-13"/>
                <w:sz w:val="20"/>
              </w:rPr>
              <w:t xml:space="preserve"> </w:t>
            </w:r>
            <w:r>
              <w:rPr>
                <w:sz w:val="20"/>
              </w:rPr>
              <w:t xml:space="preserve">export MO and </w:t>
            </w:r>
            <w:r>
              <w:rPr>
                <w:spacing w:val="-2"/>
                <w:sz w:val="20"/>
              </w:rPr>
              <w:t>performance</w:t>
            </w:r>
          </w:p>
        </w:tc>
        <w:tc>
          <w:tcPr>
            <w:tcW w:w="1615" w:type="dxa"/>
          </w:tcPr>
          <w:p w:rsidR="00487D64" w:rsidRDefault="00487D64">
            <w:pPr>
              <w:pStyle w:val="TableParagraph"/>
              <w:spacing w:before="144"/>
              <w:rPr>
                <w:b/>
                <w:sz w:val="20"/>
              </w:rPr>
            </w:pPr>
          </w:p>
          <w:p w:rsidR="00487D64" w:rsidRDefault="006F0D93">
            <w:pPr>
              <w:pStyle w:val="TableParagraph"/>
              <w:ind w:left="58"/>
              <w:rPr>
                <w:sz w:val="20"/>
              </w:rPr>
            </w:pPr>
            <w:r>
              <w:rPr>
                <w:sz w:val="20"/>
              </w:rPr>
              <w:t>Saudi</w:t>
            </w:r>
            <w:r>
              <w:rPr>
                <w:spacing w:val="-3"/>
                <w:sz w:val="20"/>
              </w:rPr>
              <w:t xml:space="preserve"> </w:t>
            </w:r>
            <w:r>
              <w:rPr>
                <w:spacing w:val="-2"/>
                <w:sz w:val="20"/>
              </w:rPr>
              <w:t>firms</w:t>
            </w:r>
          </w:p>
        </w:tc>
        <w:tc>
          <w:tcPr>
            <w:tcW w:w="1561" w:type="dxa"/>
          </w:tcPr>
          <w:p w:rsidR="00487D64" w:rsidRDefault="00487D64">
            <w:pPr>
              <w:pStyle w:val="TableParagraph"/>
              <w:spacing w:before="144"/>
              <w:rPr>
                <w:b/>
                <w:sz w:val="20"/>
              </w:rPr>
            </w:pPr>
          </w:p>
          <w:p w:rsidR="00487D64" w:rsidRDefault="006F0D93">
            <w:pPr>
              <w:pStyle w:val="TableParagraph"/>
              <w:ind w:left="43"/>
              <w:rPr>
                <w:sz w:val="20"/>
              </w:rPr>
            </w:pPr>
            <w:r>
              <w:rPr>
                <w:sz w:val="20"/>
              </w:rPr>
              <w:t xml:space="preserve">SEM </w:t>
            </w:r>
            <w:r>
              <w:rPr>
                <w:spacing w:val="-2"/>
                <w:sz w:val="20"/>
              </w:rPr>
              <w:t>(AMOS)</w:t>
            </w:r>
          </w:p>
        </w:tc>
        <w:tc>
          <w:tcPr>
            <w:tcW w:w="2119" w:type="dxa"/>
          </w:tcPr>
          <w:p w:rsidR="00487D64" w:rsidRDefault="006F0D93">
            <w:pPr>
              <w:pStyle w:val="TableParagraph"/>
              <w:spacing w:before="29"/>
              <w:ind w:left="45" w:right="361"/>
              <w:rPr>
                <w:sz w:val="20"/>
              </w:rPr>
            </w:pPr>
            <w:r>
              <w:rPr>
                <w:sz w:val="20"/>
              </w:rPr>
              <w:t>Export</w:t>
            </w:r>
            <w:r>
              <w:rPr>
                <w:spacing w:val="-13"/>
                <w:sz w:val="20"/>
              </w:rPr>
              <w:t xml:space="preserve"> </w:t>
            </w:r>
            <w:r>
              <w:rPr>
                <w:sz w:val="20"/>
              </w:rPr>
              <w:t>MO</w:t>
            </w:r>
            <w:r>
              <w:rPr>
                <w:spacing w:val="-12"/>
                <w:sz w:val="20"/>
              </w:rPr>
              <w:t xml:space="preserve"> </w:t>
            </w:r>
            <w:r>
              <w:rPr>
                <w:sz w:val="20"/>
              </w:rPr>
              <w:t>improves performance; export strategy</w:t>
            </w:r>
            <w:r>
              <w:rPr>
                <w:spacing w:val="-5"/>
                <w:sz w:val="20"/>
              </w:rPr>
              <w:t xml:space="preserve"> </w:t>
            </w:r>
            <w:r>
              <w:rPr>
                <w:sz w:val="20"/>
              </w:rPr>
              <w:t>partially mediates</w:t>
            </w:r>
            <w:r>
              <w:rPr>
                <w:spacing w:val="-13"/>
                <w:sz w:val="20"/>
              </w:rPr>
              <w:t xml:space="preserve"> </w:t>
            </w:r>
            <w:r>
              <w:rPr>
                <w:sz w:val="20"/>
              </w:rPr>
              <w:t>relationship</w:t>
            </w:r>
          </w:p>
        </w:tc>
      </w:tr>
      <w:tr w:rsidR="00487D64">
        <w:trPr>
          <w:trHeight w:val="979"/>
        </w:trPr>
        <w:tc>
          <w:tcPr>
            <w:tcW w:w="1449" w:type="dxa"/>
          </w:tcPr>
          <w:p w:rsidR="00487D64" w:rsidRDefault="00487D64">
            <w:pPr>
              <w:pStyle w:val="TableParagraph"/>
              <w:spacing w:before="26"/>
              <w:rPr>
                <w:b/>
                <w:sz w:val="20"/>
              </w:rPr>
            </w:pPr>
          </w:p>
          <w:p w:rsidR="00487D64" w:rsidRDefault="006F0D93">
            <w:pPr>
              <w:pStyle w:val="TableParagraph"/>
              <w:ind w:left="57" w:right="68"/>
              <w:rPr>
                <w:sz w:val="20"/>
              </w:rPr>
            </w:pPr>
            <w:r>
              <w:rPr>
                <w:sz w:val="20"/>
              </w:rPr>
              <w:t>Guerra &amp; Camargo</w:t>
            </w:r>
            <w:r>
              <w:rPr>
                <w:spacing w:val="-13"/>
                <w:sz w:val="20"/>
              </w:rPr>
              <w:t xml:space="preserve"> </w:t>
            </w:r>
            <w:r>
              <w:rPr>
                <w:sz w:val="20"/>
              </w:rPr>
              <w:t>(2024)</w:t>
            </w:r>
          </w:p>
        </w:tc>
        <w:tc>
          <w:tcPr>
            <w:tcW w:w="1583" w:type="dxa"/>
          </w:tcPr>
          <w:p w:rsidR="00487D64" w:rsidRDefault="006F0D93">
            <w:pPr>
              <w:pStyle w:val="TableParagraph"/>
              <w:spacing w:before="25"/>
              <w:ind w:left="78" w:right="303"/>
              <w:rPr>
                <w:sz w:val="20"/>
              </w:rPr>
            </w:pPr>
            <w:r>
              <w:rPr>
                <w:spacing w:val="-2"/>
                <w:sz w:val="20"/>
              </w:rPr>
              <w:t>Investigated learning orientation mediation</w:t>
            </w:r>
          </w:p>
        </w:tc>
        <w:tc>
          <w:tcPr>
            <w:tcW w:w="1615" w:type="dxa"/>
          </w:tcPr>
          <w:p w:rsidR="00487D64" w:rsidRDefault="00487D64">
            <w:pPr>
              <w:pStyle w:val="TableParagraph"/>
              <w:spacing w:before="141"/>
              <w:rPr>
                <w:b/>
                <w:sz w:val="20"/>
              </w:rPr>
            </w:pPr>
          </w:p>
          <w:p w:rsidR="00487D64" w:rsidRDefault="006F0D93">
            <w:pPr>
              <w:pStyle w:val="TableParagraph"/>
              <w:ind w:left="58"/>
              <w:rPr>
                <w:sz w:val="20"/>
              </w:rPr>
            </w:pPr>
            <w:r>
              <w:rPr>
                <w:sz w:val="20"/>
              </w:rPr>
              <w:t>Brazilian</w:t>
            </w:r>
            <w:r>
              <w:rPr>
                <w:spacing w:val="-12"/>
                <w:sz w:val="20"/>
              </w:rPr>
              <w:t xml:space="preserve"> </w:t>
            </w:r>
            <w:r>
              <w:rPr>
                <w:spacing w:val="-4"/>
                <w:sz w:val="20"/>
              </w:rPr>
              <w:t>SMEs</w:t>
            </w:r>
          </w:p>
        </w:tc>
        <w:tc>
          <w:tcPr>
            <w:tcW w:w="1561" w:type="dxa"/>
          </w:tcPr>
          <w:p w:rsidR="00487D64" w:rsidRDefault="00487D64">
            <w:pPr>
              <w:pStyle w:val="TableParagraph"/>
              <w:spacing w:before="141"/>
              <w:rPr>
                <w:b/>
                <w:sz w:val="20"/>
              </w:rPr>
            </w:pPr>
          </w:p>
          <w:p w:rsidR="00487D64" w:rsidRDefault="006F0D93">
            <w:pPr>
              <w:pStyle w:val="TableParagraph"/>
              <w:ind w:left="43"/>
              <w:rPr>
                <w:sz w:val="20"/>
              </w:rPr>
            </w:pPr>
            <w:r>
              <w:rPr>
                <w:spacing w:val="-5"/>
                <w:sz w:val="20"/>
              </w:rPr>
              <w:t>SEM</w:t>
            </w:r>
          </w:p>
        </w:tc>
        <w:tc>
          <w:tcPr>
            <w:tcW w:w="2119" w:type="dxa"/>
          </w:tcPr>
          <w:p w:rsidR="00487D64" w:rsidRDefault="006F0D93">
            <w:pPr>
              <w:pStyle w:val="TableParagraph"/>
              <w:spacing w:before="25"/>
              <w:ind w:left="45" w:right="62"/>
              <w:rPr>
                <w:sz w:val="20"/>
              </w:rPr>
            </w:pPr>
            <w:r>
              <w:rPr>
                <w:sz w:val="20"/>
              </w:rPr>
              <w:t>Learning</w:t>
            </w:r>
            <w:r>
              <w:rPr>
                <w:spacing w:val="-5"/>
                <w:sz w:val="20"/>
              </w:rPr>
              <w:t xml:space="preserve"> </w:t>
            </w:r>
            <w:r>
              <w:rPr>
                <w:sz w:val="20"/>
              </w:rPr>
              <w:t>orientation mediates MO– performance</w:t>
            </w:r>
            <w:r>
              <w:rPr>
                <w:spacing w:val="-13"/>
                <w:sz w:val="20"/>
              </w:rPr>
              <w:t xml:space="preserve"> </w:t>
            </w:r>
            <w:r>
              <w:rPr>
                <w:sz w:val="20"/>
              </w:rPr>
              <w:t xml:space="preserve">relationship </w:t>
            </w:r>
            <w:r>
              <w:rPr>
                <w:spacing w:val="-2"/>
                <w:sz w:val="20"/>
              </w:rPr>
              <w:t>positively</w:t>
            </w:r>
          </w:p>
        </w:tc>
      </w:tr>
      <w:tr w:rsidR="00487D64">
        <w:trPr>
          <w:trHeight w:val="979"/>
        </w:trPr>
        <w:tc>
          <w:tcPr>
            <w:tcW w:w="1449" w:type="dxa"/>
          </w:tcPr>
          <w:p w:rsidR="00487D64" w:rsidRDefault="00487D64">
            <w:pPr>
              <w:pStyle w:val="TableParagraph"/>
              <w:spacing w:before="25"/>
              <w:rPr>
                <w:b/>
                <w:sz w:val="20"/>
              </w:rPr>
            </w:pPr>
          </w:p>
          <w:p w:rsidR="00487D64" w:rsidRDefault="006F0D93">
            <w:pPr>
              <w:pStyle w:val="TableParagraph"/>
              <w:spacing w:before="1"/>
              <w:ind w:left="57" w:right="68"/>
              <w:rPr>
                <w:sz w:val="20"/>
              </w:rPr>
            </w:pPr>
            <w:r>
              <w:rPr>
                <w:sz w:val="20"/>
              </w:rPr>
              <w:t>Gligor</w:t>
            </w:r>
            <w:r>
              <w:rPr>
                <w:spacing w:val="-13"/>
                <w:sz w:val="20"/>
              </w:rPr>
              <w:t xml:space="preserve"> </w:t>
            </w:r>
            <w:r>
              <w:rPr>
                <w:sz w:val="20"/>
              </w:rPr>
              <w:t>et</w:t>
            </w:r>
            <w:r>
              <w:rPr>
                <w:spacing w:val="-12"/>
                <w:sz w:val="20"/>
              </w:rPr>
              <w:t xml:space="preserve"> </w:t>
            </w:r>
            <w:r>
              <w:rPr>
                <w:sz w:val="20"/>
              </w:rPr>
              <w:t xml:space="preserve">al. </w:t>
            </w:r>
            <w:r>
              <w:rPr>
                <w:spacing w:val="-2"/>
                <w:sz w:val="20"/>
              </w:rPr>
              <w:t>(2021)</w:t>
            </w:r>
          </w:p>
        </w:tc>
        <w:tc>
          <w:tcPr>
            <w:tcW w:w="1583" w:type="dxa"/>
          </w:tcPr>
          <w:p w:rsidR="00487D64" w:rsidRDefault="00487D64">
            <w:pPr>
              <w:pStyle w:val="TableParagraph"/>
              <w:spacing w:before="25"/>
              <w:rPr>
                <w:b/>
                <w:sz w:val="20"/>
              </w:rPr>
            </w:pPr>
          </w:p>
          <w:p w:rsidR="00487D64" w:rsidRDefault="006F0D93">
            <w:pPr>
              <w:pStyle w:val="TableParagraph"/>
              <w:spacing w:before="1"/>
              <w:ind w:left="78" w:right="226"/>
              <w:rPr>
                <w:sz w:val="20"/>
              </w:rPr>
            </w:pPr>
            <w:r>
              <w:rPr>
                <w:sz w:val="20"/>
              </w:rPr>
              <w:t>Analyzed</w:t>
            </w:r>
            <w:r>
              <w:rPr>
                <w:spacing w:val="-13"/>
                <w:sz w:val="20"/>
              </w:rPr>
              <w:t xml:space="preserve"> </w:t>
            </w:r>
            <w:r>
              <w:rPr>
                <w:sz w:val="20"/>
              </w:rPr>
              <w:t>buyer supplier</w:t>
            </w:r>
            <w:r>
              <w:rPr>
                <w:spacing w:val="-4"/>
                <w:sz w:val="20"/>
              </w:rPr>
              <w:t xml:space="preserve"> </w:t>
            </w:r>
            <w:r>
              <w:rPr>
                <w:sz w:val="20"/>
              </w:rPr>
              <w:t>MO</w:t>
            </w:r>
            <w:r>
              <w:rPr>
                <w:spacing w:val="-3"/>
                <w:sz w:val="20"/>
              </w:rPr>
              <w:t xml:space="preserve"> </w:t>
            </w:r>
            <w:r>
              <w:rPr>
                <w:spacing w:val="-5"/>
                <w:sz w:val="20"/>
              </w:rPr>
              <w:t>fit</w:t>
            </w:r>
          </w:p>
        </w:tc>
        <w:tc>
          <w:tcPr>
            <w:tcW w:w="1615" w:type="dxa"/>
          </w:tcPr>
          <w:p w:rsidR="00487D64" w:rsidRDefault="00487D64">
            <w:pPr>
              <w:pStyle w:val="TableParagraph"/>
              <w:spacing w:before="141"/>
              <w:rPr>
                <w:b/>
                <w:sz w:val="20"/>
              </w:rPr>
            </w:pPr>
          </w:p>
          <w:p w:rsidR="00487D64" w:rsidRDefault="006F0D93">
            <w:pPr>
              <w:pStyle w:val="TableParagraph"/>
              <w:ind w:left="58"/>
              <w:rPr>
                <w:sz w:val="20"/>
              </w:rPr>
            </w:pPr>
            <w:r>
              <w:rPr>
                <w:sz w:val="20"/>
              </w:rPr>
              <w:t>USA</w:t>
            </w:r>
            <w:r>
              <w:rPr>
                <w:spacing w:val="-10"/>
                <w:sz w:val="20"/>
              </w:rPr>
              <w:t xml:space="preserve"> </w:t>
            </w:r>
            <w:r>
              <w:rPr>
                <w:spacing w:val="-2"/>
                <w:sz w:val="20"/>
              </w:rPr>
              <w:t>firms</w:t>
            </w:r>
          </w:p>
        </w:tc>
        <w:tc>
          <w:tcPr>
            <w:tcW w:w="1561" w:type="dxa"/>
          </w:tcPr>
          <w:p w:rsidR="00487D64" w:rsidRDefault="00487D64">
            <w:pPr>
              <w:pStyle w:val="TableParagraph"/>
              <w:spacing w:before="141"/>
              <w:rPr>
                <w:b/>
                <w:sz w:val="20"/>
              </w:rPr>
            </w:pPr>
          </w:p>
          <w:p w:rsidR="00487D64" w:rsidRDefault="006F0D93">
            <w:pPr>
              <w:pStyle w:val="TableParagraph"/>
              <w:ind w:left="43"/>
              <w:rPr>
                <w:sz w:val="20"/>
              </w:rPr>
            </w:pPr>
            <w:r>
              <w:rPr>
                <w:spacing w:val="-2"/>
                <w:sz w:val="20"/>
              </w:rPr>
              <w:t>Empirical</w:t>
            </w:r>
            <w:r>
              <w:rPr>
                <w:spacing w:val="1"/>
                <w:sz w:val="20"/>
              </w:rPr>
              <w:t xml:space="preserve"> </w:t>
            </w:r>
            <w:r>
              <w:rPr>
                <w:spacing w:val="-2"/>
                <w:sz w:val="20"/>
              </w:rPr>
              <w:t>survey</w:t>
            </w:r>
          </w:p>
        </w:tc>
        <w:tc>
          <w:tcPr>
            <w:tcW w:w="2119" w:type="dxa"/>
          </w:tcPr>
          <w:p w:rsidR="00487D64" w:rsidRDefault="006F0D93">
            <w:pPr>
              <w:pStyle w:val="TableParagraph"/>
              <w:spacing w:before="25"/>
              <w:ind w:left="45"/>
              <w:rPr>
                <w:sz w:val="20"/>
              </w:rPr>
            </w:pPr>
            <w:r>
              <w:rPr>
                <w:sz w:val="20"/>
              </w:rPr>
              <w:t>MO fit improves ROA; stronger when business volume</w:t>
            </w:r>
            <w:r>
              <w:rPr>
                <w:spacing w:val="-13"/>
                <w:sz w:val="20"/>
              </w:rPr>
              <w:t xml:space="preserve"> </w:t>
            </w:r>
            <w:r>
              <w:rPr>
                <w:sz w:val="20"/>
              </w:rPr>
              <w:t>and</w:t>
            </w:r>
            <w:r>
              <w:rPr>
                <w:spacing w:val="-12"/>
                <w:sz w:val="20"/>
              </w:rPr>
              <w:t xml:space="preserve"> </w:t>
            </w:r>
            <w:r>
              <w:rPr>
                <w:sz w:val="20"/>
              </w:rPr>
              <w:t>relationship maturity</w:t>
            </w:r>
            <w:r>
              <w:rPr>
                <w:spacing w:val="-5"/>
                <w:sz w:val="20"/>
              </w:rPr>
              <w:t xml:space="preserve"> </w:t>
            </w:r>
            <w:r>
              <w:rPr>
                <w:sz w:val="20"/>
              </w:rPr>
              <w:t>increase</w:t>
            </w:r>
          </w:p>
        </w:tc>
      </w:tr>
      <w:tr w:rsidR="00487D64">
        <w:trPr>
          <w:trHeight w:val="1010"/>
        </w:trPr>
        <w:tc>
          <w:tcPr>
            <w:tcW w:w="1449" w:type="dxa"/>
            <w:tcBorders>
              <w:bottom w:val="single" w:sz="4" w:space="0" w:color="000000"/>
            </w:tcBorders>
          </w:tcPr>
          <w:p w:rsidR="00487D64" w:rsidRDefault="00487D64">
            <w:pPr>
              <w:pStyle w:val="TableParagraph"/>
              <w:spacing w:before="26"/>
              <w:rPr>
                <w:b/>
                <w:sz w:val="20"/>
              </w:rPr>
            </w:pPr>
          </w:p>
          <w:p w:rsidR="00487D64" w:rsidRDefault="006F0D93">
            <w:pPr>
              <w:pStyle w:val="TableParagraph"/>
              <w:ind w:left="57" w:right="68"/>
              <w:rPr>
                <w:sz w:val="20"/>
              </w:rPr>
            </w:pPr>
            <w:r>
              <w:rPr>
                <w:sz w:val="20"/>
              </w:rPr>
              <w:t>Royo-Vela</w:t>
            </w:r>
            <w:r>
              <w:rPr>
                <w:spacing w:val="-13"/>
                <w:sz w:val="20"/>
              </w:rPr>
              <w:t xml:space="preserve"> </w:t>
            </w:r>
            <w:r>
              <w:rPr>
                <w:sz w:val="20"/>
              </w:rPr>
              <w:t>et</w:t>
            </w:r>
            <w:r>
              <w:rPr>
                <w:spacing w:val="-12"/>
                <w:sz w:val="20"/>
              </w:rPr>
              <w:t xml:space="preserve"> </w:t>
            </w:r>
            <w:r>
              <w:rPr>
                <w:sz w:val="20"/>
              </w:rPr>
              <w:t xml:space="preserve">al. </w:t>
            </w:r>
            <w:r>
              <w:rPr>
                <w:spacing w:val="-2"/>
                <w:sz w:val="20"/>
              </w:rPr>
              <w:t>(2022)</w:t>
            </w:r>
          </w:p>
        </w:tc>
        <w:tc>
          <w:tcPr>
            <w:tcW w:w="1583" w:type="dxa"/>
            <w:tcBorders>
              <w:bottom w:val="single" w:sz="4" w:space="0" w:color="000000"/>
            </w:tcBorders>
          </w:tcPr>
          <w:p w:rsidR="00487D64" w:rsidRDefault="00487D64">
            <w:pPr>
              <w:pStyle w:val="TableParagraph"/>
              <w:spacing w:before="26"/>
              <w:rPr>
                <w:b/>
                <w:sz w:val="20"/>
              </w:rPr>
            </w:pPr>
          </w:p>
          <w:p w:rsidR="00487D64" w:rsidRDefault="006F0D93">
            <w:pPr>
              <w:pStyle w:val="TableParagraph"/>
              <w:ind w:left="78"/>
              <w:rPr>
                <w:sz w:val="20"/>
              </w:rPr>
            </w:pPr>
            <w:r>
              <w:rPr>
                <w:sz w:val="20"/>
              </w:rPr>
              <w:t>Examined</w:t>
            </w:r>
            <w:r>
              <w:rPr>
                <w:spacing w:val="-13"/>
                <w:sz w:val="20"/>
              </w:rPr>
              <w:t xml:space="preserve"> </w:t>
            </w:r>
            <w:r>
              <w:rPr>
                <w:sz w:val="20"/>
              </w:rPr>
              <w:t>MO</w:t>
            </w:r>
            <w:r>
              <w:rPr>
                <w:spacing w:val="-12"/>
                <w:sz w:val="20"/>
              </w:rPr>
              <w:t xml:space="preserve"> </w:t>
            </w:r>
            <w:r>
              <w:rPr>
                <w:sz w:val="20"/>
              </w:rPr>
              <w:t>in service clusters</w:t>
            </w:r>
          </w:p>
        </w:tc>
        <w:tc>
          <w:tcPr>
            <w:tcW w:w="1615" w:type="dxa"/>
            <w:tcBorders>
              <w:bottom w:val="single" w:sz="4" w:space="0" w:color="000000"/>
            </w:tcBorders>
          </w:tcPr>
          <w:p w:rsidR="00487D64" w:rsidRDefault="00487D64">
            <w:pPr>
              <w:pStyle w:val="TableParagraph"/>
              <w:spacing w:before="141"/>
              <w:rPr>
                <w:b/>
                <w:sz w:val="20"/>
              </w:rPr>
            </w:pPr>
          </w:p>
          <w:p w:rsidR="00487D64" w:rsidRDefault="006F0D93">
            <w:pPr>
              <w:pStyle w:val="TableParagraph"/>
              <w:ind w:left="58"/>
              <w:rPr>
                <w:sz w:val="20"/>
              </w:rPr>
            </w:pPr>
            <w:r>
              <w:rPr>
                <w:sz w:val="20"/>
              </w:rPr>
              <w:t>SMEs</w:t>
            </w:r>
            <w:r>
              <w:rPr>
                <w:spacing w:val="-4"/>
                <w:sz w:val="20"/>
              </w:rPr>
              <w:t xml:space="preserve"> </w:t>
            </w:r>
            <w:r>
              <w:rPr>
                <w:sz w:val="20"/>
              </w:rPr>
              <w:t>in</w:t>
            </w:r>
            <w:r>
              <w:rPr>
                <w:spacing w:val="-2"/>
                <w:sz w:val="20"/>
              </w:rPr>
              <w:t xml:space="preserve"> Spain</w:t>
            </w:r>
          </w:p>
        </w:tc>
        <w:tc>
          <w:tcPr>
            <w:tcW w:w="1561" w:type="dxa"/>
            <w:tcBorders>
              <w:bottom w:val="single" w:sz="4" w:space="0" w:color="000000"/>
            </w:tcBorders>
          </w:tcPr>
          <w:p w:rsidR="00487D64" w:rsidRDefault="00487D64">
            <w:pPr>
              <w:pStyle w:val="TableParagraph"/>
              <w:spacing w:before="141"/>
              <w:rPr>
                <w:b/>
                <w:sz w:val="20"/>
              </w:rPr>
            </w:pPr>
          </w:p>
          <w:p w:rsidR="00487D64" w:rsidRDefault="006F0D93">
            <w:pPr>
              <w:pStyle w:val="TableParagraph"/>
              <w:ind w:left="43"/>
              <w:rPr>
                <w:sz w:val="20"/>
              </w:rPr>
            </w:pPr>
            <w:r>
              <w:rPr>
                <w:spacing w:val="-2"/>
                <w:sz w:val="20"/>
              </w:rPr>
              <w:t>SMARTPLS</w:t>
            </w:r>
          </w:p>
        </w:tc>
        <w:tc>
          <w:tcPr>
            <w:tcW w:w="2119" w:type="dxa"/>
            <w:tcBorders>
              <w:bottom w:val="single" w:sz="4" w:space="0" w:color="000000"/>
            </w:tcBorders>
          </w:tcPr>
          <w:p w:rsidR="00487D64" w:rsidRDefault="006F0D93">
            <w:pPr>
              <w:pStyle w:val="TableParagraph"/>
              <w:spacing w:before="25"/>
              <w:ind w:left="45"/>
              <w:rPr>
                <w:sz w:val="20"/>
              </w:rPr>
            </w:pPr>
            <w:r>
              <w:rPr>
                <w:sz w:val="20"/>
              </w:rPr>
              <w:t>Cluster</w:t>
            </w:r>
            <w:r>
              <w:rPr>
                <w:spacing w:val="-13"/>
                <w:sz w:val="20"/>
              </w:rPr>
              <w:t xml:space="preserve"> </w:t>
            </w:r>
            <w:r>
              <w:rPr>
                <w:sz w:val="20"/>
              </w:rPr>
              <w:t>membership</w:t>
            </w:r>
            <w:r>
              <w:rPr>
                <w:spacing w:val="-12"/>
                <w:sz w:val="20"/>
              </w:rPr>
              <w:t xml:space="preserve"> </w:t>
            </w:r>
            <w:r>
              <w:rPr>
                <w:sz w:val="20"/>
              </w:rPr>
              <w:t>not significant; competitor orientation improves marketing</w:t>
            </w:r>
            <w:r>
              <w:rPr>
                <w:spacing w:val="-5"/>
                <w:sz w:val="20"/>
              </w:rPr>
              <w:t xml:space="preserve"> </w:t>
            </w:r>
            <w:r>
              <w:rPr>
                <w:sz w:val="20"/>
              </w:rPr>
              <w:t>performance</w:t>
            </w:r>
          </w:p>
        </w:tc>
      </w:tr>
    </w:tbl>
    <w:p w:rsidR="00487D64" w:rsidRDefault="00487D64">
      <w:pPr>
        <w:pStyle w:val="BodyText"/>
        <w:rPr>
          <w:b/>
        </w:rPr>
      </w:pPr>
    </w:p>
    <w:p w:rsidR="00487D64" w:rsidRDefault="00487D64">
      <w:pPr>
        <w:pStyle w:val="BodyText"/>
        <w:spacing w:before="262"/>
        <w:rPr>
          <w:b/>
        </w:rPr>
      </w:pPr>
    </w:p>
    <w:p w:rsidR="00487D64" w:rsidRDefault="006F0D93">
      <w:pPr>
        <w:pStyle w:val="ListParagraph"/>
        <w:numPr>
          <w:ilvl w:val="1"/>
          <w:numId w:val="16"/>
        </w:numPr>
        <w:tabs>
          <w:tab w:val="left" w:pos="2046"/>
        </w:tabs>
        <w:ind w:left="2046" w:hanging="627"/>
        <w:rPr>
          <w:b/>
          <w:sz w:val="23"/>
        </w:rPr>
      </w:pPr>
      <w:bookmarkStart w:id="55" w:name="2.5__Research_Gap"/>
      <w:bookmarkStart w:id="56" w:name="_bookmark27"/>
      <w:bookmarkEnd w:id="55"/>
      <w:bookmarkEnd w:id="56"/>
      <w:r>
        <w:rPr>
          <w:b/>
          <w:sz w:val="23"/>
        </w:rPr>
        <w:t>Research</w:t>
      </w:r>
      <w:r>
        <w:rPr>
          <w:b/>
          <w:spacing w:val="35"/>
          <w:sz w:val="23"/>
        </w:rPr>
        <w:t xml:space="preserve"> </w:t>
      </w:r>
      <w:r>
        <w:rPr>
          <w:b/>
          <w:spacing w:val="-5"/>
          <w:sz w:val="23"/>
        </w:rPr>
        <w:t>Gap</w:t>
      </w:r>
    </w:p>
    <w:p w:rsidR="00487D64" w:rsidRDefault="00487D64">
      <w:pPr>
        <w:pStyle w:val="BodyText"/>
        <w:spacing w:before="26"/>
        <w:rPr>
          <w:b/>
        </w:rPr>
      </w:pPr>
    </w:p>
    <w:p w:rsidR="00487D64" w:rsidRDefault="006F0D93">
      <w:pPr>
        <w:pStyle w:val="BodyText"/>
        <w:spacing w:line="499" w:lineRule="auto"/>
        <w:ind w:left="1419" w:right="848"/>
        <w:jc w:val="both"/>
      </w:pPr>
      <w:r>
        <w:rPr>
          <w:w w:val="105"/>
        </w:rPr>
        <w:t>The research gap is the missing element in the existing literature. The following are the</w:t>
      </w:r>
      <w:r>
        <w:rPr>
          <w:spacing w:val="-6"/>
          <w:w w:val="105"/>
        </w:rPr>
        <w:t xml:space="preserve"> </w:t>
      </w:r>
      <w:r>
        <w:rPr>
          <w:w w:val="105"/>
        </w:rPr>
        <w:t>elements</w:t>
      </w:r>
      <w:r>
        <w:rPr>
          <w:spacing w:val="-7"/>
          <w:w w:val="105"/>
        </w:rPr>
        <w:t xml:space="preserve"> </w:t>
      </w:r>
      <w:r>
        <w:rPr>
          <w:w w:val="105"/>
        </w:rPr>
        <w:t>that</w:t>
      </w:r>
      <w:r>
        <w:rPr>
          <w:spacing w:val="-3"/>
          <w:w w:val="105"/>
        </w:rPr>
        <w:t xml:space="preserve"> </w:t>
      </w:r>
      <w:r>
        <w:rPr>
          <w:w w:val="105"/>
        </w:rPr>
        <w:t>are missing</w:t>
      </w:r>
      <w:r>
        <w:rPr>
          <w:spacing w:val="-5"/>
          <w:w w:val="105"/>
        </w:rPr>
        <w:t xml:space="preserve"> </w:t>
      </w:r>
      <w:r>
        <w:rPr>
          <w:w w:val="105"/>
        </w:rPr>
        <w:t>and need to be</w:t>
      </w:r>
      <w:r>
        <w:rPr>
          <w:spacing w:val="-6"/>
          <w:w w:val="105"/>
        </w:rPr>
        <w:t xml:space="preserve"> </w:t>
      </w:r>
      <w:r>
        <w:rPr>
          <w:w w:val="105"/>
        </w:rPr>
        <w:t>addressed</w:t>
      </w:r>
      <w:r>
        <w:rPr>
          <w:spacing w:val="-5"/>
          <w:w w:val="105"/>
        </w:rPr>
        <w:t xml:space="preserve"> </w:t>
      </w:r>
      <w:r>
        <w:rPr>
          <w:w w:val="105"/>
        </w:rPr>
        <w:t>in Influence</w:t>
      </w:r>
      <w:r>
        <w:rPr>
          <w:spacing w:val="-6"/>
          <w:w w:val="105"/>
        </w:rPr>
        <w:t xml:space="preserve"> </w:t>
      </w:r>
      <w:r>
        <w:rPr>
          <w:w w:val="105"/>
        </w:rPr>
        <w:t>of</w:t>
      </w:r>
      <w:r>
        <w:rPr>
          <w:spacing w:val="-1"/>
          <w:w w:val="105"/>
        </w:rPr>
        <w:t xml:space="preserve"> </w:t>
      </w:r>
      <w:r>
        <w:rPr>
          <w:w w:val="105"/>
        </w:rPr>
        <w:t xml:space="preserve">Special Group SME's Market Orientation on Sustainable Competitiveness </w:t>
      </w:r>
      <w:r>
        <w:rPr>
          <w:w w:val="105"/>
        </w:rPr>
        <w:t>in Public Procurement;</w:t>
      </w:r>
    </w:p>
    <w:p w:rsidR="00487D64" w:rsidRDefault="006F0D93">
      <w:pPr>
        <w:pStyle w:val="BodyText"/>
        <w:spacing w:before="244" w:line="501" w:lineRule="auto"/>
        <w:ind w:left="1419" w:right="858"/>
        <w:jc w:val="both"/>
      </w:pPr>
      <w:r>
        <w:rPr>
          <w:w w:val="105"/>
        </w:rPr>
        <w:t>The</w:t>
      </w:r>
      <w:r>
        <w:rPr>
          <w:spacing w:val="-6"/>
          <w:w w:val="105"/>
        </w:rPr>
        <w:t xml:space="preserve"> </w:t>
      </w:r>
      <w:r>
        <w:rPr>
          <w:w w:val="105"/>
        </w:rPr>
        <w:t>first</w:t>
      </w:r>
      <w:r>
        <w:rPr>
          <w:spacing w:val="-4"/>
          <w:w w:val="105"/>
        </w:rPr>
        <w:t xml:space="preserve"> </w:t>
      </w:r>
      <w:r>
        <w:rPr>
          <w:w w:val="105"/>
        </w:rPr>
        <w:t>is</w:t>
      </w:r>
      <w:r>
        <w:rPr>
          <w:spacing w:val="-1"/>
          <w:w w:val="105"/>
        </w:rPr>
        <w:t xml:space="preserve"> </w:t>
      </w:r>
      <w:r>
        <w:rPr>
          <w:w w:val="105"/>
        </w:rPr>
        <w:t>contextual,</w:t>
      </w:r>
      <w:r>
        <w:rPr>
          <w:spacing w:val="-4"/>
          <w:w w:val="105"/>
        </w:rPr>
        <w:t xml:space="preserve"> </w:t>
      </w:r>
      <w:r>
        <w:rPr>
          <w:w w:val="105"/>
        </w:rPr>
        <w:t>as</w:t>
      </w:r>
      <w:r>
        <w:rPr>
          <w:spacing w:val="-8"/>
          <w:w w:val="105"/>
        </w:rPr>
        <w:t xml:space="preserve"> </w:t>
      </w:r>
      <w:r>
        <w:rPr>
          <w:w w:val="105"/>
        </w:rPr>
        <w:t>there</w:t>
      </w:r>
      <w:r>
        <w:rPr>
          <w:spacing w:val="-13"/>
          <w:w w:val="105"/>
        </w:rPr>
        <w:t xml:space="preserve"> </w:t>
      </w:r>
      <w:r>
        <w:rPr>
          <w:w w:val="105"/>
        </w:rPr>
        <w:t>is</w:t>
      </w:r>
      <w:r>
        <w:rPr>
          <w:spacing w:val="-8"/>
          <w:w w:val="105"/>
        </w:rPr>
        <w:t xml:space="preserve"> </w:t>
      </w:r>
      <w:r>
        <w:rPr>
          <w:w w:val="105"/>
        </w:rPr>
        <w:t>a dearth</w:t>
      </w:r>
      <w:r>
        <w:rPr>
          <w:spacing w:val="-5"/>
          <w:w w:val="105"/>
        </w:rPr>
        <w:t xml:space="preserve"> </w:t>
      </w:r>
      <w:r>
        <w:rPr>
          <w:w w:val="105"/>
        </w:rPr>
        <w:t>of</w:t>
      </w:r>
      <w:r>
        <w:rPr>
          <w:spacing w:val="-2"/>
          <w:w w:val="105"/>
        </w:rPr>
        <w:t xml:space="preserve"> </w:t>
      </w:r>
      <w:r>
        <w:rPr>
          <w:w w:val="105"/>
        </w:rPr>
        <w:t>discussion</w:t>
      </w:r>
      <w:r>
        <w:rPr>
          <w:spacing w:val="-5"/>
          <w:w w:val="105"/>
        </w:rPr>
        <w:t xml:space="preserve"> </w:t>
      </w:r>
      <w:r>
        <w:rPr>
          <w:w w:val="105"/>
        </w:rPr>
        <w:t>on</w:t>
      </w:r>
      <w:r>
        <w:rPr>
          <w:spacing w:val="-5"/>
          <w:w w:val="105"/>
        </w:rPr>
        <w:t xml:space="preserve"> </w:t>
      </w:r>
      <w:r>
        <w:rPr>
          <w:w w:val="105"/>
        </w:rPr>
        <w:t>the engagement of</w:t>
      </w:r>
      <w:r>
        <w:rPr>
          <w:spacing w:val="-8"/>
          <w:w w:val="105"/>
        </w:rPr>
        <w:t xml:space="preserve"> </w:t>
      </w:r>
      <w:r>
        <w:rPr>
          <w:w w:val="105"/>
        </w:rPr>
        <w:t>special group SMEs in</w:t>
      </w:r>
      <w:r>
        <w:rPr>
          <w:spacing w:val="-1"/>
          <w:w w:val="105"/>
        </w:rPr>
        <w:t xml:space="preserve"> </w:t>
      </w:r>
      <w:r>
        <w:rPr>
          <w:w w:val="105"/>
        </w:rPr>
        <w:t>public procurement to enhance sustainable competitiveness. Most of the</w:t>
      </w:r>
      <w:r>
        <w:rPr>
          <w:spacing w:val="-3"/>
          <w:w w:val="105"/>
        </w:rPr>
        <w:t xml:space="preserve"> </w:t>
      </w:r>
      <w:r>
        <w:rPr>
          <w:w w:val="105"/>
        </w:rPr>
        <w:t>previous</w:t>
      </w:r>
      <w:r>
        <w:rPr>
          <w:spacing w:val="-4"/>
          <w:w w:val="105"/>
        </w:rPr>
        <w:t xml:space="preserve"> </w:t>
      </w:r>
      <w:r>
        <w:rPr>
          <w:w w:val="105"/>
        </w:rPr>
        <w:t>studies</w:t>
      </w:r>
      <w:r>
        <w:rPr>
          <w:spacing w:val="-4"/>
          <w:w w:val="105"/>
        </w:rPr>
        <w:t xml:space="preserve"> </w:t>
      </w:r>
      <w:r>
        <w:rPr>
          <w:w w:val="105"/>
        </w:rPr>
        <w:t>have</w:t>
      </w:r>
      <w:r>
        <w:rPr>
          <w:spacing w:val="-3"/>
          <w:w w:val="105"/>
        </w:rPr>
        <w:t xml:space="preserve"> </w:t>
      </w:r>
      <w:r>
        <w:rPr>
          <w:w w:val="105"/>
        </w:rPr>
        <w:t>reported</w:t>
      </w:r>
      <w:r>
        <w:rPr>
          <w:spacing w:val="-2"/>
          <w:w w:val="105"/>
        </w:rPr>
        <w:t xml:space="preserve"> </w:t>
      </w:r>
      <w:r>
        <w:rPr>
          <w:w w:val="105"/>
        </w:rPr>
        <w:t>organizational factors</w:t>
      </w:r>
      <w:r>
        <w:rPr>
          <w:spacing w:val="-10"/>
          <w:w w:val="105"/>
        </w:rPr>
        <w:t xml:space="preserve"> </w:t>
      </w:r>
      <w:r>
        <w:rPr>
          <w:w w:val="105"/>
        </w:rPr>
        <w:t>influencing</w:t>
      </w:r>
      <w:r>
        <w:rPr>
          <w:spacing w:val="-2"/>
          <w:w w:val="105"/>
        </w:rPr>
        <w:t xml:space="preserve"> </w:t>
      </w:r>
      <w:r>
        <w:rPr>
          <w:w w:val="105"/>
        </w:rPr>
        <w:t>sustainability</w:t>
      </w:r>
      <w:r>
        <w:rPr>
          <w:spacing w:val="-2"/>
          <w:w w:val="105"/>
        </w:rPr>
        <w:t xml:space="preserve"> </w:t>
      </w:r>
      <w:r>
        <w:rPr>
          <w:w w:val="105"/>
        </w:rPr>
        <w:t>at the</w:t>
      </w:r>
      <w:r>
        <w:rPr>
          <w:spacing w:val="23"/>
          <w:w w:val="105"/>
        </w:rPr>
        <w:t xml:space="preserve"> </w:t>
      </w:r>
      <w:r>
        <w:rPr>
          <w:w w:val="105"/>
        </w:rPr>
        <w:t>firm level,</w:t>
      </w:r>
      <w:r>
        <w:rPr>
          <w:spacing w:val="26"/>
          <w:w w:val="105"/>
        </w:rPr>
        <w:t xml:space="preserve"> </w:t>
      </w:r>
      <w:r>
        <w:rPr>
          <w:w w:val="105"/>
        </w:rPr>
        <w:t>such as</w:t>
      </w:r>
      <w:r>
        <w:rPr>
          <w:spacing w:val="23"/>
          <w:w w:val="105"/>
        </w:rPr>
        <w:t xml:space="preserve"> </w:t>
      </w:r>
      <w:r>
        <w:rPr>
          <w:w w:val="105"/>
        </w:rPr>
        <w:t>organizational readiness,</w:t>
      </w:r>
      <w:r>
        <w:rPr>
          <w:spacing w:val="26"/>
          <w:w w:val="105"/>
        </w:rPr>
        <w:t xml:space="preserve"> </w:t>
      </w:r>
      <w:r>
        <w:rPr>
          <w:w w:val="105"/>
        </w:rPr>
        <w:t>sustainability-oriented technology,</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9"/>
        <w:jc w:val="both"/>
      </w:pPr>
      <w:r>
        <w:rPr>
          <w:w w:val="105"/>
        </w:rPr>
        <w:t>and the view and commitment to sustainability, more in the context of small and medium enterprises (SMEs) (Bentivoglio</w:t>
      </w:r>
      <w:r>
        <w:rPr>
          <w:w w:val="105"/>
        </w:rPr>
        <w:t xml:space="preserve"> et al., 2021; Lopez-Torres et al., 2023). According to Royo-Vela et al. (2022) and Gligor et al. (2021 recommended that further exploration should be undertaken to gain a deeper insight into the interplay between MO and sustainable competitiveness, in dif</w:t>
      </w:r>
      <w:r>
        <w:rPr>
          <w:w w:val="105"/>
        </w:rPr>
        <w:t>ferent economic regions, particularly those characterized by geographical concentration or unexplored</w:t>
      </w:r>
      <w:r>
        <w:rPr>
          <w:spacing w:val="40"/>
          <w:w w:val="105"/>
        </w:rPr>
        <w:t xml:space="preserve"> </w:t>
      </w:r>
      <w:r>
        <w:rPr>
          <w:spacing w:val="-2"/>
          <w:w w:val="105"/>
        </w:rPr>
        <w:t>clusters.</w:t>
      </w:r>
    </w:p>
    <w:p w:rsidR="00487D64" w:rsidRDefault="006F0D93">
      <w:pPr>
        <w:pStyle w:val="BodyText"/>
        <w:spacing w:before="237" w:line="501" w:lineRule="auto"/>
        <w:ind w:left="1419" w:right="853"/>
        <w:jc w:val="both"/>
      </w:pPr>
      <w:r>
        <w:rPr>
          <w:w w:val="105"/>
        </w:rPr>
        <w:t>Secondly, the Theoretical contribution, the study applies Strategic flexibility as a moderating</w:t>
      </w:r>
      <w:r>
        <w:rPr>
          <w:spacing w:val="-7"/>
          <w:w w:val="105"/>
        </w:rPr>
        <w:t xml:space="preserve"> </w:t>
      </w:r>
      <w:r>
        <w:rPr>
          <w:w w:val="105"/>
        </w:rPr>
        <w:t>variable</w:t>
      </w:r>
      <w:r>
        <w:rPr>
          <w:spacing w:val="-8"/>
          <w:w w:val="105"/>
        </w:rPr>
        <w:t xml:space="preserve"> </w:t>
      </w:r>
      <w:r>
        <w:rPr>
          <w:w w:val="105"/>
        </w:rPr>
        <w:t>of which</w:t>
      </w:r>
      <w:r>
        <w:rPr>
          <w:spacing w:val="-1"/>
          <w:w w:val="105"/>
        </w:rPr>
        <w:t xml:space="preserve"> </w:t>
      </w:r>
      <w:r>
        <w:rPr>
          <w:w w:val="105"/>
        </w:rPr>
        <w:t>business</w:t>
      </w:r>
      <w:r>
        <w:rPr>
          <w:spacing w:val="-10"/>
          <w:w w:val="105"/>
        </w:rPr>
        <w:t xml:space="preserve"> </w:t>
      </w:r>
      <w:r>
        <w:rPr>
          <w:w w:val="105"/>
        </w:rPr>
        <w:t>organizations</w:t>
      </w:r>
      <w:r>
        <w:rPr>
          <w:spacing w:val="-3"/>
          <w:w w:val="105"/>
        </w:rPr>
        <w:t xml:space="preserve"> </w:t>
      </w:r>
      <w:r>
        <w:rPr>
          <w:w w:val="105"/>
        </w:rPr>
        <w:t>must</w:t>
      </w:r>
      <w:r>
        <w:rPr>
          <w:spacing w:val="-6"/>
          <w:w w:val="105"/>
        </w:rPr>
        <w:t xml:space="preserve"> </w:t>
      </w:r>
      <w:r>
        <w:rPr>
          <w:w w:val="105"/>
        </w:rPr>
        <w:t>fo</w:t>
      </w:r>
      <w:r>
        <w:rPr>
          <w:w w:val="105"/>
        </w:rPr>
        <w:t>cus</w:t>
      </w:r>
      <w:r>
        <w:rPr>
          <w:spacing w:val="-9"/>
          <w:w w:val="105"/>
        </w:rPr>
        <w:t xml:space="preserve"> </w:t>
      </w:r>
      <w:r>
        <w:rPr>
          <w:w w:val="105"/>
        </w:rPr>
        <w:t>not</w:t>
      </w:r>
      <w:r>
        <w:rPr>
          <w:spacing w:val="-6"/>
          <w:w w:val="105"/>
        </w:rPr>
        <w:t xml:space="preserve"> </w:t>
      </w:r>
      <w:r>
        <w:rPr>
          <w:w w:val="105"/>
        </w:rPr>
        <w:t>only</w:t>
      </w:r>
      <w:r>
        <w:rPr>
          <w:spacing w:val="-7"/>
          <w:w w:val="105"/>
        </w:rPr>
        <w:t xml:space="preserve"> </w:t>
      </w:r>
      <w:r>
        <w:rPr>
          <w:w w:val="105"/>
        </w:rPr>
        <w:t>on</w:t>
      </w:r>
      <w:r>
        <w:rPr>
          <w:spacing w:val="-7"/>
          <w:w w:val="105"/>
        </w:rPr>
        <w:t xml:space="preserve"> </w:t>
      </w:r>
      <w:r>
        <w:rPr>
          <w:w w:val="105"/>
        </w:rPr>
        <w:t>resource acquisition but also on how these resources are deployed strategically to realize competitive superiority and improved performance, to the researcher’s best knowledge, strategic flexibility has never</w:t>
      </w:r>
      <w:r>
        <w:rPr>
          <w:w w:val="105"/>
        </w:rPr>
        <w:t xml:space="preserve"> been introduced in the market orientation sustainable competitiveness relationship before hence filling</w:t>
      </w:r>
      <w:r>
        <w:rPr>
          <w:spacing w:val="-1"/>
          <w:w w:val="105"/>
        </w:rPr>
        <w:t xml:space="preserve"> </w:t>
      </w:r>
      <w:r>
        <w:rPr>
          <w:w w:val="105"/>
        </w:rPr>
        <w:t>a theoretical gap.</w:t>
      </w:r>
    </w:p>
    <w:p w:rsidR="00487D64" w:rsidRDefault="006F0D93">
      <w:pPr>
        <w:pStyle w:val="BodyText"/>
        <w:spacing w:before="235" w:line="499" w:lineRule="auto"/>
        <w:ind w:left="1419" w:right="838"/>
        <w:jc w:val="both"/>
      </w:pPr>
      <w:r>
        <w:rPr>
          <w:w w:val="105"/>
        </w:rPr>
        <w:t>Thirdly, a Methodological gap, the researcher conducted a census, although most analogous studies have used a sample. The researcher</w:t>
      </w:r>
      <w:r>
        <w:rPr>
          <w:w w:val="105"/>
        </w:rPr>
        <w:t xml:space="preserve"> gained a full and accurate picture of the population while avoiding sampling mistakes and bias. It also allowed for thorough analysis, pattern recognition, and increased research credibility.</w:t>
      </w:r>
    </w:p>
    <w:p w:rsidR="00487D64" w:rsidRDefault="006F0D93">
      <w:pPr>
        <w:pStyle w:val="BodyText"/>
        <w:spacing w:before="212" w:line="499" w:lineRule="auto"/>
        <w:ind w:left="1419" w:right="856"/>
        <w:jc w:val="both"/>
      </w:pPr>
      <w:r>
        <w:rPr>
          <w:w w:val="105"/>
        </w:rPr>
        <w:t>The study was led by six hypotheses that test these knowledge g</w:t>
      </w:r>
      <w:r>
        <w:rPr>
          <w:w w:val="105"/>
        </w:rPr>
        <w:t>aps. The methods and hypotheses on how these research gaps were addressed are summarized in the conceptual framework and detailed in the methodology chapter.</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1"/>
          <w:numId w:val="16"/>
        </w:numPr>
        <w:tabs>
          <w:tab w:val="left" w:pos="2139"/>
        </w:tabs>
        <w:spacing w:before="1"/>
        <w:ind w:left="2139" w:hanging="720"/>
        <w:rPr>
          <w:b/>
          <w:sz w:val="23"/>
        </w:rPr>
      </w:pPr>
      <w:bookmarkStart w:id="57" w:name="2.6___Conceptual_Framework"/>
      <w:bookmarkStart w:id="58" w:name="_bookmark28"/>
      <w:bookmarkEnd w:id="57"/>
      <w:bookmarkEnd w:id="58"/>
      <w:r>
        <w:rPr>
          <w:b/>
          <w:sz w:val="23"/>
        </w:rPr>
        <w:t>Conceptual</w:t>
      </w:r>
      <w:r>
        <w:rPr>
          <w:b/>
          <w:spacing w:val="39"/>
          <w:sz w:val="23"/>
        </w:rPr>
        <w:t xml:space="preserve"> </w:t>
      </w:r>
      <w:r>
        <w:rPr>
          <w:b/>
          <w:spacing w:val="-2"/>
          <w:sz w:val="23"/>
        </w:rPr>
        <w:t>Framework</w:t>
      </w:r>
    </w:p>
    <w:p w:rsidR="00487D64" w:rsidRDefault="00487D64">
      <w:pPr>
        <w:pStyle w:val="BodyText"/>
        <w:spacing w:before="18"/>
        <w:rPr>
          <w:b/>
        </w:rPr>
      </w:pPr>
    </w:p>
    <w:p w:rsidR="00487D64" w:rsidRDefault="006F0D93">
      <w:pPr>
        <w:pStyle w:val="BodyText"/>
        <w:spacing w:line="499" w:lineRule="auto"/>
        <w:ind w:left="1419" w:right="848"/>
        <w:jc w:val="both"/>
      </w:pPr>
      <w:r>
        <w:rPr>
          <w:w w:val="105"/>
        </w:rPr>
        <w:t>The conceptual model presented in Figure 2.1 reflects</w:t>
      </w:r>
      <w:r>
        <w:rPr>
          <w:w w:val="105"/>
        </w:rPr>
        <w:t xml:space="preserve"> the 6 hypotheses that were tested</w:t>
      </w:r>
      <w:r>
        <w:rPr>
          <w:spacing w:val="-12"/>
          <w:w w:val="105"/>
        </w:rPr>
        <w:t xml:space="preserve"> </w:t>
      </w:r>
      <w:r>
        <w:rPr>
          <w:w w:val="105"/>
        </w:rPr>
        <w:t>in</w:t>
      </w:r>
      <w:r>
        <w:rPr>
          <w:spacing w:val="-5"/>
          <w:w w:val="105"/>
        </w:rPr>
        <w:t xml:space="preserve"> </w:t>
      </w:r>
      <w:r>
        <w:rPr>
          <w:w w:val="105"/>
        </w:rPr>
        <w:t>this</w:t>
      </w:r>
      <w:r>
        <w:rPr>
          <w:spacing w:val="-7"/>
          <w:w w:val="105"/>
        </w:rPr>
        <w:t xml:space="preserve"> </w:t>
      </w:r>
      <w:r>
        <w:rPr>
          <w:w w:val="105"/>
        </w:rPr>
        <w:t>study.</w:t>
      </w:r>
      <w:r>
        <w:rPr>
          <w:spacing w:val="-10"/>
          <w:w w:val="105"/>
        </w:rPr>
        <w:t xml:space="preserve"> </w:t>
      </w:r>
      <w:r>
        <w:rPr>
          <w:w w:val="105"/>
        </w:rPr>
        <w:t>It</w:t>
      </w:r>
      <w:r>
        <w:rPr>
          <w:spacing w:val="-10"/>
          <w:w w:val="105"/>
        </w:rPr>
        <w:t xml:space="preserve"> </w:t>
      </w:r>
      <w:r>
        <w:rPr>
          <w:w w:val="105"/>
        </w:rPr>
        <w:t>is</w:t>
      </w:r>
      <w:r>
        <w:rPr>
          <w:spacing w:val="-8"/>
          <w:w w:val="105"/>
        </w:rPr>
        <w:t xml:space="preserve"> </w:t>
      </w:r>
      <w:r>
        <w:rPr>
          <w:w w:val="105"/>
        </w:rPr>
        <w:t>a specified structural</w:t>
      </w:r>
      <w:r>
        <w:rPr>
          <w:spacing w:val="-4"/>
          <w:w w:val="105"/>
        </w:rPr>
        <w:t xml:space="preserve"> </w:t>
      </w:r>
      <w:r>
        <w:rPr>
          <w:w w:val="105"/>
        </w:rPr>
        <w:t>equation</w:t>
      </w:r>
      <w:r>
        <w:rPr>
          <w:spacing w:val="-5"/>
          <w:w w:val="105"/>
        </w:rPr>
        <w:t xml:space="preserve"> </w:t>
      </w:r>
      <w:r>
        <w:rPr>
          <w:w w:val="105"/>
        </w:rPr>
        <w:t>model</w:t>
      </w:r>
      <w:r>
        <w:rPr>
          <w:spacing w:val="-10"/>
          <w:w w:val="105"/>
        </w:rPr>
        <w:t xml:space="preserve"> </w:t>
      </w:r>
      <w:r>
        <w:rPr>
          <w:w w:val="105"/>
        </w:rPr>
        <w:t>(SEM)</w:t>
      </w:r>
      <w:r>
        <w:rPr>
          <w:spacing w:val="-2"/>
          <w:w w:val="105"/>
        </w:rPr>
        <w:t xml:space="preserve"> </w:t>
      </w:r>
      <w:r>
        <w:rPr>
          <w:w w:val="105"/>
        </w:rPr>
        <w:t>whose</w:t>
      </w:r>
      <w:r>
        <w:rPr>
          <w:spacing w:val="-6"/>
          <w:w w:val="105"/>
        </w:rPr>
        <w:t xml:space="preserve"> </w:t>
      </w:r>
      <w:r>
        <w:rPr>
          <w:w w:val="105"/>
        </w:rPr>
        <w:t>model fit was tested using primary data collected during the study. On the left side are three dimensions that make up Market orientation. These three</w:t>
      </w:r>
      <w:r>
        <w:rPr>
          <w:w w:val="105"/>
        </w:rPr>
        <w:t xml:space="preserve"> dimensions were the independent variables. Since each of these dimensions is a latent variable, varying numbers of measured indicators were used to measure and record responses. On the right is Sustainable competitiveness, which is the dependent variable </w:t>
      </w:r>
      <w:r>
        <w:rPr>
          <w:w w:val="105"/>
        </w:rPr>
        <w:t>of the study. This variable is also latent and was measured using 5 measured indicators. The relationship between</w:t>
      </w:r>
      <w:r>
        <w:rPr>
          <w:spacing w:val="-7"/>
          <w:w w:val="105"/>
        </w:rPr>
        <w:t xml:space="preserve"> </w:t>
      </w:r>
      <w:r>
        <w:rPr>
          <w:w w:val="105"/>
        </w:rPr>
        <w:t>the</w:t>
      </w:r>
      <w:r>
        <w:rPr>
          <w:spacing w:val="-1"/>
          <w:w w:val="105"/>
        </w:rPr>
        <w:t xml:space="preserve"> </w:t>
      </w:r>
      <w:r>
        <w:rPr>
          <w:w w:val="105"/>
        </w:rPr>
        <w:t>dependent variables</w:t>
      </w:r>
      <w:r>
        <w:rPr>
          <w:spacing w:val="-8"/>
          <w:w w:val="105"/>
        </w:rPr>
        <w:t xml:space="preserve"> </w:t>
      </w:r>
      <w:r>
        <w:rPr>
          <w:w w:val="105"/>
        </w:rPr>
        <w:t>and the</w:t>
      </w:r>
      <w:r>
        <w:rPr>
          <w:spacing w:val="-8"/>
          <w:w w:val="105"/>
        </w:rPr>
        <w:t xml:space="preserve"> </w:t>
      </w:r>
      <w:r>
        <w:rPr>
          <w:w w:val="105"/>
        </w:rPr>
        <w:t xml:space="preserve">independent variables is shown using arrows drawn from each MO dimension pointing to the SC. This constitutes </w:t>
      </w:r>
      <w:r>
        <w:rPr>
          <w:w w:val="105"/>
        </w:rPr>
        <w:t>hypotheses 1-3 of the study. Strategic flexibility was used to moderate each of the three relationships, hence addressing hypotheses 4-6 of the study.</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spacing w:before="202"/>
        <w:rPr>
          <w:sz w:val="20"/>
        </w:rPr>
      </w:pPr>
    </w:p>
    <w:p w:rsidR="00487D64" w:rsidRDefault="006F0D93">
      <w:pPr>
        <w:pStyle w:val="BodyText"/>
        <w:ind w:left="1622"/>
        <w:rPr>
          <w:sz w:val="20"/>
        </w:rPr>
      </w:pPr>
      <w:r>
        <w:rPr>
          <w:noProof/>
          <w:sz w:val="20"/>
        </w:rPr>
        <mc:AlternateContent>
          <mc:Choice Requires="wpg">
            <w:drawing>
              <wp:inline distT="0" distB="0" distL="0" distR="0">
                <wp:extent cx="5342890" cy="7338695"/>
                <wp:effectExtent l="9525" t="0" r="635" b="14604"/>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890" cy="7338695"/>
                          <a:chOff x="0" y="0"/>
                          <a:chExt cx="5342890" cy="7338695"/>
                        </a:xfrm>
                      </wpg:grpSpPr>
                      <wps:wsp>
                        <wps:cNvPr id="7" name="Graphic 7"/>
                        <wps:cNvSpPr/>
                        <wps:spPr>
                          <a:xfrm>
                            <a:off x="6350" y="1304289"/>
                            <a:ext cx="2127250" cy="6028055"/>
                          </a:xfrm>
                          <a:custGeom>
                            <a:avLst/>
                            <a:gdLst/>
                            <a:ahLst/>
                            <a:cxnLst/>
                            <a:rect l="l" t="t" r="r" b="b"/>
                            <a:pathLst>
                              <a:path w="2127250" h="6028055">
                                <a:moveTo>
                                  <a:pt x="989076" y="0"/>
                                </a:moveTo>
                                <a:lnTo>
                                  <a:pt x="941145" y="1125"/>
                                </a:lnTo>
                                <a:lnTo>
                                  <a:pt x="893805" y="4469"/>
                                </a:lnTo>
                                <a:lnTo>
                                  <a:pt x="847106" y="9979"/>
                                </a:lnTo>
                                <a:lnTo>
                                  <a:pt x="801100" y="17605"/>
                                </a:lnTo>
                                <a:lnTo>
                                  <a:pt x="755839" y="27295"/>
                                </a:lnTo>
                                <a:lnTo>
                                  <a:pt x="711375" y="38998"/>
                                </a:lnTo>
                                <a:lnTo>
                                  <a:pt x="667759" y="52663"/>
                                </a:lnTo>
                                <a:lnTo>
                                  <a:pt x="625043" y="68239"/>
                                </a:lnTo>
                                <a:lnTo>
                                  <a:pt x="583280" y="85674"/>
                                </a:lnTo>
                                <a:lnTo>
                                  <a:pt x="542520" y="104919"/>
                                </a:lnTo>
                                <a:lnTo>
                                  <a:pt x="502816" y="125920"/>
                                </a:lnTo>
                                <a:lnTo>
                                  <a:pt x="464219" y="148628"/>
                                </a:lnTo>
                                <a:lnTo>
                                  <a:pt x="426781" y="172991"/>
                                </a:lnTo>
                                <a:lnTo>
                                  <a:pt x="390554" y="198958"/>
                                </a:lnTo>
                                <a:lnTo>
                                  <a:pt x="355589" y="226478"/>
                                </a:lnTo>
                                <a:lnTo>
                                  <a:pt x="321939" y="255500"/>
                                </a:lnTo>
                                <a:lnTo>
                                  <a:pt x="289655" y="285972"/>
                                </a:lnTo>
                                <a:lnTo>
                                  <a:pt x="258789" y="317843"/>
                                </a:lnTo>
                                <a:lnTo>
                                  <a:pt x="229392" y="351063"/>
                                </a:lnTo>
                                <a:lnTo>
                                  <a:pt x="201517" y="385580"/>
                                </a:lnTo>
                                <a:lnTo>
                                  <a:pt x="175215" y="421343"/>
                                </a:lnTo>
                                <a:lnTo>
                                  <a:pt x="150538" y="458301"/>
                                </a:lnTo>
                                <a:lnTo>
                                  <a:pt x="127537" y="496402"/>
                                </a:lnTo>
                                <a:lnTo>
                                  <a:pt x="106265" y="535596"/>
                                </a:lnTo>
                                <a:lnTo>
                                  <a:pt x="86774" y="575832"/>
                                </a:lnTo>
                                <a:lnTo>
                                  <a:pt x="69114" y="617057"/>
                                </a:lnTo>
                                <a:lnTo>
                                  <a:pt x="53338" y="659222"/>
                                </a:lnTo>
                                <a:lnTo>
                                  <a:pt x="39498" y="702275"/>
                                </a:lnTo>
                                <a:lnTo>
                                  <a:pt x="27644" y="746165"/>
                                </a:lnTo>
                                <a:lnTo>
                                  <a:pt x="17830" y="790840"/>
                                </a:lnTo>
                                <a:lnTo>
                                  <a:pt x="10107" y="836250"/>
                                </a:lnTo>
                                <a:lnTo>
                                  <a:pt x="4526" y="882343"/>
                                </a:lnTo>
                                <a:lnTo>
                                  <a:pt x="1140" y="929069"/>
                                </a:lnTo>
                                <a:lnTo>
                                  <a:pt x="0" y="976376"/>
                                </a:lnTo>
                                <a:lnTo>
                                  <a:pt x="1140" y="1023671"/>
                                </a:lnTo>
                                <a:lnTo>
                                  <a:pt x="4526" y="1070387"/>
                                </a:lnTo>
                                <a:lnTo>
                                  <a:pt x="10107" y="1116470"/>
                                </a:lnTo>
                                <a:lnTo>
                                  <a:pt x="17830" y="1161871"/>
                                </a:lnTo>
                                <a:lnTo>
                                  <a:pt x="27644" y="1206538"/>
                                </a:lnTo>
                                <a:lnTo>
                                  <a:pt x="39498" y="1250420"/>
                                </a:lnTo>
                                <a:lnTo>
                                  <a:pt x="53338" y="1293465"/>
                                </a:lnTo>
                                <a:lnTo>
                                  <a:pt x="69114" y="1335623"/>
                                </a:lnTo>
                                <a:lnTo>
                                  <a:pt x="86774" y="1376843"/>
                                </a:lnTo>
                                <a:lnTo>
                                  <a:pt x="106265" y="1417072"/>
                                </a:lnTo>
                                <a:lnTo>
                                  <a:pt x="127537" y="1456261"/>
                                </a:lnTo>
                                <a:lnTo>
                                  <a:pt x="150538" y="1494358"/>
                                </a:lnTo>
                                <a:lnTo>
                                  <a:pt x="175215" y="1531311"/>
                                </a:lnTo>
                                <a:lnTo>
                                  <a:pt x="201517" y="1567070"/>
                                </a:lnTo>
                                <a:lnTo>
                                  <a:pt x="229392" y="1601583"/>
                                </a:lnTo>
                                <a:lnTo>
                                  <a:pt x="258789" y="1634800"/>
                                </a:lnTo>
                                <a:lnTo>
                                  <a:pt x="289655" y="1666668"/>
                                </a:lnTo>
                                <a:lnTo>
                                  <a:pt x="321939" y="1697138"/>
                                </a:lnTo>
                                <a:lnTo>
                                  <a:pt x="355589" y="1726157"/>
                                </a:lnTo>
                                <a:lnTo>
                                  <a:pt x="390554" y="1753675"/>
                                </a:lnTo>
                                <a:lnTo>
                                  <a:pt x="426781" y="1779640"/>
                                </a:lnTo>
                                <a:lnTo>
                                  <a:pt x="464219" y="1804001"/>
                                </a:lnTo>
                                <a:lnTo>
                                  <a:pt x="502816" y="1826708"/>
                                </a:lnTo>
                                <a:lnTo>
                                  <a:pt x="542520" y="1847709"/>
                                </a:lnTo>
                                <a:lnTo>
                                  <a:pt x="583280" y="1866952"/>
                                </a:lnTo>
                                <a:lnTo>
                                  <a:pt x="625043" y="1884387"/>
                                </a:lnTo>
                                <a:lnTo>
                                  <a:pt x="667759" y="1899962"/>
                                </a:lnTo>
                                <a:lnTo>
                                  <a:pt x="711375" y="1913627"/>
                                </a:lnTo>
                                <a:lnTo>
                                  <a:pt x="755839" y="1925330"/>
                                </a:lnTo>
                                <a:lnTo>
                                  <a:pt x="801100" y="1935019"/>
                                </a:lnTo>
                                <a:lnTo>
                                  <a:pt x="847106" y="1942645"/>
                                </a:lnTo>
                                <a:lnTo>
                                  <a:pt x="893805" y="1948155"/>
                                </a:lnTo>
                                <a:lnTo>
                                  <a:pt x="941145" y="1951499"/>
                                </a:lnTo>
                                <a:lnTo>
                                  <a:pt x="989076" y="1952625"/>
                                </a:lnTo>
                                <a:lnTo>
                                  <a:pt x="1036995" y="1951499"/>
                                </a:lnTo>
                                <a:lnTo>
                                  <a:pt x="1084325" y="1948155"/>
                                </a:lnTo>
                                <a:lnTo>
                                  <a:pt x="1131014" y="1942645"/>
                                </a:lnTo>
                                <a:lnTo>
                                  <a:pt x="1177011" y="1935019"/>
                                </a:lnTo>
                                <a:lnTo>
                                  <a:pt x="1222264" y="1925330"/>
                                </a:lnTo>
                                <a:lnTo>
                                  <a:pt x="1266720" y="1913627"/>
                                </a:lnTo>
                                <a:lnTo>
                                  <a:pt x="1310329" y="1899962"/>
                                </a:lnTo>
                                <a:lnTo>
                                  <a:pt x="1353037" y="1884387"/>
                                </a:lnTo>
                                <a:lnTo>
                                  <a:pt x="1394795" y="1866952"/>
                                </a:lnTo>
                                <a:lnTo>
                                  <a:pt x="1435549" y="1847709"/>
                                </a:lnTo>
                                <a:lnTo>
                                  <a:pt x="1475248" y="1826708"/>
                                </a:lnTo>
                                <a:lnTo>
                                  <a:pt x="1513840" y="1804001"/>
                                </a:lnTo>
                                <a:lnTo>
                                  <a:pt x="1551273" y="1779640"/>
                                </a:lnTo>
                                <a:lnTo>
                                  <a:pt x="1587496" y="1753675"/>
                                </a:lnTo>
                                <a:lnTo>
                                  <a:pt x="1622457" y="1726157"/>
                                </a:lnTo>
                                <a:lnTo>
                                  <a:pt x="1656104" y="1697138"/>
                                </a:lnTo>
                                <a:lnTo>
                                  <a:pt x="1688385" y="1666668"/>
                                </a:lnTo>
                                <a:lnTo>
                                  <a:pt x="1719249" y="1634800"/>
                                </a:lnTo>
                                <a:lnTo>
                                  <a:pt x="1748643" y="1601583"/>
                                </a:lnTo>
                                <a:lnTo>
                                  <a:pt x="1776516" y="1567070"/>
                                </a:lnTo>
                                <a:lnTo>
                                  <a:pt x="1802816" y="1531311"/>
                                </a:lnTo>
                                <a:lnTo>
                                  <a:pt x="1827492" y="1494358"/>
                                </a:lnTo>
                                <a:lnTo>
                                  <a:pt x="1850491" y="1456261"/>
                                </a:lnTo>
                                <a:lnTo>
                                  <a:pt x="1871762" y="1417072"/>
                                </a:lnTo>
                                <a:lnTo>
                                  <a:pt x="1891253" y="1376843"/>
                                </a:lnTo>
                                <a:lnTo>
                                  <a:pt x="1908912" y="1335623"/>
                                </a:lnTo>
                                <a:lnTo>
                                  <a:pt x="1924687" y="1293465"/>
                                </a:lnTo>
                                <a:lnTo>
                                  <a:pt x="1938527" y="1250420"/>
                                </a:lnTo>
                                <a:lnTo>
                                  <a:pt x="1950380" y="1206538"/>
                                </a:lnTo>
                                <a:lnTo>
                                  <a:pt x="1960194" y="1161871"/>
                                </a:lnTo>
                                <a:lnTo>
                                  <a:pt x="1967917" y="1116470"/>
                                </a:lnTo>
                                <a:lnTo>
                                  <a:pt x="1973498" y="1070387"/>
                                </a:lnTo>
                                <a:lnTo>
                                  <a:pt x="1976884" y="1023671"/>
                                </a:lnTo>
                                <a:lnTo>
                                  <a:pt x="1978025" y="976376"/>
                                </a:lnTo>
                                <a:lnTo>
                                  <a:pt x="1976884" y="929069"/>
                                </a:lnTo>
                                <a:lnTo>
                                  <a:pt x="1973498" y="882343"/>
                                </a:lnTo>
                                <a:lnTo>
                                  <a:pt x="1967917" y="836250"/>
                                </a:lnTo>
                                <a:lnTo>
                                  <a:pt x="1960194" y="790840"/>
                                </a:lnTo>
                                <a:lnTo>
                                  <a:pt x="1950380" y="746165"/>
                                </a:lnTo>
                                <a:lnTo>
                                  <a:pt x="1938527" y="702275"/>
                                </a:lnTo>
                                <a:lnTo>
                                  <a:pt x="1924687" y="659222"/>
                                </a:lnTo>
                                <a:lnTo>
                                  <a:pt x="1908912" y="617057"/>
                                </a:lnTo>
                                <a:lnTo>
                                  <a:pt x="1891253" y="575832"/>
                                </a:lnTo>
                                <a:lnTo>
                                  <a:pt x="1871762" y="535596"/>
                                </a:lnTo>
                                <a:lnTo>
                                  <a:pt x="1850491" y="496402"/>
                                </a:lnTo>
                                <a:lnTo>
                                  <a:pt x="1827492" y="458301"/>
                                </a:lnTo>
                                <a:lnTo>
                                  <a:pt x="1802816" y="421343"/>
                                </a:lnTo>
                                <a:lnTo>
                                  <a:pt x="1776516" y="385580"/>
                                </a:lnTo>
                                <a:lnTo>
                                  <a:pt x="1748643" y="351063"/>
                                </a:lnTo>
                                <a:lnTo>
                                  <a:pt x="1719249" y="317843"/>
                                </a:lnTo>
                                <a:lnTo>
                                  <a:pt x="1688385" y="285972"/>
                                </a:lnTo>
                                <a:lnTo>
                                  <a:pt x="1656104" y="255500"/>
                                </a:lnTo>
                                <a:lnTo>
                                  <a:pt x="1622457" y="226478"/>
                                </a:lnTo>
                                <a:lnTo>
                                  <a:pt x="1587496" y="198958"/>
                                </a:lnTo>
                                <a:lnTo>
                                  <a:pt x="1551273" y="172991"/>
                                </a:lnTo>
                                <a:lnTo>
                                  <a:pt x="1513840" y="148628"/>
                                </a:lnTo>
                                <a:lnTo>
                                  <a:pt x="1475248" y="125920"/>
                                </a:lnTo>
                                <a:lnTo>
                                  <a:pt x="1435549" y="104919"/>
                                </a:lnTo>
                                <a:lnTo>
                                  <a:pt x="1394795" y="85674"/>
                                </a:lnTo>
                                <a:lnTo>
                                  <a:pt x="1353037" y="68239"/>
                                </a:lnTo>
                                <a:lnTo>
                                  <a:pt x="1310329" y="52663"/>
                                </a:lnTo>
                                <a:lnTo>
                                  <a:pt x="1266720" y="38998"/>
                                </a:lnTo>
                                <a:lnTo>
                                  <a:pt x="1222264" y="27295"/>
                                </a:lnTo>
                                <a:lnTo>
                                  <a:pt x="1177011" y="17605"/>
                                </a:lnTo>
                                <a:lnTo>
                                  <a:pt x="1131014" y="9979"/>
                                </a:lnTo>
                                <a:lnTo>
                                  <a:pt x="1084325" y="4469"/>
                                </a:lnTo>
                                <a:lnTo>
                                  <a:pt x="1036995" y="1125"/>
                                </a:lnTo>
                                <a:lnTo>
                                  <a:pt x="989076" y="0"/>
                                </a:lnTo>
                                <a:close/>
                              </a:path>
                              <a:path w="2127250" h="6028055">
                                <a:moveTo>
                                  <a:pt x="1043940" y="2000885"/>
                                </a:moveTo>
                                <a:lnTo>
                                  <a:pt x="993357" y="2001998"/>
                                </a:lnTo>
                                <a:lnTo>
                                  <a:pt x="943397" y="2005305"/>
                                </a:lnTo>
                                <a:lnTo>
                                  <a:pt x="894112" y="2010754"/>
                                </a:lnTo>
                                <a:lnTo>
                                  <a:pt x="845559" y="2018295"/>
                                </a:lnTo>
                                <a:lnTo>
                                  <a:pt x="797791" y="2027878"/>
                                </a:lnTo>
                                <a:lnTo>
                                  <a:pt x="750863" y="2039452"/>
                                </a:lnTo>
                                <a:lnTo>
                                  <a:pt x="704831" y="2052966"/>
                                </a:lnTo>
                                <a:lnTo>
                                  <a:pt x="659748" y="2068370"/>
                                </a:lnTo>
                                <a:lnTo>
                                  <a:pt x="615669" y="2085613"/>
                                </a:lnTo>
                                <a:lnTo>
                                  <a:pt x="572649" y="2104645"/>
                                </a:lnTo>
                                <a:lnTo>
                                  <a:pt x="530742" y="2125415"/>
                                </a:lnTo>
                                <a:lnTo>
                                  <a:pt x="490004" y="2147872"/>
                                </a:lnTo>
                                <a:lnTo>
                                  <a:pt x="450489" y="2171965"/>
                                </a:lnTo>
                                <a:lnTo>
                                  <a:pt x="412252" y="2197646"/>
                                </a:lnTo>
                                <a:lnTo>
                                  <a:pt x="375347" y="2224861"/>
                                </a:lnTo>
                                <a:lnTo>
                                  <a:pt x="339829" y="2253562"/>
                                </a:lnTo>
                                <a:lnTo>
                                  <a:pt x="305752" y="2283698"/>
                                </a:lnTo>
                                <a:lnTo>
                                  <a:pt x="273172" y="2315217"/>
                                </a:lnTo>
                                <a:lnTo>
                                  <a:pt x="242143" y="2348070"/>
                                </a:lnTo>
                                <a:lnTo>
                                  <a:pt x="212719" y="2382205"/>
                                </a:lnTo>
                                <a:lnTo>
                                  <a:pt x="184956" y="2417573"/>
                                </a:lnTo>
                                <a:lnTo>
                                  <a:pt x="158907" y="2454122"/>
                                </a:lnTo>
                                <a:lnTo>
                                  <a:pt x="134629" y="2491802"/>
                                </a:lnTo>
                                <a:lnTo>
                                  <a:pt x="112175" y="2530563"/>
                                </a:lnTo>
                                <a:lnTo>
                                  <a:pt x="91599" y="2570353"/>
                                </a:lnTo>
                                <a:lnTo>
                                  <a:pt x="72958" y="2611123"/>
                                </a:lnTo>
                                <a:lnTo>
                                  <a:pt x="56305" y="2652822"/>
                                </a:lnTo>
                                <a:lnTo>
                                  <a:pt x="41695" y="2695398"/>
                                </a:lnTo>
                                <a:lnTo>
                                  <a:pt x="29182" y="2738802"/>
                                </a:lnTo>
                                <a:lnTo>
                                  <a:pt x="18822" y="2782983"/>
                                </a:lnTo>
                                <a:lnTo>
                                  <a:pt x="10669" y="2827891"/>
                                </a:lnTo>
                                <a:lnTo>
                                  <a:pt x="4778" y="2873474"/>
                                </a:lnTo>
                                <a:lnTo>
                                  <a:pt x="1203" y="2919682"/>
                                </a:lnTo>
                                <a:lnTo>
                                  <a:pt x="0" y="2966466"/>
                                </a:lnTo>
                                <a:lnTo>
                                  <a:pt x="1203" y="3013238"/>
                                </a:lnTo>
                                <a:lnTo>
                                  <a:pt x="4778" y="3059436"/>
                                </a:lnTo>
                                <a:lnTo>
                                  <a:pt x="10669" y="3105009"/>
                                </a:lnTo>
                                <a:lnTo>
                                  <a:pt x="18822" y="3149908"/>
                                </a:lnTo>
                                <a:lnTo>
                                  <a:pt x="29182" y="3194081"/>
                                </a:lnTo>
                                <a:lnTo>
                                  <a:pt x="41695" y="3237477"/>
                                </a:lnTo>
                                <a:lnTo>
                                  <a:pt x="56305" y="3280046"/>
                                </a:lnTo>
                                <a:lnTo>
                                  <a:pt x="72958" y="3321738"/>
                                </a:lnTo>
                                <a:lnTo>
                                  <a:pt x="91599" y="3362501"/>
                                </a:lnTo>
                                <a:lnTo>
                                  <a:pt x="112175" y="3402286"/>
                                </a:lnTo>
                                <a:lnTo>
                                  <a:pt x="134629" y="3441041"/>
                                </a:lnTo>
                                <a:lnTo>
                                  <a:pt x="158907" y="3478717"/>
                                </a:lnTo>
                                <a:lnTo>
                                  <a:pt x="184956" y="3515261"/>
                                </a:lnTo>
                                <a:lnTo>
                                  <a:pt x="212719" y="3550625"/>
                                </a:lnTo>
                                <a:lnTo>
                                  <a:pt x="242143" y="3584757"/>
                                </a:lnTo>
                                <a:lnTo>
                                  <a:pt x="273172" y="3617606"/>
                                </a:lnTo>
                                <a:lnTo>
                                  <a:pt x="305752" y="3649122"/>
                                </a:lnTo>
                                <a:lnTo>
                                  <a:pt x="339829" y="3679255"/>
                                </a:lnTo>
                                <a:lnTo>
                                  <a:pt x="375347" y="3707954"/>
                                </a:lnTo>
                                <a:lnTo>
                                  <a:pt x="412252" y="3735167"/>
                                </a:lnTo>
                                <a:lnTo>
                                  <a:pt x="450489" y="3760846"/>
                                </a:lnTo>
                                <a:lnTo>
                                  <a:pt x="490004" y="3784938"/>
                                </a:lnTo>
                                <a:lnTo>
                                  <a:pt x="530742" y="3807394"/>
                                </a:lnTo>
                                <a:lnTo>
                                  <a:pt x="572649" y="3828162"/>
                                </a:lnTo>
                                <a:lnTo>
                                  <a:pt x="615669" y="3847193"/>
                                </a:lnTo>
                                <a:lnTo>
                                  <a:pt x="659748" y="3864435"/>
                                </a:lnTo>
                                <a:lnTo>
                                  <a:pt x="704831" y="3879839"/>
                                </a:lnTo>
                                <a:lnTo>
                                  <a:pt x="750863" y="3893352"/>
                                </a:lnTo>
                                <a:lnTo>
                                  <a:pt x="797791" y="3904926"/>
                                </a:lnTo>
                                <a:lnTo>
                                  <a:pt x="845559" y="3914509"/>
                                </a:lnTo>
                                <a:lnTo>
                                  <a:pt x="894112" y="3922050"/>
                                </a:lnTo>
                                <a:lnTo>
                                  <a:pt x="943397" y="3927499"/>
                                </a:lnTo>
                                <a:lnTo>
                                  <a:pt x="993357" y="3930806"/>
                                </a:lnTo>
                                <a:lnTo>
                                  <a:pt x="1043940" y="3931920"/>
                                </a:lnTo>
                                <a:lnTo>
                                  <a:pt x="1094522" y="3930806"/>
                                </a:lnTo>
                                <a:lnTo>
                                  <a:pt x="1144482" y="3927499"/>
                                </a:lnTo>
                                <a:lnTo>
                                  <a:pt x="1193767" y="3922050"/>
                                </a:lnTo>
                                <a:lnTo>
                                  <a:pt x="1242320" y="3914509"/>
                                </a:lnTo>
                                <a:lnTo>
                                  <a:pt x="1290088" y="3904926"/>
                                </a:lnTo>
                                <a:lnTo>
                                  <a:pt x="1337016" y="3893352"/>
                                </a:lnTo>
                                <a:lnTo>
                                  <a:pt x="1383048" y="3879839"/>
                                </a:lnTo>
                                <a:lnTo>
                                  <a:pt x="1428131" y="3864435"/>
                                </a:lnTo>
                                <a:lnTo>
                                  <a:pt x="1472210" y="3847193"/>
                                </a:lnTo>
                                <a:lnTo>
                                  <a:pt x="1515230" y="3828162"/>
                                </a:lnTo>
                                <a:lnTo>
                                  <a:pt x="1557137" y="3807394"/>
                                </a:lnTo>
                                <a:lnTo>
                                  <a:pt x="1597875" y="3784938"/>
                                </a:lnTo>
                                <a:lnTo>
                                  <a:pt x="1637390" y="3760846"/>
                                </a:lnTo>
                                <a:lnTo>
                                  <a:pt x="1675627" y="3735167"/>
                                </a:lnTo>
                                <a:lnTo>
                                  <a:pt x="1712532" y="3707954"/>
                                </a:lnTo>
                                <a:lnTo>
                                  <a:pt x="1748050" y="3679255"/>
                                </a:lnTo>
                                <a:lnTo>
                                  <a:pt x="1782127" y="3649122"/>
                                </a:lnTo>
                                <a:lnTo>
                                  <a:pt x="1814707" y="3617606"/>
                                </a:lnTo>
                                <a:lnTo>
                                  <a:pt x="1845736" y="3584757"/>
                                </a:lnTo>
                                <a:lnTo>
                                  <a:pt x="1875160" y="3550625"/>
                                </a:lnTo>
                                <a:lnTo>
                                  <a:pt x="1902923" y="3515261"/>
                                </a:lnTo>
                                <a:lnTo>
                                  <a:pt x="1928972" y="3478717"/>
                                </a:lnTo>
                                <a:lnTo>
                                  <a:pt x="1953250" y="3441041"/>
                                </a:lnTo>
                                <a:lnTo>
                                  <a:pt x="1975704" y="3402286"/>
                                </a:lnTo>
                                <a:lnTo>
                                  <a:pt x="1996280" y="3362501"/>
                                </a:lnTo>
                                <a:lnTo>
                                  <a:pt x="2014921" y="3321738"/>
                                </a:lnTo>
                                <a:lnTo>
                                  <a:pt x="2031574" y="3280046"/>
                                </a:lnTo>
                                <a:lnTo>
                                  <a:pt x="2046184" y="3237477"/>
                                </a:lnTo>
                                <a:lnTo>
                                  <a:pt x="2058697" y="3194081"/>
                                </a:lnTo>
                                <a:lnTo>
                                  <a:pt x="2069057" y="3149908"/>
                                </a:lnTo>
                                <a:lnTo>
                                  <a:pt x="2077210" y="3105009"/>
                                </a:lnTo>
                                <a:lnTo>
                                  <a:pt x="2083101" y="3059436"/>
                                </a:lnTo>
                                <a:lnTo>
                                  <a:pt x="2086676" y="3013238"/>
                                </a:lnTo>
                                <a:lnTo>
                                  <a:pt x="2087880" y="2966466"/>
                                </a:lnTo>
                                <a:lnTo>
                                  <a:pt x="2086676" y="2919682"/>
                                </a:lnTo>
                                <a:lnTo>
                                  <a:pt x="2083101" y="2873474"/>
                                </a:lnTo>
                                <a:lnTo>
                                  <a:pt x="2077210" y="2827891"/>
                                </a:lnTo>
                                <a:lnTo>
                                  <a:pt x="2069057" y="2782983"/>
                                </a:lnTo>
                                <a:lnTo>
                                  <a:pt x="2058697" y="2738802"/>
                                </a:lnTo>
                                <a:lnTo>
                                  <a:pt x="2046184" y="2695398"/>
                                </a:lnTo>
                                <a:lnTo>
                                  <a:pt x="2031574" y="2652822"/>
                                </a:lnTo>
                                <a:lnTo>
                                  <a:pt x="2014921" y="2611123"/>
                                </a:lnTo>
                                <a:lnTo>
                                  <a:pt x="1996280" y="2570353"/>
                                </a:lnTo>
                                <a:lnTo>
                                  <a:pt x="1975704" y="2530563"/>
                                </a:lnTo>
                                <a:lnTo>
                                  <a:pt x="1953250" y="2491802"/>
                                </a:lnTo>
                                <a:lnTo>
                                  <a:pt x="1928972" y="2454122"/>
                                </a:lnTo>
                                <a:lnTo>
                                  <a:pt x="1902923" y="2417573"/>
                                </a:lnTo>
                                <a:lnTo>
                                  <a:pt x="1875160" y="2382205"/>
                                </a:lnTo>
                                <a:lnTo>
                                  <a:pt x="1845736" y="2348070"/>
                                </a:lnTo>
                                <a:lnTo>
                                  <a:pt x="1814707" y="2315217"/>
                                </a:lnTo>
                                <a:lnTo>
                                  <a:pt x="1782127" y="2283698"/>
                                </a:lnTo>
                                <a:lnTo>
                                  <a:pt x="1748050" y="2253562"/>
                                </a:lnTo>
                                <a:lnTo>
                                  <a:pt x="1712532" y="2224861"/>
                                </a:lnTo>
                                <a:lnTo>
                                  <a:pt x="1675627" y="2197646"/>
                                </a:lnTo>
                                <a:lnTo>
                                  <a:pt x="1637390" y="2171965"/>
                                </a:lnTo>
                                <a:lnTo>
                                  <a:pt x="1597875" y="2147872"/>
                                </a:lnTo>
                                <a:lnTo>
                                  <a:pt x="1557137" y="2125415"/>
                                </a:lnTo>
                                <a:lnTo>
                                  <a:pt x="1515230" y="2104645"/>
                                </a:lnTo>
                                <a:lnTo>
                                  <a:pt x="1472210" y="2085613"/>
                                </a:lnTo>
                                <a:lnTo>
                                  <a:pt x="1428131" y="2068370"/>
                                </a:lnTo>
                                <a:lnTo>
                                  <a:pt x="1383048" y="2052966"/>
                                </a:lnTo>
                                <a:lnTo>
                                  <a:pt x="1337016" y="2039452"/>
                                </a:lnTo>
                                <a:lnTo>
                                  <a:pt x="1290088" y="2027878"/>
                                </a:lnTo>
                                <a:lnTo>
                                  <a:pt x="1242320" y="2018295"/>
                                </a:lnTo>
                                <a:lnTo>
                                  <a:pt x="1193767" y="2010754"/>
                                </a:lnTo>
                                <a:lnTo>
                                  <a:pt x="1144482" y="2005305"/>
                                </a:lnTo>
                                <a:lnTo>
                                  <a:pt x="1094522" y="2001998"/>
                                </a:lnTo>
                                <a:lnTo>
                                  <a:pt x="1043940" y="2000885"/>
                                </a:lnTo>
                                <a:close/>
                              </a:path>
                              <a:path w="2127250" h="6028055">
                                <a:moveTo>
                                  <a:pt x="1071626" y="3978275"/>
                                </a:moveTo>
                                <a:lnTo>
                                  <a:pt x="1023291" y="3979329"/>
                                </a:lnTo>
                                <a:lnTo>
                                  <a:pt x="975514" y="3982463"/>
                                </a:lnTo>
                                <a:lnTo>
                                  <a:pt x="928343" y="3987630"/>
                                </a:lnTo>
                                <a:lnTo>
                                  <a:pt x="881824" y="3994787"/>
                                </a:lnTo>
                                <a:lnTo>
                                  <a:pt x="836003" y="4003886"/>
                                </a:lnTo>
                                <a:lnTo>
                                  <a:pt x="790927" y="4014884"/>
                                </a:lnTo>
                                <a:lnTo>
                                  <a:pt x="746643" y="4027735"/>
                                </a:lnTo>
                                <a:lnTo>
                                  <a:pt x="703196" y="4042393"/>
                                </a:lnTo>
                                <a:lnTo>
                                  <a:pt x="660634" y="4058814"/>
                                </a:lnTo>
                                <a:lnTo>
                                  <a:pt x="619002" y="4076953"/>
                                </a:lnTo>
                                <a:lnTo>
                                  <a:pt x="578349" y="4096763"/>
                                </a:lnTo>
                                <a:lnTo>
                                  <a:pt x="538719" y="4118200"/>
                                </a:lnTo>
                                <a:lnTo>
                                  <a:pt x="500161" y="4141219"/>
                                </a:lnTo>
                                <a:lnTo>
                                  <a:pt x="462719" y="4165774"/>
                                </a:lnTo>
                                <a:lnTo>
                                  <a:pt x="426441" y="4191821"/>
                                </a:lnTo>
                                <a:lnTo>
                                  <a:pt x="391374" y="4219313"/>
                                </a:lnTo>
                                <a:lnTo>
                                  <a:pt x="357563" y="4248206"/>
                                </a:lnTo>
                                <a:lnTo>
                                  <a:pt x="325056" y="4278455"/>
                                </a:lnTo>
                                <a:lnTo>
                                  <a:pt x="293899" y="4310014"/>
                                </a:lnTo>
                                <a:lnTo>
                                  <a:pt x="264138" y="4342838"/>
                                </a:lnTo>
                                <a:lnTo>
                                  <a:pt x="235820" y="4376881"/>
                                </a:lnTo>
                                <a:lnTo>
                                  <a:pt x="208992" y="4412100"/>
                                </a:lnTo>
                                <a:lnTo>
                                  <a:pt x="183700" y="4448448"/>
                                </a:lnTo>
                                <a:lnTo>
                                  <a:pt x="159991" y="4485879"/>
                                </a:lnTo>
                                <a:lnTo>
                                  <a:pt x="137911" y="4524350"/>
                                </a:lnTo>
                                <a:lnTo>
                                  <a:pt x="117507" y="4563815"/>
                                </a:lnTo>
                                <a:lnTo>
                                  <a:pt x="98825" y="4604228"/>
                                </a:lnTo>
                                <a:lnTo>
                                  <a:pt x="81912" y="4645544"/>
                                </a:lnTo>
                                <a:lnTo>
                                  <a:pt x="66815" y="4687718"/>
                                </a:lnTo>
                                <a:lnTo>
                                  <a:pt x="53579" y="4730705"/>
                                </a:lnTo>
                                <a:lnTo>
                                  <a:pt x="42252" y="4774460"/>
                                </a:lnTo>
                                <a:lnTo>
                                  <a:pt x="32880" y="4818937"/>
                                </a:lnTo>
                                <a:lnTo>
                                  <a:pt x="25510" y="4864091"/>
                                </a:lnTo>
                                <a:lnTo>
                                  <a:pt x="20188" y="4909877"/>
                                </a:lnTo>
                                <a:lnTo>
                                  <a:pt x="16961" y="4956250"/>
                                </a:lnTo>
                                <a:lnTo>
                                  <a:pt x="15875" y="5003165"/>
                                </a:lnTo>
                                <a:lnTo>
                                  <a:pt x="16961" y="5050079"/>
                                </a:lnTo>
                                <a:lnTo>
                                  <a:pt x="20188" y="5096452"/>
                                </a:lnTo>
                                <a:lnTo>
                                  <a:pt x="25510" y="5142238"/>
                                </a:lnTo>
                                <a:lnTo>
                                  <a:pt x="32880" y="5187392"/>
                                </a:lnTo>
                                <a:lnTo>
                                  <a:pt x="42252" y="5231869"/>
                                </a:lnTo>
                                <a:lnTo>
                                  <a:pt x="53579" y="5275624"/>
                                </a:lnTo>
                                <a:lnTo>
                                  <a:pt x="66815" y="5318611"/>
                                </a:lnTo>
                                <a:lnTo>
                                  <a:pt x="81912" y="5360785"/>
                                </a:lnTo>
                                <a:lnTo>
                                  <a:pt x="98825" y="5402101"/>
                                </a:lnTo>
                                <a:lnTo>
                                  <a:pt x="117507" y="5442514"/>
                                </a:lnTo>
                                <a:lnTo>
                                  <a:pt x="137911" y="5481979"/>
                                </a:lnTo>
                                <a:lnTo>
                                  <a:pt x="159991" y="5520450"/>
                                </a:lnTo>
                                <a:lnTo>
                                  <a:pt x="183700" y="5557881"/>
                                </a:lnTo>
                                <a:lnTo>
                                  <a:pt x="208992" y="5594229"/>
                                </a:lnTo>
                                <a:lnTo>
                                  <a:pt x="235820" y="5629448"/>
                                </a:lnTo>
                                <a:lnTo>
                                  <a:pt x="264138" y="5663491"/>
                                </a:lnTo>
                                <a:lnTo>
                                  <a:pt x="293899" y="5696315"/>
                                </a:lnTo>
                                <a:lnTo>
                                  <a:pt x="325056" y="5727874"/>
                                </a:lnTo>
                                <a:lnTo>
                                  <a:pt x="357563" y="5758123"/>
                                </a:lnTo>
                                <a:lnTo>
                                  <a:pt x="391374" y="5787016"/>
                                </a:lnTo>
                                <a:lnTo>
                                  <a:pt x="426441" y="5814508"/>
                                </a:lnTo>
                                <a:lnTo>
                                  <a:pt x="462719" y="5840555"/>
                                </a:lnTo>
                                <a:lnTo>
                                  <a:pt x="500161" y="5865110"/>
                                </a:lnTo>
                                <a:lnTo>
                                  <a:pt x="538719" y="5888129"/>
                                </a:lnTo>
                                <a:lnTo>
                                  <a:pt x="578349" y="5909566"/>
                                </a:lnTo>
                                <a:lnTo>
                                  <a:pt x="619002" y="5929376"/>
                                </a:lnTo>
                                <a:lnTo>
                                  <a:pt x="660634" y="5947515"/>
                                </a:lnTo>
                                <a:lnTo>
                                  <a:pt x="703196" y="5963936"/>
                                </a:lnTo>
                                <a:lnTo>
                                  <a:pt x="746643" y="5978594"/>
                                </a:lnTo>
                                <a:lnTo>
                                  <a:pt x="790927" y="5991445"/>
                                </a:lnTo>
                                <a:lnTo>
                                  <a:pt x="836003" y="6002443"/>
                                </a:lnTo>
                                <a:lnTo>
                                  <a:pt x="881824" y="6011542"/>
                                </a:lnTo>
                                <a:lnTo>
                                  <a:pt x="928343" y="6018699"/>
                                </a:lnTo>
                                <a:lnTo>
                                  <a:pt x="975514" y="6023866"/>
                                </a:lnTo>
                                <a:lnTo>
                                  <a:pt x="1023291" y="6027000"/>
                                </a:lnTo>
                                <a:lnTo>
                                  <a:pt x="1071626" y="6028055"/>
                                </a:lnTo>
                                <a:lnTo>
                                  <a:pt x="1119950" y="6027000"/>
                                </a:lnTo>
                                <a:lnTo>
                                  <a:pt x="1167717" y="6023866"/>
                                </a:lnTo>
                                <a:lnTo>
                                  <a:pt x="1214878" y="6018699"/>
                                </a:lnTo>
                                <a:lnTo>
                                  <a:pt x="1261389" y="6011542"/>
                                </a:lnTo>
                                <a:lnTo>
                                  <a:pt x="1307202" y="6002443"/>
                                </a:lnTo>
                                <a:lnTo>
                                  <a:pt x="1352270" y="5991445"/>
                                </a:lnTo>
                                <a:lnTo>
                                  <a:pt x="1396548" y="5978594"/>
                                </a:lnTo>
                                <a:lnTo>
                                  <a:pt x="1439988" y="5963936"/>
                                </a:lnTo>
                                <a:lnTo>
                                  <a:pt x="1482544" y="5947515"/>
                                </a:lnTo>
                                <a:lnTo>
                                  <a:pt x="1524169" y="5929376"/>
                                </a:lnTo>
                                <a:lnTo>
                                  <a:pt x="1564818" y="5909566"/>
                                </a:lnTo>
                                <a:lnTo>
                                  <a:pt x="1604442" y="5888129"/>
                                </a:lnTo>
                                <a:lnTo>
                                  <a:pt x="1642997" y="5865110"/>
                                </a:lnTo>
                                <a:lnTo>
                                  <a:pt x="1680434" y="5840555"/>
                                </a:lnTo>
                                <a:lnTo>
                                  <a:pt x="1716708" y="5814508"/>
                                </a:lnTo>
                                <a:lnTo>
                                  <a:pt x="1751772" y="5787016"/>
                                </a:lnTo>
                                <a:lnTo>
                                  <a:pt x="1785579" y="5758123"/>
                                </a:lnTo>
                                <a:lnTo>
                                  <a:pt x="1818084" y="5727874"/>
                                </a:lnTo>
                                <a:lnTo>
                                  <a:pt x="1849239" y="5696315"/>
                                </a:lnTo>
                                <a:lnTo>
                                  <a:pt x="1878997" y="5663491"/>
                                </a:lnTo>
                                <a:lnTo>
                                  <a:pt x="1907313" y="5629448"/>
                                </a:lnTo>
                                <a:lnTo>
                                  <a:pt x="1934139" y="5594229"/>
                                </a:lnTo>
                                <a:lnTo>
                                  <a:pt x="1959430" y="5557881"/>
                                </a:lnTo>
                                <a:lnTo>
                                  <a:pt x="1983137" y="5520450"/>
                                </a:lnTo>
                                <a:lnTo>
                                  <a:pt x="2005216" y="5481979"/>
                                </a:lnTo>
                                <a:lnTo>
                                  <a:pt x="2025620" y="5442514"/>
                                </a:lnTo>
                                <a:lnTo>
                                  <a:pt x="2044301" y="5402101"/>
                                </a:lnTo>
                                <a:lnTo>
                                  <a:pt x="2061213" y="5360785"/>
                                </a:lnTo>
                                <a:lnTo>
                                  <a:pt x="2076310" y="5318611"/>
                                </a:lnTo>
                                <a:lnTo>
                                  <a:pt x="2089545" y="5275624"/>
                                </a:lnTo>
                                <a:lnTo>
                                  <a:pt x="2100872" y="5231869"/>
                                </a:lnTo>
                                <a:lnTo>
                                  <a:pt x="2110244" y="5187392"/>
                                </a:lnTo>
                                <a:lnTo>
                                  <a:pt x="2117614" y="5142238"/>
                                </a:lnTo>
                                <a:lnTo>
                                  <a:pt x="2122936" y="5096452"/>
                                </a:lnTo>
                                <a:lnTo>
                                  <a:pt x="2126163" y="5050079"/>
                                </a:lnTo>
                                <a:lnTo>
                                  <a:pt x="2127250" y="5003165"/>
                                </a:lnTo>
                                <a:lnTo>
                                  <a:pt x="2126163" y="4956250"/>
                                </a:lnTo>
                                <a:lnTo>
                                  <a:pt x="2122936" y="4909877"/>
                                </a:lnTo>
                                <a:lnTo>
                                  <a:pt x="2117614" y="4864091"/>
                                </a:lnTo>
                                <a:lnTo>
                                  <a:pt x="2110244" y="4818937"/>
                                </a:lnTo>
                                <a:lnTo>
                                  <a:pt x="2100872" y="4774460"/>
                                </a:lnTo>
                                <a:lnTo>
                                  <a:pt x="2089545" y="4730705"/>
                                </a:lnTo>
                                <a:lnTo>
                                  <a:pt x="2076310" y="4687718"/>
                                </a:lnTo>
                                <a:lnTo>
                                  <a:pt x="2061213" y="4645544"/>
                                </a:lnTo>
                                <a:lnTo>
                                  <a:pt x="2044301" y="4604228"/>
                                </a:lnTo>
                                <a:lnTo>
                                  <a:pt x="2025620" y="4563815"/>
                                </a:lnTo>
                                <a:lnTo>
                                  <a:pt x="2005216" y="4524350"/>
                                </a:lnTo>
                                <a:lnTo>
                                  <a:pt x="1983137" y="4485879"/>
                                </a:lnTo>
                                <a:lnTo>
                                  <a:pt x="1959430" y="4448448"/>
                                </a:lnTo>
                                <a:lnTo>
                                  <a:pt x="1934139" y="4412100"/>
                                </a:lnTo>
                                <a:lnTo>
                                  <a:pt x="1907313" y="4376881"/>
                                </a:lnTo>
                                <a:lnTo>
                                  <a:pt x="1878997" y="4342838"/>
                                </a:lnTo>
                                <a:lnTo>
                                  <a:pt x="1849239" y="4310014"/>
                                </a:lnTo>
                                <a:lnTo>
                                  <a:pt x="1818084" y="4278455"/>
                                </a:lnTo>
                                <a:lnTo>
                                  <a:pt x="1785579" y="4248206"/>
                                </a:lnTo>
                                <a:lnTo>
                                  <a:pt x="1751772" y="4219313"/>
                                </a:lnTo>
                                <a:lnTo>
                                  <a:pt x="1716708" y="4191821"/>
                                </a:lnTo>
                                <a:lnTo>
                                  <a:pt x="1680434" y="4165774"/>
                                </a:lnTo>
                                <a:lnTo>
                                  <a:pt x="1642997" y="4141219"/>
                                </a:lnTo>
                                <a:lnTo>
                                  <a:pt x="1604442" y="4118200"/>
                                </a:lnTo>
                                <a:lnTo>
                                  <a:pt x="1564818" y="4096763"/>
                                </a:lnTo>
                                <a:lnTo>
                                  <a:pt x="1524169" y="4076953"/>
                                </a:lnTo>
                                <a:lnTo>
                                  <a:pt x="1482544" y="4058814"/>
                                </a:lnTo>
                                <a:lnTo>
                                  <a:pt x="1439988" y="4042393"/>
                                </a:lnTo>
                                <a:lnTo>
                                  <a:pt x="1396548" y="4027735"/>
                                </a:lnTo>
                                <a:lnTo>
                                  <a:pt x="1352270" y="4014884"/>
                                </a:lnTo>
                                <a:lnTo>
                                  <a:pt x="1307202" y="4003886"/>
                                </a:lnTo>
                                <a:lnTo>
                                  <a:pt x="1261389" y="3994787"/>
                                </a:lnTo>
                                <a:lnTo>
                                  <a:pt x="1214878" y="3987630"/>
                                </a:lnTo>
                                <a:lnTo>
                                  <a:pt x="1167717" y="3982463"/>
                                </a:lnTo>
                                <a:lnTo>
                                  <a:pt x="1119950" y="3979329"/>
                                </a:lnTo>
                                <a:lnTo>
                                  <a:pt x="1071626" y="3978275"/>
                                </a:lnTo>
                                <a:close/>
                              </a:path>
                            </a:pathLst>
                          </a:custGeom>
                          <a:ln w="12700">
                            <a:solidFill>
                              <a:srgbClr val="6FAC46"/>
                            </a:solidFill>
                            <a:prstDash val="solid"/>
                          </a:ln>
                        </wps:spPr>
                        <wps:bodyPr wrap="square" lIns="0" tIns="0" rIns="0" bIns="0" rtlCol="0">
                          <a:prstTxWarp prst="textNoShape">
                            <a:avLst/>
                          </a:prstTxWarp>
                          <a:noAutofit/>
                        </wps:bodyPr>
                      </wps:wsp>
                      <wps:wsp>
                        <wps:cNvPr id="8" name="Graphic 8"/>
                        <wps:cNvSpPr/>
                        <wps:spPr>
                          <a:xfrm>
                            <a:off x="2887345" y="2407920"/>
                            <a:ext cx="2449195" cy="2620010"/>
                          </a:xfrm>
                          <a:custGeom>
                            <a:avLst/>
                            <a:gdLst/>
                            <a:ahLst/>
                            <a:cxnLst/>
                            <a:rect l="l" t="t" r="r" b="b"/>
                            <a:pathLst>
                              <a:path w="2449195" h="2620010">
                                <a:moveTo>
                                  <a:pt x="1224661" y="0"/>
                                </a:moveTo>
                                <a:lnTo>
                                  <a:pt x="1177683" y="945"/>
                                </a:lnTo>
                                <a:lnTo>
                                  <a:pt x="1131153" y="3761"/>
                                </a:lnTo>
                                <a:lnTo>
                                  <a:pt x="1085102" y="8411"/>
                                </a:lnTo>
                                <a:lnTo>
                                  <a:pt x="1039562" y="14863"/>
                                </a:lnTo>
                                <a:lnTo>
                                  <a:pt x="994565" y="23082"/>
                                </a:lnTo>
                                <a:lnTo>
                                  <a:pt x="950142" y="33035"/>
                                </a:lnTo>
                                <a:lnTo>
                                  <a:pt x="906325" y="44688"/>
                                </a:lnTo>
                                <a:lnTo>
                                  <a:pt x="863146" y="58006"/>
                                </a:lnTo>
                                <a:lnTo>
                                  <a:pt x="820636" y="72956"/>
                                </a:lnTo>
                                <a:lnTo>
                                  <a:pt x="778827" y="89504"/>
                                </a:lnTo>
                                <a:lnTo>
                                  <a:pt x="737752" y="107616"/>
                                </a:lnTo>
                                <a:lnTo>
                                  <a:pt x="697441" y="127258"/>
                                </a:lnTo>
                                <a:lnTo>
                                  <a:pt x="657926" y="148396"/>
                                </a:lnTo>
                                <a:lnTo>
                                  <a:pt x="619239" y="170996"/>
                                </a:lnTo>
                                <a:lnTo>
                                  <a:pt x="581412" y="195024"/>
                                </a:lnTo>
                                <a:lnTo>
                                  <a:pt x="544476" y="220447"/>
                                </a:lnTo>
                                <a:lnTo>
                                  <a:pt x="508463" y="247231"/>
                                </a:lnTo>
                                <a:lnTo>
                                  <a:pt x="473405" y="275341"/>
                                </a:lnTo>
                                <a:lnTo>
                                  <a:pt x="439334" y="304743"/>
                                </a:lnTo>
                                <a:lnTo>
                                  <a:pt x="406281" y="335405"/>
                                </a:lnTo>
                                <a:lnTo>
                                  <a:pt x="374277" y="367291"/>
                                </a:lnTo>
                                <a:lnTo>
                                  <a:pt x="343356" y="400368"/>
                                </a:lnTo>
                                <a:lnTo>
                                  <a:pt x="313547" y="434601"/>
                                </a:lnTo>
                                <a:lnTo>
                                  <a:pt x="284884" y="469958"/>
                                </a:lnTo>
                                <a:lnTo>
                                  <a:pt x="257397" y="506404"/>
                                </a:lnTo>
                                <a:lnTo>
                                  <a:pt x="231119" y="543906"/>
                                </a:lnTo>
                                <a:lnTo>
                                  <a:pt x="206081" y="582428"/>
                                </a:lnTo>
                                <a:lnTo>
                                  <a:pt x="182315" y="621938"/>
                                </a:lnTo>
                                <a:lnTo>
                                  <a:pt x="159852" y="662401"/>
                                </a:lnTo>
                                <a:lnTo>
                                  <a:pt x="138724" y="703784"/>
                                </a:lnTo>
                                <a:lnTo>
                                  <a:pt x="118964" y="746052"/>
                                </a:lnTo>
                                <a:lnTo>
                                  <a:pt x="100602" y="789173"/>
                                </a:lnTo>
                                <a:lnTo>
                                  <a:pt x="83670" y="833110"/>
                                </a:lnTo>
                                <a:lnTo>
                                  <a:pt x="68201" y="877832"/>
                                </a:lnTo>
                                <a:lnTo>
                                  <a:pt x="54225" y="923304"/>
                                </a:lnTo>
                                <a:lnTo>
                                  <a:pt x="41775" y="969491"/>
                                </a:lnTo>
                                <a:lnTo>
                                  <a:pt x="30882" y="1016361"/>
                                </a:lnTo>
                                <a:lnTo>
                                  <a:pt x="21578" y="1063879"/>
                                </a:lnTo>
                                <a:lnTo>
                                  <a:pt x="13894" y="1112011"/>
                                </a:lnTo>
                                <a:lnTo>
                                  <a:pt x="7863" y="1160724"/>
                                </a:lnTo>
                                <a:lnTo>
                                  <a:pt x="3515" y="1209983"/>
                                </a:lnTo>
                                <a:lnTo>
                                  <a:pt x="884" y="1259754"/>
                                </a:lnTo>
                                <a:lnTo>
                                  <a:pt x="0" y="1310005"/>
                                </a:lnTo>
                                <a:lnTo>
                                  <a:pt x="884" y="1360255"/>
                                </a:lnTo>
                                <a:lnTo>
                                  <a:pt x="3515" y="1410026"/>
                                </a:lnTo>
                                <a:lnTo>
                                  <a:pt x="7863" y="1459285"/>
                                </a:lnTo>
                                <a:lnTo>
                                  <a:pt x="13894" y="1507998"/>
                                </a:lnTo>
                                <a:lnTo>
                                  <a:pt x="21578" y="1556130"/>
                                </a:lnTo>
                                <a:lnTo>
                                  <a:pt x="30882" y="1603648"/>
                                </a:lnTo>
                                <a:lnTo>
                                  <a:pt x="41775" y="1650518"/>
                                </a:lnTo>
                                <a:lnTo>
                                  <a:pt x="54225" y="1696705"/>
                                </a:lnTo>
                                <a:lnTo>
                                  <a:pt x="68201" y="1742177"/>
                                </a:lnTo>
                                <a:lnTo>
                                  <a:pt x="83670" y="1786899"/>
                                </a:lnTo>
                                <a:lnTo>
                                  <a:pt x="100602" y="1830836"/>
                                </a:lnTo>
                                <a:lnTo>
                                  <a:pt x="118964" y="1873957"/>
                                </a:lnTo>
                                <a:lnTo>
                                  <a:pt x="138724" y="1916225"/>
                                </a:lnTo>
                                <a:lnTo>
                                  <a:pt x="159852" y="1957608"/>
                                </a:lnTo>
                                <a:lnTo>
                                  <a:pt x="182315" y="1998071"/>
                                </a:lnTo>
                                <a:lnTo>
                                  <a:pt x="206081" y="2037581"/>
                                </a:lnTo>
                                <a:lnTo>
                                  <a:pt x="231119" y="2076103"/>
                                </a:lnTo>
                                <a:lnTo>
                                  <a:pt x="257397" y="2113605"/>
                                </a:lnTo>
                                <a:lnTo>
                                  <a:pt x="284884" y="2150051"/>
                                </a:lnTo>
                                <a:lnTo>
                                  <a:pt x="313547" y="2185408"/>
                                </a:lnTo>
                                <a:lnTo>
                                  <a:pt x="343356" y="2219641"/>
                                </a:lnTo>
                                <a:lnTo>
                                  <a:pt x="374277" y="2252718"/>
                                </a:lnTo>
                                <a:lnTo>
                                  <a:pt x="406281" y="2284604"/>
                                </a:lnTo>
                                <a:lnTo>
                                  <a:pt x="439334" y="2315266"/>
                                </a:lnTo>
                                <a:lnTo>
                                  <a:pt x="473405" y="2344668"/>
                                </a:lnTo>
                                <a:lnTo>
                                  <a:pt x="508463" y="2372778"/>
                                </a:lnTo>
                                <a:lnTo>
                                  <a:pt x="544476" y="2399562"/>
                                </a:lnTo>
                                <a:lnTo>
                                  <a:pt x="581412" y="2424985"/>
                                </a:lnTo>
                                <a:lnTo>
                                  <a:pt x="619239" y="2449013"/>
                                </a:lnTo>
                                <a:lnTo>
                                  <a:pt x="657926" y="2471613"/>
                                </a:lnTo>
                                <a:lnTo>
                                  <a:pt x="697441" y="2492751"/>
                                </a:lnTo>
                                <a:lnTo>
                                  <a:pt x="737752" y="2512393"/>
                                </a:lnTo>
                                <a:lnTo>
                                  <a:pt x="778827" y="2530505"/>
                                </a:lnTo>
                                <a:lnTo>
                                  <a:pt x="820636" y="2547053"/>
                                </a:lnTo>
                                <a:lnTo>
                                  <a:pt x="863146" y="2562003"/>
                                </a:lnTo>
                                <a:lnTo>
                                  <a:pt x="906325" y="2575321"/>
                                </a:lnTo>
                                <a:lnTo>
                                  <a:pt x="950142" y="2586974"/>
                                </a:lnTo>
                                <a:lnTo>
                                  <a:pt x="994565" y="2596927"/>
                                </a:lnTo>
                                <a:lnTo>
                                  <a:pt x="1039562" y="2605146"/>
                                </a:lnTo>
                                <a:lnTo>
                                  <a:pt x="1085102" y="2611598"/>
                                </a:lnTo>
                                <a:lnTo>
                                  <a:pt x="1131153" y="2616248"/>
                                </a:lnTo>
                                <a:lnTo>
                                  <a:pt x="1177683" y="2619064"/>
                                </a:lnTo>
                                <a:lnTo>
                                  <a:pt x="1224661" y="2620010"/>
                                </a:lnTo>
                                <a:lnTo>
                                  <a:pt x="1271629" y="2619064"/>
                                </a:lnTo>
                                <a:lnTo>
                                  <a:pt x="1318151" y="2616248"/>
                                </a:lnTo>
                                <a:lnTo>
                                  <a:pt x="1364194" y="2611598"/>
                                </a:lnTo>
                                <a:lnTo>
                                  <a:pt x="1409727" y="2605146"/>
                                </a:lnTo>
                                <a:lnTo>
                                  <a:pt x="1454717" y="2596927"/>
                                </a:lnTo>
                                <a:lnTo>
                                  <a:pt x="1499133" y="2586974"/>
                                </a:lnTo>
                                <a:lnTo>
                                  <a:pt x="1542944" y="2575321"/>
                                </a:lnTo>
                                <a:lnTo>
                                  <a:pt x="1586117" y="2562003"/>
                                </a:lnTo>
                                <a:lnTo>
                                  <a:pt x="1628621" y="2547053"/>
                                </a:lnTo>
                                <a:lnTo>
                                  <a:pt x="1670424" y="2530505"/>
                                </a:lnTo>
                                <a:lnTo>
                                  <a:pt x="1711495" y="2512393"/>
                                </a:lnTo>
                                <a:lnTo>
                                  <a:pt x="1751801" y="2492751"/>
                                </a:lnTo>
                                <a:lnTo>
                                  <a:pt x="1791311" y="2471613"/>
                                </a:lnTo>
                                <a:lnTo>
                                  <a:pt x="1829994" y="2449013"/>
                                </a:lnTo>
                                <a:lnTo>
                                  <a:pt x="1867817" y="2424985"/>
                                </a:lnTo>
                                <a:lnTo>
                                  <a:pt x="1904750" y="2399562"/>
                                </a:lnTo>
                                <a:lnTo>
                                  <a:pt x="1940759" y="2372778"/>
                                </a:lnTo>
                                <a:lnTo>
                                  <a:pt x="1975814" y="2344668"/>
                                </a:lnTo>
                                <a:lnTo>
                                  <a:pt x="2009882" y="2315266"/>
                                </a:lnTo>
                                <a:lnTo>
                                  <a:pt x="2042933" y="2284604"/>
                                </a:lnTo>
                                <a:lnTo>
                                  <a:pt x="2074934" y="2252718"/>
                                </a:lnTo>
                                <a:lnTo>
                                  <a:pt x="2105853" y="2219641"/>
                                </a:lnTo>
                                <a:lnTo>
                                  <a:pt x="2135660" y="2185408"/>
                                </a:lnTo>
                                <a:lnTo>
                                  <a:pt x="2164321" y="2150051"/>
                                </a:lnTo>
                                <a:lnTo>
                                  <a:pt x="2191806" y="2113605"/>
                                </a:lnTo>
                                <a:lnTo>
                                  <a:pt x="2218083" y="2076103"/>
                                </a:lnTo>
                                <a:lnTo>
                                  <a:pt x="2243120" y="2037581"/>
                                </a:lnTo>
                                <a:lnTo>
                                  <a:pt x="2266885" y="1998071"/>
                                </a:lnTo>
                                <a:lnTo>
                                  <a:pt x="2289347" y="1957608"/>
                                </a:lnTo>
                                <a:lnTo>
                                  <a:pt x="2310473" y="1916225"/>
                                </a:lnTo>
                                <a:lnTo>
                                  <a:pt x="2330233" y="1873957"/>
                                </a:lnTo>
                                <a:lnTo>
                                  <a:pt x="2348594" y="1830836"/>
                                </a:lnTo>
                                <a:lnTo>
                                  <a:pt x="2365525" y="1786899"/>
                                </a:lnTo>
                                <a:lnTo>
                                  <a:pt x="2380994" y="1742177"/>
                                </a:lnTo>
                                <a:lnTo>
                                  <a:pt x="2394970" y="1696705"/>
                                </a:lnTo>
                                <a:lnTo>
                                  <a:pt x="2407420" y="1650518"/>
                                </a:lnTo>
                                <a:lnTo>
                                  <a:pt x="2418312" y="1603648"/>
                                </a:lnTo>
                                <a:lnTo>
                                  <a:pt x="2427616" y="1556130"/>
                                </a:lnTo>
                                <a:lnTo>
                                  <a:pt x="2435300" y="1507998"/>
                                </a:lnTo>
                                <a:lnTo>
                                  <a:pt x="2441331" y="1459285"/>
                                </a:lnTo>
                                <a:lnTo>
                                  <a:pt x="2445679" y="1410026"/>
                                </a:lnTo>
                                <a:lnTo>
                                  <a:pt x="2448310" y="1360255"/>
                                </a:lnTo>
                                <a:lnTo>
                                  <a:pt x="2449194" y="1310005"/>
                                </a:lnTo>
                                <a:lnTo>
                                  <a:pt x="2448310" y="1259754"/>
                                </a:lnTo>
                                <a:lnTo>
                                  <a:pt x="2445679" y="1209983"/>
                                </a:lnTo>
                                <a:lnTo>
                                  <a:pt x="2441331" y="1160724"/>
                                </a:lnTo>
                                <a:lnTo>
                                  <a:pt x="2435300" y="1112011"/>
                                </a:lnTo>
                                <a:lnTo>
                                  <a:pt x="2427616" y="1063879"/>
                                </a:lnTo>
                                <a:lnTo>
                                  <a:pt x="2418312" y="1016361"/>
                                </a:lnTo>
                                <a:lnTo>
                                  <a:pt x="2407420" y="969491"/>
                                </a:lnTo>
                                <a:lnTo>
                                  <a:pt x="2394970" y="923304"/>
                                </a:lnTo>
                                <a:lnTo>
                                  <a:pt x="2380994" y="877832"/>
                                </a:lnTo>
                                <a:lnTo>
                                  <a:pt x="2365525" y="833110"/>
                                </a:lnTo>
                                <a:lnTo>
                                  <a:pt x="2348594" y="789173"/>
                                </a:lnTo>
                                <a:lnTo>
                                  <a:pt x="2330233" y="746052"/>
                                </a:lnTo>
                                <a:lnTo>
                                  <a:pt x="2310473" y="703784"/>
                                </a:lnTo>
                                <a:lnTo>
                                  <a:pt x="2289347" y="662401"/>
                                </a:lnTo>
                                <a:lnTo>
                                  <a:pt x="2266885" y="621938"/>
                                </a:lnTo>
                                <a:lnTo>
                                  <a:pt x="2243120" y="582428"/>
                                </a:lnTo>
                                <a:lnTo>
                                  <a:pt x="2218083" y="543906"/>
                                </a:lnTo>
                                <a:lnTo>
                                  <a:pt x="2191806" y="506404"/>
                                </a:lnTo>
                                <a:lnTo>
                                  <a:pt x="2164321" y="469958"/>
                                </a:lnTo>
                                <a:lnTo>
                                  <a:pt x="2135660" y="434601"/>
                                </a:lnTo>
                                <a:lnTo>
                                  <a:pt x="2105853" y="400368"/>
                                </a:lnTo>
                                <a:lnTo>
                                  <a:pt x="2074934" y="367291"/>
                                </a:lnTo>
                                <a:lnTo>
                                  <a:pt x="2042933" y="335405"/>
                                </a:lnTo>
                                <a:lnTo>
                                  <a:pt x="2009882" y="304743"/>
                                </a:lnTo>
                                <a:lnTo>
                                  <a:pt x="1975814" y="275341"/>
                                </a:lnTo>
                                <a:lnTo>
                                  <a:pt x="1940759" y="247231"/>
                                </a:lnTo>
                                <a:lnTo>
                                  <a:pt x="1904750" y="220447"/>
                                </a:lnTo>
                                <a:lnTo>
                                  <a:pt x="1867817" y="195024"/>
                                </a:lnTo>
                                <a:lnTo>
                                  <a:pt x="1829994" y="170996"/>
                                </a:lnTo>
                                <a:lnTo>
                                  <a:pt x="1791311" y="148396"/>
                                </a:lnTo>
                                <a:lnTo>
                                  <a:pt x="1751801" y="127258"/>
                                </a:lnTo>
                                <a:lnTo>
                                  <a:pt x="1711495" y="107616"/>
                                </a:lnTo>
                                <a:lnTo>
                                  <a:pt x="1670424" y="89504"/>
                                </a:lnTo>
                                <a:lnTo>
                                  <a:pt x="1628621" y="72956"/>
                                </a:lnTo>
                                <a:lnTo>
                                  <a:pt x="1586117" y="58006"/>
                                </a:lnTo>
                                <a:lnTo>
                                  <a:pt x="1542944" y="44688"/>
                                </a:lnTo>
                                <a:lnTo>
                                  <a:pt x="1499133" y="33035"/>
                                </a:lnTo>
                                <a:lnTo>
                                  <a:pt x="1454717" y="23082"/>
                                </a:lnTo>
                                <a:lnTo>
                                  <a:pt x="1409727" y="14863"/>
                                </a:lnTo>
                                <a:lnTo>
                                  <a:pt x="1364194" y="8411"/>
                                </a:lnTo>
                                <a:lnTo>
                                  <a:pt x="1318151" y="3761"/>
                                </a:lnTo>
                                <a:lnTo>
                                  <a:pt x="1271629" y="945"/>
                                </a:lnTo>
                                <a:lnTo>
                                  <a:pt x="1224661" y="0"/>
                                </a:lnTo>
                                <a:close/>
                              </a:path>
                            </a:pathLst>
                          </a:custGeom>
                          <a:ln w="12700">
                            <a:solidFill>
                              <a:srgbClr val="6FAC46"/>
                            </a:solidFill>
                            <a:prstDash val="solid"/>
                          </a:ln>
                        </wps:spPr>
                        <wps:bodyPr wrap="square" lIns="0" tIns="0" rIns="0" bIns="0" rtlCol="0">
                          <a:prstTxWarp prst="textNoShape">
                            <a:avLst/>
                          </a:prstTxWarp>
                          <a:noAutofit/>
                        </wps:bodyPr>
                      </wps:wsp>
                      <wps:wsp>
                        <wps:cNvPr id="9" name="Graphic 9"/>
                        <wps:cNvSpPr/>
                        <wps:spPr>
                          <a:xfrm>
                            <a:off x="1981708" y="491489"/>
                            <a:ext cx="1414145" cy="5523865"/>
                          </a:xfrm>
                          <a:custGeom>
                            <a:avLst/>
                            <a:gdLst/>
                            <a:ahLst/>
                            <a:cxnLst/>
                            <a:rect l="l" t="t" r="r" b="b"/>
                            <a:pathLst>
                              <a:path w="1414145" h="5523865">
                                <a:moveTo>
                                  <a:pt x="1083056" y="2142617"/>
                                </a:moveTo>
                                <a:lnTo>
                                  <a:pt x="1082040" y="2138807"/>
                                </a:lnTo>
                                <a:lnTo>
                                  <a:pt x="1075944" y="2135251"/>
                                </a:lnTo>
                                <a:lnTo>
                                  <a:pt x="1072134" y="2136267"/>
                                </a:lnTo>
                                <a:lnTo>
                                  <a:pt x="1037717" y="2195271"/>
                                </a:lnTo>
                                <a:lnTo>
                                  <a:pt x="1031367" y="2206155"/>
                                </a:lnTo>
                                <a:lnTo>
                                  <a:pt x="1025906" y="2215515"/>
                                </a:lnTo>
                                <a:lnTo>
                                  <a:pt x="1031354" y="2206155"/>
                                </a:lnTo>
                                <a:lnTo>
                                  <a:pt x="1037704" y="2195271"/>
                                </a:lnTo>
                                <a:lnTo>
                                  <a:pt x="1037717" y="0"/>
                                </a:lnTo>
                                <a:lnTo>
                                  <a:pt x="1025017" y="0"/>
                                </a:lnTo>
                                <a:lnTo>
                                  <a:pt x="1025017" y="2195271"/>
                                </a:lnTo>
                                <a:lnTo>
                                  <a:pt x="990600" y="2136267"/>
                                </a:lnTo>
                                <a:lnTo>
                                  <a:pt x="986790" y="2135251"/>
                                </a:lnTo>
                                <a:lnTo>
                                  <a:pt x="980694" y="2138807"/>
                                </a:lnTo>
                                <a:lnTo>
                                  <a:pt x="979678" y="2142617"/>
                                </a:lnTo>
                                <a:lnTo>
                                  <a:pt x="1031367" y="2231263"/>
                                </a:lnTo>
                                <a:lnTo>
                                  <a:pt x="1038694" y="2218690"/>
                                </a:lnTo>
                                <a:lnTo>
                                  <a:pt x="1083056" y="2142617"/>
                                </a:lnTo>
                                <a:close/>
                              </a:path>
                              <a:path w="1414145" h="5523865">
                                <a:moveTo>
                                  <a:pt x="1414145" y="4362577"/>
                                </a:moveTo>
                                <a:lnTo>
                                  <a:pt x="1312583" y="4381360"/>
                                </a:lnTo>
                                <a:lnTo>
                                  <a:pt x="1313103" y="4381360"/>
                                </a:lnTo>
                                <a:lnTo>
                                  <a:pt x="1310894" y="4384675"/>
                                </a:lnTo>
                                <a:lnTo>
                                  <a:pt x="1311529" y="4388104"/>
                                </a:lnTo>
                                <a:lnTo>
                                  <a:pt x="1312291" y="4391533"/>
                                </a:lnTo>
                                <a:lnTo>
                                  <a:pt x="1315593" y="4393819"/>
                                </a:lnTo>
                                <a:lnTo>
                                  <a:pt x="1382623" y="4381360"/>
                                </a:lnTo>
                                <a:lnTo>
                                  <a:pt x="347776" y="5274005"/>
                                </a:lnTo>
                                <a:lnTo>
                                  <a:pt x="384556" y="5210937"/>
                                </a:lnTo>
                                <a:lnTo>
                                  <a:pt x="383540" y="5207127"/>
                                </a:lnTo>
                                <a:lnTo>
                                  <a:pt x="377444" y="5203571"/>
                                </a:lnTo>
                                <a:lnTo>
                                  <a:pt x="373634" y="5204587"/>
                                </a:lnTo>
                                <a:lnTo>
                                  <a:pt x="339217" y="5263591"/>
                                </a:lnTo>
                                <a:lnTo>
                                  <a:pt x="332854" y="5274475"/>
                                </a:lnTo>
                                <a:lnTo>
                                  <a:pt x="339204" y="5263591"/>
                                </a:lnTo>
                                <a:lnTo>
                                  <a:pt x="339204" y="3742055"/>
                                </a:lnTo>
                                <a:lnTo>
                                  <a:pt x="927277" y="3742055"/>
                                </a:lnTo>
                                <a:lnTo>
                                  <a:pt x="868299" y="3776472"/>
                                </a:lnTo>
                                <a:lnTo>
                                  <a:pt x="867283" y="3780282"/>
                                </a:lnTo>
                                <a:lnTo>
                                  <a:pt x="870839" y="3786378"/>
                                </a:lnTo>
                                <a:lnTo>
                                  <a:pt x="874649" y="3787394"/>
                                </a:lnTo>
                                <a:lnTo>
                                  <a:pt x="952398" y="3742055"/>
                                </a:lnTo>
                                <a:lnTo>
                                  <a:pt x="963295" y="3735705"/>
                                </a:lnTo>
                                <a:lnTo>
                                  <a:pt x="952398" y="3729355"/>
                                </a:lnTo>
                                <a:lnTo>
                                  <a:pt x="874649" y="3684016"/>
                                </a:lnTo>
                                <a:lnTo>
                                  <a:pt x="870839" y="3685032"/>
                                </a:lnTo>
                                <a:lnTo>
                                  <a:pt x="867283" y="3691128"/>
                                </a:lnTo>
                                <a:lnTo>
                                  <a:pt x="868299" y="3694938"/>
                                </a:lnTo>
                                <a:lnTo>
                                  <a:pt x="927277" y="3729355"/>
                                </a:lnTo>
                                <a:lnTo>
                                  <a:pt x="339204" y="3729355"/>
                                </a:lnTo>
                                <a:lnTo>
                                  <a:pt x="339204" y="1945894"/>
                                </a:lnTo>
                                <a:lnTo>
                                  <a:pt x="750062" y="2136165"/>
                                </a:lnTo>
                                <a:lnTo>
                                  <a:pt x="750062" y="3686886"/>
                                </a:lnTo>
                                <a:lnTo>
                                  <a:pt x="715645" y="3627882"/>
                                </a:lnTo>
                                <a:lnTo>
                                  <a:pt x="711835" y="3626866"/>
                                </a:lnTo>
                                <a:lnTo>
                                  <a:pt x="705739" y="3630422"/>
                                </a:lnTo>
                                <a:lnTo>
                                  <a:pt x="704723" y="3634232"/>
                                </a:lnTo>
                                <a:lnTo>
                                  <a:pt x="756412" y="3722878"/>
                                </a:lnTo>
                                <a:lnTo>
                                  <a:pt x="763739" y="3710305"/>
                                </a:lnTo>
                                <a:lnTo>
                                  <a:pt x="808101" y="3634232"/>
                                </a:lnTo>
                                <a:lnTo>
                                  <a:pt x="807085" y="3630422"/>
                                </a:lnTo>
                                <a:lnTo>
                                  <a:pt x="800989" y="3626866"/>
                                </a:lnTo>
                                <a:lnTo>
                                  <a:pt x="797179" y="3627882"/>
                                </a:lnTo>
                                <a:lnTo>
                                  <a:pt x="762762" y="3686886"/>
                                </a:lnTo>
                                <a:lnTo>
                                  <a:pt x="756412" y="3697770"/>
                                </a:lnTo>
                                <a:lnTo>
                                  <a:pt x="762749" y="3686886"/>
                                </a:lnTo>
                                <a:lnTo>
                                  <a:pt x="762749" y="2142045"/>
                                </a:lnTo>
                                <a:lnTo>
                                  <a:pt x="1133563" y="2313762"/>
                                </a:lnTo>
                                <a:lnTo>
                                  <a:pt x="1069086" y="2319909"/>
                                </a:lnTo>
                                <a:lnTo>
                                  <a:pt x="1065657" y="2320163"/>
                                </a:lnTo>
                                <a:lnTo>
                                  <a:pt x="1063218" y="2323211"/>
                                </a:lnTo>
                                <a:lnTo>
                                  <a:pt x="1063129" y="2323592"/>
                                </a:lnTo>
                                <a:lnTo>
                                  <a:pt x="1063371" y="2326767"/>
                                </a:lnTo>
                                <a:lnTo>
                                  <a:pt x="1063752" y="2330323"/>
                                </a:lnTo>
                                <a:lnTo>
                                  <a:pt x="1066800" y="2332863"/>
                                </a:lnTo>
                                <a:lnTo>
                                  <a:pt x="1070356" y="2332482"/>
                                </a:lnTo>
                                <a:lnTo>
                                  <a:pt x="1164971" y="2323592"/>
                                </a:lnTo>
                                <a:lnTo>
                                  <a:pt x="1169035" y="2323211"/>
                                </a:lnTo>
                                <a:lnTo>
                                  <a:pt x="1110234" y="2239010"/>
                                </a:lnTo>
                                <a:lnTo>
                                  <a:pt x="1106297" y="2238248"/>
                                </a:lnTo>
                                <a:lnTo>
                                  <a:pt x="1103503" y="2240280"/>
                                </a:lnTo>
                                <a:lnTo>
                                  <a:pt x="1100582" y="2242312"/>
                                </a:lnTo>
                                <a:lnTo>
                                  <a:pt x="1099820" y="2246249"/>
                                </a:lnTo>
                                <a:lnTo>
                                  <a:pt x="1138796" y="2302230"/>
                                </a:lnTo>
                                <a:lnTo>
                                  <a:pt x="762749" y="2128113"/>
                                </a:lnTo>
                                <a:lnTo>
                                  <a:pt x="762762" y="0"/>
                                </a:lnTo>
                                <a:lnTo>
                                  <a:pt x="750062" y="0"/>
                                </a:lnTo>
                                <a:lnTo>
                                  <a:pt x="750062" y="2122233"/>
                                </a:lnTo>
                                <a:lnTo>
                                  <a:pt x="339204" y="1931974"/>
                                </a:lnTo>
                                <a:lnTo>
                                  <a:pt x="339217" y="0"/>
                                </a:lnTo>
                                <a:lnTo>
                                  <a:pt x="326517" y="0"/>
                                </a:lnTo>
                                <a:lnTo>
                                  <a:pt x="326517" y="1926094"/>
                                </a:lnTo>
                                <a:lnTo>
                                  <a:pt x="5334" y="1777365"/>
                                </a:lnTo>
                                <a:lnTo>
                                  <a:pt x="0" y="1788795"/>
                                </a:lnTo>
                                <a:lnTo>
                                  <a:pt x="326517" y="1940013"/>
                                </a:lnTo>
                                <a:lnTo>
                                  <a:pt x="326517" y="3729355"/>
                                </a:lnTo>
                                <a:lnTo>
                                  <a:pt x="112522" y="3729355"/>
                                </a:lnTo>
                                <a:lnTo>
                                  <a:pt x="112522" y="3742055"/>
                                </a:lnTo>
                                <a:lnTo>
                                  <a:pt x="326517" y="3742055"/>
                                </a:lnTo>
                                <a:lnTo>
                                  <a:pt x="326517" y="5263591"/>
                                </a:lnTo>
                                <a:lnTo>
                                  <a:pt x="292100" y="5204587"/>
                                </a:lnTo>
                                <a:lnTo>
                                  <a:pt x="288290" y="5203571"/>
                                </a:lnTo>
                                <a:lnTo>
                                  <a:pt x="282194" y="5207127"/>
                                </a:lnTo>
                                <a:lnTo>
                                  <a:pt x="281178" y="5210937"/>
                                </a:lnTo>
                                <a:lnTo>
                                  <a:pt x="327926" y="5291125"/>
                                </a:lnTo>
                                <a:lnTo>
                                  <a:pt x="69596" y="5513959"/>
                                </a:lnTo>
                                <a:lnTo>
                                  <a:pt x="77978" y="5523611"/>
                                </a:lnTo>
                                <a:lnTo>
                                  <a:pt x="1390916" y="4390860"/>
                                </a:lnTo>
                                <a:lnTo>
                                  <a:pt x="1368806" y="4455414"/>
                                </a:lnTo>
                                <a:lnTo>
                                  <a:pt x="1370457" y="4459097"/>
                                </a:lnTo>
                                <a:lnTo>
                                  <a:pt x="1373886" y="4460240"/>
                                </a:lnTo>
                                <a:lnTo>
                                  <a:pt x="1377188" y="4461383"/>
                                </a:lnTo>
                                <a:lnTo>
                                  <a:pt x="1380744" y="4459605"/>
                                </a:lnTo>
                                <a:lnTo>
                                  <a:pt x="1412963" y="4366006"/>
                                </a:lnTo>
                                <a:lnTo>
                                  <a:pt x="1414145" y="4362577"/>
                                </a:lnTo>
                                <a:close/>
                              </a:path>
                            </a:pathLst>
                          </a:custGeom>
                          <a:solidFill>
                            <a:srgbClr val="4471C4"/>
                          </a:solidFill>
                        </wps:spPr>
                        <wps:bodyPr wrap="square" lIns="0" tIns="0" rIns="0" bIns="0" rtlCol="0">
                          <a:prstTxWarp prst="textNoShape">
                            <a:avLst/>
                          </a:prstTxWarp>
                          <a:noAutofit/>
                        </wps:bodyPr>
                      </wps:wsp>
                      <wps:wsp>
                        <wps:cNvPr id="10" name="Graphic 10"/>
                        <wps:cNvSpPr/>
                        <wps:spPr>
                          <a:xfrm>
                            <a:off x="2502535" y="5367654"/>
                            <a:ext cx="337820" cy="375920"/>
                          </a:xfrm>
                          <a:custGeom>
                            <a:avLst/>
                            <a:gdLst/>
                            <a:ahLst/>
                            <a:cxnLst/>
                            <a:rect l="l" t="t" r="r" b="b"/>
                            <a:pathLst>
                              <a:path w="337820" h="375920">
                                <a:moveTo>
                                  <a:pt x="337820" y="0"/>
                                </a:moveTo>
                                <a:lnTo>
                                  <a:pt x="0" y="0"/>
                                </a:lnTo>
                                <a:lnTo>
                                  <a:pt x="0" y="375920"/>
                                </a:lnTo>
                                <a:lnTo>
                                  <a:pt x="337820" y="375920"/>
                                </a:lnTo>
                                <a:lnTo>
                                  <a:pt x="337820"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502535" y="5367654"/>
                            <a:ext cx="337820" cy="375920"/>
                          </a:xfrm>
                          <a:custGeom>
                            <a:avLst/>
                            <a:gdLst/>
                            <a:ahLst/>
                            <a:cxnLst/>
                            <a:rect l="l" t="t" r="r" b="b"/>
                            <a:pathLst>
                              <a:path w="337820" h="375920">
                                <a:moveTo>
                                  <a:pt x="0" y="375920"/>
                                </a:moveTo>
                                <a:lnTo>
                                  <a:pt x="337820" y="375920"/>
                                </a:lnTo>
                                <a:lnTo>
                                  <a:pt x="337820" y="0"/>
                                </a:lnTo>
                                <a:lnTo>
                                  <a:pt x="0" y="0"/>
                                </a:lnTo>
                                <a:lnTo>
                                  <a:pt x="0" y="375920"/>
                                </a:lnTo>
                                <a:close/>
                              </a:path>
                            </a:pathLst>
                          </a:custGeom>
                          <a:ln w="6350">
                            <a:solidFill>
                              <a:srgbClr val="FFFFFF"/>
                            </a:solidFill>
                            <a:prstDash val="solid"/>
                          </a:ln>
                        </wps:spPr>
                        <wps:bodyPr wrap="square" lIns="0" tIns="0" rIns="0" bIns="0" rtlCol="0">
                          <a:prstTxWarp prst="textNoShape">
                            <a:avLst/>
                          </a:prstTxWarp>
                          <a:noAutofit/>
                        </wps:bodyPr>
                      </wps:wsp>
                      <wps:wsp>
                        <wps:cNvPr id="12" name="Graphic 12"/>
                        <wps:cNvSpPr/>
                        <wps:spPr>
                          <a:xfrm>
                            <a:off x="2369185" y="4057650"/>
                            <a:ext cx="298450" cy="351790"/>
                          </a:xfrm>
                          <a:custGeom>
                            <a:avLst/>
                            <a:gdLst/>
                            <a:ahLst/>
                            <a:cxnLst/>
                            <a:rect l="l" t="t" r="r" b="b"/>
                            <a:pathLst>
                              <a:path w="298450" h="351790">
                                <a:moveTo>
                                  <a:pt x="298450" y="0"/>
                                </a:moveTo>
                                <a:lnTo>
                                  <a:pt x="0" y="0"/>
                                </a:lnTo>
                                <a:lnTo>
                                  <a:pt x="0" y="351789"/>
                                </a:lnTo>
                                <a:lnTo>
                                  <a:pt x="298450" y="351789"/>
                                </a:lnTo>
                                <a:lnTo>
                                  <a:pt x="298450"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2369185" y="4057650"/>
                            <a:ext cx="298450" cy="351790"/>
                          </a:xfrm>
                          <a:custGeom>
                            <a:avLst/>
                            <a:gdLst/>
                            <a:ahLst/>
                            <a:cxnLst/>
                            <a:rect l="l" t="t" r="r" b="b"/>
                            <a:pathLst>
                              <a:path w="298450" h="351790">
                                <a:moveTo>
                                  <a:pt x="0" y="351789"/>
                                </a:moveTo>
                                <a:lnTo>
                                  <a:pt x="298450" y="351789"/>
                                </a:lnTo>
                                <a:lnTo>
                                  <a:pt x="298450" y="0"/>
                                </a:lnTo>
                                <a:lnTo>
                                  <a:pt x="0" y="0"/>
                                </a:lnTo>
                                <a:lnTo>
                                  <a:pt x="0" y="351789"/>
                                </a:lnTo>
                                <a:close/>
                              </a:path>
                            </a:pathLst>
                          </a:custGeom>
                          <a:ln w="6350">
                            <a:solidFill>
                              <a:srgbClr val="FFFFFF"/>
                            </a:solidFill>
                            <a:prstDash val="solid"/>
                          </a:ln>
                        </wps:spPr>
                        <wps:bodyPr wrap="square" lIns="0" tIns="0" rIns="0" bIns="0" rtlCol="0">
                          <a:prstTxWarp prst="textNoShape">
                            <a:avLst/>
                          </a:prstTxWarp>
                          <a:noAutofit/>
                        </wps:bodyPr>
                      </wps:wsp>
                      <wps:wsp>
                        <wps:cNvPr id="14" name="Graphic 14"/>
                        <wps:cNvSpPr/>
                        <wps:spPr>
                          <a:xfrm>
                            <a:off x="2369185" y="2407920"/>
                            <a:ext cx="298450" cy="327660"/>
                          </a:xfrm>
                          <a:custGeom>
                            <a:avLst/>
                            <a:gdLst/>
                            <a:ahLst/>
                            <a:cxnLst/>
                            <a:rect l="l" t="t" r="r" b="b"/>
                            <a:pathLst>
                              <a:path w="298450" h="327660">
                                <a:moveTo>
                                  <a:pt x="298450" y="0"/>
                                </a:moveTo>
                                <a:lnTo>
                                  <a:pt x="0" y="0"/>
                                </a:lnTo>
                                <a:lnTo>
                                  <a:pt x="0" y="327659"/>
                                </a:lnTo>
                                <a:lnTo>
                                  <a:pt x="298450" y="327659"/>
                                </a:lnTo>
                                <a:lnTo>
                                  <a:pt x="298450"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2369185" y="2407920"/>
                            <a:ext cx="298450" cy="327660"/>
                          </a:xfrm>
                          <a:custGeom>
                            <a:avLst/>
                            <a:gdLst/>
                            <a:ahLst/>
                            <a:cxnLst/>
                            <a:rect l="l" t="t" r="r" b="b"/>
                            <a:pathLst>
                              <a:path w="298450" h="327660">
                                <a:moveTo>
                                  <a:pt x="0" y="327659"/>
                                </a:moveTo>
                                <a:lnTo>
                                  <a:pt x="298450" y="327659"/>
                                </a:lnTo>
                                <a:lnTo>
                                  <a:pt x="298450" y="0"/>
                                </a:lnTo>
                                <a:lnTo>
                                  <a:pt x="0" y="0"/>
                                </a:lnTo>
                                <a:lnTo>
                                  <a:pt x="0" y="327659"/>
                                </a:lnTo>
                                <a:close/>
                              </a:path>
                            </a:pathLst>
                          </a:custGeom>
                          <a:ln w="6350">
                            <a:solidFill>
                              <a:srgbClr val="FFFFFF"/>
                            </a:solidFill>
                            <a:prstDash val="solid"/>
                          </a:ln>
                        </wps:spPr>
                        <wps:bodyPr wrap="square" lIns="0" tIns="0" rIns="0" bIns="0" rtlCol="0">
                          <a:prstTxWarp prst="textNoShape">
                            <a:avLst/>
                          </a:prstTxWarp>
                          <a:noAutofit/>
                        </wps:bodyPr>
                      </wps:wsp>
                      <wps:wsp>
                        <wps:cNvPr id="16" name="Graphic 16"/>
                        <wps:cNvSpPr/>
                        <wps:spPr>
                          <a:xfrm>
                            <a:off x="2157095" y="1122044"/>
                            <a:ext cx="306070" cy="375920"/>
                          </a:xfrm>
                          <a:custGeom>
                            <a:avLst/>
                            <a:gdLst/>
                            <a:ahLst/>
                            <a:cxnLst/>
                            <a:rect l="l" t="t" r="r" b="b"/>
                            <a:pathLst>
                              <a:path w="306070" h="375920">
                                <a:moveTo>
                                  <a:pt x="306070" y="0"/>
                                </a:moveTo>
                                <a:lnTo>
                                  <a:pt x="0" y="0"/>
                                </a:lnTo>
                                <a:lnTo>
                                  <a:pt x="0" y="375920"/>
                                </a:lnTo>
                                <a:lnTo>
                                  <a:pt x="306070" y="375920"/>
                                </a:lnTo>
                                <a:lnTo>
                                  <a:pt x="306070"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2157095" y="1122044"/>
                            <a:ext cx="306070" cy="375920"/>
                          </a:xfrm>
                          <a:custGeom>
                            <a:avLst/>
                            <a:gdLst/>
                            <a:ahLst/>
                            <a:cxnLst/>
                            <a:rect l="l" t="t" r="r" b="b"/>
                            <a:pathLst>
                              <a:path w="306070" h="375920">
                                <a:moveTo>
                                  <a:pt x="0" y="375920"/>
                                </a:moveTo>
                                <a:lnTo>
                                  <a:pt x="306070" y="375920"/>
                                </a:lnTo>
                                <a:lnTo>
                                  <a:pt x="306070" y="0"/>
                                </a:lnTo>
                                <a:lnTo>
                                  <a:pt x="0" y="0"/>
                                </a:lnTo>
                                <a:lnTo>
                                  <a:pt x="0" y="375920"/>
                                </a:lnTo>
                                <a:close/>
                              </a:path>
                            </a:pathLst>
                          </a:custGeom>
                          <a:ln w="6349">
                            <a:solidFill>
                              <a:srgbClr val="FFFFFF"/>
                            </a:solidFill>
                            <a:prstDash val="solid"/>
                          </a:ln>
                        </wps:spPr>
                        <wps:bodyPr wrap="square" lIns="0" tIns="0" rIns="0" bIns="0" rtlCol="0">
                          <a:prstTxWarp prst="textNoShape">
                            <a:avLst/>
                          </a:prstTxWarp>
                          <a:noAutofit/>
                        </wps:bodyPr>
                      </wps:wsp>
                      <wps:wsp>
                        <wps:cNvPr id="18" name="Graphic 18"/>
                        <wps:cNvSpPr/>
                        <wps:spPr>
                          <a:xfrm>
                            <a:off x="2593975" y="1122044"/>
                            <a:ext cx="321945" cy="375920"/>
                          </a:xfrm>
                          <a:custGeom>
                            <a:avLst/>
                            <a:gdLst/>
                            <a:ahLst/>
                            <a:cxnLst/>
                            <a:rect l="l" t="t" r="r" b="b"/>
                            <a:pathLst>
                              <a:path w="321945" h="375920">
                                <a:moveTo>
                                  <a:pt x="321945" y="0"/>
                                </a:moveTo>
                                <a:lnTo>
                                  <a:pt x="0" y="0"/>
                                </a:lnTo>
                                <a:lnTo>
                                  <a:pt x="0" y="375920"/>
                                </a:lnTo>
                                <a:lnTo>
                                  <a:pt x="321945" y="375920"/>
                                </a:lnTo>
                                <a:lnTo>
                                  <a:pt x="321945"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2593975" y="1122044"/>
                            <a:ext cx="321945" cy="375920"/>
                          </a:xfrm>
                          <a:custGeom>
                            <a:avLst/>
                            <a:gdLst/>
                            <a:ahLst/>
                            <a:cxnLst/>
                            <a:rect l="l" t="t" r="r" b="b"/>
                            <a:pathLst>
                              <a:path w="321945" h="375920">
                                <a:moveTo>
                                  <a:pt x="0" y="375920"/>
                                </a:moveTo>
                                <a:lnTo>
                                  <a:pt x="321945" y="375920"/>
                                </a:lnTo>
                                <a:lnTo>
                                  <a:pt x="321945" y="0"/>
                                </a:lnTo>
                                <a:lnTo>
                                  <a:pt x="0" y="0"/>
                                </a:lnTo>
                                <a:lnTo>
                                  <a:pt x="0" y="375920"/>
                                </a:lnTo>
                                <a:close/>
                              </a:path>
                            </a:pathLst>
                          </a:custGeom>
                          <a:ln w="6350">
                            <a:solidFill>
                              <a:srgbClr val="FFFFFF"/>
                            </a:solidFill>
                            <a:prstDash val="solid"/>
                          </a:ln>
                        </wps:spPr>
                        <wps:bodyPr wrap="square" lIns="0" tIns="0" rIns="0" bIns="0" rtlCol="0">
                          <a:prstTxWarp prst="textNoShape">
                            <a:avLst/>
                          </a:prstTxWarp>
                          <a:noAutofit/>
                        </wps:bodyPr>
                      </wps:wsp>
                      <wps:wsp>
                        <wps:cNvPr id="20" name="Graphic 20"/>
                        <wps:cNvSpPr/>
                        <wps:spPr>
                          <a:xfrm>
                            <a:off x="2898775" y="1122044"/>
                            <a:ext cx="298450" cy="375920"/>
                          </a:xfrm>
                          <a:custGeom>
                            <a:avLst/>
                            <a:gdLst/>
                            <a:ahLst/>
                            <a:cxnLst/>
                            <a:rect l="l" t="t" r="r" b="b"/>
                            <a:pathLst>
                              <a:path w="298450" h="375920">
                                <a:moveTo>
                                  <a:pt x="298450" y="0"/>
                                </a:moveTo>
                                <a:lnTo>
                                  <a:pt x="0" y="0"/>
                                </a:lnTo>
                                <a:lnTo>
                                  <a:pt x="0" y="375920"/>
                                </a:lnTo>
                                <a:lnTo>
                                  <a:pt x="298450" y="375920"/>
                                </a:lnTo>
                                <a:lnTo>
                                  <a:pt x="298450"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2898775" y="1122044"/>
                            <a:ext cx="298450" cy="375920"/>
                          </a:xfrm>
                          <a:custGeom>
                            <a:avLst/>
                            <a:gdLst/>
                            <a:ahLst/>
                            <a:cxnLst/>
                            <a:rect l="l" t="t" r="r" b="b"/>
                            <a:pathLst>
                              <a:path w="298450" h="375920">
                                <a:moveTo>
                                  <a:pt x="0" y="375920"/>
                                </a:moveTo>
                                <a:lnTo>
                                  <a:pt x="298450" y="375920"/>
                                </a:lnTo>
                                <a:lnTo>
                                  <a:pt x="298450" y="0"/>
                                </a:lnTo>
                                <a:lnTo>
                                  <a:pt x="0" y="0"/>
                                </a:lnTo>
                                <a:lnTo>
                                  <a:pt x="0" y="375920"/>
                                </a:lnTo>
                                <a:close/>
                              </a:path>
                            </a:pathLst>
                          </a:custGeom>
                          <a:ln w="6350">
                            <a:solidFill>
                              <a:srgbClr val="FFFFFF"/>
                            </a:solidFill>
                            <a:prstDash val="solid"/>
                          </a:ln>
                        </wps:spPr>
                        <wps:bodyPr wrap="square" lIns="0" tIns="0" rIns="0" bIns="0" rtlCol="0">
                          <a:prstTxWarp prst="textNoShape">
                            <a:avLst/>
                          </a:prstTxWarp>
                          <a:noAutofit/>
                        </wps:bodyPr>
                      </wps:wsp>
                      <wps:wsp>
                        <wps:cNvPr id="22" name="Textbox 22"/>
                        <wps:cNvSpPr txBox="1"/>
                        <wps:spPr>
                          <a:xfrm>
                            <a:off x="2264029" y="1176751"/>
                            <a:ext cx="112395" cy="288290"/>
                          </a:xfrm>
                          <a:prstGeom prst="rect">
                            <a:avLst/>
                          </a:prstGeom>
                        </wps:spPr>
                        <wps:txbx>
                          <w:txbxContent>
                            <w:p w:rsidR="00487D64" w:rsidRDefault="006F0D93">
                              <w:pPr>
                                <w:ind w:left="28" w:right="12" w:hanging="29"/>
                                <w:rPr>
                                  <w:b/>
                                  <w:sz w:val="20"/>
                                </w:rPr>
                              </w:pPr>
                              <w:r>
                                <w:rPr>
                                  <w:b/>
                                  <w:spacing w:val="-10"/>
                                  <w:sz w:val="20"/>
                                </w:rPr>
                                <w:t>H</w:t>
                              </w:r>
                              <w:r>
                                <w:rPr>
                                  <w:b/>
                                  <w:sz w:val="20"/>
                                </w:rPr>
                                <w:t xml:space="preserve"> </w:t>
                              </w:r>
                              <w:r>
                                <w:rPr>
                                  <w:b/>
                                  <w:spacing w:val="-10"/>
                                  <w:sz w:val="20"/>
                                </w:rPr>
                                <w:t>6</w:t>
                              </w:r>
                            </w:p>
                          </w:txbxContent>
                        </wps:txbx>
                        <wps:bodyPr wrap="square" lIns="0" tIns="0" rIns="0" bIns="0" rtlCol="0">
                          <a:noAutofit/>
                        </wps:bodyPr>
                      </wps:wsp>
                      <wps:wsp>
                        <wps:cNvPr id="23" name="Textbox 23"/>
                        <wps:cNvSpPr txBox="1"/>
                        <wps:spPr>
                          <a:xfrm>
                            <a:off x="2703322" y="1176751"/>
                            <a:ext cx="409575" cy="288290"/>
                          </a:xfrm>
                          <a:prstGeom prst="rect">
                            <a:avLst/>
                          </a:prstGeom>
                        </wps:spPr>
                        <wps:txbx>
                          <w:txbxContent>
                            <w:p w:rsidR="00487D64" w:rsidRDefault="006F0D93">
                              <w:pPr>
                                <w:tabs>
                                  <w:tab w:val="left" w:pos="467"/>
                                </w:tabs>
                                <w:spacing w:line="223" w:lineRule="exact"/>
                                <w:rPr>
                                  <w:b/>
                                  <w:sz w:val="20"/>
                                </w:rPr>
                              </w:pPr>
                              <w:r>
                                <w:rPr>
                                  <w:b/>
                                  <w:spacing w:val="-10"/>
                                  <w:sz w:val="20"/>
                                </w:rPr>
                                <w:t>H</w:t>
                              </w:r>
                              <w:r>
                                <w:rPr>
                                  <w:b/>
                                  <w:sz w:val="20"/>
                                </w:rPr>
                                <w:tab/>
                              </w:r>
                              <w:r>
                                <w:rPr>
                                  <w:b/>
                                  <w:spacing w:val="-10"/>
                                  <w:sz w:val="20"/>
                                </w:rPr>
                                <w:t>H</w:t>
                              </w:r>
                            </w:p>
                            <w:p w:rsidR="00487D64" w:rsidRDefault="006F0D93">
                              <w:pPr>
                                <w:tabs>
                                  <w:tab w:val="left" w:pos="496"/>
                                </w:tabs>
                                <w:ind w:left="28"/>
                                <w:rPr>
                                  <w:b/>
                                  <w:sz w:val="20"/>
                                </w:rPr>
                              </w:pPr>
                              <w:r>
                                <w:rPr>
                                  <w:b/>
                                  <w:spacing w:val="-10"/>
                                  <w:sz w:val="20"/>
                                </w:rPr>
                                <w:t>5</w:t>
                              </w:r>
                              <w:r>
                                <w:rPr>
                                  <w:b/>
                                  <w:sz w:val="20"/>
                                </w:rPr>
                                <w:tab/>
                              </w:r>
                              <w:r>
                                <w:rPr>
                                  <w:b/>
                                  <w:spacing w:val="-10"/>
                                  <w:sz w:val="20"/>
                                </w:rPr>
                                <w:t>4</w:t>
                              </w:r>
                            </w:p>
                          </w:txbxContent>
                        </wps:txbx>
                        <wps:bodyPr wrap="square" lIns="0" tIns="0" rIns="0" bIns="0" rtlCol="0">
                          <a:noAutofit/>
                        </wps:bodyPr>
                      </wps:wsp>
                      <wps:wsp>
                        <wps:cNvPr id="24" name="Textbox 24"/>
                        <wps:cNvSpPr txBox="1"/>
                        <wps:spPr>
                          <a:xfrm>
                            <a:off x="365506" y="1634205"/>
                            <a:ext cx="1363980" cy="942340"/>
                          </a:xfrm>
                          <a:prstGeom prst="rect">
                            <a:avLst/>
                          </a:prstGeom>
                        </wps:spPr>
                        <wps:txbx>
                          <w:txbxContent>
                            <w:p w:rsidR="00487D64" w:rsidRDefault="006F0D93">
                              <w:pPr>
                                <w:spacing w:line="220" w:lineRule="exact"/>
                                <w:rPr>
                                  <w:b/>
                                  <w:sz w:val="20"/>
                                </w:rPr>
                              </w:pPr>
                              <w:r>
                                <w:rPr>
                                  <w:b/>
                                  <w:spacing w:val="-2"/>
                                  <w:sz w:val="20"/>
                                </w:rPr>
                                <w:t>Customer</w:t>
                              </w:r>
                              <w:r>
                                <w:rPr>
                                  <w:b/>
                                  <w:spacing w:val="-3"/>
                                  <w:sz w:val="20"/>
                                </w:rPr>
                                <w:t xml:space="preserve"> </w:t>
                              </w:r>
                              <w:r>
                                <w:rPr>
                                  <w:b/>
                                  <w:spacing w:val="-2"/>
                                  <w:sz w:val="20"/>
                                </w:rPr>
                                <w:t>Orientation</w:t>
                              </w:r>
                            </w:p>
                            <w:p w:rsidR="00487D64" w:rsidRDefault="006F0D93">
                              <w:pPr>
                                <w:numPr>
                                  <w:ilvl w:val="0"/>
                                  <w:numId w:val="15"/>
                                </w:numPr>
                                <w:tabs>
                                  <w:tab w:val="left" w:pos="359"/>
                                </w:tabs>
                                <w:spacing w:line="250" w:lineRule="exact"/>
                                <w:ind w:left="359" w:hanging="359"/>
                                <w:rPr>
                                  <w:rFonts w:ascii="Calibri"/>
                                  <w:sz w:val="20"/>
                                </w:rPr>
                              </w:pPr>
                              <w:r>
                                <w:rPr>
                                  <w:rFonts w:ascii="Calibri"/>
                                  <w:sz w:val="20"/>
                                </w:rPr>
                                <w:t>After</w:t>
                              </w:r>
                              <w:r>
                                <w:rPr>
                                  <w:rFonts w:ascii="Calibri"/>
                                  <w:spacing w:val="-9"/>
                                  <w:sz w:val="20"/>
                                </w:rPr>
                                <w:t xml:space="preserve"> </w:t>
                              </w:r>
                              <w:r>
                                <w:rPr>
                                  <w:rFonts w:ascii="Calibri"/>
                                  <w:sz w:val="20"/>
                                </w:rPr>
                                <w:t>sale</w:t>
                              </w:r>
                              <w:r>
                                <w:rPr>
                                  <w:rFonts w:ascii="Calibri"/>
                                  <w:spacing w:val="-6"/>
                                  <w:sz w:val="20"/>
                                </w:rPr>
                                <w:t xml:space="preserve"> </w:t>
                              </w:r>
                              <w:r>
                                <w:rPr>
                                  <w:rFonts w:ascii="Calibri"/>
                                  <w:spacing w:val="-2"/>
                                  <w:sz w:val="20"/>
                                </w:rPr>
                                <w:t>service</w:t>
                              </w:r>
                            </w:p>
                            <w:p w:rsidR="00487D64" w:rsidRDefault="006F0D93">
                              <w:pPr>
                                <w:numPr>
                                  <w:ilvl w:val="0"/>
                                  <w:numId w:val="15"/>
                                </w:numPr>
                                <w:tabs>
                                  <w:tab w:val="left" w:pos="359"/>
                                </w:tabs>
                                <w:spacing w:line="253" w:lineRule="exact"/>
                                <w:ind w:left="359" w:hanging="359"/>
                                <w:rPr>
                                  <w:rFonts w:ascii="Calibri"/>
                                  <w:sz w:val="20"/>
                                </w:rPr>
                              </w:pPr>
                              <w:r>
                                <w:rPr>
                                  <w:rFonts w:ascii="Calibri"/>
                                  <w:sz w:val="20"/>
                                </w:rPr>
                                <w:t>Value</w:t>
                              </w:r>
                              <w:r>
                                <w:rPr>
                                  <w:rFonts w:ascii="Calibri"/>
                                  <w:spacing w:val="-4"/>
                                  <w:sz w:val="20"/>
                                </w:rPr>
                                <w:t xml:space="preserve"> </w:t>
                              </w:r>
                              <w:r>
                                <w:rPr>
                                  <w:rFonts w:ascii="Calibri"/>
                                  <w:sz w:val="20"/>
                                </w:rPr>
                                <w:t>for</w:t>
                              </w:r>
                              <w:r>
                                <w:rPr>
                                  <w:rFonts w:ascii="Calibri"/>
                                  <w:spacing w:val="-3"/>
                                  <w:sz w:val="20"/>
                                </w:rPr>
                                <w:t xml:space="preserve"> </w:t>
                              </w:r>
                              <w:r>
                                <w:rPr>
                                  <w:rFonts w:ascii="Calibri"/>
                                  <w:spacing w:val="-2"/>
                                  <w:sz w:val="20"/>
                                </w:rPr>
                                <w:t>customer</w:t>
                              </w:r>
                            </w:p>
                            <w:p w:rsidR="00487D64" w:rsidRDefault="006F0D93">
                              <w:pPr>
                                <w:numPr>
                                  <w:ilvl w:val="0"/>
                                  <w:numId w:val="15"/>
                                </w:numPr>
                                <w:tabs>
                                  <w:tab w:val="left" w:pos="359"/>
                                </w:tabs>
                                <w:spacing w:before="4" w:line="254" w:lineRule="exact"/>
                                <w:ind w:left="359" w:hanging="359"/>
                                <w:rPr>
                                  <w:rFonts w:ascii="Calibri"/>
                                  <w:sz w:val="20"/>
                                </w:rPr>
                              </w:pPr>
                              <w:r>
                                <w:rPr>
                                  <w:rFonts w:ascii="Calibri"/>
                                  <w:sz w:val="20"/>
                                </w:rPr>
                                <w:t>Customer</w:t>
                              </w:r>
                              <w:r>
                                <w:rPr>
                                  <w:rFonts w:ascii="Calibri"/>
                                  <w:spacing w:val="-5"/>
                                  <w:sz w:val="20"/>
                                </w:rPr>
                                <w:t xml:space="preserve"> </w:t>
                              </w:r>
                              <w:r>
                                <w:rPr>
                                  <w:rFonts w:ascii="Calibri"/>
                                  <w:spacing w:val="-2"/>
                                  <w:sz w:val="20"/>
                                </w:rPr>
                                <w:t>satisfaction</w:t>
                              </w:r>
                            </w:p>
                            <w:p w:rsidR="00487D64" w:rsidRDefault="006F0D93">
                              <w:pPr>
                                <w:numPr>
                                  <w:ilvl w:val="0"/>
                                  <w:numId w:val="15"/>
                                </w:numPr>
                                <w:tabs>
                                  <w:tab w:val="left" w:pos="359"/>
                                </w:tabs>
                                <w:spacing w:line="252" w:lineRule="exact"/>
                                <w:ind w:left="359" w:hanging="359"/>
                                <w:rPr>
                                  <w:rFonts w:ascii="Calibri"/>
                                  <w:sz w:val="20"/>
                                </w:rPr>
                              </w:pPr>
                              <w:r>
                                <w:rPr>
                                  <w:rFonts w:ascii="Calibri"/>
                                  <w:sz w:val="20"/>
                                </w:rPr>
                                <w:t>Need</w:t>
                              </w:r>
                              <w:r>
                                <w:rPr>
                                  <w:rFonts w:ascii="Calibri"/>
                                  <w:spacing w:val="-1"/>
                                  <w:sz w:val="20"/>
                                </w:rPr>
                                <w:t xml:space="preserve"> </w:t>
                              </w:r>
                              <w:r>
                                <w:rPr>
                                  <w:rFonts w:ascii="Calibri"/>
                                  <w:spacing w:val="-2"/>
                                  <w:sz w:val="20"/>
                                </w:rPr>
                                <w:t>recognition</w:t>
                              </w:r>
                            </w:p>
                            <w:p w:rsidR="00487D64" w:rsidRDefault="006F0D93">
                              <w:pPr>
                                <w:numPr>
                                  <w:ilvl w:val="0"/>
                                  <w:numId w:val="15"/>
                                </w:numPr>
                                <w:tabs>
                                  <w:tab w:val="left" w:pos="359"/>
                                </w:tabs>
                                <w:spacing w:line="250" w:lineRule="exact"/>
                                <w:ind w:left="359" w:hanging="359"/>
                                <w:rPr>
                                  <w:rFonts w:ascii="Calibri"/>
                                  <w:sz w:val="20"/>
                                </w:rPr>
                              </w:pPr>
                              <w:r>
                                <w:rPr>
                                  <w:rFonts w:ascii="Calibri"/>
                                  <w:sz w:val="20"/>
                                </w:rPr>
                                <w:t>Goal</w:t>
                              </w:r>
                              <w:r>
                                <w:rPr>
                                  <w:rFonts w:ascii="Calibri"/>
                                  <w:spacing w:val="-7"/>
                                  <w:sz w:val="20"/>
                                </w:rPr>
                                <w:t xml:space="preserve"> </w:t>
                              </w:r>
                              <w:r>
                                <w:rPr>
                                  <w:rFonts w:ascii="Calibri"/>
                                  <w:spacing w:val="-2"/>
                                  <w:sz w:val="20"/>
                                </w:rPr>
                                <w:t>Achievement</w:t>
                              </w:r>
                            </w:p>
                          </w:txbxContent>
                        </wps:txbx>
                        <wps:bodyPr wrap="square" lIns="0" tIns="0" rIns="0" bIns="0" rtlCol="0">
                          <a:noAutofit/>
                        </wps:bodyPr>
                      </wps:wsp>
                      <wps:wsp>
                        <wps:cNvPr id="25" name="Textbox 25"/>
                        <wps:cNvSpPr txBox="1"/>
                        <wps:spPr>
                          <a:xfrm>
                            <a:off x="2369185" y="2608295"/>
                            <a:ext cx="311150" cy="142240"/>
                          </a:xfrm>
                          <a:prstGeom prst="rect">
                            <a:avLst/>
                          </a:prstGeom>
                        </wps:spPr>
                        <wps:txbx>
                          <w:txbxContent>
                            <w:p w:rsidR="00487D64" w:rsidRDefault="006F0D93">
                              <w:pPr>
                                <w:spacing w:line="223" w:lineRule="exact"/>
                                <w:rPr>
                                  <w:b/>
                                  <w:sz w:val="20"/>
                                </w:rPr>
                              </w:pPr>
                              <w:r>
                                <w:rPr>
                                  <w:b/>
                                  <w:color w:val="000000"/>
                                  <w:spacing w:val="43"/>
                                  <w:sz w:val="20"/>
                                  <w:shd w:val="clear" w:color="auto" w:fill="FFFFFF"/>
                                </w:rPr>
                                <w:t xml:space="preserve">  </w:t>
                              </w:r>
                              <w:r>
                                <w:rPr>
                                  <w:b/>
                                  <w:color w:val="000000"/>
                                  <w:spacing w:val="-10"/>
                                  <w:sz w:val="20"/>
                                  <w:shd w:val="clear" w:color="auto" w:fill="FFFFFF"/>
                                </w:rPr>
                                <w:t>1</w:t>
                              </w:r>
                              <w:r>
                                <w:rPr>
                                  <w:b/>
                                  <w:color w:val="000000"/>
                                  <w:spacing w:val="80"/>
                                  <w:sz w:val="20"/>
                                  <w:shd w:val="clear" w:color="auto" w:fill="FFFFFF"/>
                                </w:rPr>
                                <w:t xml:space="preserve"> </w:t>
                              </w:r>
                            </w:p>
                          </w:txbxContent>
                        </wps:txbx>
                        <wps:bodyPr wrap="square" lIns="0" tIns="0" rIns="0" bIns="0" rtlCol="0">
                          <a:noAutofit/>
                        </wps:bodyPr>
                      </wps:wsp>
                      <wps:wsp>
                        <wps:cNvPr id="26" name="Textbox 26"/>
                        <wps:cNvSpPr txBox="1"/>
                        <wps:spPr>
                          <a:xfrm>
                            <a:off x="3316223" y="2833816"/>
                            <a:ext cx="986790" cy="492125"/>
                          </a:xfrm>
                          <a:prstGeom prst="rect">
                            <a:avLst/>
                          </a:prstGeom>
                        </wps:spPr>
                        <wps:txbx>
                          <w:txbxContent>
                            <w:p w:rsidR="00487D64" w:rsidRDefault="006F0D93">
                              <w:pPr>
                                <w:rPr>
                                  <w:b/>
                                </w:rPr>
                              </w:pPr>
                              <w:r>
                                <w:rPr>
                                  <w:b/>
                                  <w:spacing w:val="-2"/>
                                </w:rPr>
                                <w:t>Sustainable Competitiveness</w:t>
                              </w:r>
                            </w:p>
                            <w:p w:rsidR="00487D64" w:rsidRDefault="006F0D93">
                              <w:pPr>
                                <w:ind w:left="360"/>
                                <w:rPr>
                                  <w:rFonts w:ascii="Symbol" w:hAnsi="Symbol"/>
                                </w:rPr>
                              </w:pPr>
                              <w:r>
                                <w:rPr>
                                  <w:rFonts w:ascii="Symbol" w:hAnsi="Symbol"/>
                                  <w:spacing w:val="-10"/>
                                </w:rPr>
                                <w:t></w:t>
                              </w:r>
                            </w:p>
                          </w:txbxContent>
                        </wps:txbx>
                        <wps:bodyPr wrap="square" lIns="0" tIns="0" rIns="0" bIns="0" rtlCol="0">
                          <a:noAutofit/>
                        </wps:bodyPr>
                      </wps:wsp>
                      <wps:wsp>
                        <wps:cNvPr id="27" name="Textbox 27"/>
                        <wps:cNvSpPr txBox="1"/>
                        <wps:spPr>
                          <a:xfrm>
                            <a:off x="402081" y="3633058"/>
                            <a:ext cx="1433195" cy="297180"/>
                          </a:xfrm>
                          <a:prstGeom prst="rect">
                            <a:avLst/>
                          </a:prstGeom>
                        </wps:spPr>
                        <wps:txbx>
                          <w:txbxContent>
                            <w:p w:rsidR="00487D64" w:rsidRDefault="006F0D93">
                              <w:pPr>
                                <w:spacing w:line="220" w:lineRule="exact"/>
                                <w:rPr>
                                  <w:b/>
                                  <w:sz w:val="20"/>
                                </w:rPr>
                              </w:pPr>
                              <w:r>
                                <w:rPr>
                                  <w:b/>
                                  <w:spacing w:val="-2"/>
                                  <w:sz w:val="20"/>
                                </w:rPr>
                                <w:t>Competitor Orientation</w:t>
                              </w:r>
                            </w:p>
                            <w:p w:rsidR="00487D64" w:rsidRDefault="006F0D93">
                              <w:pPr>
                                <w:numPr>
                                  <w:ilvl w:val="0"/>
                                  <w:numId w:val="14"/>
                                </w:numPr>
                                <w:tabs>
                                  <w:tab w:val="left" w:pos="424"/>
                                </w:tabs>
                                <w:spacing w:line="248" w:lineRule="exact"/>
                                <w:rPr>
                                  <w:rFonts w:ascii="Calibri"/>
                                  <w:sz w:val="20"/>
                                </w:rPr>
                              </w:pPr>
                              <w:r>
                                <w:rPr>
                                  <w:rFonts w:ascii="Calibri"/>
                                  <w:spacing w:val="-2"/>
                                  <w:sz w:val="20"/>
                                </w:rPr>
                                <w:t>Available</w:t>
                              </w:r>
                              <w:r>
                                <w:rPr>
                                  <w:rFonts w:ascii="Calibri"/>
                                  <w:spacing w:val="-3"/>
                                  <w:sz w:val="20"/>
                                </w:rPr>
                                <w:t xml:space="preserve"> </w:t>
                              </w:r>
                              <w:r>
                                <w:rPr>
                                  <w:rFonts w:ascii="Calibri"/>
                                  <w:spacing w:val="-2"/>
                                  <w:sz w:val="20"/>
                                </w:rPr>
                                <w:t>opportunitie</w:t>
                              </w:r>
                            </w:p>
                          </w:txbxContent>
                        </wps:txbx>
                        <wps:bodyPr wrap="square" lIns="0" tIns="0" rIns="0" bIns="0" rtlCol="0">
                          <a:noAutofit/>
                        </wps:bodyPr>
                      </wps:wsp>
                      <wps:wsp>
                        <wps:cNvPr id="28" name="Textbox 28"/>
                        <wps:cNvSpPr txBox="1"/>
                        <wps:spPr>
                          <a:xfrm>
                            <a:off x="3544823" y="3499231"/>
                            <a:ext cx="78105" cy="173990"/>
                          </a:xfrm>
                          <a:prstGeom prst="rect">
                            <a:avLst/>
                          </a:prstGeom>
                        </wps:spPr>
                        <wps:txbx>
                          <w:txbxContent>
                            <w:p w:rsidR="00487D64" w:rsidRDefault="006F0D93">
                              <w:pPr>
                                <w:spacing w:before="3"/>
                                <w:rPr>
                                  <w:rFonts w:ascii="Symbol" w:hAnsi="Symbol"/>
                                </w:rPr>
                              </w:pPr>
                              <w:r>
                                <w:rPr>
                                  <w:rFonts w:ascii="Symbol" w:hAnsi="Symbol"/>
                                  <w:spacing w:val="-10"/>
                                </w:rPr>
                                <w:t></w:t>
                              </w:r>
                            </w:p>
                          </w:txbxContent>
                        </wps:txbx>
                        <wps:bodyPr wrap="square" lIns="0" tIns="0" rIns="0" bIns="0" rtlCol="0">
                          <a:noAutofit/>
                        </wps:bodyPr>
                      </wps:wsp>
                      <wps:wsp>
                        <wps:cNvPr id="29" name="Textbox 29"/>
                        <wps:cNvSpPr txBox="1"/>
                        <wps:spPr>
                          <a:xfrm>
                            <a:off x="443230" y="3929327"/>
                            <a:ext cx="71755" cy="637540"/>
                          </a:xfrm>
                          <a:prstGeom prst="rect">
                            <a:avLst/>
                          </a:prstGeom>
                        </wps:spPr>
                        <wps:txbx>
                          <w:txbxContent>
                            <w:p w:rsidR="00487D64" w:rsidRDefault="006F0D93">
                              <w:pPr>
                                <w:spacing w:before="1"/>
                                <w:rPr>
                                  <w:rFonts w:ascii="Symbol" w:hAnsi="Symbol"/>
                                  <w:sz w:val="20"/>
                                </w:rPr>
                              </w:pPr>
                              <w:r>
                                <w:rPr>
                                  <w:rFonts w:ascii="Symbol" w:hAnsi="Symbol"/>
                                  <w:spacing w:val="-10"/>
                                  <w:sz w:val="20"/>
                                </w:rPr>
                                <w:t></w:t>
                              </w:r>
                            </w:p>
                            <w:p w:rsidR="00487D64" w:rsidRDefault="006F0D93">
                              <w:pPr>
                                <w:spacing w:before="14"/>
                                <w:rPr>
                                  <w:rFonts w:ascii="Symbol" w:hAnsi="Symbol"/>
                                  <w:sz w:val="20"/>
                                </w:rPr>
                              </w:pPr>
                              <w:r>
                                <w:rPr>
                                  <w:rFonts w:ascii="Symbol" w:hAnsi="Symbol"/>
                                  <w:spacing w:val="-10"/>
                                  <w:sz w:val="20"/>
                                </w:rPr>
                                <w:t></w:t>
                              </w:r>
                            </w:p>
                            <w:p w:rsidR="00487D64" w:rsidRDefault="00487D64">
                              <w:pPr>
                                <w:spacing w:before="8"/>
                                <w:rPr>
                                  <w:rFonts w:ascii="Symbol" w:hAnsi="Symbol"/>
                                  <w:sz w:val="20"/>
                                </w:rPr>
                              </w:pPr>
                            </w:p>
                            <w:p w:rsidR="00487D64" w:rsidRDefault="006F0D93">
                              <w:pPr>
                                <w:rPr>
                                  <w:rFonts w:ascii="Symbol" w:hAnsi="Symbol"/>
                                  <w:sz w:val="20"/>
                                </w:rPr>
                              </w:pPr>
                              <w:r>
                                <w:rPr>
                                  <w:rFonts w:ascii="Symbol" w:hAnsi="Symbol"/>
                                  <w:spacing w:val="-10"/>
                                  <w:sz w:val="20"/>
                                </w:rPr>
                                <w:t></w:t>
                              </w:r>
                            </w:p>
                          </w:txbxContent>
                        </wps:txbx>
                        <wps:bodyPr wrap="square" lIns="0" tIns="0" rIns="0" bIns="0" rtlCol="0">
                          <a:noAutofit/>
                        </wps:bodyPr>
                      </wps:wsp>
                      <wps:wsp>
                        <wps:cNvPr id="30" name="Textbox 30"/>
                        <wps:cNvSpPr txBox="1"/>
                        <wps:spPr>
                          <a:xfrm>
                            <a:off x="443230" y="4729808"/>
                            <a:ext cx="71755" cy="156845"/>
                          </a:xfrm>
                          <a:prstGeom prst="rect">
                            <a:avLst/>
                          </a:prstGeom>
                        </wps:spPr>
                        <wps:txbx>
                          <w:txbxContent>
                            <w:p w:rsidR="00487D64" w:rsidRDefault="006F0D93">
                              <w:pPr>
                                <w:spacing w:before="1"/>
                                <w:rPr>
                                  <w:rFonts w:ascii="Symbol" w:hAnsi="Symbol"/>
                                  <w:sz w:val="20"/>
                                </w:rPr>
                              </w:pPr>
                              <w:r>
                                <w:rPr>
                                  <w:rFonts w:ascii="Symbol" w:hAnsi="Symbol"/>
                                  <w:spacing w:val="-10"/>
                                  <w:sz w:val="20"/>
                                </w:rPr>
                                <w:t></w:t>
                              </w:r>
                            </w:p>
                          </w:txbxContent>
                        </wps:txbx>
                        <wps:bodyPr wrap="square" lIns="0" tIns="0" rIns="0" bIns="0" rtlCol="0">
                          <a:noAutofit/>
                        </wps:bodyPr>
                      </wps:wsp>
                      <wps:wsp>
                        <wps:cNvPr id="31" name="Textbox 31"/>
                        <wps:cNvSpPr txBox="1"/>
                        <wps:spPr>
                          <a:xfrm>
                            <a:off x="671830" y="3962019"/>
                            <a:ext cx="1172845" cy="929005"/>
                          </a:xfrm>
                          <a:prstGeom prst="rect">
                            <a:avLst/>
                          </a:prstGeom>
                        </wps:spPr>
                        <wps:txbx>
                          <w:txbxContent>
                            <w:p w:rsidR="00487D64" w:rsidRDefault="006F0D93">
                              <w:pPr>
                                <w:spacing w:line="205" w:lineRule="exact"/>
                                <w:rPr>
                                  <w:rFonts w:ascii="Calibri"/>
                                  <w:sz w:val="20"/>
                                </w:rPr>
                              </w:pPr>
                              <w:r>
                                <w:rPr>
                                  <w:rFonts w:ascii="Calibri"/>
                                  <w:spacing w:val="-2"/>
                                  <w:sz w:val="20"/>
                                </w:rPr>
                                <w:t>Competitive</w:t>
                              </w:r>
                              <w:r>
                                <w:rPr>
                                  <w:rFonts w:ascii="Calibri"/>
                                  <w:spacing w:val="6"/>
                                  <w:sz w:val="20"/>
                                </w:rPr>
                                <w:t xml:space="preserve"> </w:t>
                              </w:r>
                              <w:r>
                                <w:rPr>
                                  <w:rFonts w:ascii="Calibri"/>
                                  <w:spacing w:val="-2"/>
                                  <w:sz w:val="20"/>
                                </w:rPr>
                                <w:t>agility</w:t>
                              </w:r>
                            </w:p>
                            <w:p w:rsidR="00487D64" w:rsidRDefault="006F0D93">
                              <w:pPr>
                                <w:spacing w:before="15"/>
                                <w:ind w:right="353"/>
                                <w:rPr>
                                  <w:rFonts w:ascii="Calibri"/>
                                  <w:sz w:val="20"/>
                                </w:rPr>
                              </w:pPr>
                              <w:r>
                                <w:rPr>
                                  <w:rFonts w:ascii="Calibri"/>
                                  <w:sz w:val="20"/>
                                </w:rPr>
                                <w:t>Competitor</w:t>
                              </w:r>
                              <w:r>
                                <w:rPr>
                                  <w:rFonts w:ascii="Calibri"/>
                                  <w:spacing w:val="-12"/>
                                  <w:sz w:val="20"/>
                                </w:rPr>
                                <w:t xml:space="preserve"> </w:t>
                              </w:r>
                              <w:r>
                                <w:rPr>
                                  <w:rFonts w:ascii="Calibri"/>
                                  <w:sz w:val="20"/>
                                </w:rPr>
                                <w:t xml:space="preserve">SWOC </w:t>
                              </w:r>
                              <w:r>
                                <w:rPr>
                                  <w:rFonts w:ascii="Calibri"/>
                                  <w:spacing w:val="-2"/>
                                  <w:sz w:val="20"/>
                                </w:rPr>
                                <w:t>analysis,</w:t>
                              </w:r>
                            </w:p>
                            <w:p w:rsidR="00487D64" w:rsidRDefault="006F0D93">
                              <w:pPr>
                                <w:spacing w:before="9"/>
                                <w:ind w:right="10"/>
                                <w:rPr>
                                  <w:rFonts w:ascii="Calibri"/>
                                  <w:sz w:val="20"/>
                                </w:rPr>
                              </w:pPr>
                              <w:r>
                                <w:rPr>
                                  <w:rFonts w:ascii="Calibri"/>
                                  <w:sz w:val="20"/>
                                </w:rPr>
                                <w:t>Customer</w:t>
                              </w:r>
                              <w:r>
                                <w:rPr>
                                  <w:rFonts w:ascii="Calibri"/>
                                  <w:spacing w:val="-12"/>
                                  <w:sz w:val="20"/>
                                </w:rPr>
                                <w:t xml:space="preserve"> </w:t>
                              </w:r>
                              <w:r>
                                <w:rPr>
                                  <w:rFonts w:ascii="Calibri"/>
                                  <w:sz w:val="20"/>
                                </w:rPr>
                                <w:t xml:space="preserve">Competitive </w:t>
                              </w:r>
                              <w:r>
                                <w:rPr>
                                  <w:rFonts w:ascii="Calibri"/>
                                  <w:spacing w:val="-2"/>
                                  <w:sz w:val="20"/>
                                </w:rPr>
                                <w:t>strategy</w:t>
                              </w:r>
                            </w:p>
                            <w:p w:rsidR="00487D64" w:rsidRDefault="006F0D93">
                              <w:pPr>
                                <w:spacing w:before="16" w:line="241" w:lineRule="exact"/>
                                <w:rPr>
                                  <w:rFonts w:ascii="Calibri"/>
                                  <w:sz w:val="20"/>
                                </w:rPr>
                              </w:pPr>
                              <w:r>
                                <w:rPr>
                                  <w:rFonts w:ascii="Calibri"/>
                                  <w:spacing w:val="-2"/>
                                  <w:sz w:val="20"/>
                                </w:rPr>
                                <w:t>Competitor</w:t>
                              </w:r>
                              <w:r>
                                <w:rPr>
                                  <w:rFonts w:ascii="Calibri"/>
                                  <w:spacing w:val="6"/>
                                  <w:sz w:val="20"/>
                                </w:rPr>
                                <w:t xml:space="preserve"> </w:t>
                              </w:r>
                              <w:r>
                                <w:rPr>
                                  <w:rFonts w:ascii="Calibri"/>
                                  <w:spacing w:val="-2"/>
                                  <w:sz w:val="20"/>
                                </w:rPr>
                                <w:t>strategy</w:t>
                              </w:r>
                            </w:p>
                          </w:txbxContent>
                        </wps:txbx>
                        <wps:bodyPr wrap="square" lIns="0" tIns="0" rIns="0" bIns="0" rtlCol="0">
                          <a:noAutofit/>
                        </wps:bodyPr>
                      </wps:wsp>
                      <wps:wsp>
                        <wps:cNvPr id="32" name="Textbox 32"/>
                        <wps:cNvSpPr txBox="1"/>
                        <wps:spPr>
                          <a:xfrm>
                            <a:off x="2465197" y="4113118"/>
                            <a:ext cx="112395" cy="288290"/>
                          </a:xfrm>
                          <a:prstGeom prst="rect">
                            <a:avLst/>
                          </a:prstGeom>
                        </wps:spPr>
                        <wps:txbx>
                          <w:txbxContent>
                            <w:p w:rsidR="00487D64" w:rsidRDefault="006F0D93">
                              <w:pPr>
                                <w:ind w:right="11"/>
                                <w:rPr>
                                  <w:b/>
                                  <w:sz w:val="20"/>
                                </w:rPr>
                              </w:pPr>
                              <w:r>
                                <w:rPr>
                                  <w:b/>
                                  <w:spacing w:val="-10"/>
                                  <w:sz w:val="20"/>
                                </w:rPr>
                                <w:t>H</w:t>
                              </w:r>
                              <w:r>
                                <w:rPr>
                                  <w:b/>
                                  <w:sz w:val="20"/>
                                </w:rPr>
                                <w:t xml:space="preserve"> </w:t>
                              </w:r>
                              <w:r>
                                <w:rPr>
                                  <w:b/>
                                  <w:spacing w:val="-10"/>
                                  <w:sz w:val="20"/>
                                </w:rPr>
                                <w:t>2</w:t>
                              </w:r>
                            </w:p>
                          </w:txbxContent>
                        </wps:txbx>
                        <wps:bodyPr wrap="square" lIns="0" tIns="0" rIns="0" bIns="0" rtlCol="0">
                          <a:noAutofit/>
                        </wps:bodyPr>
                      </wps:wsp>
                      <wps:wsp>
                        <wps:cNvPr id="33" name="Textbox 33"/>
                        <wps:cNvSpPr txBox="1"/>
                        <wps:spPr>
                          <a:xfrm>
                            <a:off x="3544823" y="3187954"/>
                            <a:ext cx="1233805" cy="1354455"/>
                          </a:xfrm>
                          <a:prstGeom prst="rect">
                            <a:avLst/>
                          </a:prstGeom>
                        </wps:spPr>
                        <wps:txbx>
                          <w:txbxContent>
                            <w:p w:rsidR="00487D64" w:rsidRDefault="006F0D93">
                              <w:pPr>
                                <w:spacing w:line="225" w:lineRule="exact"/>
                                <w:ind w:left="360"/>
                                <w:rPr>
                                  <w:rFonts w:ascii="Calibri"/>
                                </w:rPr>
                              </w:pPr>
                              <w:r>
                                <w:rPr>
                                  <w:rFonts w:ascii="Calibri"/>
                                  <w:spacing w:val="-2"/>
                                </w:rPr>
                                <w:t>Competitive</w:t>
                              </w:r>
                            </w:p>
                            <w:p w:rsidR="00487D64" w:rsidRDefault="006F0D93">
                              <w:pPr>
                                <w:spacing w:line="244" w:lineRule="auto"/>
                                <w:ind w:left="360"/>
                                <w:rPr>
                                  <w:rFonts w:ascii="Calibri"/>
                                </w:rPr>
                              </w:pPr>
                              <w:r>
                                <w:rPr>
                                  <w:rFonts w:ascii="Calibri"/>
                                  <w:spacing w:val="-2"/>
                                </w:rPr>
                                <w:t xml:space="preserve">advantage </w:t>
                              </w:r>
                              <w:r>
                                <w:rPr>
                                  <w:rFonts w:ascii="Calibri"/>
                                </w:rPr>
                                <w:t>Adaptability</w:t>
                              </w:r>
                              <w:r>
                                <w:rPr>
                                  <w:rFonts w:ascii="Calibri"/>
                                  <w:spacing w:val="-13"/>
                                </w:rPr>
                                <w:t xml:space="preserve"> </w:t>
                              </w:r>
                              <w:r>
                                <w:rPr>
                                  <w:rFonts w:ascii="Calibri"/>
                                </w:rPr>
                                <w:t xml:space="preserve">to </w:t>
                              </w:r>
                              <w:r>
                                <w:rPr>
                                  <w:rFonts w:ascii="Calibri"/>
                                  <w:spacing w:val="-2"/>
                                </w:rPr>
                                <w:t>change</w:t>
                              </w:r>
                            </w:p>
                            <w:p w:rsidR="00487D64" w:rsidRDefault="006F0D93">
                              <w:pPr>
                                <w:numPr>
                                  <w:ilvl w:val="0"/>
                                  <w:numId w:val="13"/>
                                </w:numPr>
                                <w:tabs>
                                  <w:tab w:val="left" w:pos="360"/>
                                </w:tabs>
                                <w:spacing w:line="275" w:lineRule="exact"/>
                                <w:ind w:hanging="360"/>
                                <w:rPr>
                                  <w:rFonts w:ascii="Calibri"/>
                                </w:rPr>
                              </w:pPr>
                              <w:r>
                                <w:rPr>
                                  <w:rFonts w:ascii="Calibri"/>
                                </w:rPr>
                                <w:t>Resource</w:t>
                              </w:r>
                              <w:r>
                                <w:rPr>
                                  <w:rFonts w:ascii="Calibri"/>
                                  <w:spacing w:val="-6"/>
                                </w:rPr>
                                <w:t xml:space="preserve"> </w:t>
                              </w:r>
                              <w:r>
                                <w:rPr>
                                  <w:rFonts w:ascii="Calibri"/>
                                  <w:spacing w:val="-2"/>
                                </w:rPr>
                                <w:t>Opacity</w:t>
                              </w:r>
                            </w:p>
                            <w:p w:rsidR="00487D64" w:rsidRDefault="006F0D93">
                              <w:pPr>
                                <w:numPr>
                                  <w:ilvl w:val="0"/>
                                  <w:numId w:val="13"/>
                                </w:numPr>
                                <w:tabs>
                                  <w:tab w:val="left" w:pos="360"/>
                                </w:tabs>
                                <w:spacing w:line="237" w:lineRule="auto"/>
                                <w:ind w:right="275"/>
                                <w:rPr>
                                  <w:rFonts w:ascii="Calibri"/>
                                </w:rPr>
                              </w:pPr>
                              <w:r>
                                <w:rPr>
                                  <w:rFonts w:ascii="Calibri"/>
                                </w:rPr>
                                <w:t>Imitability of Resources</w:t>
                              </w:r>
                              <w:r>
                                <w:rPr>
                                  <w:rFonts w:ascii="Calibri"/>
                                  <w:spacing w:val="-13"/>
                                </w:rPr>
                                <w:t xml:space="preserve"> </w:t>
                              </w:r>
                              <w:r>
                                <w:rPr>
                                  <w:rFonts w:ascii="Calibri"/>
                                </w:rPr>
                                <w:t xml:space="preserve">and </w:t>
                              </w:r>
                              <w:r>
                                <w:rPr>
                                  <w:rFonts w:ascii="Calibri"/>
                                  <w:spacing w:val="-2"/>
                                </w:rPr>
                                <w:t>capabilities</w:t>
                              </w:r>
                            </w:p>
                          </w:txbxContent>
                        </wps:txbx>
                        <wps:bodyPr wrap="square" lIns="0" tIns="0" rIns="0" bIns="0" rtlCol="0">
                          <a:noAutofit/>
                        </wps:bodyPr>
                      </wps:wsp>
                      <wps:wsp>
                        <wps:cNvPr id="34" name="Textbox 34"/>
                        <wps:cNvSpPr txBox="1"/>
                        <wps:spPr>
                          <a:xfrm>
                            <a:off x="402081" y="5627085"/>
                            <a:ext cx="1358265" cy="297815"/>
                          </a:xfrm>
                          <a:prstGeom prst="rect">
                            <a:avLst/>
                          </a:prstGeom>
                        </wps:spPr>
                        <wps:txbx>
                          <w:txbxContent>
                            <w:p w:rsidR="00487D64" w:rsidRDefault="006F0D93">
                              <w:pPr>
                                <w:spacing w:line="220" w:lineRule="exact"/>
                                <w:rPr>
                                  <w:b/>
                                  <w:sz w:val="20"/>
                                </w:rPr>
                              </w:pPr>
                              <w:r>
                                <w:rPr>
                                  <w:b/>
                                  <w:sz w:val="20"/>
                                </w:rPr>
                                <w:t>Functional</w:t>
                              </w:r>
                              <w:r>
                                <w:rPr>
                                  <w:b/>
                                  <w:spacing w:val="-10"/>
                                  <w:sz w:val="20"/>
                                </w:rPr>
                                <w:t xml:space="preserve"> </w:t>
                              </w:r>
                              <w:r>
                                <w:rPr>
                                  <w:b/>
                                  <w:spacing w:val="-2"/>
                                  <w:sz w:val="20"/>
                                </w:rPr>
                                <w:t>Coordination</w:t>
                              </w:r>
                            </w:p>
                            <w:p w:rsidR="00487D64" w:rsidRDefault="006F0D93">
                              <w:pPr>
                                <w:numPr>
                                  <w:ilvl w:val="0"/>
                                  <w:numId w:val="12"/>
                                </w:numPr>
                                <w:tabs>
                                  <w:tab w:val="left" w:pos="424"/>
                                </w:tabs>
                                <w:spacing w:line="248" w:lineRule="exact"/>
                                <w:rPr>
                                  <w:rFonts w:ascii="Calibri"/>
                                  <w:sz w:val="20"/>
                                </w:rPr>
                              </w:pPr>
                              <w:r>
                                <w:rPr>
                                  <w:rFonts w:ascii="Calibri"/>
                                  <w:spacing w:val="-2"/>
                                  <w:sz w:val="20"/>
                                </w:rPr>
                                <w:t>Information</w:t>
                              </w:r>
                              <w:r>
                                <w:rPr>
                                  <w:rFonts w:ascii="Calibri"/>
                                  <w:spacing w:val="5"/>
                                  <w:sz w:val="20"/>
                                </w:rPr>
                                <w:t xml:space="preserve"> </w:t>
                              </w:r>
                              <w:r>
                                <w:rPr>
                                  <w:rFonts w:ascii="Calibri"/>
                                  <w:spacing w:val="-2"/>
                                  <w:sz w:val="20"/>
                                </w:rPr>
                                <w:t>Sharing</w:t>
                              </w:r>
                            </w:p>
                          </w:txbxContent>
                        </wps:txbx>
                        <wps:bodyPr wrap="square" lIns="0" tIns="0" rIns="0" bIns="0" rtlCol="0">
                          <a:noAutofit/>
                        </wps:bodyPr>
                      </wps:wsp>
                      <wps:wsp>
                        <wps:cNvPr id="35" name="Textbox 35"/>
                        <wps:cNvSpPr txBox="1"/>
                        <wps:spPr>
                          <a:xfrm>
                            <a:off x="2597785" y="5425917"/>
                            <a:ext cx="112395" cy="288290"/>
                          </a:xfrm>
                          <a:prstGeom prst="rect">
                            <a:avLst/>
                          </a:prstGeom>
                        </wps:spPr>
                        <wps:txbx>
                          <w:txbxContent>
                            <w:p w:rsidR="00487D64" w:rsidRDefault="006F0D93">
                              <w:pPr>
                                <w:ind w:right="11"/>
                                <w:rPr>
                                  <w:b/>
                                  <w:sz w:val="20"/>
                                </w:rPr>
                              </w:pPr>
                              <w:r>
                                <w:rPr>
                                  <w:b/>
                                  <w:spacing w:val="-10"/>
                                  <w:sz w:val="20"/>
                                </w:rPr>
                                <w:t>H</w:t>
                              </w:r>
                              <w:r>
                                <w:rPr>
                                  <w:b/>
                                  <w:sz w:val="20"/>
                                </w:rPr>
                                <w:t xml:space="preserve"> </w:t>
                              </w:r>
                              <w:r>
                                <w:rPr>
                                  <w:b/>
                                  <w:spacing w:val="-10"/>
                                  <w:sz w:val="20"/>
                                </w:rPr>
                                <w:t>3</w:t>
                              </w:r>
                            </w:p>
                          </w:txbxContent>
                        </wps:txbx>
                        <wps:bodyPr wrap="square" lIns="0" tIns="0" rIns="0" bIns="0" rtlCol="0">
                          <a:noAutofit/>
                        </wps:bodyPr>
                      </wps:wsp>
                      <wps:wsp>
                        <wps:cNvPr id="36" name="Textbox 36"/>
                        <wps:cNvSpPr txBox="1"/>
                        <wps:spPr>
                          <a:xfrm>
                            <a:off x="443230" y="5923608"/>
                            <a:ext cx="71755" cy="481965"/>
                          </a:xfrm>
                          <a:prstGeom prst="rect">
                            <a:avLst/>
                          </a:prstGeom>
                        </wps:spPr>
                        <wps:txbx>
                          <w:txbxContent>
                            <w:p w:rsidR="00487D64" w:rsidRDefault="006F0D93">
                              <w:pPr>
                                <w:spacing w:before="1"/>
                                <w:rPr>
                                  <w:rFonts w:ascii="Symbol" w:hAnsi="Symbol"/>
                                  <w:sz w:val="20"/>
                                </w:rPr>
                              </w:pPr>
                              <w:r>
                                <w:rPr>
                                  <w:rFonts w:ascii="Symbol" w:hAnsi="Symbol"/>
                                  <w:spacing w:val="-10"/>
                                  <w:sz w:val="20"/>
                                </w:rPr>
                                <w:t></w:t>
                              </w:r>
                            </w:p>
                            <w:p w:rsidR="00487D64" w:rsidRDefault="006F0D93">
                              <w:pPr>
                                <w:spacing w:before="14"/>
                                <w:rPr>
                                  <w:rFonts w:ascii="Symbol" w:hAnsi="Symbol"/>
                                  <w:sz w:val="20"/>
                                </w:rPr>
                              </w:pPr>
                              <w:r>
                                <w:rPr>
                                  <w:rFonts w:ascii="Symbol" w:hAnsi="Symbol"/>
                                  <w:spacing w:val="-10"/>
                                  <w:sz w:val="20"/>
                                </w:rPr>
                                <w:t></w:t>
                              </w:r>
                            </w:p>
                            <w:p w:rsidR="00487D64" w:rsidRDefault="006F0D93">
                              <w:pPr>
                                <w:spacing w:before="7"/>
                                <w:rPr>
                                  <w:rFonts w:ascii="Symbol" w:hAnsi="Symbol"/>
                                  <w:sz w:val="20"/>
                                </w:rPr>
                              </w:pPr>
                              <w:r>
                                <w:rPr>
                                  <w:rFonts w:ascii="Symbol" w:hAnsi="Symbol"/>
                                  <w:spacing w:val="-10"/>
                                  <w:sz w:val="20"/>
                                </w:rPr>
                                <w:t></w:t>
                              </w:r>
                            </w:p>
                          </w:txbxContent>
                        </wps:txbx>
                        <wps:bodyPr wrap="square" lIns="0" tIns="0" rIns="0" bIns="0" rtlCol="0">
                          <a:noAutofit/>
                        </wps:bodyPr>
                      </wps:wsp>
                      <wps:wsp>
                        <wps:cNvPr id="37" name="Textbox 37"/>
                        <wps:cNvSpPr txBox="1"/>
                        <wps:spPr>
                          <a:xfrm>
                            <a:off x="443230" y="5956300"/>
                            <a:ext cx="1404620" cy="777875"/>
                          </a:xfrm>
                          <a:prstGeom prst="rect">
                            <a:avLst/>
                          </a:prstGeom>
                        </wps:spPr>
                        <wps:txbx>
                          <w:txbxContent>
                            <w:p w:rsidR="00487D64" w:rsidRDefault="006F0D93">
                              <w:pPr>
                                <w:spacing w:line="205" w:lineRule="exact"/>
                                <w:ind w:left="360"/>
                                <w:rPr>
                                  <w:rFonts w:ascii="Calibri"/>
                                  <w:sz w:val="20"/>
                                </w:rPr>
                              </w:pPr>
                              <w:r>
                                <w:rPr>
                                  <w:rFonts w:ascii="Calibri"/>
                                  <w:sz w:val="20"/>
                                </w:rPr>
                                <w:t>Experience</w:t>
                              </w:r>
                              <w:r>
                                <w:rPr>
                                  <w:rFonts w:ascii="Calibri"/>
                                  <w:spacing w:val="-8"/>
                                  <w:sz w:val="20"/>
                                </w:rPr>
                                <w:t xml:space="preserve"> </w:t>
                              </w:r>
                              <w:r>
                                <w:rPr>
                                  <w:rFonts w:ascii="Calibri"/>
                                  <w:spacing w:val="-2"/>
                                  <w:sz w:val="20"/>
                                </w:rPr>
                                <w:t>Sharing</w:t>
                              </w:r>
                            </w:p>
                            <w:p w:rsidR="00487D64" w:rsidRDefault="006F0D93">
                              <w:pPr>
                                <w:spacing w:before="15" w:line="247" w:lineRule="auto"/>
                                <w:ind w:left="360" w:right="97"/>
                                <w:rPr>
                                  <w:rFonts w:ascii="Calibri"/>
                                  <w:sz w:val="20"/>
                                </w:rPr>
                              </w:pPr>
                              <w:r>
                                <w:rPr>
                                  <w:rFonts w:ascii="Calibri"/>
                                  <w:sz w:val="20"/>
                                </w:rPr>
                                <w:t>Resource</w:t>
                              </w:r>
                              <w:r>
                                <w:rPr>
                                  <w:rFonts w:ascii="Calibri"/>
                                  <w:spacing w:val="-12"/>
                                  <w:sz w:val="20"/>
                                </w:rPr>
                                <w:t xml:space="preserve"> </w:t>
                              </w:r>
                              <w:r>
                                <w:rPr>
                                  <w:rFonts w:ascii="Calibri"/>
                                  <w:sz w:val="20"/>
                                </w:rPr>
                                <w:t xml:space="preserve">Sharing </w:t>
                              </w:r>
                              <w:r>
                                <w:rPr>
                                  <w:rFonts w:ascii="Calibri"/>
                                  <w:spacing w:val="-2"/>
                                  <w:sz w:val="20"/>
                                </w:rPr>
                                <w:t>Customer engagement</w:t>
                              </w:r>
                            </w:p>
                            <w:p w:rsidR="00487D64" w:rsidRDefault="006F0D93">
                              <w:pPr>
                                <w:numPr>
                                  <w:ilvl w:val="0"/>
                                  <w:numId w:val="11"/>
                                </w:numPr>
                                <w:tabs>
                                  <w:tab w:val="left" w:pos="359"/>
                                </w:tabs>
                                <w:spacing w:line="250" w:lineRule="exact"/>
                                <w:ind w:left="359" w:hanging="359"/>
                                <w:rPr>
                                  <w:rFonts w:ascii="Calibri"/>
                                  <w:sz w:val="20"/>
                                </w:rPr>
                              </w:pPr>
                              <w:r>
                                <w:rPr>
                                  <w:rFonts w:ascii="Calibri"/>
                                  <w:sz w:val="20"/>
                                </w:rPr>
                                <w:t>Value</w:t>
                              </w:r>
                              <w:r>
                                <w:rPr>
                                  <w:rFonts w:ascii="Calibri"/>
                                  <w:spacing w:val="-9"/>
                                  <w:sz w:val="20"/>
                                </w:rPr>
                                <w:t xml:space="preserve"> </w:t>
                              </w:r>
                              <w:r>
                                <w:rPr>
                                  <w:rFonts w:ascii="Calibri"/>
                                  <w:sz w:val="20"/>
                                </w:rPr>
                                <w:t>creation</w:t>
                              </w:r>
                              <w:r>
                                <w:rPr>
                                  <w:rFonts w:ascii="Calibri"/>
                                  <w:spacing w:val="-8"/>
                                  <w:sz w:val="20"/>
                                </w:rPr>
                                <w:t xml:space="preserve"> </w:t>
                              </w:r>
                              <w:r>
                                <w:rPr>
                                  <w:rFonts w:ascii="Calibri"/>
                                  <w:spacing w:val="-2"/>
                                  <w:sz w:val="20"/>
                                </w:rPr>
                                <w:t>awaren</w:t>
                              </w:r>
                            </w:p>
                          </w:txbxContent>
                        </wps:txbx>
                        <wps:bodyPr wrap="square" lIns="0" tIns="0" rIns="0" bIns="0" rtlCol="0">
                          <a:noAutofit/>
                        </wps:bodyPr>
                      </wps:wsp>
                      <wps:wsp>
                        <wps:cNvPr id="38" name="Textbox 38"/>
                        <wps:cNvSpPr txBox="1"/>
                        <wps:spPr>
                          <a:xfrm>
                            <a:off x="2369185" y="2404745"/>
                            <a:ext cx="298450" cy="203835"/>
                          </a:xfrm>
                          <a:prstGeom prst="rect">
                            <a:avLst/>
                          </a:prstGeom>
                        </wps:spPr>
                        <wps:txbx>
                          <w:txbxContent>
                            <w:p w:rsidR="00487D64" w:rsidRDefault="006F0D93">
                              <w:pPr>
                                <w:spacing w:before="83"/>
                                <w:ind w:left="158"/>
                                <w:rPr>
                                  <w:b/>
                                  <w:sz w:val="20"/>
                                </w:rPr>
                              </w:pPr>
                              <w:r>
                                <w:rPr>
                                  <w:b/>
                                  <w:spacing w:val="-10"/>
                                  <w:sz w:val="20"/>
                                </w:rPr>
                                <w:t>H</w:t>
                              </w:r>
                            </w:p>
                          </w:txbxContent>
                        </wps:txbx>
                        <wps:bodyPr wrap="square" lIns="0" tIns="0" rIns="0" bIns="0" rtlCol="0">
                          <a:noAutofit/>
                        </wps:bodyPr>
                      </wps:wsp>
                      <wps:wsp>
                        <wps:cNvPr id="39" name="Textbox 39"/>
                        <wps:cNvSpPr txBox="1"/>
                        <wps:spPr>
                          <a:xfrm>
                            <a:off x="1764664" y="6350"/>
                            <a:ext cx="2248535" cy="485140"/>
                          </a:xfrm>
                          <a:prstGeom prst="rect">
                            <a:avLst/>
                          </a:prstGeom>
                          <a:ln w="12700">
                            <a:solidFill>
                              <a:srgbClr val="6FAC46"/>
                            </a:solidFill>
                            <a:prstDash val="solid"/>
                          </a:ln>
                        </wps:spPr>
                        <wps:txbx>
                          <w:txbxContent>
                            <w:p w:rsidR="00487D64" w:rsidRDefault="006F0D93">
                              <w:pPr>
                                <w:spacing w:before="83"/>
                                <w:ind w:left="495"/>
                                <w:rPr>
                                  <w:b/>
                                  <w:sz w:val="20"/>
                                </w:rPr>
                              </w:pPr>
                              <w:r>
                                <w:rPr>
                                  <w:b/>
                                  <w:spacing w:val="-2"/>
                                  <w:sz w:val="20"/>
                                </w:rPr>
                                <w:t>STRATEGIC</w:t>
                              </w:r>
                              <w:r>
                                <w:rPr>
                                  <w:b/>
                                  <w:sz w:val="20"/>
                                </w:rPr>
                                <w:t xml:space="preserve"> </w:t>
                              </w:r>
                              <w:r>
                                <w:rPr>
                                  <w:b/>
                                  <w:spacing w:val="-2"/>
                                  <w:sz w:val="20"/>
                                </w:rPr>
                                <w:t>FLEXIBILITY</w:t>
                              </w:r>
                            </w:p>
                          </w:txbxContent>
                        </wps:txbx>
                        <wps:bodyPr wrap="square" lIns="0" tIns="0" rIns="0" bIns="0" rtlCol="0">
                          <a:noAutofit/>
                        </wps:bodyPr>
                      </wps:wsp>
                    </wpg:wgp>
                  </a:graphicData>
                </a:graphic>
              </wp:inline>
            </w:drawing>
          </mc:Choice>
          <mc:Fallback>
            <w:pict>
              <v:group id="Group 6" o:spid="_x0000_s1027" style="width:420.7pt;height:577.85pt;mso-position-horizontal-relative:char;mso-position-vertical-relative:line" coordsize="53428,7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">
                <v:shape id="Graphic 7" o:spid="_x0000_s1028" style="position:absolute;left:63;top:13042;width:21273;height:60281;visibility:visible;mso-wrap-style:square;v-text-anchor:top" coordsize="2127250,602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" path="m989076,l941145,1125,893805,4469,847106,9979r-46006,7626l755839,27295,711375,38998,667759,52663,625043,68239,583280,85674r-40760,19245l502816,125920r-38597,22708l426781,172991r-36227,25967l355589,226478r-33650,29022l289655,285972r-30866,31871l229392,351063r-27875,34517l175215,421343r-24677,36958l127537,496402r-21272,39194l86774,575832,69114,617057,53338,659222,39498,702275,27644,746165r-9814,44675l10107,836250,4526,882343,1140,929069,,976376r1140,47295l4526,1070387r5581,46083l17830,1161871r9814,44667l39498,1250420r13840,43045l69114,1335623r17660,41220l106265,1417072r21272,39189l150538,1494358r24677,36953l201517,1567070r27875,34513l258789,1634800r30866,31868l321939,1697138r33650,29019l390554,1753675r36227,25965l464219,1804001r38597,22707l542520,1847709r40760,19243l625043,1884387r42716,15575l711375,1913627r44464,11703l801100,1935019r46006,7626l893805,1948155r47340,3344l989076,1952625r47919,-1126l1084325,1948155r46689,-5510l1177011,1935019r45253,-9689l1266720,1913627r43609,-13665l1353037,1884387r41758,-17435l1435549,1847709r39699,-21001l1513840,1804001r37433,-24361l1587496,1753675r34961,-27518l1656104,1697138r32281,-30470l1719249,1634800r29394,-33217l1776516,1567070r26300,-35759l1827492,1494358r22999,-38097l1871762,1417072r19491,-40229l1908912,1335623r15775,-42158l1938527,1250420r11853,-43882l1960194,1161871r7723,-45401l1973498,1070387r3386,-46716l1978025,976376r-1141,-47307l1973498,882343r-5581,-46093l1960194,790840r-9814,-44675l1938527,702275r-13840,-43053l1908912,617057r-17659,-41225l1871762,535596r-21271,-39194l1827492,458301r-24676,-36958l1776516,385580r-27873,-34517l1719249,317843r-30864,-31871l1656104,255500r-33647,-29022l1587496,198958r-36223,-25967l1513840,148628r-38592,-22708l1435549,104919,1394795,85674,1353037,68239,1310329,52663,1266720,38998,1222264,27295r-45253,-9690l1131014,9979,1084325,4469,1036995,1125,989076,xem1043940,2000885r-50583,1113l943397,2005305r-49285,5449l845559,2018295r-47768,9583l750863,2039452r-46032,13514l659748,2068370r-44079,17243l572649,2104645r-41907,20770l490004,2147872r-39515,24093l412252,2197646r-36905,27215l339829,2253562r-34077,30136l273172,2315217r-31029,32853l212719,2382205r-27763,35368l158907,2454122r-24278,37680l112175,2530563r-20576,39790l72958,2611123r-16653,41699l41695,2695398r-12513,43404l18822,2782983r-8153,44908l4778,2873474r-3575,46208l,2966466r1203,46772l4778,3059436r5891,45573l18822,3149908r10360,44173l41695,3237477r14610,42569l72958,3321738r18641,40763l112175,3402286r22454,38755l158907,3478717r26049,36544l212719,3550625r29424,34132l273172,3617606r32580,31516l339829,3679255r35518,28699l412252,3735167r38237,25679l490004,3784938r40738,22456l572649,3828162r43020,19031l659748,3864435r45083,15404l750863,3893352r46928,11574l845559,3914509r48553,7541l943397,3927499r49960,3307l1043940,3931920r50582,-1114l1144482,3927499r49285,-5449l1242320,3914509r47768,-9583l1337016,3893352r46032,-13513l1428131,3864435r44079,-17242l1515230,3828162r41907,-20768l1597875,3784938r39515,-24092l1675627,3735167r36905,-27213l1748050,3679255r34077,-30133l1814707,3617606r31029,-32849l1875160,3550625r27763,-35364l1928972,3478717r24278,-37676l1975704,3402286r20576,-39785l2014921,3321738r16653,-41692l2046184,3237477r12513,-43396l2069057,3149908r8153,-44899l2083101,3059436r3575,-46198l2087880,2966466r-1204,-46784l2083101,2873474r-5891,-45583l2069057,2782983r-10360,-44181l2046184,2695398r-14610,-42576l2014921,2611123r-18641,-40770l1975704,2530563r-22454,-38761l1928972,2454122r-26049,-36549l1875160,2382205r-29424,-34135l1814707,2315217r-32580,-31519l1748050,2253562r-35518,-28701l1675627,2197646r-38237,-25681l1597875,2147872r-40738,-22457l1515230,2104645r-43020,-19032l1428131,2068370r-45083,-15404l1337016,2039452r-46928,-11574l1242320,2018295r-48553,-7541l1144482,2005305r-49960,-3307l1043940,2000885xem1071626,3978275r-48335,1054l975514,3982463r-47171,5167l881824,3994787r-45821,9099l790927,4014884r-44284,12851l703196,4042393r-42562,16421l619002,4076953r-40653,19810l538719,4118200r-38558,23019l462719,4165774r-36278,26047l391374,4219313r-33811,28893l325056,4278455r-31157,31559l264138,4342838r-28318,34043l208992,4412100r-25292,36348l159991,4485879r-22080,38471l117507,4563815r-18682,40413l81912,4645544r-15097,42174l53579,4730705r-11327,43755l32880,4818937r-7370,45154l20188,4909877r-3227,46373l15875,5003165r1086,46914l20188,5096452r5322,45786l32880,5187392r9372,44477l53579,5275624r13236,42987l81912,5360785r16913,41316l117507,5442514r20404,39465l159991,5520450r23709,37431l208992,5594229r26828,35219l264138,5663491r29761,32824l325056,5727874r32507,30249l391374,5787016r35067,27492l462719,5840555r37442,24555l538719,5888129r39630,21437l619002,5929376r41632,18139l703196,5963936r43447,14658l790927,5991445r45076,10998l881824,6011542r46519,7157l975514,6023866r47777,3134l1071626,6028055r48324,-1055l1167717,6023866r47161,-5167l1261389,6011542r45813,-9099l1352270,5991445r44278,-12851l1439988,5963936r42556,-16421l1524169,5929376r40649,-19810l1604442,5888129r38555,-23019l1680434,5840555r36274,-26047l1751772,5787016r33807,-28893l1818084,5727874r31155,-31559l1878997,5663491r28316,-34043l1934139,5594229r25291,-36348l1983137,5520450r22079,-38471l2025620,5442514r18681,-40413l2061213,5360785r15097,-42174l2089545,5275624r11327,-43755l2110244,5187392r7370,-45154l2122936,5096452r3227,-46373l2127250,5003165r-1087,-46915l2122936,4909877r-5322,-45786l2110244,4818937r-9372,-44477l2089545,4730705r-13235,-42987l2061213,4645544r-16912,-41316l2025620,4563815r-20404,-39465l1983137,4485879r-23707,-37431l1934139,4412100r-26826,-35219l1878997,4342838r-29758,-32824l1818084,4278455r-32505,-30249l1751772,4219313r-35064,-27492l1680434,4165774r-37437,-24555l1604442,4118200r-39624,-21437l1524169,4076953r-41625,-18139l1439988,4042393r-43440,-14658l1352270,4014884r-45068,-10998l1261389,3994787r-46511,-7157l1167717,3982463r-47767,-3134l1071626,3978275xe" filled="f" strokecolor="#6fac46" strokeweight="1pt">
                  <v:path arrowok="t"/>
                </v:shape>
                <v:shape id="Graphic 8" o:spid="_x0000_s1029" style="position:absolute;left:28873;top:24079;width:24492;height:26200;visibility:visible;mso-wrap-style:square;v-text-anchor:top" coordsize="2449195,262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" path="m1224661,r-46978,945l1131153,3761r-46051,4650l1039562,14863r-44997,8219l950142,33035,906325,44688,863146,58006,820636,72956,778827,89504r-41075,18112l697441,127258r-39515,21138l619239,170996r-37827,24028l544476,220447r-36013,26784l473405,275341r-34071,29402l406281,335405r-32004,31886l343356,400368r-29809,34233l284884,469958r-27487,36446l231119,543906r-25038,38522l182315,621938r-22463,40463l138724,703784r-19760,42268l100602,789173,83670,833110,68201,877832,54225,923304,41775,969491r-10893,46870l21578,1063879r-7684,48132l7863,1160724r-4348,49259l884,1259754,,1310005r884,50250l3515,1410026r4348,49259l13894,1507998r7684,48132l30882,1603648r10893,46870l54225,1696705r13976,45472l83670,1786899r16932,43937l118964,1873957r19760,42268l159852,1957608r22463,40463l206081,2037581r25038,38522l257397,2113605r27487,36446l313547,2185408r29809,34233l374277,2252718r32004,31886l439334,2315266r34071,29402l508463,2372778r36013,26784l581412,2424985r37827,24028l657926,2471613r39515,21138l737752,2512393r41075,18112l820636,2547053r42510,14950l906325,2575321r43817,11653l994565,2596927r44997,8219l1085102,2611598r46051,4650l1177683,2619064r46978,946l1271629,2619064r46522,-2816l1364194,2611598r45533,-6452l1454717,2596927r44416,-9953l1542944,2575321r43173,-13318l1628621,2547053r41803,-16548l1711495,2512393r40306,-19642l1791311,2471613r38683,-22600l1867817,2424985r36933,-25423l1940759,2372778r35055,-28110l2009882,2315266r33051,-30662l2074934,2252718r30919,-33077l2135660,2185408r28661,-35357l2191806,2113605r26277,-37502l2243120,2037581r23765,-39510l2289347,1957608r21126,-41383l2330233,1873957r18361,-43121l2365525,1786899r15469,-44722l2394970,1696705r12450,-46187l2418312,1603648r9304,-47518l2435300,1507998r6031,-48713l2445679,1410026r2631,-49771l2449194,1310005r-884,-50251l2445679,1209983r-4348,-49259l2435300,1112011r-7684,-48132l2418312,1016361r-10892,-46870l2394970,923304r-13976,-45472l2365525,833110r-16931,-43937l2330233,746052r-19760,-42268l2289347,662401r-22462,-40463l2243120,582428r-25037,-38522l2191806,506404r-27485,-36446l2135660,434601r-29807,-34233l2074934,367291r-32001,-31886l2009882,304743r-34068,-29402l1940759,247231r-36009,-26784l1867817,195024r-37823,-24028l1791311,148396r-39510,-21138l1711495,107616,1670424,89504,1628621,72956,1586117,58006,1542944,44688,1499133,33035r-44416,-9953l1409727,14863,1364194,8411,1318151,3761,1271629,945,1224661,xe" filled="f" strokecolor="#6fac46" strokeweight="1pt">
                  <v:path arrowok="t"/>
                </v:shape>
                <v:shape id="Graphic 9" o:spid="_x0000_s1030" style="position:absolute;left:19817;top:4914;width:14141;height:55239;visibility:visible;mso-wrap-style:square;v-text-anchor:top" coordsize="1414145,552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" path="m1083056,2142617r-1016,-3810l1075944,2135251r-3810,1016l1037717,2195271r-6350,10884l1025906,2215515r5448,-9360l1037704,2195271,1037717,r-12700,l1025017,2195271r-34417,-59004l986790,2135251r-6096,3556l979678,2142617r51689,88646l1038694,2218690r44362,-76073xem1414145,4362577r-101562,18783l1313103,4381360r-2209,3315l1311529,4388104r762,3429l1315593,4393819r67030,-12459l347776,5274005r36780,-63068l383540,5207127r-6096,-3556l373634,5204587r-34417,59004l332854,5274475r6350,-10884l339204,3742055r588073,l868299,3776472r-1016,3810l870839,3786378r3810,1016l952398,3742055r10897,-6350l952398,3729355r-77749,-45339l870839,3685032r-3556,6096l868299,3694938r58978,34417l339204,3729355r,-1783461l750062,2136165r,1550721l715645,3627882r-3810,-1016l705739,3630422r-1016,3810l756412,3722878r7327,-12573l808101,3634232r-1016,-3810l800989,3626866r-3810,1016l762762,3686886r-6350,10884l762749,3686886r,-1544841l1133563,2313762r-64477,6147l1065657,2320163r-2439,3048l1063129,2323592r242,3175l1063752,2330323r3048,2540l1070356,2332482r94615,-8890l1169035,2323211r-58801,-84201l1106297,2238248r-2794,2032l1100582,2242312r-762,3937l1138796,2302230,762749,2128113,762762,,750062,r,2122233l339204,1931974,339217,,326517,r,1926094l5334,1777365,,1788795r326517,151218l326517,3729355r-213995,l112522,3742055r213995,l326517,5263591r-34417,-59004l288290,5203571r-6096,3556l281178,5210937r46748,80188l69596,5513959r8382,9652l1390916,4390860r-22110,64554l1370457,4459097r3429,1143l1377188,4461383r3556,-1778l1412963,4366006r1182,-3429xe" fillcolor="#4471c4" stroked="f">
                  <v:path arrowok="t"/>
                </v:shape>
                <v:shape id="Graphic 10" o:spid="_x0000_s1031" style="position:absolute;left:25025;top:53676;width:3378;height:3759;visibility:visible;mso-wrap-style:square;v-text-anchor:top" coordsize="33782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" path="m337820,l,,,375920r337820,l337820,xe" stroked="f">
                  <v:path arrowok="t"/>
                </v:shape>
                <v:shape id="Graphic 11" o:spid="_x0000_s1032" style="position:absolute;left:25025;top:53676;width:3378;height:3759;visibility:visible;mso-wrap-style:square;v-text-anchor:top" coordsize="33782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" path="m,375920r337820,l337820,,,,,375920xe" filled="f" strokecolor="white" strokeweight=".5pt">
                  <v:path arrowok="t"/>
                </v:shape>
                <v:shape id="Graphic 12" o:spid="_x0000_s1033" style="position:absolute;left:23691;top:40576;width:2985;height:3518;visibility:visible;mso-wrap-style:square;v-text-anchor:top" coordsize="29845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" path="m298450,l,,,351789r298450,l298450,xe" stroked="f">
                  <v:path arrowok="t"/>
                </v:shape>
                <v:shape id="Graphic 13" o:spid="_x0000_s1034" style="position:absolute;left:23691;top:40576;width:2985;height:3518;visibility:visible;mso-wrap-style:square;v-text-anchor:top" coordsize="29845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" path="m,351789r298450,l298450,,,,,351789xe" filled="f" strokecolor="white" strokeweight=".5pt">
                  <v:path arrowok="t"/>
                </v:shape>
                <v:shape id="Graphic 14" o:spid="_x0000_s1035" style="position:absolute;left:23691;top:24079;width:2985;height:3276;visibility:visible;mso-wrap-style:square;v-text-anchor:top" coordsize="2984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" path="m298450,l,,,327659r298450,l298450,xe" stroked="f">
                  <v:path arrowok="t"/>
                </v:shape>
                <v:shape id="Graphic 15" o:spid="_x0000_s1036" style="position:absolute;left:23691;top:24079;width:2985;height:3276;visibility:visible;mso-wrap-style:square;v-text-anchor:top" coordsize="2984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" path="m,327659r298450,l298450,,,,,327659xe" filled="f" strokecolor="white" strokeweight=".5pt">
                  <v:path arrowok="t"/>
                </v:shape>
                <v:shape id="Graphic 16" o:spid="_x0000_s1037" style="position:absolute;left:21570;top:11220;width:3061;height:3759;visibility:visible;mso-wrap-style:square;v-text-anchor:top" coordsize="3060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" path="m306070,l,,,375920r306070,l306070,xe" stroked="f">
                  <v:path arrowok="t"/>
                </v:shape>
                <v:shape id="Graphic 17" o:spid="_x0000_s1038" style="position:absolute;left:21570;top:11220;width:3061;height:3759;visibility:visible;mso-wrap-style:square;v-text-anchor:top" coordsize="3060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" path="m,375920r306070,l306070,,,,,375920xe" filled="f" strokecolor="white" strokeweight=".17636mm">
                  <v:path arrowok="t"/>
                </v:shape>
                <v:shape id="Graphic 18" o:spid="_x0000_s1039" style="position:absolute;left:25939;top:11220;width:3220;height:3759;visibility:visible;mso-wrap-style:square;v-text-anchor:top" coordsize="32194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" path="m321945,l,,,375920r321945,l321945,xe" stroked="f">
                  <v:path arrowok="t"/>
                </v:shape>
                <v:shape id="Graphic 19" o:spid="_x0000_s1040" style="position:absolute;left:25939;top:11220;width:3220;height:3759;visibility:visible;mso-wrap-style:square;v-text-anchor:top" coordsize="32194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" path="m,375920r321945,l321945,,,,,375920xe" filled="f" strokecolor="white" strokeweight=".5pt">
                  <v:path arrowok="t"/>
                </v:shape>
                <v:shape id="Graphic 20" o:spid="_x0000_s1041" style="position:absolute;left:28987;top:11220;width:2985;height:3759;visibility:visible;mso-wrap-style:square;v-text-anchor:top" coordsize="29845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" path="m298450,l,,,375920r298450,l298450,xe" stroked="f">
                  <v:path arrowok="t"/>
                </v:shape>
                <v:shape id="Graphic 21" o:spid="_x0000_s1042" style="position:absolute;left:28987;top:11220;width:2985;height:3759;visibility:visible;mso-wrap-style:square;v-text-anchor:top" coordsize="29845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" path="m,375920r298450,l298450,,,,,375920xe" filled="f" strokecolor="white" strokeweight=".5pt">
                  <v:path arrowok="t"/>
                </v:shape>
                <v:shape id="Textbox 22" o:spid="_x0000_s1043" type="#_x0000_t202" style="position:absolute;left:22640;top:11767;width:112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487D64" w:rsidRDefault="006F0D93">
                        <w:pPr>
                          <w:ind w:left="28" w:right="12" w:hanging="29"/>
                          <w:rPr>
                            <w:b/>
                            <w:sz w:val="20"/>
                          </w:rPr>
                        </w:pPr>
                        <w:r>
                          <w:rPr>
                            <w:b/>
                            <w:spacing w:val="-10"/>
                            <w:sz w:val="20"/>
                          </w:rPr>
                          <w:t>H</w:t>
                        </w:r>
                        <w:r>
                          <w:rPr>
                            <w:b/>
                            <w:sz w:val="20"/>
                          </w:rPr>
                          <w:t xml:space="preserve"> </w:t>
                        </w:r>
                        <w:r>
                          <w:rPr>
                            <w:b/>
                            <w:spacing w:val="-10"/>
                            <w:sz w:val="20"/>
                          </w:rPr>
                          <w:t>6</w:t>
                        </w:r>
                      </w:p>
                    </w:txbxContent>
                  </v:textbox>
                </v:shape>
                <v:shape id="Textbox 23" o:spid="_x0000_s1044" type="#_x0000_t202" style="position:absolute;left:27033;top:11767;width:409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487D64" w:rsidRDefault="006F0D93">
                        <w:pPr>
                          <w:tabs>
                            <w:tab w:val="left" w:pos="467"/>
                          </w:tabs>
                          <w:spacing w:line="223" w:lineRule="exact"/>
                          <w:rPr>
                            <w:b/>
                            <w:sz w:val="20"/>
                          </w:rPr>
                        </w:pPr>
                        <w:r>
                          <w:rPr>
                            <w:b/>
                            <w:spacing w:val="-10"/>
                            <w:sz w:val="20"/>
                          </w:rPr>
                          <w:t>H</w:t>
                        </w:r>
                        <w:r>
                          <w:rPr>
                            <w:b/>
                            <w:sz w:val="20"/>
                          </w:rPr>
                          <w:tab/>
                        </w:r>
                        <w:r>
                          <w:rPr>
                            <w:b/>
                            <w:spacing w:val="-10"/>
                            <w:sz w:val="20"/>
                          </w:rPr>
                          <w:t>H</w:t>
                        </w:r>
                      </w:p>
                      <w:p w:rsidR="00487D64" w:rsidRDefault="006F0D93">
                        <w:pPr>
                          <w:tabs>
                            <w:tab w:val="left" w:pos="496"/>
                          </w:tabs>
                          <w:ind w:left="28"/>
                          <w:rPr>
                            <w:b/>
                            <w:sz w:val="20"/>
                          </w:rPr>
                        </w:pPr>
                        <w:r>
                          <w:rPr>
                            <w:b/>
                            <w:spacing w:val="-10"/>
                            <w:sz w:val="20"/>
                          </w:rPr>
                          <w:t>5</w:t>
                        </w:r>
                        <w:r>
                          <w:rPr>
                            <w:b/>
                            <w:sz w:val="20"/>
                          </w:rPr>
                          <w:tab/>
                        </w:r>
                        <w:r>
                          <w:rPr>
                            <w:b/>
                            <w:spacing w:val="-10"/>
                            <w:sz w:val="20"/>
                          </w:rPr>
                          <w:t>4</w:t>
                        </w:r>
                      </w:p>
                    </w:txbxContent>
                  </v:textbox>
                </v:shape>
                <v:shape id="Textbox 24" o:spid="_x0000_s1045" type="#_x0000_t202" style="position:absolute;left:3655;top:16342;width:13639;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487D64" w:rsidRDefault="006F0D93">
                        <w:pPr>
                          <w:spacing w:line="220" w:lineRule="exact"/>
                          <w:rPr>
                            <w:b/>
                            <w:sz w:val="20"/>
                          </w:rPr>
                        </w:pPr>
                        <w:r>
                          <w:rPr>
                            <w:b/>
                            <w:spacing w:val="-2"/>
                            <w:sz w:val="20"/>
                          </w:rPr>
                          <w:t>Customer</w:t>
                        </w:r>
                        <w:r>
                          <w:rPr>
                            <w:b/>
                            <w:spacing w:val="-3"/>
                            <w:sz w:val="20"/>
                          </w:rPr>
                          <w:t xml:space="preserve"> </w:t>
                        </w:r>
                        <w:r>
                          <w:rPr>
                            <w:b/>
                            <w:spacing w:val="-2"/>
                            <w:sz w:val="20"/>
                          </w:rPr>
                          <w:t>Orientation</w:t>
                        </w:r>
                      </w:p>
                      <w:p w:rsidR="00487D64" w:rsidRDefault="006F0D93">
                        <w:pPr>
                          <w:numPr>
                            <w:ilvl w:val="0"/>
                            <w:numId w:val="15"/>
                          </w:numPr>
                          <w:tabs>
                            <w:tab w:val="left" w:pos="359"/>
                          </w:tabs>
                          <w:spacing w:line="250" w:lineRule="exact"/>
                          <w:ind w:left="359" w:hanging="359"/>
                          <w:rPr>
                            <w:rFonts w:ascii="Calibri"/>
                            <w:sz w:val="20"/>
                          </w:rPr>
                        </w:pPr>
                        <w:r>
                          <w:rPr>
                            <w:rFonts w:ascii="Calibri"/>
                            <w:sz w:val="20"/>
                          </w:rPr>
                          <w:t>After</w:t>
                        </w:r>
                        <w:r>
                          <w:rPr>
                            <w:rFonts w:ascii="Calibri"/>
                            <w:spacing w:val="-9"/>
                            <w:sz w:val="20"/>
                          </w:rPr>
                          <w:t xml:space="preserve"> </w:t>
                        </w:r>
                        <w:r>
                          <w:rPr>
                            <w:rFonts w:ascii="Calibri"/>
                            <w:sz w:val="20"/>
                          </w:rPr>
                          <w:t>sale</w:t>
                        </w:r>
                        <w:r>
                          <w:rPr>
                            <w:rFonts w:ascii="Calibri"/>
                            <w:spacing w:val="-6"/>
                            <w:sz w:val="20"/>
                          </w:rPr>
                          <w:t xml:space="preserve"> </w:t>
                        </w:r>
                        <w:r>
                          <w:rPr>
                            <w:rFonts w:ascii="Calibri"/>
                            <w:spacing w:val="-2"/>
                            <w:sz w:val="20"/>
                          </w:rPr>
                          <w:t>service</w:t>
                        </w:r>
                      </w:p>
                      <w:p w:rsidR="00487D64" w:rsidRDefault="006F0D93">
                        <w:pPr>
                          <w:numPr>
                            <w:ilvl w:val="0"/>
                            <w:numId w:val="15"/>
                          </w:numPr>
                          <w:tabs>
                            <w:tab w:val="left" w:pos="359"/>
                          </w:tabs>
                          <w:spacing w:line="253" w:lineRule="exact"/>
                          <w:ind w:left="359" w:hanging="359"/>
                          <w:rPr>
                            <w:rFonts w:ascii="Calibri"/>
                            <w:sz w:val="20"/>
                          </w:rPr>
                        </w:pPr>
                        <w:r>
                          <w:rPr>
                            <w:rFonts w:ascii="Calibri"/>
                            <w:sz w:val="20"/>
                          </w:rPr>
                          <w:t>Value</w:t>
                        </w:r>
                        <w:r>
                          <w:rPr>
                            <w:rFonts w:ascii="Calibri"/>
                            <w:spacing w:val="-4"/>
                            <w:sz w:val="20"/>
                          </w:rPr>
                          <w:t xml:space="preserve"> </w:t>
                        </w:r>
                        <w:r>
                          <w:rPr>
                            <w:rFonts w:ascii="Calibri"/>
                            <w:sz w:val="20"/>
                          </w:rPr>
                          <w:t>for</w:t>
                        </w:r>
                        <w:r>
                          <w:rPr>
                            <w:rFonts w:ascii="Calibri"/>
                            <w:spacing w:val="-3"/>
                            <w:sz w:val="20"/>
                          </w:rPr>
                          <w:t xml:space="preserve"> </w:t>
                        </w:r>
                        <w:r>
                          <w:rPr>
                            <w:rFonts w:ascii="Calibri"/>
                            <w:spacing w:val="-2"/>
                            <w:sz w:val="20"/>
                          </w:rPr>
                          <w:t>customer</w:t>
                        </w:r>
                      </w:p>
                      <w:p w:rsidR="00487D64" w:rsidRDefault="006F0D93">
                        <w:pPr>
                          <w:numPr>
                            <w:ilvl w:val="0"/>
                            <w:numId w:val="15"/>
                          </w:numPr>
                          <w:tabs>
                            <w:tab w:val="left" w:pos="359"/>
                          </w:tabs>
                          <w:spacing w:before="4" w:line="254" w:lineRule="exact"/>
                          <w:ind w:left="359" w:hanging="359"/>
                          <w:rPr>
                            <w:rFonts w:ascii="Calibri"/>
                            <w:sz w:val="20"/>
                          </w:rPr>
                        </w:pPr>
                        <w:r>
                          <w:rPr>
                            <w:rFonts w:ascii="Calibri"/>
                            <w:sz w:val="20"/>
                          </w:rPr>
                          <w:t>Customer</w:t>
                        </w:r>
                        <w:r>
                          <w:rPr>
                            <w:rFonts w:ascii="Calibri"/>
                            <w:spacing w:val="-5"/>
                            <w:sz w:val="20"/>
                          </w:rPr>
                          <w:t xml:space="preserve"> </w:t>
                        </w:r>
                        <w:r>
                          <w:rPr>
                            <w:rFonts w:ascii="Calibri"/>
                            <w:spacing w:val="-2"/>
                            <w:sz w:val="20"/>
                          </w:rPr>
                          <w:t>satisfaction</w:t>
                        </w:r>
                      </w:p>
                      <w:p w:rsidR="00487D64" w:rsidRDefault="006F0D93">
                        <w:pPr>
                          <w:numPr>
                            <w:ilvl w:val="0"/>
                            <w:numId w:val="15"/>
                          </w:numPr>
                          <w:tabs>
                            <w:tab w:val="left" w:pos="359"/>
                          </w:tabs>
                          <w:spacing w:line="252" w:lineRule="exact"/>
                          <w:ind w:left="359" w:hanging="359"/>
                          <w:rPr>
                            <w:rFonts w:ascii="Calibri"/>
                            <w:sz w:val="20"/>
                          </w:rPr>
                        </w:pPr>
                        <w:r>
                          <w:rPr>
                            <w:rFonts w:ascii="Calibri"/>
                            <w:sz w:val="20"/>
                          </w:rPr>
                          <w:t>Need</w:t>
                        </w:r>
                        <w:r>
                          <w:rPr>
                            <w:rFonts w:ascii="Calibri"/>
                            <w:spacing w:val="-1"/>
                            <w:sz w:val="20"/>
                          </w:rPr>
                          <w:t xml:space="preserve"> </w:t>
                        </w:r>
                        <w:r>
                          <w:rPr>
                            <w:rFonts w:ascii="Calibri"/>
                            <w:spacing w:val="-2"/>
                            <w:sz w:val="20"/>
                          </w:rPr>
                          <w:t>recognition</w:t>
                        </w:r>
                      </w:p>
                      <w:p w:rsidR="00487D64" w:rsidRDefault="006F0D93">
                        <w:pPr>
                          <w:numPr>
                            <w:ilvl w:val="0"/>
                            <w:numId w:val="15"/>
                          </w:numPr>
                          <w:tabs>
                            <w:tab w:val="left" w:pos="359"/>
                          </w:tabs>
                          <w:spacing w:line="250" w:lineRule="exact"/>
                          <w:ind w:left="359" w:hanging="359"/>
                          <w:rPr>
                            <w:rFonts w:ascii="Calibri"/>
                            <w:sz w:val="20"/>
                          </w:rPr>
                        </w:pPr>
                        <w:r>
                          <w:rPr>
                            <w:rFonts w:ascii="Calibri"/>
                            <w:sz w:val="20"/>
                          </w:rPr>
                          <w:t>Goal</w:t>
                        </w:r>
                        <w:r>
                          <w:rPr>
                            <w:rFonts w:ascii="Calibri"/>
                            <w:spacing w:val="-7"/>
                            <w:sz w:val="20"/>
                          </w:rPr>
                          <w:t xml:space="preserve"> </w:t>
                        </w:r>
                        <w:r>
                          <w:rPr>
                            <w:rFonts w:ascii="Calibri"/>
                            <w:spacing w:val="-2"/>
                            <w:sz w:val="20"/>
                          </w:rPr>
                          <w:t>Achievement</w:t>
                        </w:r>
                      </w:p>
                    </w:txbxContent>
                  </v:textbox>
                </v:shape>
                <v:shape id="Textbox 25" o:spid="_x0000_s1046" type="#_x0000_t202" style="position:absolute;left:23691;top:26082;width:311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487D64" w:rsidRDefault="006F0D93">
                        <w:pPr>
                          <w:spacing w:line="223" w:lineRule="exact"/>
                          <w:rPr>
                            <w:b/>
                            <w:sz w:val="20"/>
                          </w:rPr>
                        </w:pPr>
                        <w:r>
                          <w:rPr>
                            <w:b/>
                            <w:color w:val="000000"/>
                            <w:spacing w:val="43"/>
                            <w:sz w:val="20"/>
                            <w:shd w:val="clear" w:color="auto" w:fill="FFFFFF"/>
                          </w:rPr>
                          <w:t xml:space="preserve">  </w:t>
                        </w:r>
                        <w:r>
                          <w:rPr>
                            <w:b/>
                            <w:color w:val="000000"/>
                            <w:spacing w:val="-10"/>
                            <w:sz w:val="20"/>
                            <w:shd w:val="clear" w:color="auto" w:fill="FFFFFF"/>
                          </w:rPr>
                          <w:t>1</w:t>
                        </w:r>
                        <w:r>
                          <w:rPr>
                            <w:b/>
                            <w:color w:val="000000"/>
                            <w:spacing w:val="80"/>
                            <w:sz w:val="20"/>
                            <w:shd w:val="clear" w:color="auto" w:fill="FFFFFF"/>
                          </w:rPr>
                          <w:t xml:space="preserve"> </w:t>
                        </w:r>
                      </w:p>
                    </w:txbxContent>
                  </v:textbox>
                </v:shape>
                <v:shape id="Textbox 26" o:spid="_x0000_s1047" type="#_x0000_t202" style="position:absolute;left:33162;top:28338;width:9868;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487D64" w:rsidRDefault="006F0D93">
                        <w:pPr>
                          <w:rPr>
                            <w:b/>
                          </w:rPr>
                        </w:pPr>
                        <w:r>
                          <w:rPr>
                            <w:b/>
                            <w:spacing w:val="-2"/>
                          </w:rPr>
                          <w:t>Sustainable Competitiveness</w:t>
                        </w:r>
                      </w:p>
                      <w:p w:rsidR="00487D64" w:rsidRDefault="006F0D93">
                        <w:pPr>
                          <w:ind w:left="360"/>
                          <w:rPr>
                            <w:rFonts w:ascii="Symbol" w:hAnsi="Symbol"/>
                          </w:rPr>
                        </w:pPr>
                        <w:r>
                          <w:rPr>
                            <w:rFonts w:ascii="Symbol" w:hAnsi="Symbol"/>
                            <w:spacing w:val="-10"/>
                          </w:rPr>
                          <w:t></w:t>
                        </w:r>
                      </w:p>
                    </w:txbxContent>
                  </v:textbox>
                </v:shape>
                <v:shape id="Textbox 27" o:spid="_x0000_s1048" type="#_x0000_t202" style="position:absolute;left:4020;top:36330;width:1433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487D64" w:rsidRDefault="006F0D93">
                        <w:pPr>
                          <w:spacing w:line="220" w:lineRule="exact"/>
                          <w:rPr>
                            <w:b/>
                            <w:sz w:val="20"/>
                          </w:rPr>
                        </w:pPr>
                        <w:r>
                          <w:rPr>
                            <w:b/>
                            <w:spacing w:val="-2"/>
                            <w:sz w:val="20"/>
                          </w:rPr>
                          <w:t>Competitor Orientation</w:t>
                        </w:r>
                      </w:p>
                      <w:p w:rsidR="00487D64" w:rsidRDefault="006F0D93">
                        <w:pPr>
                          <w:numPr>
                            <w:ilvl w:val="0"/>
                            <w:numId w:val="14"/>
                          </w:numPr>
                          <w:tabs>
                            <w:tab w:val="left" w:pos="424"/>
                          </w:tabs>
                          <w:spacing w:line="248" w:lineRule="exact"/>
                          <w:rPr>
                            <w:rFonts w:ascii="Calibri"/>
                            <w:sz w:val="20"/>
                          </w:rPr>
                        </w:pPr>
                        <w:r>
                          <w:rPr>
                            <w:rFonts w:ascii="Calibri"/>
                            <w:spacing w:val="-2"/>
                            <w:sz w:val="20"/>
                          </w:rPr>
                          <w:t>Available</w:t>
                        </w:r>
                        <w:r>
                          <w:rPr>
                            <w:rFonts w:ascii="Calibri"/>
                            <w:spacing w:val="-3"/>
                            <w:sz w:val="20"/>
                          </w:rPr>
                          <w:t xml:space="preserve"> </w:t>
                        </w:r>
                        <w:r>
                          <w:rPr>
                            <w:rFonts w:ascii="Calibri"/>
                            <w:spacing w:val="-2"/>
                            <w:sz w:val="20"/>
                          </w:rPr>
                          <w:t>opportunitie</w:t>
                        </w:r>
                      </w:p>
                    </w:txbxContent>
                  </v:textbox>
                </v:shape>
                <v:shape id="Textbox 28" o:spid="_x0000_s1049" type="#_x0000_t202" style="position:absolute;left:35448;top:34992;width:781;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487D64" w:rsidRDefault="006F0D93">
                        <w:pPr>
                          <w:spacing w:before="3"/>
                          <w:rPr>
                            <w:rFonts w:ascii="Symbol" w:hAnsi="Symbol"/>
                          </w:rPr>
                        </w:pPr>
                        <w:r>
                          <w:rPr>
                            <w:rFonts w:ascii="Symbol" w:hAnsi="Symbol"/>
                            <w:spacing w:val="-10"/>
                          </w:rPr>
                          <w:t></w:t>
                        </w:r>
                      </w:p>
                    </w:txbxContent>
                  </v:textbox>
                </v:shape>
                <v:shape id="Textbox 29" o:spid="_x0000_s1050" type="#_x0000_t202" style="position:absolute;left:4432;top:39293;width:717;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487D64" w:rsidRDefault="006F0D93">
                        <w:pPr>
                          <w:spacing w:before="1"/>
                          <w:rPr>
                            <w:rFonts w:ascii="Symbol" w:hAnsi="Symbol"/>
                            <w:sz w:val="20"/>
                          </w:rPr>
                        </w:pPr>
                        <w:r>
                          <w:rPr>
                            <w:rFonts w:ascii="Symbol" w:hAnsi="Symbol"/>
                            <w:spacing w:val="-10"/>
                            <w:sz w:val="20"/>
                          </w:rPr>
                          <w:t></w:t>
                        </w:r>
                      </w:p>
                      <w:p w:rsidR="00487D64" w:rsidRDefault="006F0D93">
                        <w:pPr>
                          <w:spacing w:before="14"/>
                          <w:rPr>
                            <w:rFonts w:ascii="Symbol" w:hAnsi="Symbol"/>
                            <w:sz w:val="20"/>
                          </w:rPr>
                        </w:pPr>
                        <w:r>
                          <w:rPr>
                            <w:rFonts w:ascii="Symbol" w:hAnsi="Symbol"/>
                            <w:spacing w:val="-10"/>
                            <w:sz w:val="20"/>
                          </w:rPr>
                          <w:t></w:t>
                        </w:r>
                      </w:p>
                      <w:p w:rsidR="00487D64" w:rsidRDefault="00487D64">
                        <w:pPr>
                          <w:spacing w:before="8"/>
                          <w:rPr>
                            <w:rFonts w:ascii="Symbol" w:hAnsi="Symbol"/>
                            <w:sz w:val="20"/>
                          </w:rPr>
                        </w:pPr>
                      </w:p>
                      <w:p w:rsidR="00487D64" w:rsidRDefault="006F0D93">
                        <w:pPr>
                          <w:rPr>
                            <w:rFonts w:ascii="Symbol" w:hAnsi="Symbol"/>
                            <w:sz w:val="20"/>
                          </w:rPr>
                        </w:pPr>
                        <w:r>
                          <w:rPr>
                            <w:rFonts w:ascii="Symbol" w:hAnsi="Symbol"/>
                            <w:spacing w:val="-10"/>
                            <w:sz w:val="20"/>
                          </w:rPr>
                          <w:t></w:t>
                        </w:r>
                      </w:p>
                    </w:txbxContent>
                  </v:textbox>
                </v:shape>
                <v:shape id="Textbox 30" o:spid="_x0000_s1051" type="#_x0000_t202" style="position:absolute;left:4432;top:47298;width:71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487D64" w:rsidRDefault="006F0D93">
                        <w:pPr>
                          <w:spacing w:before="1"/>
                          <w:rPr>
                            <w:rFonts w:ascii="Symbol" w:hAnsi="Symbol"/>
                            <w:sz w:val="20"/>
                          </w:rPr>
                        </w:pPr>
                        <w:r>
                          <w:rPr>
                            <w:rFonts w:ascii="Symbol" w:hAnsi="Symbol"/>
                            <w:spacing w:val="-10"/>
                            <w:sz w:val="20"/>
                          </w:rPr>
                          <w:t></w:t>
                        </w:r>
                      </w:p>
                    </w:txbxContent>
                  </v:textbox>
                </v:shape>
                <v:shape id="Textbox 31" o:spid="_x0000_s1052" type="#_x0000_t202" style="position:absolute;left:6718;top:39620;width:1172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487D64" w:rsidRDefault="006F0D93">
                        <w:pPr>
                          <w:spacing w:line="205" w:lineRule="exact"/>
                          <w:rPr>
                            <w:rFonts w:ascii="Calibri"/>
                            <w:sz w:val="20"/>
                          </w:rPr>
                        </w:pPr>
                        <w:r>
                          <w:rPr>
                            <w:rFonts w:ascii="Calibri"/>
                            <w:spacing w:val="-2"/>
                            <w:sz w:val="20"/>
                          </w:rPr>
                          <w:t>Competitive</w:t>
                        </w:r>
                        <w:r>
                          <w:rPr>
                            <w:rFonts w:ascii="Calibri"/>
                            <w:spacing w:val="6"/>
                            <w:sz w:val="20"/>
                          </w:rPr>
                          <w:t xml:space="preserve"> </w:t>
                        </w:r>
                        <w:r>
                          <w:rPr>
                            <w:rFonts w:ascii="Calibri"/>
                            <w:spacing w:val="-2"/>
                            <w:sz w:val="20"/>
                          </w:rPr>
                          <w:t>agility</w:t>
                        </w:r>
                      </w:p>
                      <w:p w:rsidR="00487D64" w:rsidRDefault="006F0D93">
                        <w:pPr>
                          <w:spacing w:before="15"/>
                          <w:ind w:right="353"/>
                          <w:rPr>
                            <w:rFonts w:ascii="Calibri"/>
                            <w:sz w:val="20"/>
                          </w:rPr>
                        </w:pPr>
                        <w:r>
                          <w:rPr>
                            <w:rFonts w:ascii="Calibri"/>
                            <w:sz w:val="20"/>
                          </w:rPr>
                          <w:t>Competitor</w:t>
                        </w:r>
                        <w:r>
                          <w:rPr>
                            <w:rFonts w:ascii="Calibri"/>
                            <w:spacing w:val="-12"/>
                            <w:sz w:val="20"/>
                          </w:rPr>
                          <w:t xml:space="preserve"> </w:t>
                        </w:r>
                        <w:r>
                          <w:rPr>
                            <w:rFonts w:ascii="Calibri"/>
                            <w:sz w:val="20"/>
                          </w:rPr>
                          <w:t xml:space="preserve">SWOC </w:t>
                        </w:r>
                        <w:r>
                          <w:rPr>
                            <w:rFonts w:ascii="Calibri"/>
                            <w:spacing w:val="-2"/>
                            <w:sz w:val="20"/>
                          </w:rPr>
                          <w:t>analysis,</w:t>
                        </w:r>
                      </w:p>
                      <w:p w:rsidR="00487D64" w:rsidRDefault="006F0D93">
                        <w:pPr>
                          <w:spacing w:before="9"/>
                          <w:ind w:right="10"/>
                          <w:rPr>
                            <w:rFonts w:ascii="Calibri"/>
                            <w:sz w:val="20"/>
                          </w:rPr>
                        </w:pPr>
                        <w:r>
                          <w:rPr>
                            <w:rFonts w:ascii="Calibri"/>
                            <w:sz w:val="20"/>
                          </w:rPr>
                          <w:t>Customer</w:t>
                        </w:r>
                        <w:r>
                          <w:rPr>
                            <w:rFonts w:ascii="Calibri"/>
                            <w:spacing w:val="-12"/>
                            <w:sz w:val="20"/>
                          </w:rPr>
                          <w:t xml:space="preserve"> </w:t>
                        </w:r>
                        <w:r>
                          <w:rPr>
                            <w:rFonts w:ascii="Calibri"/>
                            <w:sz w:val="20"/>
                          </w:rPr>
                          <w:t xml:space="preserve">Competitive </w:t>
                        </w:r>
                        <w:r>
                          <w:rPr>
                            <w:rFonts w:ascii="Calibri"/>
                            <w:spacing w:val="-2"/>
                            <w:sz w:val="20"/>
                          </w:rPr>
                          <w:t>strategy</w:t>
                        </w:r>
                      </w:p>
                      <w:p w:rsidR="00487D64" w:rsidRDefault="006F0D93">
                        <w:pPr>
                          <w:spacing w:before="16" w:line="241" w:lineRule="exact"/>
                          <w:rPr>
                            <w:rFonts w:ascii="Calibri"/>
                            <w:sz w:val="20"/>
                          </w:rPr>
                        </w:pPr>
                        <w:r>
                          <w:rPr>
                            <w:rFonts w:ascii="Calibri"/>
                            <w:spacing w:val="-2"/>
                            <w:sz w:val="20"/>
                          </w:rPr>
                          <w:t>Competitor</w:t>
                        </w:r>
                        <w:r>
                          <w:rPr>
                            <w:rFonts w:ascii="Calibri"/>
                            <w:spacing w:val="6"/>
                            <w:sz w:val="20"/>
                          </w:rPr>
                          <w:t xml:space="preserve"> </w:t>
                        </w:r>
                        <w:r>
                          <w:rPr>
                            <w:rFonts w:ascii="Calibri"/>
                            <w:spacing w:val="-2"/>
                            <w:sz w:val="20"/>
                          </w:rPr>
                          <w:t>strategy</w:t>
                        </w:r>
                      </w:p>
                    </w:txbxContent>
                  </v:textbox>
                </v:shape>
                <v:shape id="Textbox 32" o:spid="_x0000_s1053" type="#_x0000_t202" style="position:absolute;left:24651;top:41131;width:112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487D64" w:rsidRDefault="006F0D93">
                        <w:pPr>
                          <w:ind w:right="11"/>
                          <w:rPr>
                            <w:b/>
                            <w:sz w:val="20"/>
                          </w:rPr>
                        </w:pPr>
                        <w:r>
                          <w:rPr>
                            <w:b/>
                            <w:spacing w:val="-10"/>
                            <w:sz w:val="20"/>
                          </w:rPr>
                          <w:t>H</w:t>
                        </w:r>
                        <w:r>
                          <w:rPr>
                            <w:b/>
                            <w:sz w:val="20"/>
                          </w:rPr>
                          <w:t xml:space="preserve"> </w:t>
                        </w:r>
                        <w:r>
                          <w:rPr>
                            <w:b/>
                            <w:spacing w:val="-10"/>
                            <w:sz w:val="20"/>
                          </w:rPr>
                          <w:t>2</w:t>
                        </w:r>
                      </w:p>
                    </w:txbxContent>
                  </v:textbox>
                </v:shape>
                <v:shape id="Textbox 33" o:spid="_x0000_s1054" type="#_x0000_t202" style="position:absolute;left:35448;top:31879;width:12338;height:1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487D64" w:rsidRDefault="006F0D93">
                        <w:pPr>
                          <w:spacing w:line="225" w:lineRule="exact"/>
                          <w:ind w:left="360"/>
                          <w:rPr>
                            <w:rFonts w:ascii="Calibri"/>
                          </w:rPr>
                        </w:pPr>
                        <w:r>
                          <w:rPr>
                            <w:rFonts w:ascii="Calibri"/>
                            <w:spacing w:val="-2"/>
                          </w:rPr>
                          <w:t>Competitive</w:t>
                        </w:r>
                      </w:p>
                      <w:p w:rsidR="00487D64" w:rsidRDefault="006F0D93">
                        <w:pPr>
                          <w:spacing w:line="244" w:lineRule="auto"/>
                          <w:ind w:left="360"/>
                          <w:rPr>
                            <w:rFonts w:ascii="Calibri"/>
                          </w:rPr>
                        </w:pPr>
                        <w:r>
                          <w:rPr>
                            <w:rFonts w:ascii="Calibri"/>
                            <w:spacing w:val="-2"/>
                          </w:rPr>
                          <w:t xml:space="preserve">advantage </w:t>
                        </w:r>
                        <w:r>
                          <w:rPr>
                            <w:rFonts w:ascii="Calibri"/>
                          </w:rPr>
                          <w:t>Adaptability</w:t>
                        </w:r>
                        <w:r>
                          <w:rPr>
                            <w:rFonts w:ascii="Calibri"/>
                            <w:spacing w:val="-13"/>
                          </w:rPr>
                          <w:t xml:space="preserve"> </w:t>
                        </w:r>
                        <w:r>
                          <w:rPr>
                            <w:rFonts w:ascii="Calibri"/>
                          </w:rPr>
                          <w:t xml:space="preserve">to </w:t>
                        </w:r>
                        <w:r>
                          <w:rPr>
                            <w:rFonts w:ascii="Calibri"/>
                            <w:spacing w:val="-2"/>
                          </w:rPr>
                          <w:t>change</w:t>
                        </w:r>
                      </w:p>
                      <w:p w:rsidR="00487D64" w:rsidRDefault="006F0D93">
                        <w:pPr>
                          <w:numPr>
                            <w:ilvl w:val="0"/>
                            <w:numId w:val="13"/>
                          </w:numPr>
                          <w:tabs>
                            <w:tab w:val="left" w:pos="360"/>
                          </w:tabs>
                          <w:spacing w:line="275" w:lineRule="exact"/>
                          <w:ind w:hanging="360"/>
                          <w:rPr>
                            <w:rFonts w:ascii="Calibri"/>
                          </w:rPr>
                        </w:pPr>
                        <w:r>
                          <w:rPr>
                            <w:rFonts w:ascii="Calibri"/>
                          </w:rPr>
                          <w:t>Resource</w:t>
                        </w:r>
                        <w:r>
                          <w:rPr>
                            <w:rFonts w:ascii="Calibri"/>
                            <w:spacing w:val="-6"/>
                          </w:rPr>
                          <w:t xml:space="preserve"> </w:t>
                        </w:r>
                        <w:r>
                          <w:rPr>
                            <w:rFonts w:ascii="Calibri"/>
                            <w:spacing w:val="-2"/>
                          </w:rPr>
                          <w:t>Opacity</w:t>
                        </w:r>
                      </w:p>
                      <w:p w:rsidR="00487D64" w:rsidRDefault="006F0D93">
                        <w:pPr>
                          <w:numPr>
                            <w:ilvl w:val="0"/>
                            <w:numId w:val="13"/>
                          </w:numPr>
                          <w:tabs>
                            <w:tab w:val="left" w:pos="360"/>
                          </w:tabs>
                          <w:spacing w:line="237" w:lineRule="auto"/>
                          <w:ind w:right="275"/>
                          <w:rPr>
                            <w:rFonts w:ascii="Calibri"/>
                          </w:rPr>
                        </w:pPr>
                        <w:r>
                          <w:rPr>
                            <w:rFonts w:ascii="Calibri"/>
                          </w:rPr>
                          <w:t>Imitability of Resources</w:t>
                        </w:r>
                        <w:r>
                          <w:rPr>
                            <w:rFonts w:ascii="Calibri"/>
                            <w:spacing w:val="-13"/>
                          </w:rPr>
                          <w:t xml:space="preserve"> </w:t>
                        </w:r>
                        <w:r>
                          <w:rPr>
                            <w:rFonts w:ascii="Calibri"/>
                          </w:rPr>
                          <w:t xml:space="preserve">and </w:t>
                        </w:r>
                        <w:r>
                          <w:rPr>
                            <w:rFonts w:ascii="Calibri"/>
                            <w:spacing w:val="-2"/>
                          </w:rPr>
                          <w:t>capabilities</w:t>
                        </w:r>
                      </w:p>
                    </w:txbxContent>
                  </v:textbox>
                </v:shape>
                <v:shape id="Textbox 34" o:spid="_x0000_s1055" type="#_x0000_t202" style="position:absolute;left:4020;top:56270;width:13583;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487D64" w:rsidRDefault="006F0D93">
                        <w:pPr>
                          <w:spacing w:line="220" w:lineRule="exact"/>
                          <w:rPr>
                            <w:b/>
                            <w:sz w:val="20"/>
                          </w:rPr>
                        </w:pPr>
                        <w:r>
                          <w:rPr>
                            <w:b/>
                            <w:sz w:val="20"/>
                          </w:rPr>
                          <w:t>Functional</w:t>
                        </w:r>
                        <w:r>
                          <w:rPr>
                            <w:b/>
                            <w:spacing w:val="-10"/>
                            <w:sz w:val="20"/>
                          </w:rPr>
                          <w:t xml:space="preserve"> </w:t>
                        </w:r>
                        <w:r>
                          <w:rPr>
                            <w:b/>
                            <w:spacing w:val="-2"/>
                            <w:sz w:val="20"/>
                          </w:rPr>
                          <w:t>Coordination</w:t>
                        </w:r>
                      </w:p>
                      <w:p w:rsidR="00487D64" w:rsidRDefault="006F0D93">
                        <w:pPr>
                          <w:numPr>
                            <w:ilvl w:val="0"/>
                            <w:numId w:val="12"/>
                          </w:numPr>
                          <w:tabs>
                            <w:tab w:val="left" w:pos="424"/>
                          </w:tabs>
                          <w:spacing w:line="248" w:lineRule="exact"/>
                          <w:rPr>
                            <w:rFonts w:ascii="Calibri"/>
                            <w:sz w:val="20"/>
                          </w:rPr>
                        </w:pPr>
                        <w:r>
                          <w:rPr>
                            <w:rFonts w:ascii="Calibri"/>
                            <w:spacing w:val="-2"/>
                            <w:sz w:val="20"/>
                          </w:rPr>
                          <w:t>Information</w:t>
                        </w:r>
                        <w:r>
                          <w:rPr>
                            <w:rFonts w:ascii="Calibri"/>
                            <w:spacing w:val="5"/>
                            <w:sz w:val="20"/>
                          </w:rPr>
                          <w:t xml:space="preserve"> </w:t>
                        </w:r>
                        <w:r>
                          <w:rPr>
                            <w:rFonts w:ascii="Calibri"/>
                            <w:spacing w:val="-2"/>
                            <w:sz w:val="20"/>
                          </w:rPr>
                          <w:t>Sharing</w:t>
                        </w:r>
                      </w:p>
                    </w:txbxContent>
                  </v:textbox>
                </v:shape>
                <v:shape id="Textbox 35" o:spid="_x0000_s1056" type="#_x0000_t202" style="position:absolute;left:25977;top:54259;width:112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487D64" w:rsidRDefault="006F0D93">
                        <w:pPr>
                          <w:ind w:right="11"/>
                          <w:rPr>
                            <w:b/>
                            <w:sz w:val="20"/>
                          </w:rPr>
                        </w:pPr>
                        <w:r>
                          <w:rPr>
                            <w:b/>
                            <w:spacing w:val="-10"/>
                            <w:sz w:val="20"/>
                          </w:rPr>
                          <w:t>H</w:t>
                        </w:r>
                        <w:r>
                          <w:rPr>
                            <w:b/>
                            <w:sz w:val="20"/>
                          </w:rPr>
                          <w:t xml:space="preserve"> </w:t>
                        </w:r>
                        <w:r>
                          <w:rPr>
                            <w:b/>
                            <w:spacing w:val="-10"/>
                            <w:sz w:val="20"/>
                          </w:rPr>
                          <w:t>3</w:t>
                        </w:r>
                      </w:p>
                    </w:txbxContent>
                  </v:textbox>
                </v:shape>
                <v:shape id="Textbox 36" o:spid="_x0000_s1057" type="#_x0000_t202" style="position:absolute;left:4432;top:59236;width:717;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87D64" w:rsidRDefault="006F0D93">
                        <w:pPr>
                          <w:spacing w:before="1"/>
                          <w:rPr>
                            <w:rFonts w:ascii="Symbol" w:hAnsi="Symbol"/>
                            <w:sz w:val="20"/>
                          </w:rPr>
                        </w:pPr>
                        <w:r>
                          <w:rPr>
                            <w:rFonts w:ascii="Symbol" w:hAnsi="Symbol"/>
                            <w:spacing w:val="-10"/>
                            <w:sz w:val="20"/>
                          </w:rPr>
                          <w:t></w:t>
                        </w:r>
                      </w:p>
                      <w:p w:rsidR="00487D64" w:rsidRDefault="006F0D93">
                        <w:pPr>
                          <w:spacing w:before="14"/>
                          <w:rPr>
                            <w:rFonts w:ascii="Symbol" w:hAnsi="Symbol"/>
                            <w:sz w:val="20"/>
                          </w:rPr>
                        </w:pPr>
                        <w:r>
                          <w:rPr>
                            <w:rFonts w:ascii="Symbol" w:hAnsi="Symbol"/>
                            <w:spacing w:val="-10"/>
                            <w:sz w:val="20"/>
                          </w:rPr>
                          <w:t></w:t>
                        </w:r>
                      </w:p>
                      <w:p w:rsidR="00487D64" w:rsidRDefault="006F0D93">
                        <w:pPr>
                          <w:spacing w:before="7"/>
                          <w:rPr>
                            <w:rFonts w:ascii="Symbol" w:hAnsi="Symbol"/>
                            <w:sz w:val="20"/>
                          </w:rPr>
                        </w:pPr>
                        <w:r>
                          <w:rPr>
                            <w:rFonts w:ascii="Symbol" w:hAnsi="Symbol"/>
                            <w:spacing w:val="-10"/>
                            <w:sz w:val="20"/>
                          </w:rPr>
                          <w:t></w:t>
                        </w:r>
                      </w:p>
                    </w:txbxContent>
                  </v:textbox>
                </v:shape>
                <v:shape id="Textbox 37" o:spid="_x0000_s1058" type="#_x0000_t202" style="position:absolute;left:4432;top:59563;width:14046;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487D64" w:rsidRDefault="006F0D93">
                        <w:pPr>
                          <w:spacing w:line="205" w:lineRule="exact"/>
                          <w:ind w:left="360"/>
                          <w:rPr>
                            <w:rFonts w:ascii="Calibri"/>
                            <w:sz w:val="20"/>
                          </w:rPr>
                        </w:pPr>
                        <w:r>
                          <w:rPr>
                            <w:rFonts w:ascii="Calibri"/>
                            <w:sz w:val="20"/>
                          </w:rPr>
                          <w:t>Experience</w:t>
                        </w:r>
                        <w:r>
                          <w:rPr>
                            <w:rFonts w:ascii="Calibri"/>
                            <w:spacing w:val="-8"/>
                            <w:sz w:val="20"/>
                          </w:rPr>
                          <w:t xml:space="preserve"> </w:t>
                        </w:r>
                        <w:r>
                          <w:rPr>
                            <w:rFonts w:ascii="Calibri"/>
                            <w:spacing w:val="-2"/>
                            <w:sz w:val="20"/>
                          </w:rPr>
                          <w:t>Sharing</w:t>
                        </w:r>
                      </w:p>
                      <w:p w:rsidR="00487D64" w:rsidRDefault="006F0D93">
                        <w:pPr>
                          <w:spacing w:before="15" w:line="247" w:lineRule="auto"/>
                          <w:ind w:left="360" w:right="97"/>
                          <w:rPr>
                            <w:rFonts w:ascii="Calibri"/>
                            <w:sz w:val="20"/>
                          </w:rPr>
                        </w:pPr>
                        <w:r>
                          <w:rPr>
                            <w:rFonts w:ascii="Calibri"/>
                            <w:sz w:val="20"/>
                          </w:rPr>
                          <w:t>Resource</w:t>
                        </w:r>
                        <w:r>
                          <w:rPr>
                            <w:rFonts w:ascii="Calibri"/>
                            <w:spacing w:val="-12"/>
                            <w:sz w:val="20"/>
                          </w:rPr>
                          <w:t xml:space="preserve"> </w:t>
                        </w:r>
                        <w:r>
                          <w:rPr>
                            <w:rFonts w:ascii="Calibri"/>
                            <w:sz w:val="20"/>
                          </w:rPr>
                          <w:t xml:space="preserve">Sharing </w:t>
                        </w:r>
                        <w:r>
                          <w:rPr>
                            <w:rFonts w:ascii="Calibri"/>
                            <w:spacing w:val="-2"/>
                            <w:sz w:val="20"/>
                          </w:rPr>
                          <w:t>Customer engagement</w:t>
                        </w:r>
                      </w:p>
                      <w:p w:rsidR="00487D64" w:rsidRDefault="006F0D93">
                        <w:pPr>
                          <w:numPr>
                            <w:ilvl w:val="0"/>
                            <w:numId w:val="11"/>
                          </w:numPr>
                          <w:tabs>
                            <w:tab w:val="left" w:pos="359"/>
                          </w:tabs>
                          <w:spacing w:line="250" w:lineRule="exact"/>
                          <w:ind w:left="359" w:hanging="359"/>
                          <w:rPr>
                            <w:rFonts w:ascii="Calibri"/>
                            <w:sz w:val="20"/>
                          </w:rPr>
                        </w:pPr>
                        <w:r>
                          <w:rPr>
                            <w:rFonts w:ascii="Calibri"/>
                            <w:sz w:val="20"/>
                          </w:rPr>
                          <w:t>Value</w:t>
                        </w:r>
                        <w:r>
                          <w:rPr>
                            <w:rFonts w:ascii="Calibri"/>
                            <w:spacing w:val="-9"/>
                            <w:sz w:val="20"/>
                          </w:rPr>
                          <w:t xml:space="preserve"> </w:t>
                        </w:r>
                        <w:r>
                          <w:rPr>
                            <w:rFonts w:ascii="Calibri"/>
                            <w:sz w:val="20"/>
                          </w:rPr>
                          <w:t>creation</w:t>
                        </w:r>
                        <w:r>
                          <w:rPr>
                            <w:rFonts w:ascii="Calibri"/>
                            <w:spacing w:val="-8"/>
                            <w:sz w:val="20"/>
                          </w:rPr>
                          <w:t xml:space="preserve"> </w:t>
                        </w:r>
                        <w:r>
                          <w:rPr>
                            <w:rFonts w:ascii="Calibri"/>
                            <w:spacing w:val="-2"/>
                            <w:sz w:val="20"/>
                          </w:rPr>
                          <w:t>awaren</w:t>
                        </w:r>
                      </w:p>
                    </w:txbxContent>
                  </v:textbox>
                </v:shape>
                <v:shape id="Textbox 38" o:spid="_x0000_s1059" type="#_x0000_t202" style="position:absolute;left:23691;top:24047;width:2985;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87D64" w:rsidRDefault="006F0D93">
                        <w:pPr>
                          <w:spacing w:before="83"/>
                          <w:ind w:left="158"/>
                          <w:rPr>
                            <w:b/>
                            <w:sz w:val="20"/>
                          </w:rPr>
                        </w:pPr>
                        <w:r>
                          <w:rPr>
                            <w:b/>
                            <w:spacing w:val="-10"/>
                            <w:sz w:val="20"/>
                          </w:rPr>
                          <w:t>H</w:t>
                        </w:r>
                      </w:p>
                    </w:txbxContent>
                  </v:textbox>
                </v:shape>
                <v:shape id="Textbox 39" o:spid="_x0000_s1060" type="#_x0000_t202" style="position:absolute;left:17646;top:63;width:22485;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" filled="f" strokecolor="#6fac46" strokeweight="1pt">
                  <v:textbox inset="0,0,0,0">
                    <w:txbxContent>
                      <w:p w:rsidR="00487D64" w:rsidRDefault="006F0D93">
                        <w:pPr>
                          <w:spacing w:before="83"/>
                          <w:ind w:left="495"/>
                          <w:rPr>
                            <w:b/>
                            <w:sz w:val="20"/>
                          </w:rPr>
                        </w:pPr>
                        <w:r>
                          <w:rPr>
                            <w:b/>
                            <w:spacing w:val="-2"/>
                            <w:sz w:val="20"/>
                          </w:rPr>
                          <w:t>STRATEGIC</w:t>
                        </w:r>
                        <w:r>
                          <w:rPr>
                            <w:b/>
                            <w:sz w:val="20"/>
                          </w:rPr>
                          <w:t xml:space="preserve"> </w:t>
                        </w:r>
                        <w:r>
                          <w:rPr>
                            <w:b/>
                            <w:spacing w:val="-2"/>
                            <w:sz w:val="20"/>
                          </w:rPr>
                          <w:t>FLEXIBILITY</w:t>
                        </w:r>
                      </w:p>
                    </w:txbxContent>
                  </v:textbox>
                </v:shape>
                <w10:anchorlock/>
              </v:group>
            </w:pict>
          </mc:Fallback>
        </mc:AlternateContent>
      </w:r>
    </w:p>
    <w:p w:rsidR="00487D64" w:rsidRDefault="006F0D93">
      <w:pPr>
        <w:spacing w:before="5" w:line="489" w:lineRule="auto"/>
        <w:ind w:left="1419" w:right="3360"/>
        <w:rPr>
          <w:sz w:val="23"/>
        </w:rPr>
      </w:pPr>
      <w:r>
        <w:rPr>
          <w:b/>
          <w:w w:val="105"/>
          <w:sz w:val="23"/>
        </w:rPr>
        <w:t>Figure</w:t>
      </w:r>
      <w:r>
        <w:rPr>
          <w:b/>
          <w:spacing w:val="-15"/>
          <w:w w:val="105"/>
          <w:sz w:val="23"/>
        </w:rPr>
        <w:t xml:space="preserve"> </w:t>
      </w:r>
      <w:r>
        <w:rPr>
          <w:b/>
          <w:w w:val="105"/>
          <w:sz w:val="23"/>
        </w:rPr>
        <w:t>2.</w:t>
      </w:r>
      <w:r>
        <w:rPr>
          <w:b/>
          <w:spacing w:val="-13"/>
          <w:w w:val="105"/>
          <w:sz w:val="23"/>
        </w:rPr>
        <w:t xml:space="preserve"> </w:t>
      </w:r>
      <w:r>
        <w:rPr>
          <w:b/>
          <w:w w:val="105"/>
          <w:sz w:val="23"/>
        </w:rPr>
        <w:t>1:</w:t>
      </w:r>
      <w:r>
        <w:rPr>
          <w:b/>
          <w:spacing w:val="-12"/>
          <w:w w:val="105"/>
          <w:sz w:val="23"/>
        </w:rPr>
        <w:t xml:space="preserve"> </w:t>
      </w:r>
      <w:r>
        <w:rPr>
          <w:b/>
          <w:w w:val="105"/>
          <w:sz w:val="23"/>
        </w:rPr>
        <w:t>Conceptual</w:t>
      </w:r>
      <w:r>
        <w:rPr>
          <w:b/>
          <w:spacing w:val="-5"/>
          <w:w w:val="105"/>
          <w:sz w:val="23"/>
        </w:rPr>
        <w:t xml:space="preserve"> </w:t>
      </w:r>
      <w:r>
        <w:rPr>
          <w:b/>
          <w:w w:val="105"/>
          <w:sz w:val="23"/>
        </w:rPr>
        <w:t>Framework</w:t>
      </w:r>
      <w:r>
        <w:rPr>
          <w:b/>
          <w:spacing w:val="-16"/>
          <w:w w:val="105"/>
          <w:sz w:val="23"/>
        </w:rPr>
        <w:t xml:space="preserve"> </w:t>
      </w:r>
      <w:r>
        <w:rPr>
          <w:b/>
          <w:w w:val="105"/>
          <w:sz w:val="23"/>
        </w:rPr>
        <w:t>of</w:t>
      </w:r>
      <w:r>
        <w:rPr>
          <w:b/>
          <w:spacing w:val="-11"/>
          <w:w w:val="105"/>
          <w:sz w:val="23"/>
        </w:rPr>
        <w:t xml:space="preserve"> </w:t>
      </w:r>
      <w:r>
        <w:rPr>
          <w:b/>
          <w:w w:val="105"/>
          <w:sz w:val="23"/>
        </w:rPr>
        <w:t>the</w:t>
      </w:r>
      <w:r>
        <w:rPr>
          <w:b/>
          <w:spacing w:val="-2"/>
          <w:w w:val="105"/>
          <w:sz w:val="23"/>
        </w:rPr>
        <w:t xml:space="preserve"> </w:t>
      </w:r>
      <w:r>
        <w:rPr>
          <w:b/>
          <w:w w:val="105"/>
          <w:sz w:val="23"/>
        </w:rPr>
        <w:t xml:space="preserve">Study Source: </w:t>
      </w:r>
      <w:r>
        <w:rPr>
          <w:w w:val="105"/>
          <w:sz w:val="23"/>
        </w:rPr>
        <w:t>Researcher 2024</w:t>
      </w:r>
    </w:p>
    <w:p w:rsidR="00487D64" w:rsidRDefault="00487D64">
      <w:pPr>
        <w:spacing w:line="489" w:lineRule="auto"/>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line="504" w:lineRule="auto"/>
        <w:ind w:left="3840" w:right="3360" w:firstLine="655"/>
        <w:rPr>
          <w:b/>
          <w:sz w:val="23"/>
        </w:rPr>
      </w:pPr>
      <w:r>
        <w:rPr>
          <w:b/>
          <w:w w:val="105"/>
          <w:sz w:val="23"/>
        </w:rPr>
        <w:t xml:space="preserve">CHAPTER THREE </w:t>
      </w:r>
      <w:bookmarkStart w:id="59" w:name="RESEARCH_METHODOLOGY"/>
      <w:bookmarkStart w:id="60" w:name="_bookmark29"/>
      <w:bookmarkEnd w:id="59"/>
      <w:bookmarkEnd w:id="60"/>
      <w:r>
        <w:rPr>
          <w:b/>
          <w:sz w:val="23"/>
        </w:rPr>
        <w:t>RESEARCH METHODOLOGY</w:t>
      </w:r>
    </w:p>
    <w:p w:rsidR="00487D64" w:rsidRDefault="00487D64">
      <w:pPr>
        <w:pStyle w:val="BodyText"/>
        <w:rPr>
          <w:b/>
        </w:rPr>
      </w:pPr>
    </w:p>
    <w:p w:rsidR="00487D64" w:rsidRDefault="00487D64">
      <w:pPr>
        <w:pStyle w:val="BodyText"/>
        <w:spacing w:before="17"/>
        <w:rPr>
          <w:b/>
        </w:rPr>
      </w:pPr>
    </w:p>
    <w:p w:rsidR="00487D64" w:rsidRDefault="006F0D93">
      <w:pPr>
        <w:pStyle w:val="ListParagraph"/>
        <w:numPr>
          <w:ilvl w:val="1"/>
          <w:numId w:val="10"/>
        </w:numPr>
        <w:tabs>
          <w:tab w:val="left" w:pos="1988"/>
        </w:tabs>
        <w:ind w:hanging="569"/>
        <w:rPr>
          <w:b/>
          <w:sz w:val="23"/>
        </w:rPr>
      </w:pPr>
      <w:bookmarkStart w:id="61" w:name="3.1__Chapter_Overview"/>
      <w:bookmarkStart w:id="62" w:name="_bookmark30"/>
      <w:bookmarkEnd w:id="61"/>
      <w:bookmarkEnd w:id="62"/>
      <w:r>
        <w:rPr>
          <w:b/>
          <w:sz w:val="23"/>
        </w:rPr>
        <w:t>Chapter</w:t>
      </w:r>
      <w:r>
        <w:rPr>
          <w:b/>
          <w:spacing w:val="26"/>
          <w:sz w:val="23"/>
        </w:rPr>
        <w:t xml:space="preserve"> </w:t>
      </w:r>
      <w:r>
        <w:rPr>
          <w:b/>
          <w:spacing w:val="-2"/>
          <w:sz w:val="23"/>
        </w:rPr>
        <w:t>Overview</w:t>
      </w:r>
    </w:p>
    <w:p w:rsidR="00487D64" w:rsidRDefault="00487D64">
      <w:pPr>
        <w:pStyle w:val="BodyText"/>
        <w:spacing w:before="18"/>
        <w:rPr>
          <w:b/>
        </w:rPr>
      </w:pPr>
    </w:p>
    <w:p w:rsidR="00487D64" w:rsidRDefault="006F0D93">
      <w:pPr>
        <w:pStyle w:val="BodyText"/>
        <w:spacing w:line="501" w:lineRule="auto"/>
        <w:ind w:left="1419" w:right="851"/>
        <w:jc w:val="both"/>
      </w:pPr>
      <w:r>
        <w:rPr>
          <w:w w:val="105"/>
        </w:rPr>
        <w:t>In this chapter, it is clearly described how data and information were</w:t>
      </w:r>
      <w:r>
        <w:rPr>
          <w:w w:val="105"/>
        </w:rPr>
        <w:t xml:space="preserve"> collected, analyzed, and presented. The chapter covers research philosophy, research strategy, survey</w:t>
      </w:r>
      <w:r>
        <w:rPr>
          <w:spacing w:val="-9"/>
          <w:w w:val="105"/>
        </w:rPr>
        <w:t xml:space="preserve"> </w:t>
      </w:r>
      <w:r>
        <w:rPr>
          <w:w w:val="105"/>
        </w:rPr>
        <w:t>population,</w:t>
      </w:r>
      <w:r>
        <w:rPr>
          <w:spacing w:val="-13"/>
          <w:w w:val="105"/>
        </w:rPr>
        <w:t xml:space="preserve"> </w:t>
      </w:r>
      <w:r>
        <w:rPr>
          <w:w w:val="105"/>
        </w:rPr>
        <w:t>area</w:t>
      </w:r>
      <w:r>
        <w:rPr>
          <w:spacing w:val="-4"/>
          <w:w w:val="105"/>
        </w:rPr>
        <w:t xml:space="preserve"> </w:t>
      </w:r>
      <w:r>
        <w:rPr>
          <w:w w:val="105"/>
        </w:rPr>
        <w:t>of</w:t>
      </w:r>
      <w:r>
        <w:rPr>
          <w:spacing w:val="-11"/>
          <w:w w:val="105"/>
        </w:rPr>
        <w:t xml:space="preserve"> </w:t>
      </w:r>
      <w:r>
        <w:rPr>
          <w:w w:val="105"/>
        </w:rPr>
        <w:t>the</w:t>
      </w:r>
      <w:r>
        <w:rPr>
          <w:spacing w:val="-10"/>
          <w:w w:val="105"/>
        </w:rPr>
        <w:t xml:space="preserve"> </w:t>
      </w:r>
      <w:r>
        <w:rPr>
          <w:w w:val="105"/>
        </w:rPr>
        <w:t>research,</w:t>
      </w:r>
      <w:r>
        <w:rPr>
          <w:spacing w:val="-1"/>
          <w:w w:val="105"/>
        </w:rPr>
        <w:t xml:space="preserve"> </w:t>
      </w:r>
      <w:r>
        <w:rPr>
          <w:w w:val="105"/>
        </w:rPr>
        <w:t>sampling</w:t>
      </w:r>
      <w:r>
        <w:rPr>
          <w:spacing w:val="-9"/>
          <w:w w:val="105"/>
        </w:rPr>
        <w:t xml:space="preserve"> </w:t>
      </w:r>
      <w:r>
        <w:rPr>
          <w:w w:val="105"/>
        </w:rPr>
        <w:t>design</w:t>
      </w:r>
      <w:r>
        <w:rPr>
          <w:spacing w:val="-15"/>
          <w:w w:val="105"/>
        </w:rPr>
        <w:t xml:space="preserve"> </w:t>
      </w:r>
      <w:r>
        <w:rPr>
          <w:w w:val="105"/>
        </w:rPr>
        <w:t>and</w:t>
      </w:r>
      <w:r>
        <w:rPr>
          <w:spacing w:val="-9"/>
          <w:w w:val="105"/>
        </w:rPr>
        <w:t xml:space="preserve"> </w:t>
      </w:r>
      <w:r>
        <w:rPr>
          <w:w w:val="105"/>
        </w:rPr>
        <w:t>procedures,</w:t>
      </w:r>
      <w:r>
        <w:rPr>
          <w:spacing w:val="-1"/>
          <w:w w:val="105"/>
        </w:rPr>
        <w:t xml:space="preserve"> </w:t>
      </w:r>
      <w:r>
        <w:rPr>
          <w:w w:val="105"/>
        </w:rPr>
        <w:t>sample</w:t>
      </w:r>
      <w:r>
        <w:rPr>
          <w:spacing w:val="-10"/>
          <w:w w:val="105"/>
        </w:rPr>
        <w:t xml:space="preserve"> </w:t>
      </w:r>
      <w:r>
        <w:rPr>
          <w:w w:val="105"/>
        </w:rPr>
        <w:t>size, variables and measurement procedures, methods of data collection, data</w:t>
      </w:r>
      <w:r>
        <w:rPr>
          <w:w w:val="105"/>
        </w:rPr>
        <w:t xml:space="preserve"> processing and analysis, reliability and validity of data, expected results of the study, ethical considerations, and research activities/work plan and estimated research budget.</w:t>
      </w:r>
    </w:p>
    <w:p w:rsidR="00487D64" w:rsidRDefault="00487D64">
      <w:pPr>
        <w:pStyle w:val="BodyText"/>
      </w:pPr>
    </w:p>
    <w:p w:rsidR="00487D64" w:rsidRDefault="00487D64">
      <w:pPr>
        <w:pStyle w:val="BodyText"/>
        <w:spacing w:before="23"/>
      </w:pPr>
    </w:p>
    <w:p w:rsidR="00487D64" w:rsidRDefault="006F0D93">
      <w:pPr>
        <w:pStyle w:val="ListParagraph"/>
        <w:numPr>
          <w:ilvl w:val="1"/>
          <w:numId w:val="10"/>
        </w:numPr>
        <w:tabs>
          <w:tab w:val="left" w:pos="1988"/>
        </w:tabs>
        <w:ind w:hanging="569"/>
        <w:rPr>
          <w:b/>
          <w:sz w:val="23"/>
        </w:rPr>
      </w:pPr>
      <w:bookmarkStart w:id="63" w:name="3.2__Research_Philosophy"/>
      <w:bookmarkStart w:id="64" w:name="_bookmark31"/>
      <w:bookmarkEnd w:id="63"/>
      <w:bookmarkEnd w:id="64"/>
      <w:r>
        <w:rPr>
          <w:b/>
          <w:sz w:val="23"/>
        </w:rPr>
        <w:t>Research</w:t>
      </w:r>
      <w:r>
        <w:rPr>
          <w:b/>
          <w:spacing w:val="28"/>
          <w:sz w:val="23"/>
        </w:rPr>
        <w:t xml:space="preserve"> </w:t>
      </w:r>
      <w:r>
        <w:rPr>
          <w:b/>
          <w:spacing w:val="-2"/>
          <w:sz w:val="23"/>
        </w:rPr>
        <w:t>Philosophy</w:t>
      </w:r>
    </w:p>
    <w:p w:rsidR="00487D64" w:rsidRDefault="00487D64">
      <w:pPr>
        <w:pStyle w:val="BodyText"/>
        <w:spacing w:before="18"/>
        <w:rPr>
          <w:b/>
        </w:rPr>
      </w:pPr>
    </w:p>
    <w:p w:rsidR="00487D64" w:rsidRDefault="006F0D93">
      <w:pPr>
        <w:pStyle w:val="BodyText"/>
        <w:spacing w:line="501" w:lineRule="auto"/>
        <w:ind w:left="1419" w:right="848"/>
        <w:jc w:val="both"/>
      </w:pPr>
      <w:r>
        <w:rPr>
          <w:w w:val="105"/>
        </w:rPr>
        <w:t>This study used the positivist research philosophy to</w:t>
      </w:r>
      <w:r>
        <w:rPr>
          <w:w w:val="105"/>
        </w:rPr>
        <w:t xml:space="preserve"> look into how market orientation affects the long-term competitiveness of special group SMEs in Tanzanian public procurement, with strategic flexibility as a moderating factor. The choice of positivism was guided by its alignment with the study’s objectiv</w:t>
      </w:r>
      <w:r>
        <w:rPr>
          <w:w w:val="105"/>
        </w:rPr>
        <w:t>es and methodological requirements. Positivism says that we can study social phenomena objectively by looking at facts and numbers that can be measured (Saunders et al., 2019; Creswell, 2009). Because the study's goal was to test hypotheses based on establ</w:t>
      </w:r>
      <w:r>
        <w:rPr>
          <w:w w:val="105"/>
        </w:rPr>
        <w:t>ished theories Market Orientation Theory and Dynamic Capability Theory using actual data collection and statistical analysis, this philosophical stance was seen as appropriate.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4"/>
        <w:jc w:val="both"/>
      </w:pPr>
      <w:r>
        <w:rPr>
          <w:w w:val="105"/>
        </w:rPr>
        <w:t>Objectivism is the ontological assumption behind positivi</w:t>
      </w:r>
      <w:r>
        <w:rPr>
          <w:w w:val="105"/>
        </w:rPr>
        <w:t>sm. It says that reality exists outside of how people see it. In this case, market orientation, strategic flexibility, and sustainable competitiveness were all seen as objectively measurable variables. The epistemological position says that we should get k</w:t>
      </w:r>
      <w:r>
        <w:rPr>
          <w:w w:val="105"/>
        </w:rPr>
        <w:t>nowledge through empirical observation and quantifiable evidence instead of subjective interpretation (Tuboly, 2022). This made it okay to use structured questionnaires to get standardized data from respondents, which made it possible to repeat the study a</w:t>
      </w:r>
      <w:r>
        <w:rPr>
          <w:w w:val="105"/>
        </w:rPr>
        <w:t>nd reduced researcher bias. The axiological assumption stresses researcher neutrality, meaning the researchers values did not influence the research process or outcomes (Saunders et al., 2019).</w:t>
      </w:r>
    </w:p>
    <w:p w:rsidR="00487D64" w:rsidRDefault="006F0D93">
      <w:pPr>
        <w:pStyle w:val="BodyText"/>
        <w:spacing w:before="235" w:line="501" w:lineRule="auto"/>
        <w:ind w:left="1419" w:right="856"/>
        <w:jc w:val="both"/>
      </w:pPr>
      <w:r>
        <w:rPr>
          <w:w w:val="105"/>
        </w:rPr>
        <w:t>This</w:t>
      </w:r>
      <w:r>
        <w:rPr>
          <w:spacing w:val="-6"/>
          <w:w w:val="105"/>
        </w:rPr>
        <w:t xml:space="preserve"> </w:t>
      </w:r>
      <w:r>
        <w:rPr>
          <w:w w:val="105"/>
        </w:rPr>
        <w:t>philosophical</w:t>
      </w:r>
      <w:r>
        <w:rPr>
          <w:spacing w:val="-8"/>
          <w:w w:val="105"/>
        </w:rPr>
        <w:t xml:space="preserve"> </w:t>
      </w:r>
      <w:r>
        <w:rPr>
          <w:w w:val="105"/>
        </w:rPr>
        <w:t>position</w:t>
      </w:r>
      <w:r>
        <w:rPr>
          <w:spacing w:val="-10"/>
          <w:w w:val="105"/>
        </w:rPr>
        <w:t xml:space="preserve"> </w:t>
      </w:r>
      <w:r>
        <w:rPr>
          <w:w w:val="105"/>
        </w:rPr>
        <w:t>also</w:t>
      </w:r>
      <w:r>
        <w:rPr>
          <w:spacing w:val="-4"/>
          <w:w w:val="105"/>
        </w:rPr>
        <w:t xml:space="preserve"> </w:t>
      </w:r>
      <w:r>
        <w:rPr>
          <w:w w:val="105"/>
        </w:rPr>
        <w:t>determined</w:t>
      </w:r>
      <w:r>
        <w:rPr>
          <w:spacing w:val="-10"/>
          <w:w w:val="105"/>
        </w:rPr>
        <w:t xml:space="preserve"> </w:t>
      </w:r>
      <w:r>
        <w:rPr>
          <w:w w:val="105"/>
        </w:rPr>
        <w:t>the</w:t>
      </w:r>
      <w:r>
        <w:rPr>
          <w:spacing w:val="-11"/>
          <w:w w:val="105"/>
        </w:rPr>
        <w:t xml:space="preserve"> </w:t>
      </w:r>
      <w:r>
        <w:rPr>
          <w:w w:val="105"/>
        </w:rPr>
        <w:t>research</w:t>
      </w:r>
      <w:r>
        <w:rPr>
          <w:spacing w:val="-4"/>
          <w:w w:val="105"/>
        </w:rPr>
        <w:t xml:space="preserve"> </w:t>
      </w:r>
      <w:r>
        <w:rPr>
          <w:w w:val="105"/>
        </w:rPr>
        <w:t>strat</w:t>
      </w:r>
      <w:r>
        <w:rPr>
          <w:w w:val="105"/>
        </w:rPr>
        <w:t>egy</w:t>
      </w:r>
      <w:r>
        <w:rPr>
          <w:spacing w:val="-10"/>
          <w:w w:val="105"/>
        </w:rPr>
        <w:t xml:space="preserve"> </w:t>
      </w:r>
      <w:r>
        <w:rPr>
          <w:w w:val="105"/>
        </w:rPr>
        <w:t>and</w:t>
      </w:r>
      <w:r>
        <w:rPr>
          <w:spacing w:val="-4"/>
          <w:w w:val="105"/>
        </w:rPr>
        <w:t xml:space="preserve"> </w:t>
      </w:r>
      <w:r>
        <w:rPr>
          <w:w w:val="105"/>
        </w:rPr>
        <w:t>methodological choices. Specifically, it supported a deductive research approach, where hypotheses were formulated from theory and tested using quantitative data (Kumar, 2018; Creswell, 2009). We used a structured questionnaire with closed-ended qu</w:t>
      </w:r>
      <w:r>
        <w:rPr>
          <w:w w:val="105"/>
        </w:rPr>
        <w:t>estions to gather data from SMEs so that we could test relationships between variables statistically. The study used SmartPLS 4 and Partial Least Squares Structural Equation Modeling</w:t>
      </w:r>
      <w:r>
        <w:rPr>
          <w:spacing w:val="-3"/>
          <w:w w:val="105"/>
        </w:rPr>
        <w:t xml:space="preserve"> </w:t>
      </w:r>
      <w:r>
        <w:rPr>
          <w:w w:val="105"/>
        </w:rPr>
        <w:t>(PLS-SEM) to</w:t>
      </w:r>
      <w:r>
        <w:rPr>
          <w:spacing w:val="-3"/>
          <w:w w:val="105"/>
        </w:rPr>
        <w:t xml:space="preserve"> </w:t>
      </w:r>
      <w:r>
        <w:rPr>
          <w:w w:val="105"/>
        </w:rPr>
        <w:t>check the</w:t>
      </w:r>
      <w:r>
        <w:rPr>
          <w:spacing w:val="-4"/>
          <w:w w:val="105"/>
        </w:rPr>
        <w:t xml:space="preserve"> </w:t>
      </w:r>
      <w:r>
        <w:rPr>
          <w:w w:val="105"/>
        </w:rPr>
        <w:t>reliability,</w:t>
      </w:r>
      <w:r>
        <w:rPr>
          <w:spacing w:val="-1"/>
          <w:w w:val="105"/>
        </w:rPr>
        <w:t xml:space="preserve"> </w:t>
      </w:r>
      <w:r>
        <w:rPr>
          <w:w w:val="105"/>
        </w:rPr>
        <w:t>validity,</w:t>
      </w:r>
      <w:r>
        <w:rPr>
          <w:spacing w:val="-1"/>
          <w:w w:val="105"/>
        </w:rPr>
        <w:t xml:space="preserve"> </w:t>
      </w:r>
      <w:r>
        <w:rPr>
          <w:w w:val="105"/>
        </w:rPr>
        <w:t>and structural</w:t>
      </w:r>
      <w:r>
        <w:rPr>
          <w:spacing w:val="-7"/>
          <w:w w:val="105"/>
        </w:rPr>
        <w:t xml:space="preserve"> </w:t>
      </w:r>
      <w:r>
        <w:rPr>
          <w:w w:val="105"/>
        </w:rPr>
        <w:t>paths of the</w:t>
      </w:r>
      <w:r>
        <w:rPr>
          <w:w w:val="105"/>
        </w:rPr>
        <w:t xml:space="preserve"> measurements. These choices made sure that the research process stayed systematic, objective, and in line with positivist ideas, which led to results that are valid, reliable, and can be used in other similar situations.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1"/>
          <w:numId w:val="10"/>
        </w:numPr>
        <w:tabs>
          <w:tab w:val="left" w:pos="1988"/>
        </w:tabs>
        <w:spacing w:before="1"/>
        <w:ind w:hanging="569"/>
        <w:rPr>
          <w:b/>
          <w:sz w:val="23"/>
        </w:rPr>
      </w:pPr>
      <w:bookmarkStart w:id="65" w:name="3.3__Research_Approach"/>
      <w:bookmarkStart w:id="66" w:name="_bookmark32"/>
      <w:bookmarkEnd w:id="65"/>
      <w:bookmarkEnd w:id="66"/>
      <w:r>
        <w:rPr>
          <w:b/>
          <w:sz w:val="23"/>
        </w:rPr>
        <w:t>Research</w:t>
      </w:r>
      <w:r>
        <w:rPr>
          <w:b/>
          <w:spacing w:val="35"/>
          <w:sz w:val="23"/>
        </w:rPr>
        <w:t xml:space="preserve"> </w:t>
      </w:r>
      <w:r>
        <w:rPr>
          <w:b/>
          <w:spacing w:val="-2"/>
          <w:sz w:val="23"/>
        </w:rPr>
        <w:t>Approach</w:t>
      </w:r>
    </w:p>
    <w:p w:rsidR="00487D64" w:rsidRDefault="00487D64">
      <w:pPr>
        <w:pStyle w:val="BodyText"/>
        <w:spacing w:before="18"/>
        <w:rPr>
          <w:b/>
        </w:rPr>
      </w:pPr>
    </w:p>
    <w:p w:rsidR="00487D64" w:rsidRDefault="006F0D93">
      <w:pPr>
        <w:pStyle w:val="BodyText"/>
        <w:spacing w:line="501" w:lineRule="auto"/>
        <w:ind w:left="1419" w:right="849"/>
        <w:jc w:val="both"/>
      </w:pPr>
      <w:r>
        <w:rPr>
          <w:w w:val="105"/>
        </w:rPr>
        <w:t>This study employed a deductive research approach</w:t>
      </w:r>
      <w:r>
        <w:rPr>
          <w:b/>
          <w:w w:val="105"/>
        </w:rPr>
        <w:t xml:space="preserve">, </w:t>
      </w:r>
      <w:r>
        <w:rPr>
          <w:w w:val="105"/>
        </w:rPr>
        <w:t>which is appropriate when the objective is to test theoretical propositions using empirical data (Saunders et al., 2019). Deduction begins with established theories, formulates hypotheses, and th</w:t>
      </w:r>
      <w:r>
        <w:rPr>
          <w:w w:val="105"/>
        </w:rPr>
        <w:t>en collects</w:t>
      </w:r>
      <w:r>
        <w:rPr>
          <w:spacing w:val="-7"/>
          <w:w w:val="105"/>
        </w:rPr>
        <w:t xml:space="preserve"> </w:t>
      </w:r>
      <w:r>
        <w:rPr>
          <w:w w:val="105"/>
        </w:rPr>
        <w:t>and</w:t>
      </w:r>
      <w:r>
        <w:rPr>
          <w:spacing w:val="-11"/>
          <w:w w:val="105"/>
        </w:rPr>
        <w:t xml:space="preserve"> </w:t>
      </w:r>
      <w:r>
        <w:rPr>
          <w:w w:val="105"/>
        </w:rPr>
        <w:t>analyzes</w:t>
      </w:r>
      <w:r>
        <w:rPr>
          <w:spacing w:val="-7"/>
          <w:w w:val="105"/>
        </w:rPr>
        <w:t xml:space="preserve"> </w:t>
      </w:r>
      <w:r>
        <w:rPr>
          <w:w w:val="105"/>
        </w:rPr>
        <w:t>data</w:t>
      </w:r>
      <w:r>
        <w:rPr>
          <w:spacing w:val="-5"/>
          <w:w w:val="105"/>
        </w:rPr>
        <w:t xml:space="preserve"> </w:t>
      </w:r>
      <w:r>
        <w:rPr>
          <w:w w:val="105"/>
        </w:rPr>
        <w:t>to</w:t>
      </w:r>
      <w:r>
        <w:rPr>
          <w:spacing w:val="-4"/>
          <w:w w:val="105"/>
        </w:rPr>
        <w:t xml:space="preserve"> </w:t>
      </w:r>
      <w:r>
        <w:rPr>
          <w:w w:val="105"/>
        </w:rPr>
        <w:t>confirm or</w:t>
      </w:r>
      <w:r>
        <w:rPr>
          <w:spacing w:val="-7"/>
          <w:w w:val="105"/>
        </w:rPr>
        <w:t xml:space="preserve"> </w:t>
      </w:r>
      <w:r>
        <w:rPr>
          <w:w w:val="105"/>
        </w:rPr>
        <w:t>refute</w:t>
      </w:r>
      <w:r>
        <w:rPr>
          <w:spacing w:val="-5"/>
          <w:w w:val="105"/>
        </w:rPr>
        <w:t xml:space="preserve"> </w:t>
      </w:r>
      <w:r>
        <w:rPr>
          <w:w w:val="105"/>
        </w:rPr>
        <w:t>those hypotheses</w:t>
      </w:r>
      <w:r>
        <w:rPr>
          <w:spacing w:val="-7"/>
          <w:w w:val="105"/>
        </w:rPr>
        <w:t xml:space="preserve"> </w:t>
      </w:r>
      <w:r>
        <w:rPr>
          <w:w w:val="105"/>
        </w:rPr>
        <w:t>(Casula et</w:t>
      </w:r>
      <w:r>
        <w:rPr>
          <w:spacing w:val="-2"/>
          <w:w w:val="105"/>
        </w:rPr>
        <w:t xml:space="preserve"> </w:t>
      </w:r>
      <w:r>
        <w:rPr>
          <w:w w:val="105"/>
        </w:rPr>
        <w:t>al.,</w:t>
      </w:r>
      <w:r>
        <w:rPr>
          <w:spacing w:val="-2"/>
          <w:w w:val="105"/>
        </w:rPr>
        <w:t xml:space="preserve"> </w:t>
      </w:r>
      <w:r>
        <w:rPr>
          <w:w w:val="105"/>
        </w:rPr>
        <w:t>2021). This approach was selected because the research sought to validate relationships drawn from Market Orientation</w:t>
      </w:r>
      <w:r>
        <w:rPr>
          <w:spacing w:val="-2"/>
          <w:w w:val="105"/>
        </w:rPr>
        <w:t xml:space="preserve"> </w:t>
      </w:r>
      <w:r>
        <w:rPr>
          <w:w w:val="105"/>
        </w:rPr>
        <w:t>Theory and Dynamic Capability Theory</w:t>
      </w:r>
      <w:r>
        <w:rPr>
          <w:b/>
          <w:w w:val="105"/>
        </w:rPr>
        <w:t xml:space="preserve">, </w:t>
      </w:r>
      <w:r>
        <w:rPr>
          <w:w w:val="105"/>
        </w:rPr>
        <w:t>examining how st</w:t>
      </w:r>
      <w:r>
        <w:rPr>
          <w:w w:val="105"/>
        </w:rPr>
        <w:t xml:space="preserve">rategic flexibility moderates the MO SC relationship among special group </w:t>
      </w:r>
      <w:r>
        <w:rPr>
          <w:spacing w:val="-2"/>
          <w:w w:val="105"/>
        </w:rPr>
        <w:t>SMEs.</w:t>
      </w:r>
    </w:p>
    <w:p w:rsidR="00487D64" w:rsidRDefault="006F0D93">
      <w:pPr>
        <w:pStyle w:val="BodyText"/>
        <w:spacing w:before="231" w:line="501" w:lineRule="auto"/>
        <w:ind w:left="1419" w:right="848"/>
        <w:jc w:val="both"/>
      </w:pPr>
      <w:r>
        <w:rPr>
          <w:w w:val="105"/>
        </w:rPr>
        <w:t>Operationally, the deductive approach guided the entire research process. First, hypotheses were formulated to capture expected associations between MO dimensions (customer orie</w:t>
      </w:r>
      <w:r>
        <w:rPr>
          <w:w w:val="105"/>
        </w:rPr>
        <w:t>ntation, competitor orientation, functional coordination), SF, and SC based on prior literature. Second, the conceptual framework developed informed the design of a structured questionnaire to measure latent variables using validated indicators. Third, the</w:t>
      </w:r>
      <w:r>
        <w:rPr>
          <w:w w:val="105"/>
        </w:rPr>
        <w:t xml:space="preserve"> approach determined the choice of quantitative analytical</w:t>
      </w:r>
      <w:r>
        <w:rPr>
          <w:spacing w:val="-14"/>
          <w:w w:val="105"/>
        </w:rPr>
        <w:t xml:space="preserve"> </w:t>
      </w:r>
      <w:r>
        <w:rPr>
          <w:w w:val="105"/>
        </w:rPr>
        <w:t>technique:</w:t>
      </w:r>
      <w:r>
        <w:rPr>
          <w:spacing w:val="-8"/>
          <w:w w:val="105"/>
        </w:rPr>
        <w:t xml:space="preserve"> </w:t>
      </w:r>
      <w:r>
        <w:rPr>
          <w:w w:val="105"/>
        </w:rPr>
        <w:t>Partial</w:t>
      </w:r>
      <w:r>
        <w:rPr>
          <w:spacing w:val="-8"/>
          <w:w w:val="105"/>
        </w:rPr>
        <w:t xml:space="preserve"> </w:t>
      </w:r>
      <w:r>
        <w:rPr>
          <w:w w:val="105"/>
        </w:rPr>
        <w:t>Least</w:t>
      </w:r>
      <w:r>
        <w:rPr>
          <w:spacing w:val="-8"/>
          <w:w w:val="105"/>
        </w:rPr>
        <w:t xml:space="preserve"> </w:t>
      </w:r>
      <w:r>
        <w:rPr>
          <w:w w:val="105"/>
        </w:rPr>
        <w:t>Squares</w:t>
      </w:r>
      <w:r>
        <w:rPr>
          <w:spacing w:val="-11"/>
          <w:w w:val="105"/>
        </w:rPr>
        <w:t xml:space="preserve"> </w:t>
      </w:r>
      <w:r>
        <w:rPr>
          <w:w w:val="105"/>
        </w:rPr>
        <w:t>Structural</w:t>
      </w:r>
      <w:r>
        <w:rPr>
          <w:spacing w:val="-8"/>
          <w:w w:val="105"/>
        </w:rPr>
        <w:t xml:space="preserve"> </w:t>
      </w:r>
      <w:r>
        <w:rPr>
          <w:w w:val="105"/>
        </w:rPr>
        <w:t>Equation</w:t>
      </w:r>
      <w:r>
        <w:rPr>
          <w:spacing w:val="-9"/>
          <w:w w:val="105"/>
        </w:rPr>
        <w:t xml:space="preserve"> </w:t>
      </w:r>
      <w:r>
        <w:rPr>
          <w:w w:val="105"/>
        </w:rPr>
        <w:t>Modeling</w:t>
      </w:r>
      <w:r>
        <w:rPr>
          <w:spacing w:val="-15"/>
          <w:w w:val="105"/>
        </w:rPr>
        <w:t xml:space="preserve"> </w:t>
      </w:r>
      <w:r>
        <w:rPr>
          <w:w w:val="105"/>
        </w:rPr>
        <w:t>(PLS-SEM) was</w:t>
      </w:r>
      <w:r>
        <w:rPr>
          <w:spacing w:val="-1"/>
          <w:w w:val="105"/>
        </w:rPr>
        <w:t xml:space="preserve"> </w:t>
      </w:r>
      <w:r>
        <w:rPr>
          <w:w w:val="105"/>
        </w:rPr>
        <w:t>applied to test the hypothesized causal relationships</w:t>
      </w:r>
      <w:r>
        <w:rPr>
          <w:spacing w:val="-1"/>
          <w:w w:val="105"/>
        </w:rPr>
        <w:t xml:space="preserve"> </w:t>
      </w:r>
      <w:r>
        <w:rPr>
          <w:w w:val="105"/>
        </w:rPr>
        <w:t>and assess model fit.</w:t>
      </w:r>
    </w:p>
    <w:p w:rsidR="00487D64" w:rsidRDefault="006F0D93">
      <w:pPr>
        <w:pStyle w:val="BodyText"/>
        <w:spacing w:before="239" w:line="501" w:lineRule="auto"/>
        <w:ind w:left="1419" w:right="849"/>
        <w:jc w:val="both"/>
      </w:pPr>
      <w:r>
        <w:rPr>
          <w:w w:val="105"/>
        </w:rPr>
        <w:t>Alternative approaches, such as inductive rea</w:t>
      </w:r>
      <w:r>
        <w:rPr>
          <w:w w:val="105"/>
        </w:rPr>
        <w:t>soning, were deemed unsuitable because the study did not aim to develop a new theory from qualitative insights but rather to validate existing theories in a Tanzanian procurement context. Similarly, a mixed-method approach was not considered because the re</w:t>
      </w:r>
      <w:r>
        <w:rPr>
          <w:w w:val="105"/>
        </w:rPr>
        <w:t>search questions focused on establishing measurable, generalizable relationships rather than exploring subjective</w:t>
      </w:r>
      <w:r>
        <w:rPr>
          <w:spacing w:val="70"/>
          <w:w w:val="105"/>
        </w:rPr>
        <w:t xml:space="preserve"> </w:t>
      </w:r>
      <w:r>
        <w:rPr>
          <w:w w:val="105"/>
        </w:rPr>
        <w:t>interpretations.</w:t>
      </w:r>
      <w:r>
        <w:rPr>
          <w:spacing w:val="72"/>
          <w:w w:val="105"/>
        </w:rPr>
        <w:t xml:space="preserve"> </w:t>
      </w:r>
      <w:r>
        <w:rPr>
          <w:w w:val="105"/>
        </w:rPr>
        <w:t>By</w:t>
      </w:r>
      <w:r>
        <w:rPr>
          <w:spacing w:val="64"/>
          <w:w w:val="105"/>
        </w:rPr>
        <w:t xml:space="preserve"> </w:t>
      </w:r>
      <w:r>
        <w:rPr>
          <w:w w:val="105"/>
        </w:rPr>
        <w:t>applying</w:t>
      </w:r>
      <w:r>
        <w:rPr>
          <w:spacing w:val="64"/>
          <w:w w:val="105"/>
        </w:rPr>
        <w:t xml:space="preserve"> </w:t>
      </w:r>
      <w:r>
        <w:rPr>
          <w:w w:val="105"/>
        </w:rPr>
        <w:t>a</w:t>
      </w:r>
      <w:r>
        <w:rPr>
          <w:spacing w:val="77"/>
          <w:w w:val="105"/>
        </w:rPr>
        <w:t xml:space="preserve"> </w:t>
      </w:r>
      <w:r>
        <w:rPr>
          <w:w w:val="105"/>
        </w:rPr>
        <w:t>deductive</w:t>
      </w:r>
      <w:r>
        <w:rPr>
          <w:spacing w:val="77"/>
          <w:w w:val="105"/>
        </w:rPr>
        <w:t xml:space="preserve"> </w:t>
      </w:r>
      <w:r>
        <w:rPr>
          <w:w w:val="105"/>
        </w:rPr>
        <w:t>strategy,</w:t>
      </w:r>
      <w:r>
        <w:rPr>
          <w:spacing w:val="72"/>
          <w:w w:val="105"/>
        </w:rPr>
        <w:t xml:space="preserve"> </w:t>
      </w:r>
      <w:r>
        <w:rPr>
          <w:w w:val="105"/>
        </w:rPr>
        <w:t>the</w:t>
      </w:r>
      <w:r>
        <w:rPr>
          <w:spacing w:val="70"/>
          <w:w w:val="105"/>
        </w:rPr>
        <w:t xml:space="preserve"> </w:t>
      </w:r>
      <w:r>
        <w:rPr>
          <w:w w:val="105"/>
        </w:rPr>
        <w:t>study</w:t>
      </w:r>
      <w:r>
        <w:rPr>
          <w:spacing w:val="70"/>
          <w:w w:val="105"/>
        </w:rPr>
        <w:t xml:space="preserve"> </w:t>
      </w:r>
      <w:r>
        <w:rPr>
          <w:w w:val="105"/>
        </w:rPr>
        <w:t>ensured</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68"/>
        <w:jc w:val="both"/>
      </w:pPr>
      <w:r>
        <w:rPr>
          <w:w w:val="105"/>
        </w:rPr>
        <w:t>systematic hypothesis testing and the generation of</w:t>
      </w:r>
      <w:r>
        <w:rPr>
          <w:w w:val="105"/>
        </w:rPr>
        <w:t xml:space="preserve"> findings that are both theoretically grounded and practically applicable.</w:t>
      </w:r>
    </w:p>
    <w:p w:rsidR="00487D64" w:rsidRDefault="00487D64">
      <w:pPr>
        <w:pStyle w:val="BodyText"/>
      </w:pPr>
    </w:p>
    <w:p w:rsidR="00487D64" w:rsidRDefault="00487D64">
      <w:pPr>
        <w:pStyle w:val="BodyText"/>
        <w:spacing w:before="25"/>
      </w:pPr>
    </w:p>
    <w:p w:rsidR="00487D64" w:rsidRDefault="006F0D93">
      <w:pPr>
        <w:pStyle w:val="ListParagraph"/>
        <w:numPr>
          <w:ilvl w:val="1"/>
          <w:numId w:val="10"/>
        </w:numPr>
        <w:tabs>
          <w:tab w:val="left" w:pos="2139"/>
        </w:tabs>
        <w:ind w:left="2139" w:hanging="720"/>
        <w:rPr>
          <w:b/>
          <w:sz w:val="23"/>
        </w:rPr>
      </w:pPr>
      <w:bookmarkStart w:id="67" w:name="3.4__Research_Design_and_Strategy"/>
      <w:bookmarkStart w:id="68" w:name="_bookmark33"/>
      <w:bookmarkEnd w:id="67"/>
      <w:bookmarkEnd w:id="68"/>
      <w:r>
        <w:rPr>
          <w:b/>
          <w:w w:val="105"/>
          <w:sz w:val="23"/>
        </w:rPr>
        <w:t>Research</w:t>
      </w:r>
      <w:r>
        <w:rPr>
          <w:b/>
          <w:spacing w:val="-14"/>
          <w:w w:val="105"/>
          <w:sz w:val="23"/>
        </w:rPr>
        <w:t xml:space="preserve"> </w:t>
      </w:r>
      <w:r>
        <w:rPr>
          <w:b/>
          <w:w w:val="105"/>
          <w:sz w:val="23"/>
        </w:rPr>
        <w:t>Design</w:t>
      </w:r>
      <w:r>
        <w:rPr>
          <w:b/>
          <w:spacing w:val="-10"/>
          <w:w w:val="105"/>
          <w:sz w:val="23"/>
        </w:rPr>
        <w:t xml:space="preserve"> </w:t>
      </w:r>
      <w:r>
        <w:rPr>
          <w:b/>
          <w:w w:val="105"/>
          <w:sz w:val="23"/>
        </w:rPr>
        <w:t>and</w:t>
      </w:r>
      <w:r>
        <w:rPr>
          <w:b/>
          <w:spacing w:val="-10"/>
          <w:w w:val="105"/>
          <w:sz w:val="23"/>
        </w:rPr>
        <w:t xml:space="preserve"> </w:t>
      </w:r>
      <w:r>
        <w:rPr>
          <w:b/>
          <w:spacing w:val="-2"/>
          <w:w w:val="105"/>
          <w:sz w:val="23"/>
        </w:rPr>
        <w:t>Strategy</w:t>
      </w:r>
    </w:p>
    <w:p w:rsidR="00487D64" w:rsidRDefault="00487D64">
      <w:pPr>
        <w:pStyle w:val="BodyText"/>
        <w:spacing w:before="18"/>
        <w:rPr>
          <w:b/>
        </w:rPr>
      </w:pPr>
    </w:p>
    <w:p w:rsidR="00487D64" w:rsidRDefault="006F0D93">
      <w:pPr>
        <w:pStyle w:val="BodyText"/>
        <w:spacing w:line="501" w:lineRule="auto"/>
        <w:ind w:left="1419" w:right="849"/>
        <w:jc w:val="both"/>
      </w:pPr>
      <w:r>
        <w:rPr>
          <w:w w:val="105"/>
        </w:rPr>
        <w:t>This study adopted an explanatory research design, which is appropriate for examining</w:t>
      </w:r>
      <w:r>
        <w:rPr>
          <w:spacing w:val="-2"/>
          <w:w w:val="105"/>
        </w:rPr>
        <w:t xml:space="preserve"> </w:t>
      </w:r>
      <w:r>
        <w:rPr>
          <w:w w:val="105"/>
        </w:rPr>
        <w:t>cause-and-effect relationships</w:t>
      </w:r>
      <w:r>
        <w:rPr>
          <w:spacing w:val="-10"/>
          <w:w w:val="105"/>
        </w:rPr>
        <w:t xml:space="preserve"> </w:t>
      </w:r>
      <w:r>
        <w:rPr>
          <w:w w:val="105"/>
        </w:rPr>
        <w:t>among</w:t>
      </w:r>
      <w:r>
        <w:rPr>
          <w:spacing w:val="-2"/>
          <w:w w:val="105"/>
        </w:rPr>
        <w:t xml:space="preserve"> </w:t>
      </w:r>
      <w:r>
        <w:rPr>
          <w:w w:val="105"/>
        </w:rPr>
        <w:t>variables</w:t>
      </w:r>
      <w:r>
        <w:rPr>
          <w:spacing w:val="-10"/>
          <w:w w:val="105"/>
        </w:rPr>
        <w:t xml:space="preserve"> </w:t>
      </w:r>
      <w:r>
        <w:rPr>
          <w:w w:val="105"/>
        </w:rPr>
        <w:t>(Baran, 2022).</w:t>
      </w:r>
      <w:r>
        <w:rPr>
          <w:spacing w:val="-6"/>
          <w:w w:val="105"/>
        </w:rPr>
        <w:t xml:space="preserve"> </w:t>
      </w:r>
      <w:r>
        <w:rPr>
          <w:w w:val="105"/>
        </w:rPr>
        <w:t>The design aligns with the study's primary objective of testing the hypothesized influence of market orientation (MO) on sustainable competitiveness (SC), with strategic flexibility (SF) as a moderating variable. Explanatory designs go beyond mere descript</w:t>
      </w:r>
      <w:r>
        <w:rPr>
          <w:w w:val="105"/>
        </w:rPr>
        <w:t>ion by establishing</w:t>
      </w:r>
      <w:r>
        <w:rPr>
          <w:spacing w:val="-2"/>
          <w:w w:val="105"/>
        </w:rPr>
        <w:t xml:space="preserve"> </w:t>
      </w:r>
      <w:r>
        <w:rPr>
          <w:w w:val="105"/>
        </w:rPr>
        <w:t>and validating</w:t>
      </w:r>
      <w:r>
        <w:rPr>
          <w:spacing w:val="-2"/>
          <w:w w:val="105"/>
        </w:rPr>
        <w:t xml:space="preserve"> </w:t>
      </w:r>
      <w:r>
        <w:rPr>
          <w:w w:val="105"/>
        </w:rPr>
        <w:t>theoretical linkages,</w:t>
      </w:r>
      <w:r>
        <w:rPr>
          <w:spacing w:val="-1"/>
          <w:w w:val="105"/>
        </w:rPr>
        <w:t xml:space="preserve"> </w:t>
      </w:r>
      <w:r>
        <w:rPr>
          <w:w w:val="105"/>
        </w:rPr>
        <w:t>making them suitable for studies that aim to identify the mechanisms through which variables interact (Henseler, 2018).</w:t>
      </w:r>
    </w:p>
    <w:p w:rsidR="00487D64" w:rsidRDefault="006F0D93">
      <w:pPr>
        <w:pStyle w:val="BodyText"/>
        <w:spacing w:before="231" w:line="501" w:lineRule="auto"/>
        <w:ind w:left="1419" w:right="849"/>
        <w:jc w:val="both"/>
      </w:pPr>
      <w:r>
        <w:rPr>
          <w:w w:val="105"/>
        </w:rPr>
        <w:t xml:space="preserve">The choice of an explanatory design was driven by two key factors: the study’s </w:t>
      </w:r>
      <w:r>
        <w:rPr>
          <w:w w:val="105"/>
        </w:rPr>
        <w:t>reliance on theory-based hypotheses derived from Market Orientation Theory and Dynamic Capability Theory, and the requirement for empirical testing using quantitative data to generalize findings to a broader population of special group SMEs participating i</w:t>
      </w:r>
      <w:r>
        <w:rPr>
          <w:w w:val="105"/>
        </w:rPr>
        <w:t>n public procurement. This design facilitated the systematic evaluation of direct and moderated effects, offering insights into both statistical significance and theoretical implications.</w:t>
      </w:r>
    </w:p>
    <w:p w:rsidR="00487D64" w:rsidRDefault="006F0D93">
      <w:pPr>
        <w:pStyle w:val="BodyText"/>
        <w:spacing w:before="237" w:line="501" w:lineRule="auto"/>
        <w:ind w:left="1419" w:right="849"/>
        <w:jc w:val="both"/>
      </w:pPr>
      <w:r>
        <w:rPr>
          <w:w w:val="105"/>
        </w:rPr>
        <w:t xml:space="preserve">To operationalize this design, the study employed a survey research </w:t>
      </w:r>
      <w:r>
        <w:rPr>
          <w:w w:val="105"/>
        </w:rPr>
        <w:t>strategy, which is consistent with the positivist paradigm and deductive reasoning (Rahi, 2017). Surveys are widely recommended for explanatory research because they enable the collection</w:t>
      </w:r>
      <w:r>
        <w:rPr>
          <w:spacing w:val="19"/>
          <w:w w:val="105"/>
        </w:rPr>
        <w:t xml:space="preserve"> </w:t>
      </w:r>
      <w:r>
        <w:rPr>
          <w:w w:val="105"/>
        </w:rPr>
        <w:t>of standardized</w:t>
      </w:r>
      <w:r>
        <w:rPr>
          <w:spacing w:val="19"/>
          <w:w w:val="105"/>
        </w:rPr>
        <w:t xml:space="preserve"> </w:t>
      </w:r>
      <w:r>
        <w:rPr>
          <w:w w:val="105"/>
        </w:rPr>
        <w:t>data</w:t>
      </w:r>
      <w:r>
        <w:rPr>
          <w:spacing w:val="24"/>
          <w:w w:val="105"/>
        </w:rPr>
        <w:t xml:space="preserve"> </w:t>
      </w:r>
      <w:r>
        <w:rPr>
          <w:w w:val="105"/>
        </w:rPr>
        <w:t>from large</w:t>
      </w:r>
      <w:r>
        <w:rPr>
          <w:spacing w:val="18"/>
          <w:w w:val="105"/>
        </w:rPr>
        <w:t xml:space="preserve"> </w:t>
      </w:r>
      <w:r>
        <w:rPr>
          <w:w w:val="105"/>
        </w:rPr>
        <w:t>populations in a</w:t>
      </w:r>
      <w:r>
        <w:rPr>
          <w:spacing w:val="24"/>
          <w:w w:val="105"/>
        </w:rPr>
        <w:t xml:space="preserve"> </w:t>
      </w:r>
      <w:r>
        <w:rPr>
          <w:w w:val="105"/>
        </w:rPr>
        <w:t>cost-effective</w:t>
      </w:r>
      <w:r>
        <w:rPr>
          <w:spacing w:val="18"/>
          <w:w w:val="105"/>
        </w:rPr>
        <w:t xml:space="preserve"> </w:t>
      </w:r>
      <w:r>
        <w:rPr>
          <w:w w:val="105"/>
        </w:rPr>
        <w:t xml:space="preserve">and </w:t>
      </w:r>
      <w:r>
        <w:rPr>
          <w:w w:val="105"/>
        </w:rPr>
        <w:t>time-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8"/>
        <w:jc w:val="both"/>
      </w:pPr>
      <w:r>
        <w:rPr>
          <w:w w:val="105"/>
        </w:rPr>
        <w:t>efficient manner (Natalia et al., 2021). In this study, structured questionnaires were administered to representatives of SMEs registered under Tanzania’s Public Procurement Regulatory Authority (PPRA) database. This strategy en</w:t>
      </w:r>
      <w:r>
        <w:rPr>
          <w:w w:val="105"/>
        </w:rPr>
        <w:t>sured uniform measurement of constructs such as customer orientation, competitor orientation, functional coordination, strategic flexibility, and sustainable competitiveness.</w:t>
      </w:r>
    </w:p>
    <w:p w:rsidR="00487D64" w:rsidRDefault="006F0D93">
      <w:pPr>
        <w:pStyle w:val="BodyText"/>
        <w:spacing w:before="240" w:line="501" w:lineRule="auto"/>
        <w:ind w:left="1419" w:right="858"/>
        <w:jc w:val="both"/>
      </w:pPr>
      <w:r>
        <w:rPr>
          <w:w w:val="105"/>
        </w:rPr>
        <w:t xml:space="preserve">The study further adopted a cross-sectional design, where data were collected at </w:t>
      </w:r>
      <w:r>
        <w:rPr>
          <w:w w:val="105"/>
        </w:rPr>
        <w:t>a single point in time. This approach is suitable for capturing current practices and perceptions, allowing for the quantitative assessment of hypothesized relationships without the complexity of longitudinal tracking (Mugenda &amp; Mugenda, 2003). Cross-secti</w:t>
      </w:r>
      <w:r>
        <w:rPr>
          <w:w w:val="105"/>
        </w:rPr>
        <w:t>onal surveys are particularly appropriate for business research contexts where the goal is to assess behavioral and strategic patterns within defined timeframes (Saunders et al., 2019).</w:t>
      </w:r>
    </w:p>
    <w:p w:rsidR="00487D64" w:rsidRDefault="006F0D93">
      <w:pPr>
        <w:pStyle w:val="BodyText"/>
        <w:spacing w:before="237" w:line="501" w:lineRule="auto"/>
        <w:ind w:left="1419" w:right="848"/>
        <w:jc w:val="both"/>
      </w:pPr>
      <w:r>
        <w:rPr>
          <w:w w:val="105"/>
        </w:rPr>
        <w:t>Consistent with the explanatory design, data analysis utilized</w:t>
      </w:r>
      <w:r>
        <w:rPr>
          <w:w w:val="105"/>
        </w:rPr>
        <w:t xml:space="preserve"> Partial Least Squares Structural Equation Modeling (PLS-SEM). This technique is recommended for studies involving complex models with multiple constructs, interaction effects, and relatively small sample</w:t>
      </w:r>
      <w:r>
        <w:rPr>
          <w:spacing w:val="-1"/>
          <w:w w:val="105"/>
        </w:rPr>
        <w:t xml:space="preserve"> </w:t>
      </w:r>
      <w:r>
        <w:rPr>
          <w:w w:val="105"/>
        </w:rPr>
        <w:t>sizes compared to covariance-based SEM (Hair et al., 2022). PLS-SEM allowed for the simultaneous estimation of measurement reliability, validity, and structural paths, thereby providing</w:t>
      </w:r>
      <w:r>
        <w:rPr>
          <w:spacing w:val="-6"/>
          <w:w w:val="105"/>
        </w:rPr>
        <w:t xml:space="preserve"> </w:t>
      </w:r>
      <w:r>
        <w:rPr>
          <w:w w:val="105"/>
        </w:rPr>
        <w:t>a robust means</w:t>
      </w:r>
      <w:r>
        <w:rPr>
          <w:spacing w:val="-1"/>
          <w:w w:val="105"/>
        </w:rPr>
        <w:t xml:space="preserve"> </w:t>
      </w:r>
      <w:r>
        <w:rPr>
          <w:w w:val="105"/>
        </w:rPr>
        <w:t>of</w:t>
      </w:r>
      <w:r>
        <w:rPr>
          <w:spacing w:val="-2"/>
          <w:w w:val="105"/>
        </w:rPr>
        <w:t xml:space="preserve"> </w:t>
      </w:r>
      <w:r>
        <w:rPr>
          <w:w w:val="105"/>
        </w:rPr>
        <w:t>testing both direct and moderated relationships.</w:t>
      </w:r>
    </w:p>
    <w:p w:rsidR="00487D64" w:rsidRDefault="00487D64">
      <w:pPr>
        <w:pStyle w:val="BodyText"/>
      </w:pPr>
    </w:p>
    <w:p w:rsidR="00487D64" w:rsidRDefault="00487D64">
      <w:pPr>
        <w:pStyle w:val="BodyText"/>
        <w:spacing w:before="24"/>
      </w:pPr>
    </w:p>
    <w:p w:rsidR="00487D64" w:rsidRDefault="006F0D93">
      <w:pPr>
        <w:pStyle w:val="ListParagraph"/>
        <w:numPr>
          <w:ilvl w:val="1"/>
          <w:numId w:val="10"/>
        </w:numPr>
        <w:tabs>
          <w:tab w:val="left" w:pos="2139"/>
        </w:tabs>
        <w:spacing w:before="1"/>
        <w:ind w:left="2139" w:hanging="720"/>
        <w:rPr>
          <w:b/>
          <w:sz w:val="23"/>
        </w:rPr>
      </w:pPr>
      <w:bookmarkStart w:id="69" w:name="3.5__Survey_Population"/>
      <w:bookmarkStart w:id="70" w:name="_bookmark34"/>
      <w:bookmarkEnd w:id="69"/>
      <w:bookmarkEnd w:id="70"/>
      <w:r>
        <w:rPr>
          <w:b/>
          <w:w w:val="105"/>
          <w:sz w:val="23"/>
        </w:rPr>
        <w:t>S</w:t>
      </w:r>
      <w:r>
        <w:rPr>
          <w:b/>
          <w:w w:val="105"/>
          <w:sz w:val="23"/>
        </w:rPr>
        <w:t>urvey</w:t>
      </w:r>
      <w:r>
        <w:rPr>
          <w:b/>
          <w:spacing w:val="-13"/>
          <w:w w:val="105"/>
          <w:sz w:val="23"/>
        </w:rPr>
        <w:t xml:space="preserve"> </w:t>
      </w:r>
      <w:r>
        <w:rPr>
          <w:b/>
          <w:spacing w:val="-2"/>
          <w:w w:val="105"/>
          <w:sz w:val="23"/>
        </w:rPr>
        <w:t>Population</w:t>
      </w:r>
    </w:p>
    <w:p w:rsidR="00487D64" w:rsidRDefault="00487D64">
      <w:pPr>
        <w:pStyle w:val="BodyText"/>
        <w:spacing w:before="18"/>
        <w:rPr>
          <w:b/>
        </w:rPr>
      </w:pPr>
    </w:p>
    <w:p w:rsidR="00487D64" w:rsidRDefault="006F0D93">
      <w:pPr>
        <w:pStyle w:val="BodyText"/>
        <w:spacing w:line="496" w:lineRule="auto"/>
        <w:ind w:left="1419" w:right="850"/>
        <w:jc w:val="both"/>
      </w:pPr>
      <w:r>
        <w:rPr>
          <w:w w:val="105"/>
        </w:rPr>
        <w:t>The survey population consisted of 503 Special Group SMEs that were officially registered</w:t>
      </w:r>
      <w:r>
        <w:rPr>
          <w:spacing w:val="5"/>
          <w:w w:val="105"/>
        </w:rPr>
        <w:t xml:space="preserve"> </w:t>
      </w:r>
      <w:r>
        <w:rPr>
          <w:w w:val="105"/>
        </w:rPr>
        <w:t>and</w:t>
      </w:r>
      <w:r>
        <w:rPr>
          <w:spacing w:val="5"/>
          <w:w w:val="105"/>
        </w:rPr>
        <w:t xml:space="preserve"> </w:t>
      </w:r>
      <w:r>
        <w:rPr>
          <w:w w:val="105"/>
        </w:rPr>
        <w:t>listed</w:t>
      </w:r>
      <w:r>
        <w:rPr>
          <w:spacing w:val="13"/>
          <w:w w:val="105"/>
        </w:rPr>
        <w:t xml:space="preserve"> </w:t>
      </w:r>
      <w:r>
        <w:rPr>
          <w:w w:val="105"/>
        </w:rPr>
        <w:t>by</w:t>
      </w:r>
      <w:r>
        <w:rPr>
          <w:spacing w:val="5"/>
          <w:w w:val="105"/>
        </w:rPr>
        <w:t xml:space="preserve"> </w:t>
      </w:r>
      <w:r>
        <w:rPr>
          <w:w w:val="105"/>
        </w:rPr>
        <w:t>the</w:t>
      </w:r>
      <w:r>
        <w:rPr>
          <w:spacing w:val="12"/>
          <w:w w:val="105"/>
        </w:rPr>
        <w:t xml:space="preserve"> </w:t>
      </w:r>
      <w:r>
        <w:rPr>
          <w:w w:val="105"/>
        </w:rPr>
        <w:t>Public</w:t>
      </w:r>
      <w:r>
        <w:rPr>
          <w:spacing w:val="11"/>
          <w:w w:val="105"/>
        </w:rPr>
        <w:t xml:space="preserve"> </w:t>
      </w:r>
      <w:r>
        <w:rPr>
          <w:w w:val="105"/>
        </w:rPr>
        <w:t>Procurement</w:t>
      </w:r>
      <w:r>
        <w:rPr>
          <w:spacing w:val="14"/>
          <w:w w:val="105"/>
        </w:rPr>
        <w:t xml:space="preserve"> </w:t>
      </w:r>
      <w:r>
        <w:rPr>
          <w:w w:val="105"/>
        </w:rPr>
        <w:t>Regulatory</w:t>
      </w:r>
      <w:r>
        <w:rPr>
          <w:spacing w:val="13"/>
          <w:w w:val="105"/>
        </w:rPr>
        <w:t xml:space="preserve"> </w:t>
      </w:r>
      <w:r>
        <w:rPr>
          <w:w w:val="105"/>
        </w:rPr>
        <w:t>Authority</w:t>
      </w:r>
      <w:r>
        <w:rPr>
          <w:spacing w:val="5"/>
          <w:w w:val="105"/>
        </w:rPr>
        <w:t xml:space="preserve"> </w:t>
      </w:r>
      <w:r>
        <w:rPr>
          <w:w w:val="105"/>
        </w:rPr>
        <w:t>(PPRA)</w:t>
      </w:r>
      <w:r>
        <w:rPr>
          <w:spacing w:val="9"/>
          <w:w w:val="105"/>
        </w:rPr>
        <w:t xml:space="preserve"> </w:t>
      </w:r>
      <w:r>
        <w:rPr>
          <w:w w:val="105"/>
        </w:rPr>
        <w:t>as</w:t>
      </w:r>
      <w:r>
        <w:rPr>
          <w:spacing w:val="10"/>
          <w:w w:val="105"/>
        </w:rPr>
        <w:t xml:space="preserve"> </w:t>
      </w:r>
      <w:r>
        <w:rPr>
          <w:spacing w:val="-5"/>
          <w:w w:val="105"/>
        </w:rPr>
        <w:t>of</w:t>
      </w:r>
    </w:p>
    <w:p w:rsidR="00487D64" w:rsidRDefault="00487D64">
      <w:pPr>
        <w:pStyle w:val="BodyText"/>
        <w:spacing w:line="496"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7"/>
        <w:jc w:val="both"/>
      </w:pPr>
      <w:r>
        <w:rPr>
          <w:w w:val="105"/>
        </w:rPr>
        <w:t xml:space="preserve">January 2025. These enterprises are categorized within </w:t>
      </w:r>
      <w:r>
        <w:rPr>
          <w:w w:val="105"/>
        </w:rPr>
        <w:t>the government's special group classifications, encompassing businesses owned by women, youth, and individuals with disabilities. All of these firms have received formal recognition as eligible</w:t>
      </w:r>
      <w:r>
        <w:rPr>
          <w:spacing w:val="-10"/>
          <w:w w:val="105"/>
        </w:rPr>
        <w:t xml:space="preserve"> </w:t>
      </w:r>
      <w:r>
        <w:rPr>
          <w:w w:val="105"/>
        </w:rPr>
        <w:t>participants</w:t>
      </w:r>
      <w:r>
        <w:rPr>
          <w:spacing w:val="-12"/>
          <w:w w:val="105"/>
        </w:rPr>
        <w:t xml:space="preserve"> </w:t>
      </w:r>
      <w:r>
        <w:rPr>
          <w:w w:val="105"/>
        </w:rPr>
        <w:t>in</w:t>
      </w:r>
      <w:r>
        <w:rPr>
          <w:spacing w:val="-5"/>
          <w:w w:val="105"/>
        </w:rPr>
        <w:t xml:space="preserve"> </w:t>
      </w:r>
      <w:r>
        <w:rPr>
          <w:w w:val="105"/>
        </w:rPr>
        <w:t>Tanzania’s</w:t>
      </w:r>
      <w:r>
        <w:rPr>
          <w:spacing w:val="-10"/>
          <w:w w:val="105"/>
        </w:rPr>
        <w:t xml:space="preserve"> </w:t>
      </w:r>
      <w:r>
        <w:rPr>
          <w:w w:val="105"/>
        </w:rPr>
        <w:t>public</w:t>
      </w:r>
      <w:r>
        <w:rPr>
          <w:spacing w:val="-10"/>
          <w:w w:val="105"/>
        </w:rPr>
        <w:t xml:space="preserve"> </w:t>
      </w:r>
      <w:r>
        <w:rPr>
          <w:w w:val="105"/>
        </w:rPr>
        <w:t>procurement</w:t>
      </w:r>
      <w:r>
        <w:rPr>
          <w:spacing w:val="-1"/>
          <w:w w:val="105"/>
        </w:rPr>
        <w:t xml:space="preserve"> </w:t>
      </w:r>
      <w:r>
        <w:rPr>
          <w:w w:val="105"/>
        </w:rPr>
        <w:t>system,</w:t>
      </w:r>
      <w:r>
        <w:rPr>
          <w:spacing w:val="-7"/>
          <w:w w:val="105"/>
        </w:rPr>
        <w:t xml:space="preserve"> </w:t>
      </w:r>
      <w:r>
        <w:rPr>
          <w:w w:val="105"/>
        </w:rPr>
        <w:t>operatin</w:t>
      </w:r>
      <w:r>
        <w:rPr>
          <w:w w:val="105"/>
        </w:rPr>
        <w:t>g</w:t>
      </w:r>
      <w:r>
        <w:rPr>
          <w:spacing w:val="-9"/>
          <w:w w:val="105"/>
        </w:rPr>
        <w:t xml:space="preserve"> </w:t>
      </w:r>
      <w:r>
        <w:rPr>
          <w:w w:val="105"/>
        </w:rPr>
        <w:t>as</w:t>
      </w:r>
      <w:r>
        <w:rPr>
          <w:spacing w:val="-5"/>
          <w:w w:val="105"/>
        </w:rPr>
        <w:t xml:space="preserve"> </w:t>
      </w:r>
      <w:r>
        <w:rPr>
          <w:w w:val="105"/>
        </w:rPr>
        <w:t xml:space="preserve">suppliers, contractors, or service providers under the special group procurement preference schemes established by the Public Procurement Act and its Regulations (PPRA, </w:t>
      </w:r>
      <w:r>
        <w:rPr>
          <w:spacing w:val="-2"/>
          <w:w w:val="105"/>
        </w:rPr>
        <w:t>2023).</w:t>
      </w:r>
    </w:p>
    <w:p w:rsidR="00487D64" w:rsidRDefault="006F0D93">
      <w:pPr>
        <w:pStyle w:val="BodyText"/>
        <w:spacing w:before="237" w:line="501" w:lineRule="auto"/>
        <w:ind w:left="1419" w:right="846"/>
        <w:jc w:val="both"/>
      </w:pPr>
      <w:r>
        <w:rPr>
          <w:w w:val="105"/>
        </w:rPr>
        <w:t>The selection of this population was intentional and based on two</w:t>
      </w:r>
      <w:r>
        <w:rPr>
          <w:w w:val="105"/>
        </w:rPr>
        <w:t xml:space="preserve"> primary justifications. These enterprises are the principal beneficiaries of Tanzania’s inclusive procurement policy, which allocates a portion of government procurement opportunities</w:t>
      </w:r>
      <w:r>
        <w:rPr>
          <w:spacing w:val="-8"/>
          <w:w w:val="105"/>
        </w:rPr>
        <w:t xml:space="preserve"> </w:t>
      </w:r>
      <w:r>
        <w:rPr>
          <w:w w:val="105"/>
        </w:rPr>
        <w:t>to marginalized groups.</w:t>
      </w:r>
      <w:r>
        <w:rPr>
          <w:spacing w:val="-5"/>
          <w:w w:val="105"/>
        </w:rPr>
        <w:t xml:space="preserve"> </w:t>
      </w:r>
      <w:r>
        <w:rPr>
          <w:w w:val="105"/>
        </w:rPr>
        <w:t>These</w:t>
      </w:r>
      <w:r>
        <w:rPr>
          <w:spacing w:val="-8"/>
          <w:w w:val="105"/>
        </w:rPr>
        <w:t xml:space="preserve"> </w:t>
      </w:r>
      <w:r>
        <w:rPr>
          <w:w w:val="105"/>
        </w:rPr>
        <w:t>units</w:t>
      </w:r>
      <w:r>
        <w:rPr>
          <w:spacing w:val="-8"/>
          <w:w w:val="105"/>
        </w:rPr>
        <w:t xml:space="preserve"> </w:t>
      </w:r>
      <w:r>
        <w:rPr>
          <w:w w:val="105"/>
        </w:rPr>
        <w:t>are</w:t>
      </w:r>
      <w:r>
        <w:rPr>
          <w:spacing w:val="-8"/>
          <w:w w:val="105"/>
        </w:rPr>
        <w:t xml:space="preserve"> </w:t>
      </w:r>
      <w:r>
        <w:rPr>
          <w:w w:val="105"/>
        </w:rPr>
        <w:t>the most relevant for analyzing</w:t>
      </w:r>
      <w:r>
        <w:rPr>
          <w:w w:val="105"/>
        </w:rPr>
        <w:t xml:space="preserve"> the</w:t>
      </w:r>
      <w:r>
        <w:rPr>
          <w:spacing w:val="-8"/>
          <w:w w:val="105"/>
        </w:rPr>
        <w:t xml:space="preserve"> </w:t>
      </w:r>
      <w:r>
        <w:rPr>
          <w:w w:val="105"/>
        </w:rPr>
        <w:t>impact</w:t>
      </w:r>
      <w:r>
        <w:rPr>
          <w:spacing w:val="-5"/>
          <w:w w:val="105"/>
        </w:rPr>
        <w:t xml:space="preserve"> </w:t>
      </w:r>
      <w:r>
        <w:rPr>
          <w:w w:val="105"/>
        </w:rPr>
        <w:t>of market orientation</w:t>
      </w:r>
      <w:r>
        <w:rPr>
          <w:spacing w:val="-7"/>
          <w:w w:val="105"/>
        </w:rPr>
        <w:t xml:space="preserve"> </w:t>
      </w:r>
      <w:r>
        <w:rPr>
          <w:w w:val="105"/>
        </w:rPr>
        <w:t>(MO) practices</w:t>
      </w:r>
      <w:r>
        <w:rPr>
          <w:spacing w:val="-9"/>
          <w:w w:val="105"/>
        </w:rPr>
        <w:t xml:space="preserve"> </w:t>
      </w:r>
      <w:r>
        <w:rPr>
          <w:w w:val="105"/>
        </w:rPr>
        <w:t>on</w:t>
      </w:r>
      <w:r>
        <w:rPr>
          <w:spacing w:val="-1"/>
          <w:w w:val="105"/>
        </w:rPr>
        <w:t xml:space="preserve"> </w:t>
      </w:r>
      <w:r>
        <w:rPr>
          <w:w w:val="105"/>
        </w:rPr>
        <w:t>sustainable</w:t>
      </w:r>
      <w:r>
        <w:rPr>
          <w:spacing w:val="-1"/>
          <w:w w:val="105"/>
        </w:rPr>
        <w:t xml:space="preserve"> </w:t>
      </w:r>
      <w:r>
        <w:rPr>
          <w:w w:val="105"/>
        </w:rPr>
        <w:t>competitiveness</w:t>
      </w:r>
      <w:r>
        <w:rPr>
          <w:spacing w:val="-2"/>
          <w:w w:val="105"/>
        </w:rPr>
        <w:t xml:space="preserve"> </w:t>
      </w:r>
      <w:r>
        <w:rPr>
          <w:w w:val="105"/>
        </w:rPr>
        <w:t xml:space="preserve">(SC) within a regulated procurement context. Secondly, these firms function within an environment marked by procedural rigidity, resource limitations, and competitive bidding, </w:t>
      </w:r>
      <w:r>
        <w:rPr>
          <w:w w:val="105"/>
        </w:rPr>
        <w:t>making them appropriate for examining the moderating influence of strategic flexibility (SF) on competitiveness enhancement.</w:t>
      </w:r>
    </w:p>
    <w:p w:rsidR="00487D64" w:rsidRDefault="006F0D93">
      <w:pPr>
        <w:pStyle w:val="BodyText"/>
        <w:spacing w:before="233" w:line="501" w:lineRule="auto"/>
        <w:ind w:left="1419" w:right="852"/>
        <w:jc w:val="both"/>
      </w:pPr>
      <w:r>
        <w:rPr>
          <w:w w:val="105"/>
        </w:rPr>
        <w:t>The choice to concentrate only on SMEs registered by PPRA guaranteed that all participants were either actively involved in or qual</w:t>
      </w:r>
      <w:r>
        <w:rPr>
          <w:w w:val="105"/>
        </w:rPr>
        <w:t>ified for government tendering processes, thus aligning the study sample with the research objectives. Their participation offered a practical and policy-relevant framework for evaluating the theoretical propositions underlying the study. Data collected fr</w:t>
      </w:r>
      <w:r>
        <w:rPr>
          <w:w w:val="105"/>
        </w:rPr>
        <w:t>om this group were expected to generate</w:t>
      </w:r>
      <w:r>
        <w:rPr>
          <w:spacing w:val="-6"/>
          <w:w w:val="105"/>
        </w:rPr>
        <w:t xml:space="preserve"> </w:t>
      </w:r>
      <w:r>
        <w:rPr>
          <w:w w:val="105"/>
        </w:rPr>
        <w:t>insights</w:t>
      </w:r>
      <w:r>
        <w:rPr>
          <w:spacing w:val="-7"/>
          <w:w w:val="105"/>
        </w:rPr>
        <w:t xml:space="preserve"> </w:t>
      </w:r>
      <w:r>
        <w:rPr>
          <w:w w:val="105"/>
        </w:rPr>
        <w:t>that</w:t>
      </w:r>
      <w:r>
        <w:rPr>
          <w:spacing w:val="-4"/>
          <w:w w:val="105"/>
        </w:rPr>
        <w:t xml:space="preserve"> </w:t>
      </w:r>
      <w:r>
        <w:rPr>
          <w:w w:val="105"/>
        </w:rPr>
        <w:t>are</w:t>
      </w:r>
      <w:r>
        <w:rPr>
          <w:spacing w:val="-6"/>
          <w:w w:val="105"/>
        </w:rPr>
        <w:t xml:space="preserve"> </w:t>
      </w:r>
      <w:r>
        <w:rPr>
          <w:w w:val="105"/>
        </w:rPr>
        <w:t>academically robust</w:t>
      </w:r>
      <w:r>
        <w:rPr>
          <w:spacing w:val="-4"/>
          <w:w w:val="105"/>
        </w:rPr>
        <w:t xml:space="preserve"> </w:t>
      </w:r>
      <w:r>
        <w:rPr>
          <w:w w:val="105"/>
        </w:rPr>
        <w:t>and practically significant,</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8"/>
        <w:jc w:val="both"/>
      </w:pPr>
      <w:r>
        <w:rPr>
          <w:w w:val="105"/>
        </w:rPr>
        <w:t>contributing to evidence-based policymaking aimed at improving the</w:t>
      </w:r>
      <w:r>
        <w:rPr>
          <w:w w:val="105"/>
        </w:rPr>
        <w:t xml:space="preserve"> performance and resilience of SMEs in Tanzania’s public procurement proceedings.</w:t>
      </w:r>
    </w:p>
    <w:p w:rsidR="00487D64" w:rsidRDefault="00487D64">
      <w:pPr>
        <w:pStyle w:val="BodyText"/>
      </w:pPr>
    </w:p>
    <w:p w:rsidR="00487D64" w:rsidRDefault="00487D64">
      <w:pPr>
        <w:pStyle w:val="BodyText"/>
        <w:spacing w:before="25"/>
      </w:pPr>
    </w:p>
    <w:p w:rsidR="00487D64" w:rsidRDefault="006F0D93">
      <w:pPr>
        <w:pStyle w:val="ListParagraph"/>
        <w:numPr>
          <w:ilvl w:val="1"/>
          <w:numId w:val="10"/>
        </w:numPr>
        <w:tabs>
          <w:tab w:val="left" w:pos="2139"/>
        </w:tabs>
        <w:ind w:left="2139" w:hanging="720"/>
        <w:rPr>
          <w:b/>
          <w:sz w:val="23"/>
        </w:rPr>
      </w:pPr>
      <w:bookmarkStart w:id="71" w:name="3.6__Area_of_the_Study"/>
      <w:bookmarkStart w:id="72" w:name="_bookmark35"/>
      <w:bookmarkEnd w:id="71"/>
      <w:bookmarkEnd w:id="72"/>
      <w:r>
        <w:rPr>
          <w:b/>
          <w:w w:val="105"/>
          <w:sz w:val="23"/>
        </w:rPr>
        <w:t>Area</w:t>
      </w:r>
      <w:r>
        <w:rPr>
          <w:b/>
          <w:spacing w:val="-7"/>
          <w:w w:val="105"/>
          <w:sz w:val="23"/>
        </w:rPr>
        <w:t xml:space="preserve"> </w:t>
      </w:r>
      <w:r>
        <w:rPr>
          <w:b/>
          <w:w w:val="105"/>
          <w:sz w:val="23"/>
        </w:rPr>
        <w:t>of</w:t>
      </w:r>
      <w:r>
        <w:rPr>
          <w:b/>
          <w:spacing w:val="-10"/>
          <w:w w:val="105"/>
          <w:sz w:val="23"/>
        </w:rPr>
        <w:t xml:space="preserve"> </w:t>
      </w:r>
      <w:r>
        <w:rPr>
          <w:b/>
          <w:w w:val="105"/>
          <w:sz w:val="23"/>
        </w:rPr>
        <w:t>the</w:t>
      </w:r>
      <w:r>
        <w:rPr>
          <w:b/>
          <w:spacing w:val="-2"/>
          <w:w w:val="105"/>
          <w:sz w:val="23"/>
        </w:rPr>
        <w:t xml:space="preserve"> </w:t>
      </w:r>
      <w:r>
        <w:rPr>
          <w:b/>
          <w:spacing w:val="-4"/>
          <w:w w:val="105"/>
          <w:sz w:val="23"/>
        </w:rPr>
        <w:t>Study</w:t>
      </w:r>
    </w:p>
    <w:p w:rsidR="00487D64" w:rsidRDefault="00487D64">
      <w:pPr>
        <w:pStyle w:val="BodyText"/>
        <w:spacing w:before="18"/>
        <w:rPr>
          <w:b/>
        </w:rPr>
      </w:pPr>
    </w:p>
    <w:p w:rsidR="00487D64" w:rsidRDefault="006F0D93">
      <w:pPr>
        <w:pStyle w:val="BodyText"/>
        <w:spacing w:line="501" w:lineRule="auto"/>
        <w:ind w:left="1419" w:right="849"/>
        <w:jc w:val="both"/>
      </w:pPr>
      <w:r>
        <w:rPr>
          <w:w w:val="105"/>
        </w:rPr>
        <w:t>This research was carried out across various administrative regions of the United Republic of Tanzania, concentrating on all locations where Special Grou</w:t>
      </w:r>
      <w:r>
        <w:rPr>
          <w:w w:val="105"/>
        </w:rPr>
        <w:t>p SMEs were formally registered with the</w:t>
      </w:r>
      <w:r>
        <w:rPr>
          <w:spacing w:val="-1"/>
          <w:w w:val="105"/>
        </w:rPr>
        <w:t xml:space="preserve"> </w:t>
      </w:r>
      <w:r>
        <w:rPr>
          <w:w w:val="105"/>
        </w:rPr>
        <w:t>Public Procurement Regulatory Authority (PPRA) as of</w:t>
      </w:r>
      <w:r>
        <w:rPr>
          <w:spacing w:val="-8"/>
          <w:w w:val="105"/>
        </w:rPr>
        <w:t xml:space="preserve"> </w:t>
      </w:r>
      <w:r>
        <w:rPr>
          <w:w w:val="105"/>
        </w:rPr>
        <w:t>January</w:t>
      </w:r>
      <w:r>
        <w:rPr>
          <w:spacing w:val="-5"/>
          <w:w w:val="105"/>
        </w:rPr>
        <w:t xml:space="preserve"> </w:t>
      </w:r>
      <w:r>
        <w:rPr>
          <w:w w:val="105"/>
        </w:rPr>
        <w:t>2025.</w:t>
      </w:r>
      <w:r>
        <w:rPr>
          <w:spacing w:val="-3"/>
          <w:w w:val="105"/>
        </w:rPr>
        <w:t xml:space="preserve"> </w:t>
      </w:r>
      <w:r>
        <w:rPr>
          <w:w w:val="105"/>
        </w:rPr>
        <w:t>The specified regions</w:t>
      </w:r>
      <w:r>
        <w:rPr>
          <w:spacing w:val="-7"/>
          <w:w w:val="105"/>
        </w:rPr>
        <w:t xml:space="preserve"> </w:t>
      </w:r>
      <w:r>
        <w:rPr>
          <w:w w:val="105"/>
        </w:rPr>
        <w:t>included Arusha, Dar es</w:t>
      </w:r>
      <w:r>
        <w:rPr>
          <w:spacing w:val="-7"/>
          <w:w w:val="105"/>
        </w:rPr>
        <w:t xml:space="preserve"> </w:t>
      </w:r>
      <w:r>
        <w:rPr>
          <w:w w:val="105"/>
        </w:rPr>
        <w:t>Salaam, Dodoma, Iringa, Katavi, Kilimanjaro, Morogoro, and Tabora.</w:t>
      </w:r>
    </w:p>
    <w:p w:rsidR="00487D64" w:rsidRDefault="006F0D93">
      <w:pPr>
        <w:pStyle w:val="BodyText"/>
        <w:spacing w:before="240" w:line="501" w:lineRule="auto"/>
        <w:ind w:left="1419" w:right="853"/>
        <w:jc w:val="both"/>
      </w:pPr>
      <w:r>
        <w:rPr>
          <w:w w:val="105"/>
        </w:rPr>
        <w:t>The</w:t>
      </w:r>
      <w:r>
        <w:rPr>
          <w:spacing w:val="-9"/>
          <w:w w:val="105"/>
        </w:rPr>
        <w:t xml:space="preserve"> </w:t>
      </w:r>
      <w:r>
        <w:rPr>
          <w:w w:val="105"/>
        </w:rPr>
        <w:t>regional</w:t>
      </w:r>
      <w:r>
        <w:rPr>
          <w:spacing w:val="-6"/>
          <w:w w:val="105"/>
        </w:rPr>
        <w:t xml:space="preserve"> </w:t>
      </w:r>
      <w:r>
        <w:rPr>
          <w:w w:val="105"/>
        </w:rPr>
        <w:t>coverage</w:t>
      </w:r>
      <w:r>
        <w:rPr>
          <w:spacing w:val="-9"/>
          <w:w w:val="105"/>
        </w:rPr>
        <w:t xml:space="preserve"> </w:t>
      </w:r>
      <w:r>
        <w:rPr>
          <w:w w:val="105"/>
        </w:rPr>
        <w:t>was</w:t>
      </w:r>
      <w:r>
        <w:rPr>
          <w:spacing w:val="-10"/>
          <w:w w:val="105"/>
        </w:rPr>
        <w:t xml:space="preserve"> </w:t>
      </w:r>
      <w:r>
        <w:rPr>
          <w:w w:val="105"/>
        </w:rPr>
        <w:t>intentionally</w:t>
      </w:r>
      <w:r>
        <w:rPr>
          <w:spacing w:val="-8"/>
          <w:w w:val="105"/>
        </w:rPr>
        <w:t xml:space="preserve"> </w:t>
      </w:r>
      <w:r>
        <w:rPr>
          <w:w w:val="105"/>
        </w:rPr>
        <w:t>broad</w:t>
      </w:r>
      <w:r>
        <w:rPr>
          <w:spacing w:val="-8"/>
          <w:w w:val="105"/>
        </w:rPr>
        <w:t xml:space="preserve"> </w:t>
      </w:r>
      <w:r>
        <w:rPr>
          <w:w w:val="105"/>
        </w:rPr>
        <w:t>to</w:t>
      </w:r>
      <w:r>
        <w:rPr>
          <w:spacing w:val="-8"/>
          <w:w w:val="105"/>
        </w:rPr>
        <w:t xml:space="preserve"> </w:t>
      </w:r>
      <w:r>
        <w:rPr>
          <w:w w:val="105"/>
        </w:rPr>
        <w:t>reflect</w:t>
      </w:r>
      <w:r>
        <w:rPr>
          <w:spacing w:val="-6"/>
          <w:w w:val="105"/>
        </w:rPr>
        <w:t xml:space="preserve"> </w:t>
      </w:r>
      <w:r>
        <w:rPr>
          <w:w w:val="105"/>
        </w:rPr>
        <w:t>the</w:t>
      </w:r>
      <w:r>
        <w:rPr>
          <w:spacing w:val="-2"/>
          <w:w w:val="105"/>
        </w:rPr>
        <w:t xml:space="preserve"> </w:t>
      </w:r>
      <w:r>
        <w:rPr>
          <w:w w:val="105"/>
        </w:rPr>
        <w:t>geographical</w:t>
      </w:r>
      <w:r>
        <w:rPr>
          <w:spacing w:val="-6"/>
          <w:w w:val="105"/>
        </w:rPr>
        <w:t xml:space="preserve"> </w:t>
      </w:r>
      <w:r>
        <w:rPr>
          <w:w w:val="105"/>
        </w:rPr>
        <w:t>distribution of special group SMEs and ensure that data collection captured variations in institutional capacity, access to procurement opportunities, and regional economic dynamics. According to Liu et al. (</w:t>
      </w:r>
      <w:r>
        <w:rPr>
          <w:w w:val="105"/>
        </w:rPr>
        <w:t>2024), regional institutional arrangements and procurement readiness can significantly influence SME participation in government tenders. Therefore, encompassing all relevant regions allowed the study to account for spatial disparities</w:t>
      </w:r>
      <w:r>
        <w:rPr>
          <w:spacing w:val="-3"/>
          <w:w w:val="105"/>
        </w:rPr>
        <w:t xml:space="preserve"> </w:t>
      </w:r>
      <w:r>
        <w:rPr>
          <w:w w:val="105"/>
        </w:rPr>
        <w:t>in public sector eng</w:t>
      </w:r>
      <w:r>
        <w:rPr>
          <w:w w:val="105"/>
        </w:rPr>
        <w:t>agement and strategic behavior.</w:t>
      </w:r>
    </w:p>
    <w:p w:rsidR="00487D64" w:rsidRDefault="006F0D93">
      <w:pPr>
        <w:pStyle w:val="BodyText"/>
        <w:spacing w:before="237" w:line="501" w:lineRule="auto"/>
        <w:ind w:left="1419" w:right="850"/>
        <w:jc w:val="both"/>
      </w:pPr>
      <w:r>
        <w:rPr>
          <w:w w:val="105"/>
        </w:rPr>
        <w:t>This inclusive approach was further motivated by national policy imperatives that emphasize economic inclusion and equitable access to public opportunities for historically disadvantaged groups (URT, 2022). Capturing data fr</w:t>
      </w:r>
      <w:r>
        <w:rPr>
          <w:w w:val="105"/>
        </w:rPr>
        <w:t>om these diverse localities enabled a more holistic assessment of how market orientation, strategic flexibility,</w:t>
      </w:r>
      <w:r>
        <w:rPr>
          <w:spacing w:val="-16"/>
          <w:w w:val="105"/>
        </w:rPr>
        <w:t xml:space="preserve"> </w:t>
      </w:r>
      <w:r>
        <w:rPr>
          <w:w w:val="105"/>
        </w:rPr>
        <w:t>and</w:t>
      </w:r>
      <w:r>
        <w:rPr>
          <w:spacing w:val="-6"/>
          <w:w w:val="105"/>
        </w:rPr>
        <w:t xml:space="preserve"> </w:t>
      </w:r>
      <w:r>
        <w:rPr>
          <w:w w:val="105"/>
        </w:rPr>
        <w:t>sustainable</w:t>
      </w:r>
      <w:r>
        <w:rPr>
          <w:spacing w:val="-13"/>
          <w:w w:val="105"/>
        </w:rPr>
        <w:t xml:space="preserve"> </w:t>
      </w:r>
      <w:r>
        <w:rPr>
          <w:w w:val="105"/>
        </w:rPr>
        <w:t>competitiveness</w:t>
      </w:r>
      <w:r>
        <w:rPr>
          <w:spacing w:val="-15"/>
          <w:w w:val="105"/>
        </w:rPr>
        <w:t xml:space="preserve"> </w:t>
      </w:r>
      <w:r>
        <w:rPr>
          <w:w w:val="105"/>
        </w:rPr>
        <w:t>interact</w:t>
      </w:r>
      <w:r>
        <w:rPr>
          <w:spacing w:val="-11"/>
          <w:w w:val="105"/>
        </w:rPr>
        <w:t xml:space="preserve"> </w:t>
      </w:r>
      <w:r>
        <w:rPr>
          <w:w w:val="105"/>
        </w:rPr>
        <w:t>within</w:t>
      </w:r>
      <w:r>
        <w:rPr>
          <w:spacing w:val="-7"/>
          <w:w w:val="105"/>
        </w:rPr>
        <w:t xml:space="preserve"> </w:t>
      </w:r>
      <w:r>
        <w:rPr>
          <w:w w:val="105"/>
        </w:rPr>
        <w:t>decentralized</w:t>
      </w:r>
      <w:r>
        <w:rPr>
          <w:spacing w:val="-12"/>
          <w:w w:val="105"/>
        </w:rPr>
        <w:t xml:space="preserve"> </w:t>
      </w:r>
      <w:r>
        <w:rPr>
          <w:w w:val="105"/>
        </w:rPr>
        <w:t xml:space="preserve">procurement </w:t>
      </w:r>
      <w:r>
        <w:rPr>
          <w:spacing w:val="-2"/>
          <w:w w:val="105"/>
        </w:rPr>
        <w:t>environments.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1"/>
          <w:numId w:val="10"/>
        </w:numPr>
        <w:tabs>
          <w:tab w:val="left" w:pos="2139"/>
        </w:tabs>
        <w:spacing w:before="1"/>
        <w:ind w:left="2139" w:hanging="720"/>
        <w:rPr>
          <w:b/>
          <w:sz w:val="23"/>
        </w:rPr>
      </w:pPr>
      <w:bookmarkStart w:id="73" w:name="3.7__Sampling_Design_and_Procedures"/>
      <w:bookmarkStart w:id="74" w:name="_bookmark36"/>
      <w:bookmarkEnd w:id="73"/>
      <w:bookmarkEnd w:id="74"/>
      <w:r>
        <w:rPr>
          <w:b/>
          <w:w w:val="105"/>
          <w:sz w:val="23"/>
        </w:rPr>
        <w:t>Sampling</w:t>
      </w:r>
      <w:r>
        <w:rPr>
          <w:b/>
          <w:spacing w:val="-12"/>
          <w:w w:val="105"/>
          <w:sz w:val="23"/>
        </w:rPr>
        <w:t xml:space="preserve"> </w:t>
      </w:r>
      <w:r>
        <w:rPr>
          <w:b/>
          <w:w w:val="105"/>
          <w:sz w:val="23"/>
        </w:rPr>
        <w:t>Design</w:t>
      </w:r>
      <w:r>
        <w:rPr>
          <w:b/>
          <w:spacing w:val="-11"/>
          <w:w w:val="105"/>
          <w:sz w:val="23"/>
        </w:rPr>
        <w:t xml:space="preserve"> </w:t>
      </w:r>
      <w:r>
        <w:rPr>
          <w:b/>
          <w:w w:val="105"/>
          <w:sz w:val="23"/>
        </w:rPr>
        <w:t>and</w:t>
      </w:r>
      <w:r>
        <w:rPr>
          <w:b/>
          <w:spacing w:val="-11"/>
          <w:w w:val="105"/>
          <w:sz w:val="23"/>
        </w:rPr>
        <w:t xml:space="preserve"> </w:t>
      </w:r>
      <w:r>
        <w:rPr>
          <w:b/>
          <w:spacing w:val="-2"/>
          <w:w w:val="105"/>
          <w:sz w:val="23"/>
        </w:rPr>
        <w:t>Procedures</w:t>
      </w:r>
    </w:p>
    <w:p w:rsidR="00487D64" w:rsidRDefault="00487D64">
      <w:pPr>
        <w:pStyle w:val="BodyText"/>
        <w:spacing w:before="18"/>
        <w:rPr>
          <w:b/>
        </w:rPr>
      </w:pPr>
    </w:p>
    <w:p w:rsidR="00487D64" w:rsidRDefault="006F0D93">
      <w:pPr>
        <w:pStyle w:val="BodyText"/>
        <w:spacing w:line="501" w:lineRule="auto"/>
        <w:ind w:left="1419" w:right="845"/>
        <w:jc w:val="both"/>
      </w:pPr>
      <w:r>
        <w:rPr>
          <w:w w:val="105"/>
        </w:rPr>
        <w:t>This</w:t>
      </w:r>
      <w:r>
        <w:rPr>
          <w:spacing w:val="-5"/>
          <w:w w:val="105"/>
        </w:rPr>
        <w:t xml:space="preserve"> </w:t>
      </w:r>
      <w:r>
        <w:rPr>
          <w:w w:val="105"/>
        </w:rPr>
        <w:t>study</w:t>
      </w:r>
      <w:r>
        <w:rPr>
          <w:spacing w:val="-9"/>
          <w:w w:val="105"/>
        </w:rPr>
        <w:t xml:space="preserve"> </w:t>
      </w:r>
      <w:r>
        <w:rPr>
          <w:w w:val="105"/>
        </w:rPr>
        <w:t>adopted</w:t>
      </w:r>
      <w:r>
        <w:rPr>
          <w:spacing w:val="-9"/>
          <w:w w:val="105"/>
        </w:rPr>
        <w:t xml:space="preserve"> </w:t>
      </w:r>
      <w:r>
        <w:rPr>
          <w:w w:val="105"/>
        </w:rPr>
        <w:t>a census</w:t>
      </w:r>
      <w:r>
        <w:rPr>
          <w:spacing w:val="-5"/>
          <w:w w:val="105"/>
        </w:rPr>
        <w:t xml:space="preserve"> </w:t>
      </w:r>
      <w:r>
        <w:rPr>
          <w:w w:val="105"/>
        </w:rPr>
        <w:t>sampling</w:t>
      </w:r>
      <w:r>
        <w:rPr>
          <w:spacing w:val="-9"/>
          <w:w w:val="105"/>
        </w:rPr>
        <w:t xml:space="preserve"> </w:t>
      </w:r>
      <w:r>
        <w:rPr>
          <w:w w:val="105"/>
        </w:rPr>
        <w:t>technique,</w:t>
      </w:r>
      <w:r>
        <w:rPr>
          <w:spacing w:val="-1"/>
          <w:w w:val="105"/>
        </w:rPr>
        <w:t xml:space="preserve"> </w:t>
      </w:r>
      <w:r>
        <w:rPr>
          <w:w w:val="105"/>
        </w:rPr>
        <w:t>which</w:t>
      </w:r>
      <w:r>
        <w:rPr>
          <w:spacing w:val="-9"/>
          <w:w w:val="105"/>
        </w:rPr>
        <w:t xml:space="preserve"> </w:t>
      </w:r>
      <w:r>
        <w:rPr>
          <w:w w:val="105"/>
        </w:rPr>
        <w:t>involves</w:t>
      </w:r>
      <w:r>
        <w:rPr>
          <w:spacing w:val="-12"/>
          <w:w w:val="105"/>
        </w:rPr>
        <w:t xml:space="preserve"> </w:t>
      </w:r>
      <w:r>
        <w:rPr>
          <w:w w:val="105"/>
        </w:rPr>
        <w:t>collecting</w:t>
      </w:r>
      <w:r>
        <w:rPr>
          <w:spacing w:val="-3"/>
          <w:w w:val="105"/>
        </w:rPr>
        <w:t xml:space="preserve"> </w:t>
      </w:r>
      <w:r>
        <w:rPr>
          <w:w w:val="105"/>
        </w:rPr>
        <w:t>data</w:t>
      </w:r>
      <w:r>
        <w:rPr>
          <w:spacing w:val="-4"/>
          <w:w w:val="105"/>
        </w:rPr>
        <w:t xml:space="preserve"> </w:t>
      </w:r>
      <w:r>
        <w:rPr>
          <w:w w:val="105"/>
        </w:rPr>
        <w:t>from every unit within the population of interest rather than drawing a representative sample. The decision to use a census was driven by the finite and manageable population</w:t>
      </w:r>
      <w:r>
        <w:rPr>
          <w:spacing w:val="-8"/>
          <w:w w:val="105"/>
        </w:rPr>
        <w:t xml:space="preserve"> </w:t>
      </w:r>
      <w:r>
        <w:rPr>
          <w:w w:val="105"/>
        </w:rPr>
        <w:t>size, specifically,</w:t>
      </w:r>
      <w:r>
        <w:rPr>
          <w:spacing w:val="-12"/>
          <w:w w:val="105"/>
        </w:rPr>
        <w:t xml:space="preserve"> </w:t>
      </w:r>
      <w:r>
        <w:rPr>
          <w:w w:val="105"/>
        </w:rPr>
        <w:t>the</w:t>
      </w:r>
      <w:r>
        <w:rPr>
          <w:spacing w:val="-12"/>
          <w:w w:val="105"/>
        </w:rPr>
        <w:t xml:space="preserve"> </w:t>
      </w:r>
      <w:r>
        <w:rPr>
          <w:w w:val="105"/>
        </w:rPr>
        <w:t>503</w:t>
      </w:r>
      <w:r>
        <w:rPr>
          <w:spacing w:val="-2"/>
          <w:w w:val="105"/>
        </w:rPr>
        <w:t xml:space="preserve"> </w:t>
      </w:r>
      <w:r>
        <w:rPr>
          <w:w w:val="105"/>
        </w:rPr>
        <w:t>Special</w:t>
      </w:r>
      <w:r>
        <w:rPr>
          <w:spacing w:val="-6"/>
          <w:w w:val="105"/>
        </w:rPr>
        <w:t xml:space="preserve"> </w:t>
      </w:r>
      <w:r>
        <w:rPr>
          <w:w w:val="105"/>
        </w:rPr>
        <w:t>Group</w:t>
      </w:r>
      <w:r>
        <w:rPr>
          <w:spacing w:val="-4"/>
          <w:w w:val="105"/>
        </w:rPr>
        <w:t xml:space="preserve"> </w:t>
      </w:r>
      <w:r>
        <w:rPr>
          <w:w w:val="105"/>
        </w:rPr>
        <w:t>SMEs</w:t>
      </w:r>
      <w:r>
        <w:rPr>
          <w:spacing w:val="-10"/>
          <w:w w:val="105"/>
        </w:rPr>
        <w:t xml:space="preserve"> </w:t>
      </w:r>
      <w:r>
        <w:rPr>
          <w:w w:val="105"/>
        </w:rPr>
        <w:t>officially</w:t>
      </w:r>
      <w:r>
        <w:rPr>
          <w:spacing w:val="-8"/>
          <w:w w:val="105"/>
        </w:rPr>
        <w:t xml:space="preserve"> </w:t>
      </w:r>
      <w:r>
        <w:rPr>
          <w:w w:val="105"/>
        </w:rPr>
        <w:t>registered</w:t>
      </w:r>
      <w:r>
        <w:rPr>
          <w:spacing w:val="-2"/>
          <w:w w:val="105"/>
        </w:rPr>
        <w:t xml:space="preserve"> </w:t>
      </w:r>
      <w:r>
        <w:rPr>
          <w:w w:val="105"/>
        </w:rPr>
        <w:t>by</w:t>
      </w:r>
      <w:r>
        <w:rPr>
          <w:spacing w:val="-8"/>
          <w:w w:val="105"/>
        </w:rPr>
        <w:t xml:space="preserve"> </w:t>
      </w:r>
      <w:r>
        <w:rPr>
          <w:w w:val="105"/>
        </w:rPr>
        <w:t>the Public Procurement Regulatory Authority (PPRA) as of January 2025. These SMEs owned by women, youth,</w:t>
      </w:r>
      <w:r>
        <w:rPr>
          <w:spacing w:val="-4"/>
          <w:w w:val="105"/>
        </w:rPr>
        <w:t xml:space="preserve"> </w:t>
      </w:r>
      <w:r>
        <w:rPr>
          <w:w w:val="105"/>
        </w:rPr>
        <w:t>and persons</w:t>
      </w:r>
      <w:r>
        <w:rPr>
          <w:spacing w:val="-2"/>
          <w:w w:val="105"/>
        </w:rPr>
        <w:t xml:space="preserve"> </w:t>
      </w:r>
      <w:r>
        <w:rPr>
          <w:w w:val="105"/>
        </w:rPr>
        <w:t>with disabilities had been formally</w:t>
      </w:r>
      <w:r>
        <w:rPr>
          <w:spacing w:val="-6"/>
          <w:w w:val="105"/>
        </w:rPr>
        <w:t xml:space="preserve"> </w:t>
      </w:r>
      <w:r>
        <w:rPr>
          <w:w w:val="105"/>
        </w:rPr>
        <w:t>recognized as eligible supplier</w:t>
      </w:r>
      <w:r>
        <w:rPr>
          <w:w w:val="105"/>
        </w:rPr>
        <w:t>s, service providers, or contractors under Tanzania’s public procurement framework.</w:t>
      </w:r>
    </w:p>
    <w:p w:rsidR="00487D64" w:rsidRDefault="006F0D93">
      <w:pPr>
        <w:pStyle w:val="BodyText"/>
        <w:spacing w:before="231" w:line="501" w:lineRule="auto"/>
        <w:ind w:left="1419" w:right="848"/>
        <w:jc w:val="both"/>
      </w:pPr>
      <w:r>
        <w:rPr>
          <w:w w:val="105"/>
        </w:rPr>
        <w:t>Employing a census approach was deemed appropriate for several reasons. First, it ensured maximum data reliability and eliminated the risk of sampling error, which often ar</w:t>
      </w:r>
      <w:r>
        <w:rPr>
          <w:w w:val="105"/>
        </w:rPr>
        <w:t>ises</w:t>
      </w:r>
      <w:r>
        <w:rPr>
          <w:spacing w:val="-7"/>
          <w:w w:val="105"/>
        </w:rPr>
        <w:t xml:space="preserve"> </w:t>
      </w:r>
      <w:r>
        <w:rPr>
          <w:w w:val="105"/>
        </w:rPr>
        <w:t>in studies</w:t>
      </w:r>
      <w:r>
        <w:rPr>
          <w:spacing w:val="-1"/>
          <w:w w:val="105"/>
        </w:rPr>
        <w:t xml:space="preserve"> </w:t>
      </w:r>
      <w:r>
        <w:rPr>
          <w:w w:val="105"/>
        </w:rPr>
        <w:t>based on selective sampling (Saunders</w:t>
      </w:r>
      <w:r>
        <w:rPr>
          <w:spacing w:val="-1"/>
          <w:w w:val="105"/>
        </w:rPr>
        <w:t xml:space="preserve"> </w:t>
      </w:r>
      <w:r>
        <w:rPr>
          <w:w w:val="105"/>
        </w:rPr>
        <w:t>et al., 2019).</w:t>
      </w:r>
      <w:r>
        <w:rPr>
          <w:spacing w:val="-3"/>
          <w:w w:val="105"/>
        </w:rPr>
        <w:t xml:space="preserve"> </w:t>
      </w:r>
      <w:r>
        <w:rPr>
          <w:w w:val="105"/>
        </w:rPr>
        <w:t>Second, it enhanced the external validity of the findings, as results drawn from the entire population are more generalizable to the target group. Third, the use of a census enabled the r</w:t>
      </w:r>
      <w:r>
        <w:rPr>
          <w:w w:val="105"/>
        </w:rPr>
        <w:t>esearcher to capture a diverse range of contextual insights, including variation across regions, ownership categories, and industry sectors, thereby strengthening the empirical grounding of the study.</w:t>
      </w:r>
    </w:p>
    <w:p w:rsidR="00487D64" w:rsidRDefault="006F0D93">
      <w:pPr>
        <w:pStyle w:val="BodyText"/>
        <w:spacing w:before="239" w:line="501" w:lineRule="auto"/>
        <w:ind w:left="1419" w:right="848"/>
        <w:jc w:val="both"/>
      </w:pPr>
      <w:r>
        <w:rPr>
          <w:w w:val="105"/>
        </w:rPr>
        <w:t>According</w:t>
      </w:r>
      <w:r>
        <w:rPr>
          <w:spacing w:val="-5"/>
          <w:w w:val="105"/>
        </w:rPr>
        <w:t xml:space="preserve"> </w:t>
      </w:r>
      <w:r>
        <w:rPr>
          <w:w w:val="105"/>
        </w:rPr>
        <w:t>to</w:t>
      </w:r>
      <w:r>
        <w:rPr>
          <w:spacing w:val="-5"/>
          <w:w w:val="105"/>
        </w:rPr>
        <w:t xml:space="preserve"> </w:t>
      </w:r>
      <w:r>
        <w:rPr>
          <w:w w:val="105"/>
        </w:rPr>
        <w:t>Hair</w:t>
      </w:r>
      <w:r>
        <w:rPr>
          <w:spacing w:val="-2"/>
          <w:w w:val="105"/>
        </w:rPr>
        <w:t xml:space="preserve"> </w:t>
      </w:r>
      <w:r>
        <w:rPr>
          <w:w w:val="105"/>
        </w:rPr>
        <w:t>(2020),</w:t>
      </w:r>
      <w:r>
        <w:rPr>
          <w:spacing w:val="-10"/>
          <w:w w:val="105"/>
        </w:rPr>
        <w:t xml:space="preserve"> </w:t>
      </w:r>
      <w:r>
        <w:rPr>
          <w:w w:val="105"/>
        </w:rPr>
        <w:t>the</w:t>
      </w:r>
      <w:r>
        <w:rPr>
          <w:spacing w:val="-6"/>
          <w:w w:val="105"/>
        </w:rPr>
        <w:t xml:space="preserve"> </w:t>
      </w:r>
      <w:r>
        <w:rPr>
          <w:w w:val="105"/>
        </w:rPr>
        <w:t>sampling design</w:t>
      </w:r>
      <w:r>
        <w:rPr>
          <w:spacing w:val="-5"/>
          <w:w w:val="105"/>
        </w:rPr>
        <w:t xml:space="preserve"> </w:t>
      </w:r>
      <w:r>
        <w:rPr>
          <w:w w:val="105"/>
        </w:rPr>
        <w:t>is</w:t>
      </w:r>
      <w:r>
        <w:rPr>
          <w:spacing w:val="-8"/>
          <w:w w:val="105"/>
        </w:rPr>
        <w:t xml:space="preserve"> </w:t>
      </w:r>
      <w:r>
        <w:rPr>
          <w:w w:val="105"/>
        </w:rPr>
        <w:t>a cruc</w:t>
      </w:r>
      <w:r>
        <w:rPr>
          <w:w w:val="105"/>
        </w:rPr>
        <w:t>ial component</w:t>
      </w:r>
      <w:r>
        <w:rPr>
          <w:spacing w:val="-3"/>
          <w:w w:val="105"/>
        </w:rPr>
        <w:t xml:space="preserve"> </w:t>
      </w:r>
      <w:r>
        <w:rPr>
          <w:w w:val="105"/>
        </w:rPr>
        <w:t>of</w:t>
      </w:r>
      <w:r>
        <w:rPr>
          <w:spacing w:val="-8"/>
          <w:w w:val="105"/>
        </w:rPr>
        <w:t xml:space="preserve"> </w:t>
      </w:r>
      <w:r>
        <w:rPr>
          <w:w w:val="105"/>
        </w:rPr>
        <w:t>the</w:t>
      </w:r>
      <w:r>
        <w:rPr>
          <w:spacing w:val="-6"/>
          <w:w w:val="105"/>
        </w:rPr>
        <w:t xml:space="preserve"> </w:t>
      </w:r>
      <w:r>
        <w:rPr>
          <w:w w:val="105"/>
        </w:rPr>
        <w:t>research process, requiring researchers to make an informed decision between sampling and census strategies. He argues that a census is most suitable when the population is relatively small, accessible, and homogenous in terms</w:t>
      </w:r>
      <w:r>
        <w:rPr>
          <w:w w:val="105"/>
        </w:rPr>
        <w:t xml:space="preserve"> of relevance to the research objectives, criteria which this study fully satisfied. Accordingly, the unit of analysis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1"/>
        <w:jc w:val="both"/>
      </w:pPr>
      <w:r>
        <w:rPr>
          <w:w w:val="105"/>
        </w:rPr>
        <w:t xml:space="preserve">consisted of firm-level representatives, such as managers or group leaders, from all registered special group SMEs </w:t>
      </w:r>
      <w:r>
        <w:rPr>
          <w:w w:val="105"/>
        </w:rPr>
        <w:t>engaged in public procurement.</w:t>
      </w:r>
    </w:p>
    <w:p w:rsidR="00487D64" w:rsidRDefault="006F0D93">
      <w:pPr>
        <w:pStyle w:val="BodyText"/>
        <w:spacing w:before="236" w:line="496" w:lineRule="auto"/>
        <w:ind w:left="1419" w:right="849"/>
        <w:jc w:val="both"/>
      </w:pPr>
      <w:r>
        <w:rPr>
          <w:w w:val="105"/>
        </w:rPr>
        <w:t>The census was implemented within a quantitative, cross-sectional survey design, allowing for the collection of standardized data at a single point in time.</w:t>
      </w:r>
    </w:p>
    <w:p w:rsidR="00487D64" w:rsidRDefault="00487D64">
      <w:pPr>
        <w:pStyle w:val="BodyText"/>
        <w:spacing w:before="262"/>
      </w:pPr>
    </w:p>
    <w:p w:rsidR="00487D64" w:rsidRDefault="006F0D93">
      <w:pPr>
        <w:pStyle w:val="Heading1"/>
        <w:numPr>
          <w:ilvl w:val="1"/>
          <w:numId w:val="10"/>
        </w:numPr>
        <w:tabs>
          <w:tab w:val="left" w:pos="2197"/>
        </w:tabs>
        <w:ind w:left="2197" w:hanging="778"/>
      </w:pPr>
      <w:bookmarkStart w:id="75" w:name="3.8___Variables_and_Measurement_Procedur"/>
      <w:bookmarkStart w:id="76" w:name="_bookmark37"/>
      <w:bookmarkEnd w:id="75"/>
      <w:bookmarkEnd w:id="76"/>
      <w:r>
        <w:t>Variables</w:t>
      </w:r>
      <w:r>
        <w:rPr>
          <w:spacing w:val="27"/>
        </w:rPr>
        <w:t xml:space="preserve"> </w:t>
      </w:r>
      <w:r>
        <w:t>and</w:t>
      </w:r>
      <w:r>
        <w:rPr>
          <w:spacing w:val="34"/>
        </w:rPr>
        <w:t xml:space="preserve"> </w:t>
      </w:r>
      <w:r>
        <w:t>Measurement</w:t>
      </w:r>
      <w:r>
        <w:rPr>
          <w:spacing w:val="39"/>
        </w:rPr>
        <w:t xml:space="preserve"> </w:t>
      </w:r>
      <w:r>
        <w:rPr>
          <w:spacing w:val="-2"/>
        </w:rPr>
        <w:t>Procedures</w:t>
      </w:r>
    </w:p>
    <w:p w:rsidR="00487D64" w:rsidRDefault="00487D64">
      <w:pPr>
        <w:pStyle w:val="BodyText"/>
        <w:spacing w:before="18"/>
        <w:rPr>
          <w:b/>
        </w:rPr>
      </w:pPr>
    </w:p>
    <w:p w:rsidR="00487D64" w:rsidRDefault="006F0D93">
      <w:pPr>
        <w:pStyle w:val="BodyText"/>
        <w:spacing w:line="501" w:lineRule="auto"/>
        <w:ind w:left="1419" w:right="845"/>
        <w:jc w:val="both"/>
      </w:pPr>
      <w:r>
        <w:rPr>
          <w:w w:val="105"/>
        </w:rPr>
        <w:t>This</w:t>
      </w:r>
      <w:r>
        <w:rPr>
          <w:spacing w:val="-3"/>
          <w:w w:val="105"/>
        </w:rPr>
        <w:t xml:space="preserve"> </w:t>
      </w:r>
      <w:r>
        <w:rPr>
          <w:w w:val="105"/>
        </w:rPr>
        <w:t>study</w:t>
      </w:r>
      <w:r>
        <w:rPr>
          <w:spacing w:val="-7"/>
          <w:w w:val="105"/>
        </w:rPr>
        <w:t xml:space="preserve"> </w:t>
      </w:r>
      <w:r>
        <w:rPr>
          <w:w w:val="105"/>
        </w:rPr>
        <w:t>involved</w:t>
      </w:r>
      <w:r>
        <w:rPr>
          <w:spacing w:val="-1"/>
          <w:w w:val="105"/>
        </w:rPr>
        <w:t xml:space="preserve"> </w:t>
      </w:r>
      <w:r>
        <w:rPr>
          <w:w w:val="105"/>
        </w:rPr>
        <w:t>three</w:t>
      </w:r>
      <w:r>
        <w:rPr>
          <w:spacing w:val="-2"/>
          <w:w w:val="105"/>
        </w:rPr>
        <w:t xml:space="preserve"> </w:t>
      </w:r>
      <w:r>
        <w:rPr>
          <w:w w:val="105"/>
        </w:rPr>
        <w:t>categories</w:t>
      </w:r>
      <w:r>
        <w:rPr>
          <w:spacing w:val="-3"/>
          <w:w w:val="105"/>
        </w:rPr>
        <w:t xml:space="preserve"> </w:t>
      </w:r>
      <w:r>
        <w:rPr>
          <w:w w:val="105"/>
        </w:rPr>
        <w:t>of</w:t>
      </w:r>
      <w:r>
        <w:rPr>
          <w:spacing w:val="-4"/>
          <w:w w:val="105"/>
        </w:rPr>
        <w:t xml:space="preserve"> </w:t>
      </w:r>
      <w:r>
        <w:rPr>
          <w:w w:val="105"/>
        </w:rPr>
        <w:t>variables:</w:t>
      </w:r>
      <w:r>
        <w:rPr>
          <w:spacing w:val="-5"/>
          <w:w w:val="105"/>
        </w:rPr>
        <w:t xml:space="preserve"> </w:t>
      </w:r>
      <w:r>
        <w:rPr>
          <w:w w:val="105"/>
        </w:rPr>
        <w:t>independent variables,</w:t>
      </w:r>
      <w:r>
        <w:rPr>
          <w:spacing w:val="-5"/>
          <w:w w:val="105"/>
        </w:rPr>
        <w:t xml:space="preserve"> </w:t>
      </w:r>
      <w:r>
        <w:rPr>
          <w:w w:val="105"/>
        </w:rPr>
        <w:t>a</w:t>
      </w:r>
      <w:r>
        <w:rPr>
          <w:spacing w:val="-2"/>
          <w:w w:val="105"/>
        </w:rPr>
        <w:t xml:space="preserve"> </w:t>
      </w:r>
      <w:r>
        <w:rPr>
          <w:w w:val="105"/>
        </w:rPr>
        <w:t>dependent variable, and a moderating variable. The independent variables were customer orientation, competitor orientation, and functional coordination. The dependent variable was sustainable competitivenes</w:t>
      </w:r>
      <w:r>
        <w:rPr>
          <w:w w:val="105"/>
        </w:rPr>
        <w:t>s, while the moderating variable was strategic flexibility. The selection of these variables and their respective measures was guided by prior studies that demonstrated statistical significance and validity. Table 3.1 provides measurement and sources.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1419"/>
        <w:rPr>
          <w:b/>
          <w:sz w:val="23"/>
        </w:rPr>
      </w:pPr>
      <w:r>
        <w:rPr>
          <w:b/>
          <w:w w:val="105"/>
          <w:sz w:val="23"/>
        </w:rPr>
        <w:t>Table</w:t>
      </w:r>
      <w:r>
        <w:rPr>
          <w:b/>
          <w:spacing w:val="-8"/>
          <w:w w:val="105"/>
          <w:sz w:val="23"/>
        </w:rPr>
        <w:t xml:space="preserve"> </w:t>
      </w:r>
      <w:r>
        <w:rPr>
          <w:b/>
          <w:w w:val="105"/>
          <w:sz w:val="23"/>
        </w:rPr>
        <w:t>3.</w:t>
      </w:r>
      <w:r>
        <w:rPr>
          <w:b/>
          <w:spacing w:val="-10"/>
          <w:w w:val="105"/>
          <w:sz w:val="23"/>
        </w:rPr>
        <w:t xml:space="preserve"> </w:t>
      </w:r>
      <w:r>
        <w:rPr>
          <w:b/>
          <w:w w:val="105"/>
          <w:sz w:val="23"/>
        </w:rPr>
        <w:t>1:</w:t>
      </w:r>
      <w:r>
        <w:rPr>
          <w:b/>
          <w:spacing w:val="53"/>
          <w:w w:val="105"/>
          <w:sz w:val="23"/>
        </w:rPr>
        <w:t xml:space="preserve"> </w:t>
      </w:r>
      <w:r>
        <w:rPr>
          <w:b/>
          <w:w w:val="105"/>
          <w:sz w:val="23"/>
        </w:rPr>
        <w:t>Variables,</w:t>
      </w:r>
      <w:r>
        <w:rPr>
          <w:b/>
          <w:spacing w:val="-11"/>
          <w:w w:val="105"/>
          <w:sz w:val="23"/>
        </w:rPr>
        <w:t xml:space="preserve"> </w:t>
      </w:r>
      <w:r>
        <w:rPr>
          <w:b/>
          <w:w w:val="105"/>
          <w:sz w:val="23"/>
        </w:rPr>
        <w:t>Indicators</w:t>
      </w:r>
      <w:r>
        <w:rPr>
          <w:b/>
          <w:spacing w:val="-2"/>
          <w:w w:val="105"/>
          <w:sz w:val="23"/>
        </w:rPr>
        <w:t xml:space="preserve"> </w:t>
      </w:r>
      <w:r>
        <w:rPr>
          <w:b/>
          <w:w w:val="105"/>
          <w:sz w:val="23"/>
        </w:rPr>
        <w:t>and</w:t>
      </w:r>
      <w:r>
        <w:rPr>
          <w:b/>
          <w:spacing w:val="-12"/>
          <w:w w:val="105"/>
          <w:sz w:val="23"/>
        </w:rPr>
        <w:t xml:space="preserve"> </w:t>
      </w:r>
      <w:r>
        <w:rPr>
          <w:b/>
          <w:w w:val="105"/>
          <w:sz w:val="23"/>
        </w:rPr>
        <w:t>Level</w:t>
      </w:r>
      <w:r>
        <w:rPr>
          <w:b/>
          <w:spacing w:val="-11"/>
          <w:w w:val="105"/>
          <w:sz w:val="23"/>
        </w:rPr>
        <w:t xml:space="preserve"> </w:t>
      </w:r>
      <w:r>
        <w:rPr>
          <w:b/>
          <w:w w:val="105"/>
          <w:sz w:val="23"/>
        </w:rPr>
        <w:t>of</w:t>
      </w:r>
      <w:r>
        <w:rPr>
          <w:b/>
          <w:spacing w:val="-9"/>
          <w:w w:val="105"/>
          <w:sz w:val="23"/>
        </w:rPr>
        <w:t xml:space="preserve"> </w:t>
      </w:r>
      <w:r>
        <w:rPr>
          <w:b/>
          <w:spacing w:val="-2"/>
          <w:w w:val="105"/>
          <w:sz w:val="23"/>
        </w:rPr>
        <w:t>Measurement</w:t>
      </w:r>
    </w:p>
    <w:p w:rsidR="00487D64" w:rsidRDefault="00487D64">
      <w:pPr>
        <w:pStyle w:val="BodyText"/>
        <w:spacing w:before="44"/>
        <w:rPr>
          <w:b/>
          <w:sz w:val="20"/>
        </w:rPr>
      </w:pPr>
    </w:p>
    <w:tbl>
      <w:tblPr>
        <w:tblW w:w="0" w:type="auto"/>
        <w:tblInd w:w="1311" w:type="dxa"/>
        <w:tblLayout w:type="fixed"/>
        <w:tblCellMar>
          <w:left w:w="0" w:type="dxa"/>
          <w:right w:w="0" w:type="dxa"/>
        </w:tblCellMar>
        <w:tblLook w:val="01E0" w:firstRow="1" w:lastRow="1" w:firstColumn="1" w:lastColumn="1" w:noHBand="0" w:noVBand="0"/>
      </w:tblPr>
      <w:tblGrid>
        <w:gridCol w:w="2014"/>
        <w:gridCol w:w="2309"/>
        <w:gridCol w:w="1549"/>
        <w:gridCol w:w="1043"/>
        <w:gridCol w:w="1534"/>
      </w:tblGrid>
      <w:tr w:rsidR="00487D64">
        <w:trPr>
          <w:trHeight w:val="501"/>
        </w:trPr>
        <w:tc>
          <w:tcPr>
            <w:tcW w:w="2014" w:type="dxa"/>
            <w:tcBorders>
              <w:top w:val="single" w:sz="4" w:space="0" w:color="000000"/>
              <w:bottom w:val="single" w:sz="4" w:space="0" w:color="000000"/>
            </w:tcBorders>
          </w:tcPr>
          <w:p w:rsidR="00487D64" w:rsidRDefault="006F0D93">
            <w:pPr>
              <w:pStyle w:val="TableParagraph"/>
              <w:spacing w:line="247" w:lineRule="exact"/>
              <w:ind w:left="115"/>
              <w:rPr>
                <w:b/>
              </w:rPr>
            </w:pPr>
            <w:r>
              <w:rPr>
                <w:b/>
                <w:spacing w:val="-2"/>
              </w:rPr>
              <w:t>Dependent</w:t>
            </w:r>
          </w:p>
          <w:p w:rsidR="00487D64" w:rsidRDefault="006F0D93">
            <w:pPr>
              <w:pStyle w:val="TableParagraph"/>
              <w:spacing w:line="234" w:lineRule="exact"/>
              <w:ind w:left="115"/>
              <w:rPr>
                <w:b/>
              </w:rPr>
            </w:pPr>
            <w:r>
              <w:rPr>
                <w:b/>
                <w:spacing w:val="-2"/>
              </w:rPr>
              <w:t>Variable</w:t>
            </w:r>
          </w:p>
        </w:tc>
        <w:tc>
          <w:tcPr>
            <w:tcW w:w="2309" w:type="dxa"/>
            <w:tcBorders>
              <w:top w:val="single" w:sz="4" w:space="0" w:color="000000"/>
              <w:bottom w:val="single" w:sz="4" w:space="0" w:color="000000"/>
            </w:tcBorders>
          </w:tcPr>
          <w:p w:rsidR="00487D64" w:rsidRDefault="006F0D93">
            <w:pPr>
              <w:pStyle w:val="TableParagraph"/>
              <w:spacing w:line="248" w:lineRule="exact"/>
              <w:ind w:left="111"/>
              <w:rPr>
                <w:b/>
              </w:rPr>
            </w:pPr>
            <w:r>
              <w:rPr>
                <w:b/>
                <w:spacing w:val="-2"/>
              </w:rPr>
              <w:t>Indicators</w:t>
            </w:r>
          </w:p>
        </w:tc>
        <w:tc>
          <w:tcPr>
            <w:tcW w:w="1549" w:type="dxa"/>
            <w:tcBorders>
              <w:top w:val="single" w:sz="4" w:space="0" w:color="000000"/>
              <w:bottom w:val="single" w:sz="4" w:space="0" w:color="000000"/>
            </w:tcBorders>
          </w:tcPr>
          <w:p w:rsidR="00487D64" w:rsidRDefault="006F0D93">
            <w:pPr>
              <w:pStyle w:val="TableParagraph"/>
              <w:spacing w:line="247" w:lineRule="exact"/>
              <w:ind w:left="107"/>
              <w:rPr>
                <w:b/>
              </w:rPr>
            </w:pPr>
            <w:r>
              <w:rPr>
                <w:b/>
                <w:spacing w:val="-2"/>
              </w:rPr>
              <w:t>Level</w:t>
            </w:r>
          </w:p>
          <w:p w:rsidR="00487D64" w:rsidRDefault="006F0D93">
            <w:pPr>
              <w:pStyle w:val="TableParagraph"/>
              <w:spacing w:line="234" w:lineRule="exact"/>
              <w:ind w:left="107"/>
              <w:rPr>
                <w:b/>
              </w:rPr>
            </w:pPr>
            <w:r>
              <w:rPr>
                <w:b/>
                <w:spacing w:val="-2"/>
              </w:rPr>
              <w:t>Measurement</w:t>
            </w:r>
          </w:p>
        </w:tc>
        <w:tc>
          <w:tcPr>
            <w:tcW w:w="1043" w:type="dxa"/>
            <w:tcBorders>
              <w:top w:val="single" w:sz="4" w:space="0" w:color="000000"/>
              <w:bottom w:val="single" w:sz="4" w:space="0" w:color="000000"/>
            </w:tcBorders>
          </w:tcPr>
          <w:p w:rsidR="00487D64" w:rsidRDefault="006F0D93">
            <w:pPr>
              <w:pStyle w:val="TableParagraph"/>
              <w:spacing w:line="247" w:lineRule="exact"/>
              <w:ind w:left="128"/>
              <w:rPr>
                <w:b/>
              </w:rPr>
            </w:pPr>
            <w:r>
              <w:rPr>
                <w:b/>
                <w:spacing w:val="-2"/>
              </w:rPr>
              <w:t>Analysis</w:t>
            </w:r>
          </w:p>
          <w:p w:rsidR="00487D64" w:rsidRDefault="006F0D93">
            <w:pPr>
              <w:pStyle w:val="TableParagraph"/>
              <w:spacing w:line="234" w:lineRule="exact"/>
              <w:ind w:left="128"/>
              <w:rPr>
                <w:b/>
              </w:rPr>
            </w:pPr>
            <w:r>
              <w:rPr>
                <w:b/>
                <w:spacing w:val="-2"/>
              </w:rPr>
              <w:t>Method</w:t>
            </w:r>
          </w:p>
        </w:tc>
        <w:tc>
          <w:tcPr>
            <w:tcW w:w="1534" w:type="dxa"/>
            <w:tcBorders>
              <w:top w:val="single" w:sz="4" w:space="0" w:color="000000"/>
              <w:bottom w:val="single" w:sz="4" w:space="0" w:color="000000"/>
            </w:tcBorders>
          </w:tcPr>
          <w:p w:rsidR="00487D64" w:rsidRDefault="006F0D93">
            <w:pPr>
              <w:pStyle w:val="TableParagraph"/>
              <w:spacing w:line="247" w:lineRule="exact"/>
              <w:ind w:left="131"/>
              <w:rPr>
                <w:b/>
              </w:rPr>
            </w:pPr>
            <w:r>
              <w:rPr>
                <w:b/>
                <w:spacing w:val="-2"/>
              </w:rPr>
              <w:t>Construct</w:t>
            </w:r>
          </w:p>
          <w:p w:rsidR="00487D64" w:rsidRDefault="006F0D93">
            <w:pPr>
              <w:pStyle w:val="TableParagraph"/>
              <w:spacing w:line="234" w:lineRule="exact"/>
              <w:ind w:left="131"/>
              <w:rPr>
                <w:b/>
              </w:rPr>
            </w:pPr>
            <w:r>
              <w:rPr>
                <w:b/>
                <w:spacing w:val="-2"/>
              </w:rPr>
              <w:t>Measurement</w:t>
            </w:r>
          </w:p>
        </w:tc>
      </w:tr>
      <w:tr w:rsidR="00487D64">
        <w:trPr>
          <w:trHeight w:val="1522"/>
        </w:trPr>
        <w:tc>
          <w:tcPr>
            <w:tcW w:w="2014" w:type="dxa"/>
            <w:tcBorders>
              <w:top w:val="single" w:sz="4" w:space="0" w:color="000000"/>
            </w:tcBorders>
          </w:tcPr>
          <w:p w:rsidR="00487D64" w:rsidRDefault="006F0D93">
            <w:pPr>
              <w:pStyle w:val="TableParagraph"/>
              <w:spacing w:before="2"/>
              <w:ind w:left="115" w:right="114"/>
              <w:rPr>
                <w:b/>
              </w:rPr>
            </w:pPr>
            <w:r>
              <w:rPr>
                <w:b/>
                <w:spacing w:val="-2"/>
              </w:rPr>
              <w:t xml:space="preserve">Sustainable </w:t>
            </w:r>
            <w:r>
              <w:rPr>
                <w:b/>
              </w:rPr>
              <w:t>Competitiveness</w:t>
            </w:r>
            <w:r>
              <w:rPr>
                <w:b/>
                <w:spacing w:val="-14"/>
              </w:rPr>
              <w:t xml:space="preserve"> </w:t>
            </w:r>
            <w:r>
              <w:rPr>
                <w:b/>
              </w:rPr>
              <w:t xml:space="preserve">in </w:t>
            </w:r>
            <w:r>
              <w:rPr>
                <w:b/>
                <w:spacing w:val="-2"/>
              </w:rPr>
              <w:t>procurement</w:t>
            </w:r>
          </w:p>
        </w:tc>
        <w:tc>
          <w:tcPr>
            <w:tcW w:w="2309" w:type="dxa"/>
            <w:tcBorders>
              <w:top w:val="single" w:sz="4" w:space="0" w:color="000000"/>
            </w:tcBorders>
          </w:tcPr>
          <w:p w:rsidR="00487D64" w:rsidRDefault="006F0D93">
            <w:pPr>
              <w:pStyle w:val="TableParagraph"/>
              <w:spacing w:before="2"/>
              <w:ind w:left="111" w:right="105"/>
            </w:pPr>
            <w:r>
              <w:t>Competitive</w:t>
            </w:r>
            <w:r>
              <w:rPr>
                <w:spacing w:val="-14"/>
              </w:rPr>
              <w:t xml:space="preserve"> </w:t>
            </w:r>
            <w:r>
              <w:t>advantage, Adaptability to</w:t>
            </w:r>
            <w:r>
              <w:rPr>
                <w:spacing w:val="-7"/>
              </w:rPr>
              <w:t xml:space="preserve"> </w:t>
            </w:r>
            <w:r>
              <w:t>change, Resource Opacity, Imitability of</w:t>
            </w:r>
            <w:r>
              <w:rPr>
                <w:spacing w:val="40"/>
              </w:rPr>
              <w:t xml:space="preserve"> </w:t>
            </w:r>
            <w:r>
              <w:t>Resources and</w:t>
            </w:r>
          </w:p>
          <w:p w:rsidR="00487D64" w:rsidRDefault="006F0D93">
            <w:pPr>
              <w:pStyle w:val="TableParagraph"/>
              <w:spacing w:line="236" w:lineRule="exact"/>
              <w:ind w:left="111"/>
            </w:pPr>
            <w:r>
              <w:rPr>
                <w:spacing w:val="-2"/>
              </w:rPr>
              <w:t>capabilities</w:t>
            </w:r>
          </w:p>
        </w:tc>
        <w:tc>
          <w:tcPr>
            <w:tcW w:w="1549" w:type="dxa"/>
            <w:tcBorders>
              <w:top w:val="single" w:sz="4" w:space="0" w:color="000000"/>
            </w:tcBorders>
          </w:tcPr>
          <w:p w:rsidR="00487D64" w:rsidRDefault="006F0D93">
            <w:pPr>
              <w:pStyle w:val="TableParagraph"/>
              <w:spacing w:before="2"/>
              <w:ind w:left="107"/>
            </w:pPr>
            <w:r>
              <w:t>5-point</w:t>
            </w:r>
            <w:r>
              <w:rPr>
                <w:spacing w:val="-14"/>
              </w:rPr>
              <w:t xml:space="preserve"> </w:t>
            </w:r>
            <w:r>
              <w:t xml:space="preserve">Likert </w:t>
            </w:r>
            <w:r>
              <w:rPr>
                <w:spacing w:val="-2"/>
              </w:rPr>
              <w:t>Scale</w:t>
            </w:r>
          </w:p>
        </w:tc>
        <w:tc>
          <w:tcPr>
            <w:tcW w:w="1043" w:type="dxa"/>
            <w:tcBorders>
              <w:top w:val="single" w:sz="4" w:space="0" w:color="000000"/>
            </w:tcBorders>
          </w:tcPr>
          <w:p w:rsidR="00487D64" w:rsidRDefault="006F0D93">
            <w:pPr>
              <w:pStyle w:val="TableParagraph"/>
              <w:spacing w:before="2"/>
              <w:ind w:left="128" w:right="116"/>
            </w:pPr>
            <w:r>
              <w:rPr>
                <w:spacing w:val="-4"/>
              </w:rPr>
              <w:t xml:space="preserve">PLS- </w:t>
            </w:r>
            <w:r>
              <w:rPr>
                <w:spacing w:val="-5"/>
              </w:rPr>
              <w:t>SEM</w:t>
            </w:r>
          </w:p>
        </w:tc>
        <w:tc>
          <w:tcPr>
            <w:tcW w:w="1534" w:type="dxa"/>
            <w:tcBorders>
              <w:top w:val="single" w:sz="4" w:space="0" w:color="000000"/>
            </w:tcBorders>
          </w:tcPr>
          <w:p w:rsidR="00487D64" w:rsidRDefault="006F0D93">
            <w:pPr>
              <w:pStyle w:val="TableParagraph"/>
              <w:spacing w:before="2"/>
              <w:ind w:left="131" w:right="447"/>
              <w:jc w:val="both"/>
            </w:pPr>
            <w:r>
              <w:t>Korry,</w:t>
            </w:r>
            <w:r>
              <w:rPr>
                <w:spacing w:val="-14"/>
              </w:rPr>
              <w:t xml:space="preserve"> </w:t>
            </w:r>
            <w:r>
              <w:t xml:space="preserve">and </w:t>
            </w:r>
            <w:r>
              <w:rPr>
                <w:spacing w:val="-2"/>
              </w:rPr>
              <w:t>Wijayanti, (2024).</w:t>
            </w:r>
          </w:p>
        </w:tc>
      </w:tr>
      <w:tr w:rsidR="00487D64">
        <w:trPr>
          <w:trHeight w:val="507"/>
        </w:trPr>
        <w:tc>
          <w:tcPr>
            <w:tcW w:w="2014" w:type="dxa"/>
          </w:tcPr>
          <w:p w:rsidR="00487D64" w:rsidRDefault="006F0D93">
            <w:pPr>
              <w:pStyle w:val="TableParagraph"/>
              <w:spacing w:line="252" w:lineRule="exact"/>
              <w:ind w:left="115"/>
              <w:rPr>
                <w:b/>
              </w:rPr>
            </w:pPr>
            <w:r>
              <w:rPr>
                <w:b/>
                <w:spacing w:val="-2"/>
              </w:rPr>
              <w:t xml:space="preserve">Independent </w:t>
            </w:r>
            <w:r>
              <w:rPr>
                <w:b/>
              </w:rPr>
              <w:t>Variable</w:t>
            </w:r>
            <w:r>
              <w:rPr>
                <w:b/>
                <w:spacing w:val="-14"/>
              </w:rPr>
              <w:t xml:space="preserve"> </w:t>
            </w:r>
            <w:r>
              <w:rPr>
                <w:b/>
              </w:rPr>
              <w:t>(MO)</w:t>
            </w:r>
          </w:p>
        </w:tc>
        <w:tc>
          <w:tcPr>
            <w:tcW w:w="2309" w:type="dxa"/>
          </w:tcPr>
          <w:p w:rsidR="00487D64" w:rsidRDefault="006F0D93">
            <w:pPr>
              <w:pStyle w:val="TableParagraph"/>
              <w:spacing w:line="253" w:lineRule="exact"/>
              <w:ind w:left="111"/>
              <w:rPr>
                <w:b/>
              </w:rPr>
            </w:pPr>
            <w:r>
              <w:rPr>
                <w:b/>
                <w:spacing w:val="-2"/>
              </w:rPr>
              <w:t>Indicators</w:t>
            </w:r>
          </w:p>
        </w:tc>
        <w:tc>
          <w:tcPr>
            <w:tcW w:w="1549" w:type="dxa"/>
          </w:tcPr>
          <w:p w:rsidR="00487D64" w:rsidRDefault="006F0D93">
            <w:pPr>
              <w:pStyle w:val="TableParagraph"/>
              <w:spacing w:line="252" w:lineRule="exact"/>
              <w:ind w:left="107" w:right="148"/>
              <w:rPr>
                <w:b/>
              </w:rPr>
            </w:pPr>
            <w:r>
              <w:rPr>
                <w:b/>
              </w:rPr>
              <w:t xml:space="preserve">Level of </w:t>
            </w:r>
            <w:r>
              <w:rPr>
                <w:b/>
                <w:spacing w:val="-2"/>
              </w:rPr>
              <w:t>Measurement</w:t>
            </w:r>
          </w:p>
        </w:tc>
        <w:tc>
          <w:tcPr>
            <w:tcW w:w="1043" w:type="dxa"/>
          </w:tcPr>
          <w:p w:rsidR="00487D64" w:rsidRDefault="006F0D93">
            <w:pPr>
              <w:pStyle w:val="TableParagraph"/>
              <w:spacing w:line="252" w:lineRule="exact"/>
              <w:ind w:left="128" w:right="116"/>
              <w:rPr>
                <w:b/>
              </w:rPr>
            </w:pPr>
            <w:r>
              <w:rPr>
                <w:b/>
                <w:spacing w:val="-2"/>
              </w:rPr>
              <w:t>Analysis Method</w:t>
            </w:r>
          </w:p>
        </w:tc>
        <w:tc>
          <w:tcPr>
            <w:tcW w:w="1534" w:type="dxa"/>
          </w:tcPr>
          <w:p w:rsidR="00487D64" w:rsidRDefault="006F0D93">
            <w:pPr>
              <w:pStyle w:val="TableParagraph"/>
              <w:spacing w:line="252" w:lineRule="exact"/>
              <w:ind w:left="131" w:right="109"/>
              <w:rPr>
                <w:b/>
              </w:rPr>
            </w:pPr>
            <w:r>
              <w:rPr>
                <w:b/>
                <w:spacing w:val="-2"/>
              </w:rPr>
              <w:t>Construct Measurement</w:t>
            </w:r>
          </w:p>
        </w:tc>
      </w:tr>
      <w:tr w:rsidR="00487D64">
        <w:trPr>
          <w:trHeight w:val="1260"/>
        </w:trPr>
        <w:tc>
          <w:tcPr>
            <w:tcW w:w="2014" w:type="dxa"/>
          </w:tcPr>
          <w:p w:rsidR="00487D64" w:rsidRDefault="006F0D93">
            <w:pPr>
              <w:pStyle w:val="TableParagraph"/>
              <w:ind w:left="115"/>
              <w:rPr>
                <w:b/>
              </w:rPr>
            </w:pPr>
            <w:r>
              <w:rPr>
                <w:b/>
                <w:spacing w:val="-2"/>
              </w:rPr>
              <w:t>Customer Orientation</w:t>
            </w:r>
          </w:p>
        </w:tc>
        <w:tc>
          <w:tcPr>
            <w:tcW w:w="2309" w:type="dxa"/>
          </w:tcPr>
          <w:p w:rsidR="00487D64" w:rsidRDefault="006F0D93">
            <w:pPr>
              <w:pStyle w:val="TableParagraph"/>
              <w:ind w:left="111" w:right="224"/>
            </w:pPr>
            <w:r>
              <w:t>After-sales service, Value for customer, Customer</w:t>
            </w:r>
            <w:r>
              <w:rPr>
                <w:spacing w:val="-14"/>
              </w:rPr>
              <w:t xml:space="preserve"> </w:t>
            </w:r>
            <w:r>
              <w:t>satisfaction, Need recognition,</w:t>
            </w:r>
          </w:p>
          <w:p w:rsidR="00487D64" w:rsidRDefault="006F0D93">
            <w:pPr>
              <w:pStyle w:val="TableParagraph"/>
              <w:spacing w:line="233" w:lineRule="exact"/>
              <w:ind w:left="111"/>
            </w:pPr>
            <w:r>
              <w:t>achieving</w:t>
            </w:r>
            <w:r>
              <w:rPr>
                <w:spacing w:val="-6"/>
              </w:rPr>
              <w:t xml:space="preserve"> </w:t>
            </w:r>
            <w:r>
              <w:rPr>
                <w:spacing w:val="-4"/>
              </w:rPr>
              <w:t>goal</w:t>
            </w:r>
          </w:p>
        </w:tc>
        <w:tc>
          <w:tcPr>
            <w:tcW w:w="1549" w:type="dxa"/>
          </w:tcPr>
          <w:p w:rsidR="00487D64" w:rsidRDefault="006F0D93">
            <w:pPr>
              <w:pStyle w:val="TableParagraph"/>
              <w:ind w:left="107"/>
            </w:pPr>
            <w:r>
              <w:t>5-point</w:t>
            </w:r>
            <w:r>
              <w:rPr>
                <w:spacing w:val="-14"/>
              </w:rPr>
              <w:t xml:space="preserve"> </w:t>
            </w:r>
            <w:r>
              <w:t>Likert- type scale</w:t>
            </w:r>
          </w:p>
        </w:tc>
        <w:tc>
          <w:tcPr>
            <w:tcW w:w="1043" w:type="dxa"/>
          </w:tcPr>
          <w:p w:rsidR="00487D64" w:rsidRDefault="006F0D93">
            <w:pPr>
              <w:pStyle w:val="TableParagraph"/>
              <w:ind w:left="128" w:right="116"/>
            </w:pPr>
            <w:r>
              <w:rPr>
                <w:spacing w:val="-4"/>
              </w:rPr>
              <w:t xml:space="preserve">PLS- </w:t>
            </w:r>
            <w:r>
              <w:rPr>
                <w:spacing w:val="-5"/>
              </w:rPr>
              <w:t>SEM</w:t>
            </w:r>
          </w:p>
        </w:tc>
        <w:tc>
          <w:tcPr>
            <w:tcW w:w="1534" w:type="dxa"/>
          </w:tcPr>
          <w:p w:rsidR="00487D64" w:rsidRDefault="006F0D93">
            <w:pPr>
              <w:pStyle w:val="TableParagraph"/>
              <w:ind w:left="131"/>
            </w:pPr>
            <w:r>
              <w:t>Narver and Slater,</w:t>
            </w:r>
            <w:r>
              <w:rPr>
                <w:spacing w:val="-14"/>
              </w:rPr>
              <w:t xml:space="preserve"> </w:t>
            </w:r>
            <w:r>
              <w:t>1990)</w:t>
            </w:r>
          </w:p>
        </w:tc>
      </w:tr>
      <w:tr w:rsidR="00487D64">
        <w:trPr>
          <w:trHeight w:val="2027"/>
        </w:trPr>
        <w:tc>
          <w:tcPr>
            <w:tcW w:w="2014" w:type="dxa"/>
          </w:tcPr>
          <w:p w:rsidR="00487D64" w:rsidRDefault="006F0D93">
            <w:pPr>
              <w:pStyle w:val="TableParagraph"/>
              <w:spacing w:line="244" w:lineRule="auto"/>
              <w:ind w:left="115"/>
              <w:rPr>
                <w:b/>
              </w:rPr>
            </w:pPr>
            <w:r>
              <w:rPr>
                <w:b/>
                <w:spacing w:val="-2"/>
              </w:rPr>
              <w:t>Competitor Orientation</w:t>
            </w:r>
          </w:p>
        </w:tc>
        <w:tc>
          <w:tcPr>
            <w:tcW w:w="2309" w:type="dxa"/>
          </w:tcPr>
          <w:p w:rsidR="00487D64" w:rsidRDefault="006F0D93">
            <w:pPr>
              <w:pStyle w:val="TableParagraph"/>
              <w:ind w:left="111" w:right="224"/>
            </w:pPr>
            <w:r>
              <w:rPr>
                <w:spacing w:val="-2"/>
              </w:rPr>
              <w:t>Available</w:t>
            </w:r>
            <w:r>
              <w:rPr>
                <w:spacing w:val="40"/>
              </w:rPr>
              <w:t xml:space="preserve"> </w:t>
            </w:r>
            <w:r>
              <w:rPr>
                <w:spacing w:val="-2"/>
              </w:rPr>
              <w:t xml:space="preserve">opportunities, </w:t>
            </w:r>
            <w:r>
              <w:t>Competitive agility, Competitor SWOC analysis, Cu</w:t>
            </w:r>
            <w:r>
              <w:t>stomer Visible Competitive</w:t>
            </w:r>
          </w:p>
          <w:p w:rsidR="00487D64" w:rsidRDefault="006F0D93">
            <w:pPr>
              <w:pStyle w:val="TableParagraph"/>
              <w:spacing w:line="252" w:lineRule="exact"/>
              <w:ind w:left="111"/>
            </w:pPr>
            <w:r>
              <w:t>strategy,</w:t>
            </w:r>
            <w:r>
              <w:rPr>
                <w:spacing w:val="-14"/>
              </w:rPr>
              <w:t xml:space="preserve"> </w:t>
            </w:r>
            <w:r>
              <w:t>Discussion</w:t>
            </w:r>
            <w:r>
              <w:rPr>
                <w:spacing w:val="-14"/>
              </w:rPr>
              <w:t xml:space="preserve"> </w:t>
            </w:r>
            <w:r>
              <w:t>on competitor strategy</w:t>
            </w:r>
          </w:p>
        </w:tc>
        <w:tc>
          <w:tcPr>
            <w:tcW w:w="1549" w:type="dxa"/>
          </w:tcPr>
          <w:p w:rsidR="00487D64" w:rsidRDefault="006F0D93">
            <w:pPr>
              <w:pStyle w:val="TableParagraph"/>
              <w:spacing w:line="244" w:lineRule="auto"/>
              <w:ind w:left="107"/>
            </w:pPr>
            <w:r>
              <w:t>5-point</w:t>
            </w:r>
            <w:r>
              <w:rPr>
                <w:spacing w:val="-14"/>
              </w:rPr>
              <w:t xml:space="preserve"> </w:t>
            </w:r>
            <w:r>
              <w:t>Likert- type scale</w:t>
            </w:r>
          </w:p>
        </w:tc>
        <w:tc>
          <w:tcPr>
            <w:tcW w:w="1043" w:type="dxa"/>
          </w:tcPr>
          <w:p w:rsidR="00487D64" w:rsidRDefault="006F0D93">
            <w:pPr>
              <w:pStyle w:val="TableParagraph"/>
              <w:spacing w:line="244" w:lineRule="auto"/>
              <w:ind w:left="128" w:right="116"/>
            </w:pPr>
            <w:r>
              <w:rPr>
                <w:spacing w:val="-4"/>
              </w:rPr>
              <w:t xml:space="preserve">PLS- </w:t>
            </w:r>
            <w:r>
              <w:rPr>
                <w:spacing w:val="-5"/>
              </w:rPr>
              <w:t>SEM</w:t>
            </w:r>
          </w:p>
        </w:tc>
        <w:tc>
          <w:tcPr>
            <w:tcW w:w="1534" w:type="dxa"/>
          </w:tcPr>
          <w:p w:rsidR="00487D64" w:rsidRDefault="006F0D93">
            <w:pPr>
              <w:pStyle w:val="TableParagraph"/>
              <w:spacing w:line="244" w:lineRule="auto"/>
              <w:ind w:left="131"/>
            </w:pPr>
            <w:r>
              <w:t>Narver and Slater,</w:t>
            </w:r>
            <w:r>
              <w:rPr>
                <w:spacing w:val="-14"/>
              </w:rPr>
              <w:t xml:space="preserve"> </w:t>
            </w:r>
            <w:r>
              <w:t>1990)</w:t>
            </w:r>
          </w:p>
        </w:tc>
      </w:tr>
      <w:tr w:rsidR="00487D64">
        <w:trPr>
          <w:trHeight w:val="1516"/>
        </w:trPr>
        <w:tc>
          <w:tcPr>
            <w:tcW w:w="2014" w:type="dxa"/>
          </w:tcPr>
          <w:p w:rsidR="00487D64" w:rsidRDefault="006F0D93">
            <w:pPr>
              <w:pStyle w:val="TableParagraph"/>
              <w:ind w:left="115"/>
              <w:rPr>
                <w:b/>
              </w:rPr>
            </w:pPr>
            <w:r>
              <w:rPr>
                <w:b/>
                <w:spacing w:val="-2"/>
              </w:rPr>
              <w:t>Functional Coordination</w:t>
            </w:r>
          </w:p>
        </w:tc>
        <w:tc>
          <w:tcPr>
            <w:tcW w:w="2309" w:type="dxa"/>
          </w:tcPr>
          <w:p w:rsidR="00487D64" w:rsidRDefault="006F0D93">
            <w:pPr>
              <w:pStyle w:val="TableParagraph"/>
              <w:ind w:left="111" w:right="163"/>
            </w:pPr>
            <w:r>
              <w:t>Information Sharing, Experience Sharing, Resource Sharing, Customer</w:t>
            </w:r>
            <w:r>
              <w:rPr>
                <w:spacing w:val="-14"/>
              </w:rPr>
              <w:t xml:space="preserve"> </w:t>
            </w:r>
            <w:r>
              <w:t>engagement, Value creation</w:t>
            </w:r>
          </w:p>
          <w:p w:rsidR="00487D64" w:rsidRDefault="006F0D93">
            <w:pPr>
              <w:pStyle w:val="TableParagraph"/>
              <w:spacing w:line="232" w:lineRule="exact"/>
              <w:ind w:left="111"/>
            </w:pPr>
            <w:r>
              <w:rPr>
                <w:spacing w:val="-2"/>
              </w:rPr>
              <w:t>awareness</w:t>
            </w:r>
          </w:p>
        </w:tc>
        <w:tc>
          <w:tcPr>
            <w:tcW w:w="1549" w:type="dxa"/>
          </w:tcPr>
          <w:p w:rsidR="00487D64" w:rsidRDefault="006F0D93">
            <w:pPr>
              <w:pStyle w:val="TableParagraph"/>
              <w:ind w:left="107"/>
            </w:pPr>
            <w:r>
              <w:t>5-point</w:t>
            </w:r>
            <w:r>
              <w:rPr>
                <w:spacing w:val="-14"/>
              </w:rPr>
              <w:t xml:space="preserve"> </w:t>
            </w:r>
            <w:r>
              <w:t>Likert- type scale</w:t>
            </w:r>
          </w:p>
        </w:tc>
        <w:tc>
          <w:tcPr>
            <w:tcW w:w="1043" w:type="dxa"/>
          </w:tcPr>
          <w:p w:rsidR="00487D64" w:rsidRDefault="006F0D93">
            <w:pPr>
              <w:pStyle w:val="TableParagraph"/>
              <w:ind w:left="128" w:right="116"/>
            </w:pPr>
            <w:r>
              <w:rPr>
                <w:spacing w:val="-4"/>
              </w:rPr>
              <w:t xml:space="preserve">PLS- </w:t>
            </w:r>
            <w:r>
              <w:rPr>
                <w:spacing w:val="-5"/>
              </w:rPr>
              <w:t>SEM</w:t>
            </w:r>
          </w:p>
        </w:tc>
        <w:tc>
          <w:tcPr>
            <w:tcW w:w="1534" w:type="dxa"/>
          </w:tcPr>
          <w:p w:rsidR="00487D64" w:rsidRDefault="006F0D93">
            <w:pPr>
              <w:pStyle w:val="TableParagraph"/>
              <w:ind w:left="131"/>
            </w:pPr>
            <w:r>
              <w:t>Narver and Slater,</w:t>
            </w:r>
            <w:r>
              <w:rPr>
                <w:spacing w:val="-14"/>
              </w:rPr>
              <w:t xml:space="preserve"> </w:t>
            </w:r>
            <w:r>
              <w:t>1990)</w:t>
            </w:r>
          </w:p>
        </w:tc>
      </w:tr>
      <w:tr w:rsidR="00487D64">
        <w:trPr>
          <w:trHeight w:val="511"/>
        </w:trPr>
        <w:tc>
          <w:tcPr>
            <w:tcW w:w="2014" w:type="dxa"/>
          </w:tcPr>
          <w:p w:rsidR="00487D64" w:rsidRDefault="006F0D93">
            <w:pPr>
              <w:pStyle w:val="TableParagraph"/>
              <w:spacing w:line="249" w:lineRule="exact"/>
              <w:ind w:left="115"/>
              <w:rPr>
                <w:b/>
              </w:rPr>
            </w:pPr>
            <w:r>
              <w:rPr>
                <w:b/>
                <w:spacing w:val="-2"/>
              </w:rPr>
              <w:t>Moderating</w:t>
            </w:r>
          </w:p>
          <w:p w:rsidR="00487D64" w:rsidRDefault="006F0D93">
            <w:pPr>
              <w:pStyle w:val="TableParagraph"/>
              <w:spacing w:before="6" w:line="236" w:lineRule="exact"/>
              <w:ind w:left="115"/>
              <w:rPr>
                <w:b/>
              </w:rPr>
            </w:pPr>
            <w:r>
              <w:rPr>
                <w:b/>
              </w:rPr>
              <w:t>Variable</w:t>
            </w:r>
            <w:r>
              <w:rPr>
                <w:b/>
                <w:spacing w:val="-11"/>
              </w:rPr>
              <w:t xml:space="preserve"> </w:t>
            </w:r>
            <w:r>
              <w:rPr>
                <w:b/>
                <w:spacing w:val="-4"/>
              </w:rPr>
              <w:t>(SF)</w:t>
            </w:r>
          </w:p>
        </w:tc>
        <w:tc>
          <w:tcPr>
            <w:tcW w:w="2309" w:type="dxa"/>
          </w:tcPr>
          <w:p w:rsidR="00487D64" w:rsidRDefault="006F0D93">
            <w:pPr>
              <w:pStyle w:val="TableParagraph"/>
              <w:spacing w:line="249" w:lineRule="exact"/>
              <w:ind w:left="111"/>
              <w:rPr>
                <w:b/>
              </w:rPr>
            </w:pPr>
            <w:r>
              <w:rPr>
                <w:b/>
                <w:spacing w:val="-2"/>
              </w:rPr>
              <w:t>Indicators</w:t>
            </w:r>
          </w:p>
        </w:tc>
        <w:tc>
          <w:tcPr>
            <w:tcW w:w="1549" w:type="dxa"/>
          </w:tcPr>
          <w:p w:rsidR="00487D64" w:rsidRDefault="006F0D93">
            <w:pPr>
              <w:pStyle w:val="TableParagraph"/>
              <w:spacing w:line="249" w:lineRule="exact"/>
              <w:ind w:left="107"/>
              <w:rPr>
                <w:b/>
              </w:rPr>
            </w:pPr>
            <w:r>
              <w:rPr>
                <w:b/>
              </w:rPr>
              <w:t>Level</w:t>
            </w:r>
            <w:r>
              <w:rPr>
                <w:b/>
                <w:spacing w:val="2"/>
              </w:rPr>
              <w:t xml:space="preserve"> </w:t>
            </w:r>
            <w:r>
              <w:rPr>
                <w:b/>
                <w:spacing w:val="-5"/>
              </w:rPr>
              <w:t>of</w:t>
            </w:r>
          </w:p>
          <w:p w:rsidR="00487D64" w:rsidRDefault="006F0D93">
            <w:pPr>
              <w:pStyle w:val="TableParagraph"/>
              <w:spacing w:before="6" w:line="236" w:lineRule="exact"/>
              <w:ind w:left="107"/>
              <w:rPr>
                <w:b/>
              </w:rPr>
            </w:pPr>
            <w:r>
              <w:rPr>
                <w:b/>
                <w:spacing w:val="-2"/>
              </w:rPr>
              <w:t>Measurement</w:t>
            </w:r>
          </w:p>
        </w:tc>
        <w:tc>
          <w:tcPr>
            <w:tcW w:w="1043" w:type="dxa"/>
          </w:tcPr>
          <w:p w:rsidR="00487D64" w:rsidRDefault="006F0D93">
            <w:pPr>
              <w:pStyle w:val="TableParagraph"/>
              <w:spacing w:line="249" w:lineRule="exact"/>
              <w:ind w:left="128"/>
              <w:rPr>
                <w:b/>
              </w:rPr>
            </w:pPr>
            <w:r>
              <w:rPr>
                <w:b/>
                <w:spacing w:val="-2"/>
              </w:rPr>
              <w:t>Analysis</w:t>
            </w:r>
          </w:p>
          <w:p w:rsidR="00487D64" w:rsidRDefault="006F0D93">
            <w:pPr>
              <w:pStyle w:val="TableParagraph"/>
              <w:spacing w:before="6" w:line="236" w:lineRule="exact"/>
              <w:ind w:left="128"/>
              <w:rPr>
                <w:b/>
              </w:rPr>
            </w:pPr>
            <w:r>
              <w:rPr>
                <w:b/>
                <w:spacing w:val="-2"/>
              </w:rPr>
              <w:t>Method</w:t>
            </w:r>
          </w:p>
        </w:tc>
        <w:tc>
          <w:tcPr>
            <w:tcW w:w="1534" w:type="dxa"/>
          </w:tcPr>
          <w:p w:rsidR="00487D64" w:rsidRDefault="006F0D93">
            <w:pPr>
              <w:pStyle w:val="TableParagraph"/>
              <w:spacing w:line="249" w:lineRule="exact"/>
              <w:ind w:left="131"/>
              <w:rPr>
                <w:b/>
              </w:rPr>
            </w:pPr>
            <w:r>
              <w:rPr>
                <w:b/>
                <w:spacing w:val="-2"/>
              </w:rPr>
              <w:t>Construct</w:t>
            </w:r>
          </w:p>
          <w:p w:rsidR="00487D64" w:rsidRDefault="006F0D93">
            <w:pPr>
              <w:pStyle w:val="TableParagraph"/>
              <w:spacing w:before="6" w:line="236" w:lineRule="exact"/>
              <w:ind w:left="131"/>
              <w:rPr>
                <w:b/>
              </w:rPr>
            </w:pPr>
            <w:r>
              <w:rPr>
                <w:b/>
                <w:spacing w:val="-2"/>
              </w:rPr>
              <w:t>Measurement</w:t>
            </w:r>
          </w:p>
        </w:tc>
      </w:tr>
      <w:tr w:rsidR="00487D64">
        <w:trPr>
          <w:trHeight w:val="1260"/>
        </w:trPr>
        <w:tc>
          <w:tcPr>
            <w:tcW w:w="2014" w:type="dxa"/>
          </w:tcPr>
          <w:p w:rsidR="00487D64" w:rsidRDefault="006F0D93">
            <w:pPr>
              <w:pStyle w:val="TableParagraph"/>
              <w:spacing w:line="249" w:lineRule="exact"/>
              <w:ind w:left="115"/>
              <w:rPr>
                <w:b/>
              </w:rPr>
            </w:pPr>
            <w:r>
              <w:rPr>
                <w:b/>
              </w:rPr>
              <w:t>Planning</w:t>
            </w:r>
            <w:r>
              <w:rPr>
                <w:b/>
                <w:spacing w:val="-7"/>
              </w:rPr>
              <w:t xml:space="preserve"> </w:t>
            </w:r>
            <w:r>
              <w:rPr>
                <w:b/>
                <w:spacing w:val="-2"/>
              </w:rPr>
              <w:t>flexibility</w:t>
            </w:r>
          </w:p>
        </w:tc>
        <w:tc>
          <w:tcPr>
            <w:tcW w:w="2309" w:type="dxa"/>
          </w:tcPr>
          <w:p w:rsidR="00487D64" w:rsidRDefault="006F0D93">
            <w:pPr>
              <w:pStyle w:val="TableParagraph"/>
              <w:ind w:left="111"/>
            </w:pPr>
            <w:r>
              <w:t>Response to new competitor,</w:t>
            </w:r>
            <w:r>
              <w:rPr>
                <w:spacing w:val="-8"/>
              </w:rPr>
              <w:t xml:space="preserve"> </w:t>
            </w:r>
            <w:r>
              <w:t>response</w:t>
            </w:r>
            <w:r>
              <w:rPr>
                <w:spacing w:val="-8"/>
              </w:rPr>
              <w:t xml:space="preserve"> </w:t>
            </w:r>
            <w:r>
              <w:t>to technology,</w:t>
            </w:r>
            <w:r>
              <w:rPr>
                <w:spacing w:val="-14"/>
              </w:rPr>
              <w:t xml:space="preserve"> </w:t>
            </w:r>
            <w:r>
              <w:t>response</w:t>
            </w:r>
            <w:r>
              <w:rPr>
                <w:spacing w:val="-14"/>
              </w:rPr>
              <w:t xml:space="preserve"> </w:t>
            </w:r>
            <w:r>
              <w:t>to customer needs and</w:t>
            </w:r>
          </w:p>
          <w:p w:rsidR="00487D64" w:rsidRDefault="006F0D93">
            <w:pPr>
              <w:pStyle w:val="TableParagraph"/>
              <w:spacing w:line="233" w:lineRule="exact"/>
              <w:ind w:left="111"/>
            </w:pPr>
            <w:r>
              <w:rPr>
                <w:spacing w:val="-2"/>
              </w:rPr>
              <w:t>preferences</w:t>
            </w:r>
          </w:p>
        </w:tc>
        <w:tc>
          <w:tcPr>
            <w:tcW w:w="1549" w:type="dxa"/>
          </w:tcPr>
          <w:p w:rsidR="00487D64" w:rsidRDefault="006F0D93">
            <w:pPr>
              <w:pStyle w:val="TableParagraph"/>
              <w:ind w:left="107"/>
            </w:pPr>
            <w:r>
              <w:t>5-point</w:t>
            </w:r>
            <w:r>
              <w:rPr>
                <w:spacing w:val="-14"/>
              </w:rPr>
              <w:t xml:space="preserve"> </w:t>
            </w:r>
            <w:r>
              <w:t>Likert- type scale</w:t>
            </w:r>
          </w:p>
        </w:tc>
        <w:tc>
          <w:tcPr>
            <w:tcW w:w="1043" w:type="dxa"/>
          </w:tcPr>
          <w:p w:rsidR="00487D64" w:rsidRDefault="006F0D93">
            <w:pPr>
              <w:pStyle w:val="TableParagraph"/>
              <w:ind w:left="128" w:right="116"/>
            </w:pPr>
            <w:r>
              <w:rPr>
                <w:spacing w:val="-4"/>
              </w:rPr>
              <w:t xml:space="preserve">PLS- </w:t>
            </w:r>
            <w:r>
              <w:rPr>
                <w:spacing w:val="-5"/>
              </w:rPr>
              <w:t>SEM</w:t>
            </w:r>
          </w:p>
        </w:tc>
        <w:tc>
          <w:tcPr>
            <w:tcW w:w="1534" w:type="dxa"/>
          </w:tcPr>
          <w:p w:rsidR="00487D64" w:rsidRDefault="006F0D93">
            <w:pPr>
              <w:pStyle w:val="TableParagraph"/>
              <w:ind w:left="131"/>
            </w:pPr>
            <w:r>
              <w:t>Dibrell</w:t>
            </w:r>
            <w:r>
              <w:rPr>
                <w:spacing w:val="-14"/>
              </w:rPr>
              <w:t xml:space="preserve"> </w:t>
            </w:r>
            <w:r>
              <w:t>et</w:t>
            </w:r>
            <w:r>
              <w:rPr>
                <w:spacing w:val="-14"/>
              </w:rPr>
              <w:t xml:space="preserve"> </w:t>
            </w:r>
            <w:r>
              <w:t xml:space="preserve">al. </w:t>
            </w:r>
            <w:r>
              <w:rPr>
                <w:spacing w:val="-2"/>
              </w:rPr>
              <w:t>(2014).</w:t>
            </w:r>
          </w:p>
        </w:tc>
      </w:tr>
      <w:tr w:rsidR="00487D64">
        <w:trPr>
          <w:trHeight w:val="1519"/>
        </w:trPr>
        <w:tc>
          <w:tcPr>
            <w:tcW w:w="2014" w:type="dxa"/>
          </w:tcPr>
          <w:p w:rsidR="00487D64" w:rsidRDefault="006F0D93">
            <w:pPr>
              <w:pStyle w:val="TableParagraph"/>
              <w:ind w:left="115" w:right="947"/>
              <w:rPr>
                <w:b/>
              </w:rPr>
            </w:pPr>
            <w:r>
              <w:rPr>
                <w:b/>
                <w:spacing w:val="-2"/>
              </w:rPr>
              <w:t>Resource Flexibility</w:t>
            </w:r>
          </w:p>
        </w:tc>
        <w:tc>
          <w:tcPr>
            <w:tcW w:w="2309" w:type="dxa"/>
          </w:tcPr>
          <w:p w:rsidR="00487D64" w:rsidRDefault="006F0D93">
            <w:pPr>
              <w:pStyle w:val="TableParagraph"/>
              <w:ind w:left="111" w:right="111"/>
            </w:pPr>
            <w:r>
              <w:rPr>
                <w:spacing w:val="-2"/>
              </w:rPr>
              <w:t>Resource</w:t>
            </w:r>
            <w:r>
              <w:rPr>
                <w:spacing w:val="40"/>
              </w:rPr>
              <w:t xml:space="preserve"> </w:t>
            </w:r>
            <w:r>
              <w:rPr>
                <w:spacing w:val="-2"/>
              </w:rPr>
              <w:t xml:space="preserve">diversification </w:t>
            </w:r>
            <w:r>
              <w:t>opportunities,</w:t>
            </w:r>
            <w:r>
              <w:rPr>
                <w:spacing w:val="-14"/>
              </w:rPr>
              <w:t xml:space="preserve"> </w:t>
            </w:r>
            <w:r>
              <w:t>Resource allocation flexibility, Resource Mitigation</w:t>
            </w:r>
          </w:p>
          <w:p w:rsidR="00487D64" w:rsidRDefault="006F0D93">
            <w:pPr>
              <w:pStyle w:val="TableParagraph"/>
              <w:spacing w:line="236" w:lineRule="exact"/>
              <w:ind w:left="111"/>
            </w:pPr>
            <w:r>
              <w:rPr>
                <w:spacing w:val="-2"/>
              </w:rPr>
              <w:t>strategies</w:t>
            </w:r>
          </w:p>
        </w:tc>
        <w:tc>
          <w:tcPr>
            <w:tcW w:w="1549" w:type="dxa"/>
          </w:tcPr>
          <w:p w:rsidR="00487D64" w:rsidRDefault="006F0D93">
            <w:pPr>
              <w:pStyle w:val="TableParagraph"/>
              <w:ind w:left="107"/>
            </w:pPr>
            <w:r>
              <w:t>5-point</w:t>
            </w:r>
            <w:r>
              <w:rPr>
                <w:spacing w:val="-14"/>
              </w:rPr>
              <w:t xml:space="preserve"> </w:t>
            </w:r>
            <w:r>
              <w:t>Likert- type scale</w:t>
            </w:r>
          </w:p>
        </w:tc>
        <w:tc>
          <w:tcPr>
            <w:tcW w:w="1043" w:type="dxa"/>
          </w:tcPr>
          <w:p w:rsidR="00487D64" w:rsidRDefault="006F0D93">
            <w:pPr>
              <w:pStyle w:val="TableParagraph"/>
              <w:ind w:left="128" w:right="116"/>
            </w:pPr>
            <w:r>
              <w:rPr>
                <w:spacing w:val="-4"/>
              </w:rPr>
              <w:t xml:space="preserve">PLS- </w:t>
            </w:r>
            <w:r>
              <w:rPr>
                <w:spacing w:val="-5"/>
              </w:rPr>
              <w:t>SEM</w:t>
            </w:r>
          </w:p>
        </w:tc>
        <w:tc>
          <w:tcPr>
            <w:tcW w:w="1534" w:type="dxa"/>
          </w:tcPr>
          <w:p w:rsidR="00487D64" w:rsidRDefault="006F0D93">
            <w:pPr>
              <w:pStyle w:val="TableParagraph"/>
              <w:spacing w:line="242" w:lineRule="auto"/>
              <w:ind w:left="131" w:right="321"/>
            </w:pPr>
            <w:r>
              <w:t xml:space="preserve">Han, and </w:t>
            </w:r>
            <w:r>
              <w:rPr>
                <w:spacing w:val="-2"/>
              </w:rPr>
              <w:t xml:space="preserve">Zhang, </w:t>
            </w:r>
            <w:r>
              <w:t>(2021).</w:t>
            </w:r>
            <w:r>
              <w:rPr>
                <w:spacing w:val="-14"/>
              </w:rPr>
              <w:t xml:space="preserve"> </w:t>
            </w:r>
            <w:r>
              <w:t>And</w:t>
            </w:r>
          </w:p>
          <w:p w:rsidR="00487D64" w:rsidRDefault="006F0D93">
            <w:pPr>
              <w:pStyle w:val="TableParagraph"/>
              <w:ind w:left="131" w:right="109"/>
            </w:pPr>
            <w:r>
              <w:rPr>
                <w:spacing w:val="-2"/>
              </w:rPr>
              <w:t>Sanchez, (1995)</w:t>
            </w:r>
          </w:p>
        </w:tc>
      </w:tr>
      <w:tr w:rsidR="00487D64">
        <w:trPr>
          <w:trHeight w:val="1265"/>
        </w:trPr>
        <w:tc>
          <w:tcPr>
            <w:tcW w:w="2014" w:type="dxa"/>
            <w:tcBorders>
              <w:bottom w:val="single" w:sz="4" w:space="0" w:color="000000"/>
            </w:tcBorders>
          </w:tcPr>
          <w:p w:rsidR="00487D64" w:rsidRDefault="006F0D93">
            <w:pPr>
              <w:pStyle w:val="TableParagraph"/>
              <w:ind w:left="115"/>
              <w:rPr>
                <w:b/>
              </w:rPr>
            </w:pPr>
            <w:r>
              <w:rPr>
                <w:b/>
                <w:spacing w:val="-2"/>
              </w:rPr>
              <w:t>Coordination Flexibility</w:t>
            </w:r>
          </w:p>
        </w:tc>
        <w:tc>
          <w:tcPr>
            <w:tcW w:w="2309" w:type="dxa"/>
            <w:tcBorders>
              <w:bottom w:val="single" w:sz="4" w:space="0" w:color="000000"/>
            </w:tcBorders>
          </w:tcPr>
          <w:p w:rsidR="00487D64" w:rsidRDefault="006F0D93">
            <w:pPr>
              <w:pStyle w:val="TableParagraph"/>
              <w:ind w:left="111" w:right="775"/>
              <w:jc w:val="both"/>
            </w:pPr>
            <w:r>
              <w:t xml:space="preserve">Innovative rate, </w:t>
            </w:r>
            <w:r>
              <w:rPr>
                <w:spacing w:val="-2"/>
              </w:rPr>
              <w:t>Communication effectiveness,</w:t>
            </w:r>
          </w:p>
          <w:p w:rsidR="00487D64" w:rsidRDefault="006F0D93">
            <w:pPr>
              <w:pStyle w:val="TableParagraph"/>
              <w:spacing w:line="252" w:lineRule="exact"/>
              <w:ind w:left="111" w:right="224"/>
            </w:pPr>
            <w:r>
              <w:rPr>
                <w:spacing w:val="-2"/>
              </w:rPr>
              <w:t>Organisation adaptability</w:t>
            </w:r>
          </w:p>
        </w:tc>
        <w:tc>
          <w:tcPr>
            <w:tcW w:w="1549" w:type="dxa"/>
            <w:tcBorders>
              <w:bottom w:val="single" w:sz="4" w:space="0" w:color="000000"/>
            </w:tcBorders>
          </w:tcPr>
          <w:p w:rsidR="00487D64" w:rsidRDefault="006F0D93">
            <w:pPr>
              <w:pStyle w:val="TableParagraph"/>
              <w:ind w:left="107"/>
            </w:pPr>
            <w:r>
              <w:t>5-point</w:t>
            </w:r>
            <w:r>
              <w:rPr>
                <w:spacing w:val="-14"/>
              </w:rPr>
              <w:t xml:space="preserve"> </w:t>
            </w:r>
            <w:r>
              <w:t>Likert- type scale</w:t>
            </w:r>
          </w:p>
        </w:tc>
        <w:tc>
          <w:tcPr>
            <w:tcW w:w="1043" w:type="dxa"/>
            <w:tcBorders>
              <w:bottom w:val="single" w:sz="4" w:space="0" w:color="000000"/>
            </w:tcBorders>
          </w:tcPr>
          <w:p w:rsidR="00487D64" w:rsidRDefault="006F0D93">
            <w:pPr>
              <w:pStyle w:val="TableParagraph"/>
              <w:ind w:left="128" w:right="116"/>
            </w:pPr>
            <w:r>
              <w:rPr>
                <w:spacing w:val="-4"/>
              </w:rPr>
              <w:t xml:space="preserve">PLS- </w:t>
            </w:r>
            <w:r>
              <w:rPr>
                <w:spacing w:val="-5"/>
              </w:rPr>
              <w:t>SEM</w:t>
            </w:r>
          </w:p>
        </w:tc>
        <w:tc>
          <w:tcPr>
            <w:tcW w:w="1534" w:type="dxa"/>
            <w:tcBorders>
              <w:bottom w:val="single" w:sz="4" w:space="0" w:color="000000"/>
            </w:tcBorders>
          </w:tcPr>
          <w:p w:rsidR="00487D64" w:rsidRDefault="006F0D93">
            <w:pPr>
              <w:pStyle w:val="TableParagraph"/>
              <w:ind w:left="131" w:right="321"/>
            </w:pPr>
            <w:r>
              <w:t xml:space="preserve">Han, and </w:t>
            </w:r>
            <w:r>
              <w:rPr>
                <w:spacing w:val="-2"/>
              </w:rPr>
              <w:t xml:space="preserve">Zhang, </w:t>
            </w:r>
            <w:r>
              <w:t>(2021).</w:t>
            </w:r>
            <w:r>
              <w:rPr>
                <w:spacing w:val="-14"/>
              </w:rPr>
              <w:t xml:space="preserve"> </w:t>
            </w:r>
            <w:r>
              <w:t>And</w:t>
            </w:r>
          </w:p>
          <w:p w:rsidR="00487D64" w:rsidRDefault="006F0D93">
            <w:pPr>
              <w:pStyle w:val="TableParagraph"/>
              <w:spacing w:line="252" w:lineRule="exact"/>
              <w:ind w:left="131" w:right="109"/>
            </w:pPr>
            <w:r>
              <w:rPr>
                <w:spacing w:val="-2"/>
              </w:rPr>
              <w:t>Sanchez, (1995)</w:t>
            </w:r>
          </w:p>
        </w:tc>
      </w:tr>
    </w:tbl>
    <w:p w:rsidR="00487D64" w:rsidRDefault="00487D64">
      <w:pPr>
        <w:pStyle w:val="TableParagraph"/>
        <w:spacing w:line="252" w:lineRule="exact"/>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pStyle w:val="Heading1"/>
        <w:numPr>
          <w:ilvl w:val="1"/>
          <w:numId w:val="10"/>
        </w:numPr>
        <w:tabs>
          <w:tab w:val="left" w:pos="2860"/>
        </w:tabs>
        <w:spacing w:before="1"/>
        <w:ind w:left="2860" w:hanging="1441"/>
      </w:pPr>
      <w:bookmarkStart w:id="77" w:name="3.9____Methods_of_Data_Collection"/>
      <w:bookmarkStart w:id="78" w:name="_bookmark38"/>
      <w:bookmarkEnd w:id="77"/>
      <w:bookmarkEnd w:id="78"/>
      <w:r>
        <w:rPr>
          <w:w w:val="105"/>
        </w:rPr>
        <w:t>Methods</w:t>
      </w:r>
      <w:r>
        <w:rPr>
          <w:spacing w:val="-10"/>
          <w:w w:val="105"/>
        </w:rPr>
        <w:t xml:space="preserve"> </w:t>
      </w:r>
      <w:r>
        <w:rPr>
          <w:w w:val="105"/>
        </w:rPr>
        <w:t>of</w:t>
      </w:r>
      <w:r>
        <w:rPr>
          <w:spacing w:val="-10"/>
          <w:w w:val="105"/>
        </w:rPr>
        <w:t xml:space="preserve"> </w:t>
      </w:r>
      <w:r>
        <w:rPr>
          <w:w w:val="105"/>
        </w:rPr>
        <w:t>Data</w:t>
      </w:r>
      <w:r>
        <w:rPr>
          <w:spacing w:val="-14"/>
          <w:w w:val="105"/>
        </w:rPr>
        <w:t xml:space="preserve"> </w:t>
      </w:r>
      <w:r>
        <w:rPr>
          <w:spacing w:val="-2"/>
          <w:w w:val="105"/>
        </w:rPr>
        <w:t>Collection</w:t>
      </w:r>
    </w:p>
    <w:p w:rsidR="00487D64" w:rsidRDefault="00487D64">
      <w:pPr>
        <w:pStyle w:val="BodyText"/>
        <w:spacing w:before="25"/>
        <w:rPr>
          <w:b/>
        </w:rPr>
      </w:pPr>
    </w:p>
    <w:p w:rsidR="00487D64" w:rsidRDefault="006F0D93">
      <w:pPr>
        <w:pStyle w:val="Heading1"/>
        <w:numPr>
          <w:ilvl w:val="2"/>
          <w:numId w:val="10"/>
        </w:numPr>
        <w:tabs>
          <w:tab w:val="left" w:pos="2860"/>
        </w:tabs>
        <w:spacing w:before="1"/>
      </w:pPr>
      <w:bookmarkStart w:id="79" w:name="3.9.1____Questionnaire"/>
      <w:bookmarkStart w:id="80" w:name="_bookmark39"/>
      <w:bookmarkEnd w:id="79"/>
      <w:bookmarkEnd w:id="80"/>
      <w:r>
        <w:rPr>
          <w:spacing w:val="-2"/>
          <w:w w:val="105"/>
        </w:rPr>
        <w:t>Questionnaire</w:t>
      </w:r>
    </w:p>
    <w:p w:rsidR="00487D64" w:rsidRDefault="00487D64">
      <w:pPr>
        <w:pStyle w:val="BodyText"/>
        <w:spacing w:before="10"/>
        <w:rPr>
          <w:b/>
        </w:rPr>
      </w:pPr>
    </w:p>
    <w:p w:rsidR="00487D64" w:rsidRDefault="006F0D93">
      <w:pPr>
        <w:pStyle w:val="BodyText"/>
        <w:spacing w:before="1" w:line="501" w:lineRule="auto"/>
        <w:ind w:left="1419" w:right="856"/>
        <w:jc w:val="both"/>
      </w:pPr>
      <w:r>
        <w:rPr>
          <w:w w:val="105"/>
        </w:rPr>
        <w:t>To collect primary data, this study employed a self-administered, structured questionnaire as the main instrument for data collection. This approach was consistent with the study’s quantitative, cross-sectional survey</w:t>
      </w:r>
      <w:r>
        <w:rPr>
          <w:w w:val="105"/>
        </w:rPr>
        <w:t xml:space="preserve"> design, which required standardized data to test the hypothesized relationships among market orientation, strategic flexibility, and sustainable competitiveness. The questionnaire consisted of closed-ended items, allowing for uniform responses across all </w:t>
      </w:r>
      <w:r>
        <w:rPr>
          <w:w w:val="105"/>
        </w:rPr>
        <w:t>participants and enabling the use of statistical tools for analysis.</w:t>
      </w:r>
    </w:p>
    <w:p w:rsidR="00487D64" w:rsidRDefault="006F0D93">
      <w:pPr>
        <w:spacing w:before="236" w:line="501" w:lineRule="auto"/>
        <w:ind w:left="1419" w:right="848"/>
        <w:jc w:val="both"/>
        <w:rPr>
          <w:sz w:val="23"/>
        </w:rPr>
      </w:pPr>
      <w:r>
        <w:rPr>
          <w:w w:val="105"/>
          <w:sz w:val="23"/>
        </w:rPr>
        <w:t>The questionnaire was composed entirely of closed-ended items, allowing for uniformity in responses</w:t>
      </w:r>
      <w:r>
        <w:rPr>
          <w:spacing w:val="-7"/>
          <w:w w:val="105"/>
          <w:sz w:val="23"/>
        </w:rPr>
        <w:t xml:space="preserve"> </w:t>
      </w:r>
      <w:r>
        <w:rPr>
          <w:w w:val="105"/>
          <w:sz w:val="23"/>
        </w:rPr>
        <w:t>and facilitating the application of statistical analysis tools. It was constructed base</w:t>
      </w:r>
      <w:r>
        <w:rPr>
          <w:w w:val="105"/>
          <w:sz w:val="23"/>
        </w:rPr>
        <w:t xml:space="preserve">d on a five-point Likert scale ranging from </w:t>
      </w:r>
      <w:r>
        <w:rPr>
          <w:i/>
          <w:w w:val="105"/>
          <w:sz w:val="23"/>
        </w:rPr>
        <w:t>1 = strongly disagree, 2 = Disagree, 3 = neither agree nor disagree, 4 = agree, 5 = strongly agree</w:t>
      </w:r>
      <w:r>
        <w:rPr>
          <w:w w:val="105"/>
          <w:sz w:val="23"/>
        </w:rPr>
        <w:t>, a widely recognized format in behavioral and management research for capturing perceptual and attitudinal data (</w:t>
      </w:r>
      <w:r>
        <w:rPr>
          <w:w w:val="105"/>
          <w:sz w:val="23"/>
        </w:rPr>
        <w:t>Bryman, 2016).</w:t>
      </w:r>
    </w:p>
    <w:p w:rsidR="00487D64" w:rsidRDefault="006F0D93">
      <w:pPr>
        <w:pStyle w:val="BodyText"/>
        <w:spacing w:before="242" w:line="501" w:lineRule="auto"/>
        <w:ind w:left="1419" w:right="850"/>
        <w:jc w:val="both"/>
      </w:pPr>
      <w:r>
        <w:rPr>
          <w:w w:val="105"/>
        </w:rPr>
        <w:t>The decision to use a self-administered questionnaire was guided by several considerations. First, this method enabled the researcher to reach all 503 special group SMEs in the population through both physical distribution and digital platfo</w:t>
      </w:r>
      <w:r>
        <w:rPr>
          <w:w w:val="105"/>
        </w:rPr>
        <w:t>rms, ensuring comprehensive</w:t>
      </w:r>
      <w:r>
        <w:rPr>
          <w:spacing w:val="-6"/>
          <w:w w:val="105"/>
        </w:rPr>
        <w:t xml:space="preserve"> </w:t>
      </w:r>
      <w:r>
        <w:rPr>
          <w:w w:val="105"/>
        </w:rPr>
        <w:t>coverage while minimizing logistical</w:t>
      </w:r>
      <w:r>
        <w:rPr>
          <w:spacing w:val="-3"/>
          <w:w w:val="105"/>
        </w:rPr>
        <w:t xml:space="preserve"> </w:t>
      </w:r>
      <w:r>
        <w:rPr>
          <w:w w:val="105"/>
        </w:rPr>
        <w:t>challenges. Second,</w:t>
      </w:r>
      <w:r>
        <w:rPr>
          <w:spacing w:val="-1"/>
          <w:w w:val="105"/>
        </w:rPr>
        <w:t xml:space="preserve"> </w:t>
      </w:r>
      <w:r>
        <w:rPr>
          <w:w w:val="105"/>
        </w:rPr>
        <w:t>the</w:t>
      </w:r>
      <w:r>
        <w:rPr>
          <w:spacing w:val="-2"/>
          <w:w w:val="105"/>
        </w:rPr>
        <w:t xml:space="preserve"> </w:t>
      </w:r>
      <w:r>
        <w:rPr>
          <w:w w:val="105"/>
        </w:rPr>
        <w:t>structured</w:t>
      </w:r>
      <w:r>
        <w:rPr>
          <w:spacing w:val="-3"/>
          <w:w w:val="105"/>
        </w:rPr>
        <w:t xml:space="preserve"> </w:t>
      </w:r>
      <w:r>
        <w:rPr>
          <w:w w:val="105"/>
        </w:rPr>
        <w:t>format</w:t>
      </w:r>
      <w:r>
        <w:rPr>
          <w:spacing w:val="-4"/>
          <w:w w:val="105"/>
        </w:rPr>
        <w:t xml:space="preserve"> </w:t>
      </w:r>
      <w:r>
        <w:rPr>
          <w:w w:val="105"/>
        </w:rPr>
        <w:t>allowed</w:t>
      </w:r>
      <w:r>
        <w:rPr>
          <w:spacing w:val="-3"/>
          <w:w w:val="105"/>
        </w:rPr>
        <w:t xml:space="preserve"> </w:t>
      </w:r>
      <w:r>
        <w:rPr>
          <w:w w:val="105"/>
        </w:rPr>
        <w:t>for efficient</w:t>
      </w:r>
      <w:r>
        <w:rPr>
          <w:spacing w:val="-1"/>
          <w:w w:val="105"/>
        </w:rPr>
        <w:t xml:space="preserve"> </w:t>
      </w:r>
      <w:r>
        <w:rPr>
          <w:w w:val="105"/>
        </w:rPr>
        <w:t>data collection</w:t>
      </w:r>
      <w:r>
        <w:rPr>
          <w:spacing w:val="-9"/>
          <w:w w:val="105"/>
        </w:rPr>
        <w:t xml:space="preserve"> </w:t>
      </w:r>
      <w:r>
        <w:rPr>
          <w:w w:val="105"/>
        </w:rPr>
        <w:t>and</w:t>
      </w:r>
      <w:r>
        <w:rPr>
          <w:spacing w:val="-3"/>
          <w:w w:val="105"/>
        </w:rPr>
        <w:t xml:space="preserve"> </w:t>
      </w:r>
      <w:r>
        <w:rPr>
          <w:w w:val="105"/>
        </w:rPr>
        <w:t>consistency</w:t>
      </w:r>
      <w:r>
        <w:rPr>
          <w:spacing w:val="-3"/>
          <w:w w:val="105"/>
        </w:rPr>
        <w:t xml:space="preserve"> </w:t>
      </w:r>
      <w:r>
        <w:rPr>
          <w:w w:val="105"/>
        </w:rPr>
        <w:t>in how questions were interpreted and answered, which is crucial for empirical testing within a</w:t>
      </w:r>
      <w:r>
        <w:rPr>
          <w:w w:val="105"/>
        </w:rPr>
        <w:t xml:space="preserve"> deductive and positivist research paradigm. Third, the questionnaire was designed</w:t>
      </w:r>
      <w:r>
        <w:rPr>
          <w:spacing w:val="33"/>
          <w:w w:val="105"/>
        </w:rPr>
        <w:t xml:space="preserve"> </w:t>
      </w:r>
      <w:r>
        <w:rPr>
          <w:w w:val="105"/>
        </w:rPr>
        <w:t>with</w:t>
      </w:r>
      <w:r>
        <w:rPr>
          <w:spacing w:val="29"/>
          <w:w w:val="105"/>
        </w:rPr>
        <w:t xml:space="preserve"> </w:t>
      </w:r>
      <w:r>
        <w:rPr>
          <w:w w:val="105"/>
        </w:rPr>
        <w:t>objective,</w:t>
      </w:r>
      <w:r>
        <w:rPr>
          <w:spacing w:val="28"/>
          <w:w w:val="105"/>
        </w:rPr>
        <w:t xml:space="preserve"> </w:t>
      </w:r>
      <w:r>
        <w:rPr>
          <w:w w:val="105"/>
        </w:rPr>
        <w:t>theory-driven</w:t>
      </w:r>
      <w:r>
        <w:rPr>
          <w:spacing w:val="27"/>
          <w:w w:val="105"/>
        </w:rPr>
        <w:t xml:space="preserve"> </w:t>
      </w:r>
      <w:r>
        <w:rPr>
          <w:w w:val="105"/>
        </w:rPr>
        <w:t>questions</w:t>
      </w:r>
      <w:r>
        <w:rPr>
          <w:spacing w:val="27"/>
          <w:w w:val="105"/>
        </w:rPr>
        <w:t xml:space="preserve"> </w:t>
      </w:r>
      <w:r>
        <w:rPr>
          <w:w w:val="105"/>
        </w:rPr>
        <w:t>that</w:t>
      </w:r>
      <w:r>
        <w:rPr>
          <w:spacing w:val="29"/>
          <w:w w:val="105"/>
        </w:rPr>
        <w:t xml:space="preserve"> </w:t>
      </w:r>
      <w:r>
        <w:rPr>
          <w:w w:val="105"/>
        </w:rPr>
        <w:t>directly reflected the</w:t>
      </w:r>
      <w:r>
        <w:rPr>
          <w:spacing w:val="26"/>
          <w:w w:val="105"/>
        </w:rPr>
        <w:t xml:space="preserve"> </w:t>
      </w:r>
      <w:r>
        <w:rPr>
          <w:w w:val="105"/>
        </w:rPr>
        <w:t>study’s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1"/>
        <w:jc w:val="both"/>
      </w:pPr>
      <w:r>
        <w:rPr>
          <w:w w:val="105"/>
        </w:rPr>
        <w:t>conceptual framework and specific research objectives. This made it possibl</w:t>
      </w:r>
      <w:r>
        <w:rPr>
          <w:w w:val="105"/>
        </w:rPr>
        <w:t>e to capture perceptions from key decision makers (i.e., managers or representatives) based on their firsthand knowledge of their firm's strategic practices and public procurement engagement.</w:t>
      </w:r>
    </w:p>
    <w:p w:rsidR="00487D64" w:rsidRDefault="00487D64">
      <w:pPr>
        <w:pStyle w:val="BodyText"/>
      </w:pPr>
    </w:p>
    <w:p w:rsidR="00487D64" w:rsidRDefault="00487D64">
      <w:pPr>
        <w:pStyle w:val="BodyText"/>
        <w:spacing w:before="26"/>
      </w:pPr>
    </w:p>
    <w:p w:rsidR="00487D64" w:rsidRDefault="006F0D93">
      <w:pPr>
        <w:pStyle w:val="Heading1"/>
        <w:numPr>
          <w:ilvl w:val="2"/>
          <w:numId w:val="10"/>
        </w:numPr>
        <w:tabs>
          <w:tab w:val="left" w:pos="2860"/>
        </w:tabs>
        <w:spacing w:before="1"/>
      </w:pPr>
      <w:bookmarkStart w:id="81" w:name="3.9.2____Reliability_of_Data"/>
      <w:bookmarkStart w:id="82" w:name="_bookmark40"/>
      <w:bookmarkEnd w:id="81"/>
      <w:bookmarkEnd w:id="82"/>
      <w:r>
        <w:rPr>
          <w:w w:val="105"/>
        </w:rPr>
        <w:t>Reliability</w:t>
      </w:r>
      <w:r>
        <w:rPr>
          <w:spacing w:val="-16"/>
          <w:w w:val="105"/>
        </w:rPr>
        <w:t xml:space="preserve"> </w:t>
      </w:r>
      <w:r>
        <w:rPr>
          <w:w w:val="105"/>
        </w:rPr>
        <w:t>of</w:t>
      </w:r>
      <w:r>
        <w:rPr>
          <w:spacing w:val="-10"/>
          <w:w w:val="105"/>
        </w:rPr>
        <w:t xml:space="preserve"> </w:t>
      </w:r>
      <w:r>
        <w:rPr>
          <w:spacing w:val="-4"/>
          <w:w w:val="105"/>
        </w:rPr>
        <w:t>Data</w:t>
      </w:r>
    </w:p>
    <w:p w:rsidR="00487D64" w:rsidRDefault="00487D64">
      <w:pPr>
        <w:pStyle w:val="BodyText"/>
        <w:spacing w:before="18"/>
        <w:rPr>
          <w:b/>
        </w:rPr>
      </w:pPr>
    </w:p>
    <w:p w:rsidR="00487D64" w:rsidRDefault="006F0D93">
      <w:pPr>
        <w:pStyle w:val="BodyText"/>
        <w:spacing w:line="501" w:lineRule="auto"/>
        <w:ind w:left="1419" w:right="854"/>
        <w:jc w:val="both"/>
      </w:pPr>
      <w:r>
        <w:rPr>
          <w:w w:val="105"/>
        </w:rPr>
        <w:t>Reliability refers</w:t>
      </w:r>
      <w:r>
        <w:rPr>
          <w:spacing w:val="-2"/>
          <w:w w:val="105"/>
        </w:rPr>
        <w:t xml:space="preserve"> </w:t>
      </w:r>
      <w:r>
        <w:rPr>
          <w:w w:val="105"/>
        </w:rPr>
        <w:t>to the consistency and</w:t>
      </w:r>
      <w:r>
        <w:rPr>
          <w:w w:val="105"/>
        </w:rPr>
        <w:t xml:space="preserve"> stability of a measurement instrument when applied repeatedly under similar conditions. According to Creswell (2009), any measurement that consistently produces the same results over time and across different trials can be regarded as reliable. Cavana, De</w:t>
      </w:r>
      <w:r>
        <w:rPr>
          <w:w w:val="105"/>
        </w:rPr>
        <w:t>lahaye, and Sekaran (2001) emphasize that research instruments should ideally be free from measurement error, producing consistent outcomes</w:t>
      </w:r>
      <w:r>
        <w:rPr>
          <w:spacing w:val="-1"/>
          <w:w w:val="105"/>
        </w:rPr>
        <w:t xml:space="preserve"> </w:t>
      </w:r>
      <w:r>
        <w:rPr>
          <w:w w:val="105"/>
        </w:rPr>
        <w:t>regardless</w:t>
      </w:r>
      <w:r>
        <w:rPr>
          <w:spacing w:val="-1"/>
          <w:w w:val="105"/>
        </w:rPr>
        <w:t xml:space="preserve"> </w:t>
      </w:r>
      <w:r>
        <w:rPr>
          <w:w w:val="105"/>
        </w:rPr>
        <w:t>of</w:t>
      </w:r>
      <w:r>
        <w:rPr>
          <w:spacing w:val="-2"/>
          <w:w w:val="105"/>
        </w:rPr>
        <w:t xml:space="preserve"> </w:t>
      </w:r>
      <w:r>
        <w:rPr>
          <w:w w:val="105"/>
        </w:rPr>
        <w:t>time, setting, or</w:t>
      </w:r>
      <w:r>
        <w:rPr>
          <w:spacing w:val="-2"/>
          <w:w w:val="105"/>
        </w:rPr>
        <w:t xml:space="preserve"> </w:t>
      </w:r>
      <w:r>
        <w:rPr>
          <w:w w:val="105"/>
        </w:rPr>
        <w:t>the specific items</w:t>
      </w:r>
      <w:r>
        <w:rPr>
          <w:spacing w:val="-8"/>
          <w:w w:val="105"/>
        </w:rPr>
        <w:t xml:space="preserve"> </w:t>
      </w:r>
      <w:r>
        <w:rPr>
          <w:w w:val="105"/>
        </w:rPr>
        <w:t>used. Denscombe (2010) adds that reliability ensures that finding</w:t>
      </w:r>
      <w:r>
        <w:rPr>
          <w:w w:val="105"/>
        </w:rPr>
        <w:t>s can be confidently interpreted and generalized beyond the immediate context.</w:t>
      </w:r>
    </w:p>
    <w:p w:rsidR="00487D64" w:rsidRDefault="006F0D93">
      <w:pPr>
        <w:pStyle w:val="BodyText"/>
        <w:spacing w:before="238" w:line="501" w:lineRule="auto"/>
        <w:ind w:left="1419" w:right="855"/>
        <w:jc w:val="both"/>
      </w:pPr>
      <w:r>
        <w:rPr>
          <w:w w:val="105"/>
        </w:rPr>
        <w:t>In the context of multi-item scales, Bernard (2011) underlines the significance</w:t>
      </w:r>
      <w:r>
        <w:rPr>
          <w:w w:val="105"/>
        </w:rPr>
        <w:t xml:space="preserve"> of developing instruments with clear construct definitions, the use of precisely worded measurement items, and the application of pilot testing to strengthen reliability, particularly when dealing with diverse demographic contexts. Moreover, initiatives s</w:t>
      </w:r>
      <w:r>
        <w:rPr>
          <w:w w:val="105"/>
        </w:rPr>
        <w:t>uch as incorporating multiple indicators per construct and utilizing standardized response formats are essential for achieving measurement stability. As Zikmund et al. (2013) note, maintaining an acceptable level of reliability is a foundational requiremen</w:t>
      </w:r>
      <w:r>
        <w:rPr>
          <w:w w:val="105"/>
        </w:rPr>
        <w:t>t in behavioral and social science research.</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61"/>
        <w:jc w:val="both"/>
      </w:pPr>
      <w:r>
        <w:rPr>
          <w:w w:val="105"/>
        </w:rPr>
        <w:t>Before the main data collection, a pilot study was conducted to assess and enhance the</w:t>
      </w:r>
      <w:r>
        <w:rPr>
          <w:spacing w:val="-9"/>
          <w:w w:val="105"/>
        </w:rPr>
        <w:t xml:space="preserve"> </w:t>
      </w:r>
      <w:r>
        <w:rPr>
          <w:w w:val="105"/>
        </w:rPr>
        <w:t>internal consistency</w:t>
      </w:r>
      <w:r>
        <w:rPr>
          <w:spacing w:val="-2"/>
          <w:w w:val="105"/>
        </w:rPr>
        <w:t xml:space="preserve"> </w:t>
      </w:r>
      <w:r>
        <w:rPr>
          <w:w w:val="105"/>
        </w:rPr>
        <w:t>of</w:t>
      </w:r>
      <w:r>
        <w:rPr>
          <w:spacing w:val="-5"/>
          <w:w w:val="105"/>
        </w:rPr>
        <w:t xml:space="preserve"> </w:t>
      </w:r>
      <w:r>
        <w:rPr>
          <w:w w:val="105"/>
        </w:rPr>
        <w:t>the questionnaire.</w:t>
      </w:r>
      <w:r>
        <w:rPr>
          <w:spacing w:val="-7"/>
          <w:w w:val="105"/>
        </w:rPr>
        <w:t xml:space="preserve"> </w:t>
      </w:r>
      <w:r>
        <w:rPr>
          <w:w w:val="105"/>
        </w:rPr>
        <w:t>The</w:t>
      </w:r>
      <w:r>
        <w:rPr>
          <w:spacing w:val="-3"/>
          <w:w w:val="105"/>
        </w:rPr>
        <w:t xml:space="preserve"> </w:t>
      </w:r>
      <w:r>
        <w:rPr>
          <w:w w:val="105"/>
        </w:rPr>
        <w:t>instrument</w:t>
      </w:r>
      <w:r>
        <w:rPr>
          <w:spacing w:val="-1"/>
          <w:w w:val="105"/>
        </w:rPr>
        <w:t xml:space="preserve"> </w:t>
      </w:r>
      <w:r>
        <w:rPr>
          <w:w w:val="105"/>
        </w:rPr>
        <w:t>adapted was distributed to a group of select</w:t>
      </w:r>
      <w:r>
        <w:rPr>
          <w:w w:val="105"/>
        </w:rPr>
        <w:t>ed experts rather than the intended sample. This allowed for refinement of item wording, response clarity, and</w:t>
      </w:r>
      <w:r>
        <w:rPr>
          <w:spacing w:val="-1"/>
          <w:w w:val="105"/>
        </w:rPr>
        <w:t xml:space="preserve"> </w:t>
      </w:r>
      <w:r>
        <w:rPr>
          <w:w w:val="105"/>
        </w:rPr>
        <w:t>alignment with the local context.</w:t>
      </w:r>
    </w:p>
    <w:p w:rsidR="00487D64" w:rsidRDefault="006F0D93">
      <w:pPr>
        <w:pStyle w:val="BodyText"/>
        <w:spacing w:before="238" w:line="501" w:lineRule="auto"/>
        <w:ind w:left="1419" w:right="848"/>
        <w:jc w:val="both"/>
      </w:pPr>
      <w:r>
        <w:rPr>
          <w:w w:val="105"/>
        </w:rPr>
        <w:t>To assess the reliability of the measurement instrument, the study used SmartPLS version</w:t>
      </w:r>
      <w:r>
        <w:rPr>
          <w:spacing w:val="-3"/>
          <w:w w:val="105"/>
        </w:rPr>
        <w:t xml:space="preserve"> </w:t>
      </w:r>
      <w:r>
        <w:rPr>
          <w:w w:val="105"/>
        </w:rPr>
        <w:t>4.1.0.6 to examine int</w:t>
      </w:r>
      <w:r>
        <w:rPr>
          <w:w w:val="105"/>
        </w:rPr>
        <w:t>ernal consistency, focusing specifically on Cronbach’s alpha and composite reliability. As noted by Hair et al. (2019), values of 0.70 or above for both measures are generally considered acceptable, indicating that the scale reliably measures what it is in</w:t>
      </w:r>
      <w:r>
        <w:rPr>
          <w:w w:val="105"/>
        </w:rPr>
        <w:t>tended to. In this study, all constructs met or surpassed these recommended thresholds, confirming that the instrument was internally consistent and appropriate for full-scale data collection. Distance values exceeding critical chi-square thresholds, based</w:t>
      </w:r>
      <w:r>
        <w:rPr>
          <w:w w:val="105"/>
        </w:rPr>
        <w:t xml:space="preserve"> on the number of predictors and desired significance level, are typically considered multivariate outliers. The use of Mahalanobis Distance is consistent with best practices in SEM-based research, as it identifies patterns of unusual responses that may no</w:t>
      </w:r>
      <w:r>
        <w:rPr>
          <w:w w:val="105"/>
        </w:rPr>
        <w:t>t be detected through univariate diagnostics alone.</w:t>
      </w:r>
    </w:p>
    <w:p w:rsidR="00487D64" w:rsidRDefault="006F0D93">
      <w:pPr>
        <w:pStyle w:val="BodyText"/>
        <w:spacing w:before="232" w:line="501" w:lineRule="auto"/>
        <w:ind w:left="1419" w:right="859"/>
        <w:jc w:val="both"/>
      </w:pPr>
      <w:r>
        <w:rPr>
          <w:w w:val="105"/>
        </w:rPr>
        <w:t>Third, centered leverage values were reviewed as part of the influence diagnostics. According to Kline (2016), leverage values above 0.20 suggest that an observation may exert a disproportionate impact on</w:t>
      </w:r>
      <w:r>
        <w:rPr>
          <w:w w:val="105"/>
        </w:rPr>
        <w:t xml:space="preserve"> parameter estimates. This check complements Cooks Distance by highlighting cases that could unduly affect regression slopes.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6"/>
        <w:jc w:val="both"/>
      </w:pPr>
      <w:r>
        <w:rPr>
          <w:w w:val="105"/>
        </w:rPr>
        <w:t>Additionally, the assessment included an evaluation of studentized residuals and standard errors of</w:t>
      </w:r>
      <w:r>
        <w:rPr>
          <w:w w:val="105"/>
        </w:rPr>
        <w:t xml:space="preserve"> predicted values to confirm the stability of predictions. Collectively, these procedures ensured that outliers were not only identified but also evaluated in terms of their potential effect on the model. Observations that were flagged by multiple diagnost</w:t>
      </w:r>
      <w:r>
        <w:rPr>
          <w:w w:val="105"/>
        </w:rPr>
        <w:t>ics would typically require further scrutiny or possible exclusion. However, in this study, the analysis indicated that the distribution of responses was generally within acceptable bounds, suggesting minimal risk of influential outliers.</w:t>
      </w:r>
    </w:p>
    <w:p w:rsidR="00487D64" w:rsidRDefault="006F0D93">
      <w:pPr>
        <w:pStyle w:val="BodyText"/>
        <w:spacing w:before="239" w:line="499" w:lineRule="auto"/>
        <w:ind w:left="1419" w:right="848"/>
        <w:jc w:val="both"/>
      </w:pPr>
      <w:r>
        <w:rPr>
          <w:w w:val="105"/>
        </w:rPr>
        <w:t>The decision to</w:t>
      </w:r>
      <w:r>
        <w:rPr>
          <w:spacing w:val="-5"/>
          <w:w w:val="105"/>
        </w:rPr>
        <w:t xml:space="preserve"> </w:t>
      </w:r>
      <w:r>
        <w:rPr>
          <w:w w:val="105"/>
        </w:rPr>
        <w:t>retain or exclude outliers was guided by the principle of</w:t>
      </w:r>
      <w:r>
        <w:rPr>
          <w:spacing w:val="-1"/>
          <w:w w:val="105"/>
        </w:rPr>
        <w:t xml:space="preserve"> </w:t>
      </w:r>
      <w:r>
        <w:rPr>
          <w:w w:val="105"/>
        </w:rPr>
        <w:t>maintaining data integrity and representativeness, as recommended by Aguinis et al. (2013). Instead</w:t>
      </w:r>
      <w:r>
        <w:rPr>
          <w:spacing w:val="-3"/>
          <w:w w:val="105"/>
        </w:rPr>
        <w:t xml:space="preserve"> </w:t>
      </w:r>
      <w:r>
        <w:rPr>
          <w:w w:val="105"/>
        </w:rPr>
        <w:t>of</w:t>
      </w:r>
      <w:r>
        <w:rPr>
          <w:spacing w:val="-16"/>
          <w:w w:val="105"/>
        </w:rPr>
        <w:t xml:space="preserve"> </w:t>
      </w:r>
      <w:r>
        <w:rPr>
          <w:w w:val="105"/>
        </w:rPr>
        <w:t>automatic</w:t>
      </w:r>
      <w:r>
        <w:rPr>
          <w:spacing w:val="-7"/>
          <w:w w:val="105"/>
        </w:rPr>
        <w:t xml:space="preserve"> </w:t>
      </w:r>
      <w:r>
        <w:rPr>
          <w:w w:val="105"/>
        </w:rPr>
        <w:t>deletion,</w:t>
      </w:r>
      <w:r>
        <w:rPr>
          <w:spacing w:val="-6"/>
          <w:w w:val="105"/>
        </w:rPr>
        <w:t xml:space="preserve"> </w:t>
      </w:r>
      <w:r>
        <w:rPr>
          <w:w w:val="105"/>
        </w:rPr>
        <w:t>any</w:t>
      </w:r>
      <w:r>
        <w:rPr>
          <w:spacing w:val="-7"/>
          <w:w w:val="105"/>
        </w:rPr>
        <w:t xml:space="preserve"> </w:t>
      </w:r>
      <w:r>
        <w:rPr>
          <w:w w:val="105"/>
        </w:rPr>
        <w:t>potential outliers</w:t>
      </w:r>
      <w:r>
        <w:rPr>
          <w:spacing w:val="-3"/>
          <w:w w:val="105"/>
        </w:rPr>
        <w:t xml:space="preserve"> </w:t>
      </w:r>
      <w:r>
        <w:rPr>
          <w:w w:val="105"/>
        </w:rPr>
        <w:t>were</w:t>
      </w:r>
      <w:r>
        <w:rPr>
          <w:spacing w:val="-2"/>
          <w:w w:val="105"/>
        </w:rPr>
        <w:t xml:space="preserve"> </w:t>
      </w:r>
      <w:r>
        <w:rPr>
          <w:w w:val="105"/>
        </w:rPr>
        <w:t>considered</w:t>
      </w:r>
      <w:r>
        <w:rPr>
          <w:spacing w:val="-7"/>
          <w:w w:val="105"/>
        </w:rPr>
        <w:t xml:space="preserve"> </w:t>
      </w:r>
      <w:r>
        <w:rPr>
          <w:w w:val="105"/>
        </w:rPr>
        <w:t>in</w:t>
      </w:r>
      <w:r>
        <w:rPr>
          <w:spacing w:val="-7"/>
          <w:w w:val="105"/>
        </w:rPr>
        <w:t xml:space="preserve"> </w:t>
      </w:r>
      <w:r>
        <w:rPr>
          <w:w w:val="105"/>
        </w:rPr>
        <w:t>the</w:t>
      </w:r>
      <w:r>
        <w:rPr>
          <w:spacing w:val="-2"/>
          <w:w w:val="105"/>
        </w:rPr>
        <w:t xml:space="preserve"> </w:t>
      </w:r>
      <w:r>
        <w:rPr>
          <w:w w:val="105"/>
        </w:rPr>
        <w:t xml:space="preserve">context of their theoretical </w:t>
      </w:r>
      <w:r>
        <w:rPr>
          <w:w w:val="105"/>
        </w:rPr>
        <w:t>plausibility and impact on overall model estimates. This approach balances statistical</w:t>
      </w:r>
      <w:r>
        <w:rPr>
          <w:spacing w:val="-3"/>
          <w:w w:val="105"/>
        </w:rPr>
        <w:t xml:space="preserve"> </w:t>
      </w:r>
      <w:r>
        <w:rPr>
          <w:w w:val="105"/>
        </w:rPr>
        <w:t>rigor with</w:t>
      </w:r>
      <w:r>
        <w:rPr>
          <w:spacing w:val="-5"/>
          <w:w w:val="105"/>
        </w:rPr>
        <w:t xml:space="preserve"> </w:t>
      </w:r>
      <w:r>
        <w:rPr>
          <w:w w:val="105"/>
        </w:rPr>
        <w:t>the need to preserve meaningful variability</w:t>
      </w:r>
      <w:r>
        <w:rPr>
          <w:spacing w:val="-5"/>
          <w:w w:val="105"/>
        </w:rPr>
        <w:t xml:space="preserve"> </w:t>
      </w:r>
      <w:r>
        <w:rPr>
          <w:w w:val="105"/>
        </w:rPr>
        <w:t>in the data.</w:t>
      </w:r>
    </w:p>
    <w:p w:rsidR="00487D64" w:rsidRDefault="006F0D93">
      <w:pPr>
        <w:pStyle w:val="BodyText"/>
        <w:spacing w:before="246" w:line="501" w:lineRule="auto"/>
        <w:ind w:left="1419" w:right="854"/>
        <w:jc w:val="both"/>
      </w:pPr>
      <w:r>
        <w:rPr>
          <w:w w:val="105"/>
        </w:rPr>
        <w:t>By incorporating these diagnostic procedures, the study ensured that the dataset satisfied the assump</w:t>
      </w:r>
      <w:r>
        <w:rPr>
          <w:w w:val="105"/>
        </w:rPr>
        <w:t>tions required for PLS-SEM, including the absence of undue influence</w:t>
      </w:r>
      <w:r>
        <w:rPr>
          <w:spacing w:val="-6"/>
          <w:w w:val="105"/>
        </w:rPr>
        <w:t xml:space="preserve"> </w:t>
      </w:r>
      <w:r>
        <w:rPr>
          <w:w w:val="105"/>
        </w:rPr>
        <w:t>from</w:t>
      </w:r>
      <w:r>
        <w:rPr>
          <w:spacing w:val="-6"/>
          <w:w w:val="105"/>
        </w:rPr>
        <w:t xml:space="preserve"> </w:t>
      </w:r>
      <w:r>
        <w:rPr>
          <w:w w:val="105"/>
        </w:rPr>
        <w:t>extreme</w:t>
      </w:r>
      <w:r>
        <w:rPr>
          <w:spacing w:val="-6"/>
          <w:w w:val="105"/>
        </w:rPr>
        <w:t xml:space="preserve"> </w:t>
      </w:r>
      <w:r>
        <w:rPr>
          <w:w w:val="105"/>
        </w:rPr>
        <w:t>observations.</w:t>
      </w:r>
      <w:r>
        <w:rPr>
          <w:spacing w:val="-15"/>
          <w:w w:val="105"/>
        </w:rPr>
        <w:t xml:space="preserve"> </w:t>
      </w:r>
      <w:r>
        <w:rPr>
          <w:w w:val="105"/>
        </w:rPr>
        <w:t>This</w:t>
      </w:r>
      <w:r>
        <w:rPr>
          <w:spacing w:val="-12"/>
          <w:w w:val="105"/>
        </w:rPr>
        <w:t xml:space="preserve"> </w:t>
      </w:r>
      <w:r>
        <w:rPr>
          <w:w w:val="105"/>
        </w:rPr>
        <w:t>methodological</w:t>
      </w:r>
      <w:r>
        <w:rPr>
          <w:spacing w:val="-15"/>
          <w:w w:val="105"/>
        </w:rPr>
        <w:t xml:space="preserve"> </w:t>
      </w:r>
      <w:r>
        <w:rPr>
          <w:w w:val="105"/>
        </w:rPr>
        <w:t>rigor</w:t>
      </w:r>
      <w:r>
        <w:rPr>
          <w:spacing w:val="-7"/>
          <w:w w:val="105"/>
        </w:rPr>
        <w:t xml:space="preserve"> </w:t>
      </w:r>
      <w:r>
        <w:rPr>
          <w:w w:val="105"/>
        </w:rPr>
        <w:t>enhances</w:t>
      </w:r>
      <w:r>
        <w:rPr>
          <w:spacing w:val="-12"/>
          <w:w w:val="105"/>
        </w:rPr>
        <w:t xml:space="preserve"> </w:t>
      </w:r>
      <w:r>
        <w:rPr>
          <w:w w:val="105"/>
        </w:rPr>
        <w:t>confidence in the robustness and generalizability of the findings presented in subsequent chapters. Table 3.2 shows the resid</w:t>
      </w:r>
      <w:r>
        <w:rPr>
          <w:w w:val="105"/>
        </w:rPr>
        <w:t>ual statistic.</w:t>
      </w:r>
    </w:p>
    <w:p w:rsidR="00487D64" w:rsidRDefault="006F0D93">
      <w:pPr>
        <w:pStyle w:val="BodyText"/>
        <w:spacing w:before="240" w:line="501" w:lineRule="auto"/>
        <w:ind w:left="1419" w:right="859"/>
        <w:jc w:val="both"/>
      </w:pPr>
      <w:r>
        <w:rPr>
          <w:w w:val="105"/>
        </w:rPr>
        <w:t>To safeguard the integrity of the model against residual effects of potential outliers, bootstrapping was employed during the SEM estimation process, using 5,000 resamples as recommended by Hair et al. (2019). Bootstrapping is a robust resam</w:t>
      </w:r>
      <w:r>
        <w:rPr>
          <w:w w:val="105"/>
        </w:rPr>
        <w:t>pling</w:t>
      </w:r>
      <w:r>
        <w:rPr>
          <w:spacing w:val="-1"/>
          <w:w w:val="105"/>
        </w:rPr>
        <w:t xml:space="preserve"> </w:t>
      </w:r>
      <w:r>
        <w:rPr>
          <w:w w:val="105"/>
        </w:rPr>
        <w:t>technique</w:t>
      </w:r>
      <w:r>
        <w:rPr>
          <w:spacing w:val="-2"/>
          <w:w w:val="105"/>
        </w:rPr>
        <w:t xml:space="preserve"> </w:t>
      </w:r>
      <w:r>
        <w:rPr>
          <w:w w:val="105"/>
        </w:rPr>
        <w:t>that does not assume</w:t>
      </w:r>
      <w:r>
        <w:rPr>
          <w:spacing w:val="-2"/>
          <w:w w:val="105"/>
        </w:rPr>
        <w:t xml:space="preserve"> </w:t>
      </w:r>
      <w:r>
        <w:rPr>
          <w:w w:val="105"/>
        </w:rPr>
        <w:t>data normality</w:t>
      </w:r>
      <w:r>
        <w:rPr>
          <w:spacing w:val="-1"/>
          <w:w w:val="105"/>
        </w:rPr>
        <w:t xml:space="preserve"> </w:t>
      </w:r>
      <w:r>
        <w:rPr>
          <w:w w:val="105"/>
        </w:rPr>
        <w:t>and</w:t>
      </w:r>
      <w:r>
        <w:rPr>
          <w:spacing w:val="-1"/>
          <w:w w:val="105"/>
        </w:rPr>
        <w:t xml:space="preserve"> </w:t>
      </w:r>
      <w:r>
        <w:rPr>
          <w:w w:val="105"/>
        </w:rPr>
        <w:t>minimizes</w:t>
      </w:r>
      <w:r>
        <w:rPr>
          <w:spacing w:val="-2"/>
          <w:w w:val="105"/>
        </w:rPr>
        <w:t xml:space="preserve"> </w:t>
      </w:r>
      <w:r>
        <w:rPr>
          <w:w w:val="105"/>
        </w:rPr>
        <w:t>the impact of</w:t>
      </w:r>
      <w:r>
        <w:rPr>
          <w:spacing w:val="80"/>
          <w:w w:val="105"/>
        </w:rPr>
        <w:t xml:space="preserve"> </w:t>
      </w:r>
      <w:r>
        <w:rPr>
          <w:w w:val="105"/>
        </w:rPr>
        <w:t>influential</w:t>
      </w:r>
      <w:r>
        <w:rPr>
          <w:spacing w:val="80"/>
          <w:w w:val="105"/>
        </w:rPr>
        <w:t xml:space="preserve"> </w:t>
      </w:r>
      <w:r>
        <w:rPr>
          <w:w w:val="105"/>
        </w:rPr>
        <w:t>observations</w:t>
      </w:r>
      <w:r>
        <w:rPr>
          <w:spacing w:val="80"/>
          <w:w w:val="105"/>
        </w:rPr>
        <w:t xml:space="preserve"> </w:t>
      </w:r>
      <w:r>
        <w:rPr>
          <w:w w:val="105"/>
        </w:rPr>
        <w:t>by</w:t>
      </w:r>
      <w:r>
        <w:rPr>
          <w:spacing w:val="80"/>
          <w:w w:val="105"/>
        </w:rPr>
        <w:t xml:space="preserve"> </w:t>
      </w:r>
      <w:r>
        <w:rPr>
          <w:w w:val="105"/>
        </w:rPr>
        <w:t>generating</w:t>
      </w:r>
      <w:r>
        <w:rPr>
          <w:spacing w:val="80"/>
          <w:w w:val="105"/>
        </w:rPr>
        <w:t xml:space="preserve"> </w:t>
      </w:r>
      <w:r>
        <w:rPr>
          <w:w w:val="105"/>
        </w:rPr>
        <w:t>empirical</w:t>
      </w:r>
      <w:r>
        <w:rPr>
          <w:spacing w:val="80"/>
          <w:w w:val="105"/>
        </w:rPr>
        <w:t xml:space="preserve"> </w:t>
      </w:r>
      <w:r>
        <w:rPr>
          <w:w w:val="105"/>
        </w:rPr>
        <w:t>sampling</w:t>
      </w:r>
      <w:r>
        <w:rPr>
          <w:spacing w:val="80"/>
          <w:w w:val="105"/>
        </w:rPr>
        <w:t xml:space="preserve"> </w:t>
      </w:r>
      <w:r>
        <w:rPr>
          <w:w w:val="105"/>
        </w:rPr>
        <w:t>distributions</w:t>
      </w:r>
      <w:r>
        <w:rPr>
          <w:spacing w:val="80"/>
          <w:w w:val="105"/>
        </w:rPr>
        <w:t xml:space="preserve"> </w:t>
      </w:r>
      <w:r>
        <w:rPr>
          <w:w w:val="105"/>
        </w:rPr>
        <w:t>for</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49"/>
        <w:jc w:val="both"/>
      </w:pPr>
      <w:r>
        <w:rPr>
          <w:w w:val="105"/>
        </w:rPr>
        <w:t>parameter estimates. This method was particularly appropriate for PLS-SEM, which is often applied in contexts with non-normal data and moderate sample sizes.</w:t>
      </w:r>
    </w:p>
    <w:p w:rsidR="00487D64" w:rsidRDefault="006F0D93">
      <w:pPr>
        <w:pStyle w:val="BodyText"/>
        <w:spacing w:before="236" w:line="499" w:lineRule="auto"/>
        <w:ind w:left="1419" w:right="849"/>
        <w:jc w:val="both"/>
      </w:pPr>
      <w:r>
        <w:rPr>
          <w:w w:val="105"/>
        </w:rPr>
        <w:t>The study ensured that the</w:t>
      </w:r>
      <w:r>
        <w:rPr>
          <w:spacing w:val="-2"/>
          <w:w w:val="105"/>
        </w:rPr>
        <w:t xml:space="preserve"> </w:t>
      </w:r>
      <w:r>
        <w:rPr>
          <w:w w:val="105"/>
        </w:rPr>
        <w:t>dataset satisfied</w:t>
      </w:r>
      <w:r>
        <w:rPr>
          <w:spacing w:val="-1"/>
          <w:w w:val="105"/>
        </w:rPr>
        <w:t xml:space="preserve"> </w:t>
      </w:r>
      <w:r>
        <w:rPr>
          <w:w w:val="105"/>
        </w:rPr>
        <w:t>the</w:t>
      </w:r>
      <w:r>
        <w:rPr>
          <w:spacing w:val="-2"/>
          <w:w w:val="105"/>
        </w:rPr>
        <w:t xml:space="preserve"> </w:t>
      </w:r>
      <w:r>
        <w:rPr>
          <w:w w:val="105"/>
        </w:rPr>
        <w:t>assumptions necessary for PLS-SEM by including th</w:t>
      </w:r>
      <w:r>
        <w:rPr>
          <w:w w:val="105"/>
        </w:rPr>
        <w:t>ese diagnostic processes. These assumptions included the absence of undue</w:t>
      </w:r>
      <w:r>
        <w:rPr>
          <w:spacing w:val="-1"/>
          <w:w w:val="105"/>
        </w:rPr>
        <w:t xml:space="preserve"> </w:t>
      </w:r>
      <w:r>
        <w:rPr>
          <w:w w:val="105"/>
        </w:rPr>
        <w:t>effect from</w:t>
      </w:r>
      <w:r>
        <w:rPr>
          <w:spacing w:val="-1"/>
          <w:w w:val="105"/>
        </w:rPr>
        <w:t xml:space="preserve"> </w:t>
      </w:r>
      <w:r>
        <w:rPr>
          <w:w w:val="105"/>
        </w:rPr>
        <w:t>extreme</w:t>
      </w:r>
      <w:r>
        <w:rPr>
          <w:spacing w:val="-1"/>
          <w:w w:val="105"/>
        </w:rPr>
        <w:t xml:space="preserve"> </w:t>
      </w:r>
      <w:r>
        <w:rPr>
          <w:w w:val="105"/>
        </w:rPr>
        <w:t>observations. A</w:t>
      </w:r>
      <w:r>
        <w:rPr>
          <w:spacing w:val="-2"/>
          <w:w w:val="105"/>
        </w:rPr>
        <w:t xml:space="preserve"> </w:t>
      </w:r>
      <w:r>
        <w:rPr>
          <w:w w:val="105"/>
        </w:rPr>
        <w:t>higher level of</w:t>
      </w:r>
      <w:r>
        <w:rPr>
          <w:spacing w:val="-9"/>
          <w:w w:val="105"/>
        </w:rPr>
        <w:t xml:space="preserve"> </w:t>
      </w:r>
      <w:r>
        <w:rPr>
          <w:w w:val="105"/>
        </w:rPr>
        <w:t>trust in</w:t>
      </w:r>
      <w:r>
        <w:rPr>
          <w:spacing w:val="-7"/>
          <w:w w:val="105"/>
        </w:rPr>
        <w:t xml:space="preserve"> </w:t>
      </w:r>
      <w:r>
        <w:rPr>
          <w:w w:val="105"/>
        </w:rPr>
        <w:t>the</w:t>
      </w:r>
      <w:r>
        <w:rPr>
          <w:spacing w:val="-1"/>
          <w:w w:val="105"/>
        </w:rPr>
        <w:t xml:space="preserve"> </w:t>
      </w:r>
      <w:r>
        <w:rPr>
          <w:w w:val="105"/>
        </w:rPr>
        <w:t>robustness</w:t>
      </w:r>
      <w:r>
        <w:rPr>
          <w:spacing w:val="-8"/>
          <w:w w:val="105"/>
        </w:rPr>
        <w:t xml:space="preserve"> </w:t>
      </w:r>
      <w:r>
        <w:rPr>
          <w:w w:val="105"/>
        </w:rPr>
        <w:t>and generalizability of the findings reported in later chapters is achieved through the use of</w:t>
      </w:r>
      <w:r>
        <w:rPr>
          <w:spacing w:val="-2"/>
          <w:w w:val="105"/>
        </w:rPr>
        <w:t xml:space="preserve"> </w:t>
      </w:r>
      <w:r>
        <w:rPr>
          <w:w w:val="105"/>
        </w:rPr>
        <w:t>this method</w:t>
      </w:r>
      <w:r>
        <w:rPr>
          <w:w w:val="105"/>
        </w:rPr>
        <w:t>ological procedure. Table 3.2 shows the residual statistic.</w:t>
      </w:r>
    </w:p>
    <w:p w:rsidR="00487D64" w:rsidRDefault="00487D64">
      <w:pPr>
        <w:pStyle w:val="BodyText"/>
      </w:pPr>
    </w:p>
    <w:p w:rsidR="00487D64" w:rsidRDefault="00487D64">
      <w:pPr>
        <w:pStyle w:val="BodyText"/>
        <w:spacing w:before="41"/>
      </w:pPr>
    </w:p>
    <w:p w:rsidR="00487D64" w:rsidRDefault="006F0D93">
      <w:pPr>
        <w:spacing w:before="1"/>
        <w:ind w:left="1419"/>
        <w:jc w:val="both"/>
        <w:rPr>
          <w:b/>
          <w:sz w:val="23"/>
        </w:rPr>
      </w:pPr>
      <w:r>
        <w:rPr>
          <w:b/>
          <w:w w:val="105"/>
          <w:sz w:val="23"/>
        </w:rPr>
        <w:t>Table</w:t>
      </w:r>
      <w:r>
        <w:rPr>
          <w:b/>
          <w:spacing w:val="-8"/>
          <w:w w:val="105"/>
          <w:sz w:val="23"/>
        </w:rPr>
        <w:t xml:space="preserve"> </w:t>
      </w:r>
      <w:r>
        <w:rPr>
          <w:b/>
          <w:w w:val="105"/>
          <w:sz w:val="23"/>
        </w:rPr>
        <w:t>3.</w:t>
      </w:r>
      <w:r>
        <w:rPr>
          <w:b/>
          <w:spacing w:val="-11"/>
          <w:w w:val="105"/>
          <w:sz w:val="23"/>
        </w:rPr>
        <w:t xml:space="preserve"> </w:t>
      </w:r>
      <w:r>
        <w:rPr>
          <w:b/>
          <w:w w:val="105"/>
          <w:sz w:val="23"/>
        </w:rPr>
        <w:t>2:</w:t>
      </w:r>
      <w:r>
        <w:rPr>
          <w:b/>
          <w:spacing w:val="-9"/>
          <w:w w:val="105"/>
          <w:sz w:val="23"/>
        </w:rPr>
        <w:t xml:space="preserve"> </w:t>
      </w:r>
      <w:r>
        <w:rPr>
          <w:b/>
          <w:w w:val="105"/>
          <w:sz w:val="23"/>
        </w:rPr>
        <w:t>Residual</w:t>
      </w:r>
      <w:r>
        <w:rPr>
          <w:b/>
          <w:spacing w:val="-6"/>
          <w:w w:val="105"/>
          <w:sz w:val="23"/>
        </w:rPr>
        <w:t xml:space="preserve"> </w:t>
      </w:r>
      <w:r>
        <w:rPr>
          <w:b/>
          <w:spacing w:val="-2"/>
          <w:w w:val="105"/>
          <w:sz w:val="23"/>
        </w:rPr>
        <w:t>Statistics</w:t>
      </w:r>
    </w:p>
    <w:p w:rsidR="00487D64" w:rsidRDefault="00487D64">
      <w:pPr>
        <w:pStyle w:val="BodyText"/>
        <w:spacing w:before="37"/>
        <w:rPr>
          <w:b/>
          <w:sz w:val="20"/>
        </w:rPr>
      </w:pPr>
    </w:p>
    <w:tbl>
      <w:tblPr>
        <w:tblW w:w="0" w:type="auto"/>
        <w:tblInd w:w="1412" w:type="dxa"/>
        <w:tblLayout w:type="fixed"/>
        <w:tblCellMar>
          <w:left w:w="0" w:type="dxa"/>
          <w:right w:w="0" w:type="dxa"/>
        </w:tblCellMar>
        <w:tblLook w:val="01E0" w:firstRow="1" w:lastRow="1" w:firstColumn="1" w:lastColumn="1" w:noHBand="0" w:noVBand="0"/>
      </w:tblPr>
      <w:tblGrid>
        <w:gridCol w:w="2713"/>
        <w:gridCol w:w="1039"/>
        <w:gridCol w:w="1215"/>
        <w:gridCol w:w="912"/>
        <w:gridCol w:w="1452"/>
        <w:gridCol w:w="914"/>
      </w:tblGrid>
      <w:tr w:rsidR="00487D64">
        <w:trPr>
          <w:trHeight w:val="354"/>
        </w:trPr>
        <w:tc>
          <w:tcPr>
            <w:tcW w:w="2713" w:type="dxa"/>
            <w:tcBorders>
              <w:top w:val="single" w:sz="4" w:space="0" w:color="000000"/>
            </w:tcBorders>
          </w:tcPr>
          <w:p w:rsidR="00487D64" w:rsidRDefault="006F0D93">
            <w:pPr>
              <w:pStyle w:val="TableParagraph"/>
              <w:spacing w:before="14"/>
              <w:ind w:left="71"/>
              <w:rPr>
                <w:b/>
                <w:sz w:val="23"/>
              </w:rPr>
            </w:pPr>
            <w:r>
              <w:rPr>
                <w:b/>
                <w:spacing w:val="-2"/>
                <w:w w:val="105"/>
                <w:sz w:val="23"/>
              </w:rPr>
              <w:t>Residuals</w:t>
            </w:r>
            <w:r>
              <w:rPr>
                <w:b/>
                <w:spacing w:val="-1"/>
                <w:w w:val="105"/>
                <w:sz w:val="23"/>
              </w:rPr>
              <w:t xml:space="preserve"> </w:t>
            </w:r>
            <w:r>
              <w:rPr>
                <w:b/>
                <w:spacing w:val="-2"/>
                <w:w w:val="105"/>
                <w:sz w:val="23"/>
              </w:rPr>
              <w:t>Statistics</w:t>
            </w:r>
            <w:r>
              <w:rPr>
                <w:b/>
                <w:spacing w:val="-2"/>
                <w:w w:val="105"/>
                <w:sz w:val="23"/>
                <w:vertAlign w:val="superscript"/>
              </w:rPr>
              <w:t>a</w:t>
            </w:r>
          </w:p>
        </w:tc>
        <w:tc>
          <w:tcPr>
            <w:tcW w:w="1039" w:type="dxa"/>
            <w:tcBorders>
              <w:top w:val="single" w:sz="4" w:space="0" w:color="000000"/>
            </w:tcBorders>
          </w:tcPr>
          <w:p w:rsidR="00487D64" w:rsidRDefault="00487D64">
            <w:pPr>
              <w:pStyle w:val="TableParagraph"/>
            </w:pPr>
          </w:p>
        </w:tc>
        <w:tc>
          <w:tcPr>
            <w:tcW w:w="1215" w:type="dxa"/>
            <w:tcBorders>
              <w:top w:val="single" w:sz="4" w:space="0" w:color="000000"/>
            </w:tcBorders>
          </w:tcPr>
          <w:p w:rsidR="00487D64" w:rsidRDefault="00487D64">
            <w:pPr>
              <w:pStyle w:val="TableParagraph"/>
            </w:pPr>
          </w:p>
        </w:tc>
        <w:tc>
          <w:tcPr>
            <w:tcW w:w="912" w:type="dxa"/>
            <w:tcBorders>
              <w:top w:val="single" w:sz="4" w:space="0" w:color="000000"/>
            </w:tcBorders>
          </w:tcPr>
          <w:p w:rsidR="00487D64" w:rsidRDefault="00487D64">
            <w:pPr>
              <w:pStyle w:val="TableParagraph"/>
            </w:pPr>
          </w:p>
        </w:tc>
        <w:tc>
          <w:tcPr>
            <w:tcW w:w="1452" w:type="dxa"/>
            <w:tcBorders>
              <w:top w:val="single" w:sz="4" w:space="0" w:color="000000"/>
            </w:tcBorders>
          </w:tcPr>
          <w:p w:rsidR="00487D64" w:rsidRDefault="00487D64">
            <w:pPr>
              <w:pStyle w:val="TableParagraph"/>
            </w:pPr>
          </w:p>
        </w:tc>
        <w:tc>
          <w:tcPr>
            <w:tcW w:w="914" w:type="dxa"/>
            <w:tcBorders>
              <w:top w:val="single" w:sz="4" w:space="0" w:color="000000"/>
            </w:tcBorders>
          </w:tcPr>
          <w:p w:rsidR="00487D64" w:rsidRDefault="00487D64">
            <w:pPr>
              <w:pStyle w:val="TableParagraph"/>
            </w:pPr>
          </w:p>
        </w:tc>
      </w:tr>
      <w:tr w:rsidR="00487D64">
        <w:trPr>
          <w:trHeight w:val="889"/>
        </w:trPr>
        <w:tc>
          <w:tcPr>
            <w:tcW w:w="3752" w:type="dxa"/>
            <w:gridSpan w:val="2"/>
            <w:tcBorders>
              <w:bottom w:val="single" w:sz="4" w:space="0" w:color="000000"/>
            </w:tcBorders>
          </w:tcPr>
          <w:p w:rsidR="00487D64" w:rsidRDefault="00487D64">
            <w:pPr>
              <w:pStyle w:val="TableParagraph"/>
              <w:spacing w:before="224"/>
              <w:rPr>
                <w:b/>
                <w:sz w:val="23"/>
              </w:rPr>
            </w:pPr>
          </w:p>
          <w:p w:rsidR="00487D64" w:rsidRDefault="006F0D93">
            <w:pPr>
              <w:pStyle w:val="TableParagraph"/>
              <w:ind w:right="30"/>
              <w:jc w:val="right"/>
              <w:rPr>
                <w:b/>
                <w:sz w:val="23"/>
              </w:rPr>
            </w:pPr>
            <w:r>
              <w:rPr>
                <w:b/>
                <w:spacing w:val="-2"/>
                <w:w w:val="105"/>
                <w:sz w:val="23"/>
              </w:rPr>
              <w:t>Minimum</w:t>
            </w:r>
          </w:p>
        </w:tc>
        <w:tc>
          <w:tcPr>
            <w:tcW w:w="1215" w:type="dxa"/>
            <w:tcBorders>
              <w:bottom w:val="single" w:sz="4" w:space="0" w:color="000000"/>
            </w:tcBorders>
          </w:tcPr>
          <w:p w:rsidR="00487D64" w:rsidRDefault="00487D64">
            <w:pPr>
              <w:pStyle w:val="TableParagraph"/>
              <w:spacing w:before="224"/>
              <w:rPr>
                <w:b/>
                <w:sz w:val="23"/>
              </w:rPr>
            </w:pPr>
          </w:p>
          <w:p w:rsidR="00487D64" w:rsidRDefault="006F0D93">
            <w:pPr>
              <w:pStyle w:val="TableParagraph"/>
              <w:ind w:right="90"/>
              <w:jc w:val="center"/>
              <w:rPr>
                <w:b/>
                <w:sz w:val="23"/>
              </w:rPr>
            </w:pPr>
            <w:r>
              <w:rPr>
                <w:b/>
                <w:spacing w:val="-2"/>
                <w:w w:val="105"/>
                <w:sz w:val="23"/>
              </w:rPr>
              <w:t>Maximum</w:t>
            </w:r>
          </w:p>
        </w:tc>
        <w:tc>
          <w:tcPr>
            <w:tcW w:w="912" w:type="dxa"/>
            <w:tcBorders>
              <w:bottom w:val="single" w:sz="4" w:space="0" w:color="000000"/>
            </w:tcBorders>
          </w:tcPr>
          <w:p w:rsidR="00487D64" w:rsidRDefault="00487D64">
            <w:pPr>
              <w:pStyle w:val="TableParagraph"/>
              <w:spacing w:before="224"/>
              <w:rPr>
                <w:b/>
                <w:sz w:val="23"/>
              </w:rPr>
            </w:pPr>
          </w:p>
          <w:p w:rsidR="00487D64" w:rsidRDefault="006F0D93">
            <w:pPr>
              <w:pStyle w:val="TableParagraph"/>
              <w:ind w:left="6" w:right="92"/>
              <w:jc w:val="center"/>
              <w:rPr>
                <w:b/>
                <w:sz w:val="23"/>
              </w:rPr>
            </w:pPr>
            <w:r>
              <w:rPr>
                <w:b/>
                <w:spacing w:val="-4"/>
                <w:w w:val="105"/>
                <w:sz w:val="23"/>
              </w:rPr>
              <w:t>Mean</w:t>
            </w:r>
          </w:p>
        </w:tc>
        <w:tc>
          <w:tcPr>
            <w:tcW w:w="1452" w:type="dxa"/>
            <w:tcBorders>
              <w:bottom w:val="single" w:sz="4" w:space="0" w:color="000000"/>
            </w:tcBorders>
          </w:tcPr>
          <w:p w:rsidR="00487D64" w:rsidRDefault="006F0D93">
            <w:pPr>
              <w:pStyle w:val="TableParagraph"/>
              <w:spacing w:before="70"/>
              <w:ind w:left="14" w:right="65"/>
              <w:jc w:val="center"/>
              <w:rPr>
                <w:b/>
                <w:sz w:val="23"/>
              </w:rPr>
            </w:pPr>
            <w:r>
              <w:rPr>
                <w:b/>
                <w:spacing w:val="-4"/>
                <w:w w:val="105"/>
                <w:sz w:val="23"/>
              </w:rPr>
              <w:t>Std.</w:t>
            </w:r>
          </w:p>
          <w:p w:rsidR="00487D64" w:rsidRDefault="006F0D93">
            <w:pPr>
              <w:pStyle w:val="TableParagraph"/>
              <w:spacing w:before="154"/>
              <w:ind w:right="65"/>
              <w:jc w:val="center"/>
              <w:rPr>
                <w:b/>
                <w:sz w:val="23"/>
              </w:rPr>
            </w:pPr>
            <w:r>
              <w:rPr>
                <w:b/>
                <w:spacing w:val="-2"/>
                <w:w w:val="105"/>
                <w:sz w:val="23"/>
              </w:rPr>
              <w:t>Deviation</w:t>
            </w:r>
          </w:p>
        </w:tc>
        <w:tc>
          <w:tcPr>
            <w:tcW w:w="914" w:type="dxa"/>
            <w:tcBorders>
              <w:bottom w:val="single" w:sz="4" w:space="0" w:color="000000"/>
            </w:tcBorders>
          </w:tcPr>
          <w:p w:rsidR="00487D64" w:rsidRDefault="00487D64">
            <w:pPr>
              <w:pStyle w:val="TableParagraph"/>
              <w:spacing w:before="224"/>
              <w:rPr>
                <w:b/>
                <w:sz w:val="23"/>
              </w:rPr>
            </w:pPr>
          </w:p>
          <w:p w:rsidR="00487D64" w:rsidRDefault="006F0D93">
            <w:pPr>
              <w:pStyle w:val="TableParagraph"/>
              <w:ind w:right="28"/>
              <w:jc w:val="center"/>
              <w:rPr>
                <w:b/>
                <w:sz w:val="23"/>
              </w:rPr>
            </w:pPr>
            <w:r>
              <w:rPr>
                <w:b/>
                <w:spacing w:val="-10"/>
                <w:w w:val="105"/>
                <w:sz w:val="23"/>
              </w:rPr>
              <w:t>N</w:t>
            </w:r>
          </w:p>
        </w:tc>
      </w:tr>
      <w:tr w:rsidR="00487D64">
        <w:trPr>
          <w:trHeight w:val="346"/>
        </w:trPr>
        <w:tc>
          <w:tcPr>
            <w:tcW w:w="2713" w:type="dxa"/>
            <w:tcBorders>
              <w:top w:val="single" w:sz="4" w:space="0" w:color="000000"/>
            </w:tcBorders>
          </w:tcPr>
          <w:p w:rsidR="00487D64" w:rsidRDefault="006F0D93">
            <w:pPr>
              <w:pStyle w:val="TableParagraph"/>
              <w:spacing w:before="7"/>
              <w:ind w:left="71"/>
              <w:rPr>
                <w:sz w:val="23"/>
              </w:rPr>
            </w:pPr>
            <w:r>
              <w:rPr>
                <w:sz w:val="23"/>
              </w:rPr>
              <w:t>Predicted</w:t>
            </w:r>
            <w:r>
              <w:rPr>
                <w:spacing w:val="31"/>
                <w:sz w:val="23"/>
              </w:rPr>
              <w:t xml:space="preserve"> </w:t>
            </w:r>
            <w:r>
              <w:rPr>
                <w:spacing w:val="-2"/>
                <w:sz w:val="23"/>
              </w:rPr>
              <w:t>Value</w:t>
            </w:r>
          </w:p>
        </w:tc>
        <w:tc>
          <w:tcPr>
            <w:tcW w:w="1039" w:type="dxa"/>
            <w:tcBorders>
              <w:top w:val="single" w:sz="4" w:space="0" w:color="000000"/>
            </w:tcBorders>
          </w:tcPr>
          <w:p w:rsidR="00487D64" w:rsidRDefault="006F0D93">
            <w:pPr>
              <w:pStyle w:val="TableParagraph"/>
              <w:spacing w:before="7"/>
              <w:ind w:left="7" w:right="55"/>
              <w:jc w:val="center"/>
              <w:rPr>
                <w:sz w:val="23"/>
              </w:rPr>
            </w:pPr>
            <w:r>
              <w:rPr>
                <w:spacing w:val="-4"/>
                <w:w w:val="105"/>
                <w:sz w:val="23"/>
              </w:rPr>
              <w:t>3.04</w:t>
            </w:r>
          </w:p>
        </w:tc>
        <w:tc>
          <w:tcPr>
            <w:tcW w:w="1215" w:type="dxa"/>
            <w:tcBorders>
              <w:top w:val="single" w:sz="4" w:space="0" w:color="000000"/>
            </w:tcBorders>
          </w:tcPr>
          <w:p w:rsidR="00487D64" w:rsidRDefault="006F0D93">
            <w:pPr>
              <w:pStyle w:val="TableParagraph"/>
              <w:spacing w:before="7"/>
              <w:ind w:left="7" w:right="90"/>
              <w:jc w:val="center"/>
              <w:rPr>
                <w:sz w:val="23"/>
              </w:rPr>
            </w:pPr>
            <w:r>
              <w:rPr>
                <w:spacing w:val="-4"/>
                <w:w w:val="105"/>
                <w:sz w:val="23"/>
              </w:rPr>
              <w:t>4.73</w:t>
            </w:r>
          </w:p>
        </w:tc>
        <w:tc>
          <w:tcPr>
            <w:tcW w:w="912" w:type="dxa"/>
            <w:tcBorders>
              <w:top w:val="single" w:sz="4" w:space="0" w:color="000000"/>
            </w:tcBorders>
          </w:tcPr>
          <w:p w:rsidR="00487D64" w:rsidRDefault="006F0D93">
            <w:pPr>
              <w:pStyle w:val="TableParagraph"/>
              <w:spacing w:before="7"/>
              <w:ind w:right="92"/>
              <w:jc w:val="center"/>
              <w:rPr>
                <w:sz w:val="23"/>
              </w:rPr>
            </w:pPr>
            <w:r>
              <w:rPr>
                <w:spacing w:val="-4"/>
                <w:w w:val="105"/>
                <w:sz w:val="23"/>
              </w:rPr>
              <w:t>4.20</w:t>
            </w:r>
          </w:p>
        </w:tc>
        <w:tc>
          <w:tcPr>
            <w:tcW w:w="1452" w:type="dxa"/>
            <w:tcBorders>
              <w:top w:val="single" w:sz="4" w:space="0" w:color="000000"/>
            </w:tcBorders>
          </w:tcPr>
          <w:p w:rsidR="00487D64" w:rsidRDefault="006F0D93">
            <w:pPr>
              <w:pStyle w:val="TableParagraph"/>
              <w:spacing w:before="7"/>
              <w:ind w:right="539"/>
              <w:jc w:val="right"/>
              <w:rPr>
                <w:sz w:val="23"/>
              </w:rPr>
            </w:pPr>
            <w:r>
              <w:rPr>
                <w:spacing w:val="-4"/>
                <w:w w:val="105"/>
                <w:sz w:val="23"/>
              </w:rPr>
              <w:t>.408</w:t>
            </w:r>
          </w:p>
        </w:tc>
        <w:tc>
          <w:tcPr>
            <w:tcW w:w="914" w:type="dxa"/>
            <w:tcBorders>
              <w:top w:val="single" w:sz="4" w:space="0" w:color="000000"/>
            </w:tcBorders>
          </w:tcPr>
          <w:p w:rsidR="00487D64" w:rsidRDefault="006F0D93">
            <w:pPr>
              <w:pStyle w:val="TableParagraph"/>
              <w:spacing w:before="7"/>
              <w:ind w:left="8" w:right="28"/>
              <w:jc w:val="center"/>
              <w:rPr>
                <w:sz w:val="23"/>
              </w:rPr>
            </w:pPr>
            <w:r>
              <w:rPr>
                <w:spacing w:val="-5"/>
                <w:w w:val="105"/>
                <w:sz w:val="23"/>
              </w:rPr>
              <w:t>393</w:t>
            </w:r>
          </w:p>
        </w:tc>
      </w:tr>
      <w:tr w:rsidR="00487D64">
        <w:trPr>
          <w:trHeight w:val="414"/>
        </w:trPr>
        <w:tc>
          <w:tcPr>
            <w:tcW w:w="2713" w:type="dxa"/>
          </w:tcPr>
          <w:p w:rsidR="00487D64" w:rsidRDefault="006F0D93">
            <w:pPr>
              <w:pStyle w:val="TableParagraph"/>
              <w:spacing w:before="70"/>
              <w:ind w:left="71"/>
              <w:rPr>
                <w:sz w:val="23"/>
              </w:rPr>
            </w:pPr>
            <w:r>
              <w:rPr>
                <w:w w:val="105"/>
                <w:sz w:val="23"/>
              </w:rPr>
              <w:t>Std.</w:t>
            </w:r>
            <w:r>
              <w:rPr>
                <w:spacing w:val="-11"/>
                <w:w w:val="105"/>
                <w:sz w:val="23"/>
              </w:rPr>
              <w:t xml:space="preserve"> </w:t>
            </w:r>
            <w:r>
              <w:rPr>
                <w:w w:val="105"/>
                <w:sz w:val="23"/>
              </w:rPr>
              <w:t>Predicted</w:t>
            </w:r>
            <w:r>
              <w:rPr>
                <w:spacing w:val="-12"/>
                <w:w w:val="105"/>
                <w:sz w:val="23"/>
              </w:rPr>
              <w:t xml:space="preserve"> </w:t>
            </w:r>
            <w:r>
              <w:rPr>
                <w:spacing w:val="-4"/>
                <w:w w:val="105"/>
                <w:sz w:val="23"/>
              </w:rPr>
              <w:t>Value</w:t>
            </w:r>
          </w:p>
        </w:tc>
        <w:tc>
          <w:tcPr>
            <w:tcW w:w="1039" w:type="dxa"/>
          </w:tcPr>
          <w:p w:rsidR="00487D64" w:rsidRDefault="006F0D93">
            <w:pPr>
              <w:pStyle w:val="TableParagraph"/>
              <w:spacing w:before="70"/>
              <w:ind w:right="55"/>
              <w:jc w:val="center"/>
              <w:rPr>
                <w:sz w:val="23"/>
              </w:rPr>
            </w:pPr>
            <w:r>
              <w:rPr>
                <w:spacing w:val="-7"/>
                <w:sz w:val="23"/>
              </w:rPr>
              <w:t>-</w:t>
            </w:r>
            <w:r>
              <w:rPr>
                <w:spacing w:val="-2"/>
                <w:sz w:val="23"/>
              </w:rPr>
              <w:t>2.827</w:t>
            </w:r>
          </w:p>
        </w:tc>
        <w:tc>
          <w:tcPr>
            <w:tcW w:w="1215" w:type="dxa"/>
          </w:tcPr>
          <w:p w:rsidR="00487D64" w:rsidRDefault="006F0D93">
            <w:pPr>
              <w:pStyle w:val="TableParagraph"/>
              <w:spacing w:before="70"/>
              <w:ind w:right="76"/>
              <w:jc w:val="center"/>
              <w:rPr>
                <w:sz w:val="23"/>
              </w:rPr>
            </w:pPr>
            <w:r>
              <w:rPr>
                <w:spacing w:val="-2"/>
                <w:w w:val="105"/>
                <w:sz w:val="23"/>
              </w:rPr>
              <w:t>1.311</w:t>
            </w:r>
          </w:p>
        </w:tc>
        <w:tc>
          <w:tcPr>
            <w:tcW w:w="912" w:type="dxa"/>
          </w:tcPr>
          <w:p w:rsidR="00487D64" w:rsidRDefault="006F0D93">
            <w:pPr>
              <w:pStyle w:val="TableParagraph"/>
              <w:spacing w:before="70"/>
              <w:ind w:right="92"/>
              <w:jc w:val="center"/>
              <w:rPr>
                <w:sz w:val="23"/>
              </w:rPr>
            </w:pPr>
            <w:r>
              <w:rPr>
                <w:spacing w:val="-4"/>
                <w:w w:val="105"/>
                <w:sz w:val="23"/>
              </w:rPr>
              <w:t>.000</w:t>
            </w:r>
          </w:p>
        </w:tc>
        <w:tc>
          <w:tcPr>
            <w:tcW w:w="1452" w:type="dxa"/>
          </w:tcPr>
          <w:p w:rsidR="00487D64" w:rsidRDefault="006F0D93">
            <w:pPr>
              <w:pStyle w:val="TableParagraph"/>
              <w:spacing w:before="70"/>
              <w:ind w:right="482"/>
              <w:jc w:val="right"/>
              <w:rPr>
                <w:sz w:val="23"/>
              </w:rPr>
            </w:pPr>
            <w:r>
              <w:rPr>
                <w:spacing w:val="-2"/>
                <w:w w:val="105"/>
                <w:sz w:val="23"/>
              </w:rPr>
              <w:t>1.000</w:t>
            </w:r>
          </w:p>
        </w:tc>
        <w:tc>
          <w:tcPr>
            <w:tcW w:w="914" w:type="dxa"/>
          </w:tcPr>
          <w:p w:rsidR="00487D64" w:rsidRDefault="006F0D93">
            <w:pPr>
              <w:pStyle w:val="TableParagraph"/>
              <w:spacing w:before="70"/>
              <w:ind w:left="8" w:right="28"/>
              <w:jc w:val="center"/>
              <w:rPr>
                <w:sz w:val="23"/>
              </w:rPr>
            </w:pPr>
            <w:r>
              <w:rPr>
                <w:spacing w:val="-5"/>
                <w:w w:val="105"/>
                <w:sz w:val="23"/>
              </w:rPr>
              <w:t>393</w:t>
            </w:r>
          </w:p>
        </w:tc>
      </w:tr>
      <w:tr w:rsidR="00487D64">
        <w:trPr>
          <w:trHeight w:val="828"/>
        </w:trPr>
        <w:tc>
          <w:tcPr>
            <w:tcW w:w="2713" w:type="dxa"/>
          </w:tcPr>
          <w:p w:rsidR="00487D64" w:rsidRDefault="006F0D93">
            <w:pPr>
              <w:pStyle w:val="TableParagraph"/>
              <w:spacing w:before="74"/>
              <w:ind w:left="71"/>
              <w:rPr>
                <w:sz w:val="23"/>
              </w:rPr>
            </w:pPr>
            <w:r>
              <w:rPr>
                <w:w w:val="105"/>
                <w:sz w:val="23"/>
              </w:rPr>
              <w:t>Standard</w:t>
            </w:r>
            <w:r>
              <w:rPr>
                <w:spacing w:val="-13"/>
                <w:w w:val="105"/>
                <w:sz w:val="23"/>
              </w:rPr>
              <w:t xml:space="preserve"> </w:t>
            </w:r>
            <w:r>
              <w:rPr>
                <w:w w:val="105"/>
                <w:sz w:val="23"/>
              </w:rPr>
              <w:t>Error</w:t>
            </w:r>
            <w:r>
              <w:rPr>
                <w:spacing w:val="-10"/>
                <w:w w:val="105"/>
                <w:sz w:val="23"/>
              </w:rPr>
              <w:t xml:space="preserve"> </w:t>
            </w:r>
            <w:r>
              <w:rPr>
                <w:spacing w:val="-5"/>
                <w:w w:val="105"/>
                <w:sz w:val="23"/>
              </w:rPr>
              <w:t>of</w:t>
            </w:r>
          </w:p>
          <w:p w:rsidR="00487D64" w:rsidRDefault="006F0D93">
            <w:pPr>
              <w:pStyle w:val="TableParagraph"/>
              <w:spacing w:before="146"/>
              <w:ind w:left="71"/>
              <w:rPr>
                <w:sz w:val="23"/>
              </w:rPr>
            </w:pPr>
            <w:r>
              <w:rPr>
                <w:sz w:val="23"/>
              </w:rPr>
              <w:t>Predicted</w:t>
            </w:r>
            <w:r>
              <w:rPr>
                <w:spacing w:val="31"/>
                <w:sz w:val="23"/>
              </w:rPr>
              <w:t xml:space="preserve"> </w:t>
            </w:r>
            <w:r>
              <w:rPr>
                <w:spacing w:val="-2"/>
                <w:sz w:val="23"/>
              </w:rPr>
              <w:t>Value</w:t>
            </w:r>
          </w:p>
        </w:tc>
        <w:tc>
          <w:tcPr>
            <w:tcW w:w="1039" w:type="dxa"/>
          </w:tcPr>
          <w:p w:rsidR="00487D64" w:rsidRDefault="006F0D93">
            <w:pPr>
              <w:pStyle w:val="TableParagraph"/>
              <w:spacing w:before="74"/>
              <w:ind w:left="7" w:right="55"/>
              <w:jc w:val="center"/>
              <w:rPr>
                <w:sz w:val="23"/>
              </w:rPr>
            </w:pPr>
            <w:r>
              <w:rPr>
                <w:spacing w:val="-4"/>
                <w:w w:val="105"/>
                <w:sz w:val="23"/>
              </w:rPr>
              <w:t>.055</w:t>
            </w:r>
          </w:p>
        </w:tc>
        <w:tc>
          <w:tcPr>
            <w:tcW w:w="1215" w:type="dxa"/>
          </w:tcPr>
          <w:p w:rsidR="00487D64" w:rsidRDefault="006F0D93">
            <w:pPr>
              <w:pStyle w:val="TableParagraph"/>
              <w:spacing w:before="74"/>
              <w:ind w:left="7" w:right="90"/>
              <w:jc w:val="center"/>
              <w:rPr>
                <w:sz w:val="23"/>
              </w:rPr>
            </w:pPr>
            <w:r>
              <w:rPr>
                <w:spacing w:val="-4"/>
                <w:w w:val="105"/>
                <w:sz w:val="23"/>
              </w:rPr>
              <w:t>.214</w:t>
            </w:r>
          </w:p>
        </w:tc>
        <w:tc>
          <w:tcPr>
            <w:tcW w:w="912" w:type="dxa"/>
          </w:tcPr>
          <w:p w:rsidR="00487D64" w:rsidRDefault="006F0D93">
            <w:pPr>
              <w:pStyle w:val="TableParagraph"/>
              <w:spacing w:before="74"/>
              <w:ind w:right="92"/>
              <w:jc w:val="center"/>
              <w:rPr>
                <w:sz w:val="23"/>
              </w:rPr>
            </w:pPr>
            <w:r>
              <w:rPr>
                <w:spacing w:val="-4"/>
                <w:w w:val="105"/>
                <w:sz w:val="23"/>
              </w:rPr>
              <w:t>.093</w:t>
            </w:r>
          </w:p>
        </w:tc>
        <w:tc>
          <w:tcPr>
            <w:tcW w:w="1452" w:type="dxa"/>
          </w:tcPr>
          <w:p w:rsidR="00487D64" w:rsidRDefault="006F0D93">
            <w:pPr>
              <w:pStyle w:val="TableParagraph"/>
              <w:spacing w:before="74"/>
              <w:ind w:right="539"/>
              <w:jc w:val="right"/>
              <w:rPr>
                <w:sz w:val="23"/>
              </w:rPr>
            </w:pPr>
            <w:r>
              <w:rPr>
                <w:spacing w:val="-4"/>
                <w:w w:val="105"/>
                <w:sz w:val="23"/>
              </w:rPr>
              <w:t>.033</w:t>
            </w:r>
          </w:p>
        </w:tc>
        <w:tc>
          <w:tcPr>
            <w:tcW w:w="914" w:type="dxa"/>
          </w:tcPr>
          <w:p w:rsidR="00487D64" w:rsidRDefault="006F0D93">
            <w:pPr>
              <w:pStyle w:val="TableParagraph"/>
              <w:spacing w:before="74"/>
              <w:ind w:left="8" w:right="28"/>
              <w:jc w:val="center"/>
              <w:rPr>
                <w:sz w:val="23"/>
              </w:rPr>
            </w:pPr>
            <w:r>
              <w:rPr>
                <w:spacing w:val="-5"/>
                <w:w w:val="105"/>
                <w:sz w:val="23"/>
              </w:rPr>
              <w:t>393</w:t>
            </w:r>
          </w:p>
        </w:tc>
      </w:tr>
      <w:tr w:rsidR="00487D64">
        <w:trPr>
          <w:trHeight w:val="414"/>
        </w:trPr>
        <w:tc>
          <w:tcPr>
            <w:tcW w:w="2713" w:type="dxa"/>
          </w:tcPr>
          <w:p w:rsidR="00487D64" w:rsidRDefault="006F0D93">
            <w:pPr>
              <w:pStyle w:val="TableParagraph"/>
              <w:spacing w:before="74"/>
              <w:ind w:left="71"/>
              <w:rPr>
                <w:sz w:val="23"/>
              </w:rPr>
            </w:pPr>
            <w:r>
              <w:rPr>
                <w:sz w:val="23"/>
              </w:rPr>
              <w:t>Adjusted</w:t>
            </w:r>
            <w:r>
              <w:rPr>
                <w:spacing w:val="31"/>
                <w:sz w:val="23"/>
              </w:rPr>
              <w:t xml:space="preserve"> </w:t>
            </w:r>
            <w:r>
              <w:rPr>
                <w:sz w:val="23"/>
              </w:rPr>
              <w:t>Predicted</w:t>
            </w:r>
            <w:r>
              <w:rPr>
                <w:spacing w:val="32"/>
                <w:sz w:val="23"/>
              </w:rPr>
              <w:t xml:space="preserve"> </w:t>
            </w:r>
            <w:r>
              <w:rPr>
                <w:spacing w:val="-4"/>
                <w:sz w:val="23"/>
              </w:rPr>
              <w:t>Value</w:t>
            </w:r>
          </w:p>
        </w:tc>
        <w:tc>
          <w:tcPr>
            <w:tcW w:w="1039" w:type="dxa"/>
          </w:tcPr>
          <w:p w:rsidR="00487D64" w:rsidRDefault="006F0D93">
            <w:pPr>
              <w:pStyle w:val="TableParagraph"/>
              <w:spacing w:before="74"/>
              <w:ind w:left="7" w:right="55"/>
              <w:jc w:val="center"/>
              <w:rPr>
                <w:sz w:val="23"/>
              </w:rPr>
            </w:pPr>
            <w:r>
              <w:rPr>
                <w:spacing w:val="-4"/>
                <w:w w:val="105"/>
                <w:sz w:val="23"/>
              </w:rPr>
              <w:t>2.99</w:t>
            </w:r>
          </w:p>
        </w:tc>
        <w:tc>
          <w:tcPr>
            <w:tcW w:w="1215" w:type="dxa"/>
          </w:tcPr>
          <w:p w:rsidR="00487D64" w:rsidRDefault="006F0D93">
            <w:pPr>
              <w:pStyle w:val="TableParagraph"/>
              <w:spacing w:before="74"/>
              <w:ind w:left="7" w:right="90"/>
              <w:jc w:val="center"/>
              <w:rPr>
                <w:sz w:val="23"/>
              </w:rPr>
            </w:pPr>
            <w:r>
              <w:rPr>
                <w:spacing w:val="-4"/>
                <w:w w:val="105"/>
                <w:sz w:val="23"/>
              </w:rPr>
              <w:t>4.75</w:t>
            </w:r>
          </w:p>
        </w:tc>
        <w:tc>
          <w:tcPr>
            <w:tcW w:w="912" w:type="dxa"/>
          </w:tcPr>
          <w:p w:rsidR="00487D64" w:rsidRDefault="006F0D93">
            <w:pPr>
              <w:pStyle w:val="TableParagraph"/>
              <w:spacing w:before="74"/>
              <w:ind w:right="92"/>
              <w:jc w:val="center"/>
              <w:rPr>
                <w:sz w:val="23"/>
              </w:rPr>
            </w:pPr>
            <w:r>
              <w:rPr>
                <w:spacing w:val="-4"/>
                <w:w w:val="105"/>
                <w:sz w:val="23"/>
              </w:rPr>
              <w:t>4.20</w:t>
            </w:r>
          </w:p>
        </w:tc>
        <w:tc>
          <w:tcPr>
            <w:tcW w:w="1452" w:type="dxa"/>
          </w:tcPr>
          <w:p w:rsidR="00487D64" w:rsidRDefault="006F0D93">
            <w:pPr>
              <w:pStyle w:val="TableParagraph"/>
              <w:spacing w:before="74"/>
              <w:ind w:right="539"/>
              <w:jc w:val="right"/>
              <w:rPr>
                <w:sz w:val="23"/>
              </w:rPr>
            </w:pPr>
            <w:r>
              <w:rPr>
                <w:spacing w:val="-4"/>
                <w:w w:val="105"/>
                <w:sz w:val="23"/>
              </w:rPr>
              <w:t>.409</w:t>
            </w:r>
          </w:p>
        </w:tc>
        <w:tc>
          <w:tcPr>
            <w:tcW w:w="914" w:type="dxa"/>
          </w:tcPr>
          <w:p w:rsidR="00487D64" w:rsidRDefault="006F0D93">
            <w:pPr>
              <w:pStyle w:val="TableParagraph"/>
              <w:spacing w:before="74"/>
              <w:ind w:left="8" w:right="28"/>
              <w:jc w:val="center"/>
              <w:rPr>
                <w:sz w:val="23"/>
              </w:rPr>
            </w:pPr>
            <w:r>
              <w:rPr>
                <w:spacing w:val="-5"/>
                <w:w w:val="105"/>
                <w:sz w:val="23"/>
              </w:rPr>
              <w:t>393</w:t>
            </w:r>
          </w:p>
        </w:tc>
      </w:tr>
      <w:tr w:rsidR="00487D64">
        <w:trPr>
          <w:trHeight w:val="414"/>
        </w:trPr>
        <w:tc>
          <w:tcPr>
            <w:tcW w:w="2713" w:type="dxa"/>
          </w:tcPr>
          <w:p w:rsidR="00487D64" w:rsidRDefault="006F0D93">
            <w:pPr>
              <w:pStyle w:val="TableParagraph"/>
              <w:spacing w:before="71"/>
              <w:ind w:left="71"/>
              <w:rPr>
                <w:sz w:val="23"/>
              </w:rPr>
            </w:pPr>
            <w:r>
              <w:rPr>
                <w:spacing w:val="-2"/>
                <w:w w:val="105"/>
                <w:sz w:val="23"/>
              </w:rPr>
              <w:t>Residual</w:t>
            </w:r>
          </w:p>
        </w:tc>
        <w:tc>
          <w:tcPr>
            <w:tcW w:w="1039" w:type="dxa"/>
          </w:tcPr>
          <w:p w:rsidR="00487D64" w:rsidRDefault="006F0D93">
            <w:pPr>
              <w:pStyle w:val="TableParagraph"/>
              <w:spacing w:before="71"/>
              <w:ind w:right="55"/>
              <w:jc w:val="center"/>
              <w:rPr>
                <w:sz w:val="23"/>
              </w:rPr>
            </w:pPr>
            <w:r>
              <w:rPr>
                <w:spacing w:val="-7"/>
                <w:sz w:val="23"/>
              </w:rPr>
              <w:t>-</w:t>
            </w:r>
            <w:r>
              <w:rPr>
                <w:spacing w:val="-2"/>
                <w:sz w:val="23"/>
              </w:rPr>
              <w:t>3.550</w:t>
            </w:r>
          </w:p>
        </w:tc>
        <w:tc>
          <w:tcPr>
            <w:tcW w:w="1215" w:type="dxa"/>
          </w:tcPr>
          <w:p w:rsidR="00487D64" w:rsidRDefault="006F0D93">
            <w:pPr>
              <w:pStyle w:val="TableParagraph"/>
              <w:spacing w:before="71"/>
              <w:ind w:right="76"/>
              <w:jc w:val="center"/>
              <w:rPr>
                <w:sz w:val="23"/>
              </w:rPr>
            </w:pPr>
            <w:r>
              <w:rPr>
                <w:spacing w:val="-2"/>
                <w:w w:val="105"/>
                <w:sz w:val="23"/>
              </w:rPr>
              <w:t>1.925</w:t>
            </w:r>
          </w:p>
        </w:tc>
        <w:tc>
          <w:tcPr>
            <w:tcW w:w="912" w:type="dxa"/>
          </w:tcPr>
          <w:p w:rsidR="00487D64" w:rsidRDefault="006F0D93">
            <w:pPr>
              <w:pStyle w:val="TableParagraph"/>
              <w:spacing w:before="71"/>
              <w:ind w:right="92"/>
              <w:jc w:val="center"/>
              <w:rPr>
                <w:sz w:val="23"/>
              </w:rPr>
            </w:pPr>
            <w:r>
              <w:rPr>
                <w:spacing w:val="-4"/>
                <w:w w:val="105"/>
                <w:sz w:val="23"/>
              </w:rPr>
              <w:t>.000</w:t>
            </w:r>
          </w:p>
        </w:tc>
        <w:tc>
          <w:tcPr>
            <w:tcW w:w="1452" w:type="dxa"/>
          </w:tcPr>
          <w:p w:rsidR="00487D64" w:rsidRDefault="006F0D93">
            <w:pPr>
              <w:pStyle w:val="TableParagraph"/>
              <w:spacing w:before="71"/>
              <w:ind w:right="539"/>
              <w:jc w:val="right"/>
              <w:rPr>
                <w:sz w:val="23"/>
              </w:rPr>
            </w:pPr>
            <w:r>
              <w:rPr>
                <w:spacing w:val="-4"/>
                <w:w w:val="105"/>
                <w:sz w:val="23"/>
              </w:rPr>
              <w:t>.975</w:t>
            </w:r>
          </w:p>
        </w:tc>
        <w:tc>
          <w:tcPr>
            <w:tcW w:w="914" w:type="dxa"/>
          </w:tcPr>
          <w:p w:rsidR="00487D64" w:rsidRDefault="006F0D93">
            <w:pPr>
              <w:pStyle w:val="TableParagraph"/>
              <w:spacing w:before="71"/>
              <w:ind w:left="8" w:right="28"/>
              <w:jc w:val="center"/>
              <w:rPr>
                <w:sz w:val="23"/>
              </w:rPr>
            </w:pPr>
            <w:r>
              <w:rPr>
                <w:spacing w:val="-5"/>
                <w:w w:val="105"/>
                <w:sz w:val="23"/>
              </w:rPr>
              <w:t>393</w:t>
            </w:r>
          </w:p>
        </w:tc>
      </w:tr>
      <w:tr w:rsidR="00487D64">
        <w:trPr>
          <w:trHeight w:val="414"/>
        </w:trPr>
        <w:tc>
          <w:tcPr>
            <w:tcW w:w="2713" w:type="dxa"/>
          </w:tcPr>
          <w:p w:rsidR="00487D64" w:rsidRDefault="006F0D93">
            <w:pPr>
              <w:pStyle w:val="TableParagraph"/>
              <w:spacing w:before="74"/>
              <w:ind w:left="71"/>
              <w:rPr>
                <w:sz w:val="23"/>
              </w:rPr>
            </w:pPr>
            <w:r>
              <w:rPr>
                <w:w w:val="105"/>
                <w:sz w:val="23"/>
              </w:rPr>
              <w:t>Std.</w:t>
            </w:r>
            <w:r>
              <w:rPr>
                <w:spacing w:val="-15"/>
                <w:w w:val="105"/>
                <w:sz w:val="23"/>
              </w:rPr>
              <w:t xml:space="preserve"> </w:t>
            </w:r>
            <w:r>
              <w:rPr>
                <w:spacing w:val="-2"/>
                <w:w w:val="105"/>
                <w:sz w:val="23"/>
              </w:rPr>
              <w:t>Residual</w:t>
            </w:r>
          </w:p>
        </w:tc>
        <w:tc>
          <w:tcPr>
            <w:tcW w:w="1039" w:type="dxa"/>
          </w:tcPr>
          <w:p w:rsidR="00487D64" w:rsidRDefault="006F0D93">
            <w:pPr>
              <w:pStyle w:val="TableParagraph"/>
              <w:spacing w:before="74"/>
              <w:ind w:right="55"/>
              <w:jc w:val="center"/>
              <w:rPr>
                <w:sz w:val="23"/>
              </w:rPr>
            </w:pPr>
            <w:r>
              <w:rPr>
                <w:spacing w:val="-7"/>
                <w:sz w:val="23"/>
              </w:rPr>
              <w:t>-</w:t>
            </w:r>
            <w:r>
              <w:rPr>
                <w:spacing w:val="-2"/>
                <w:sz w:val="23"/>
              </w:rPr>
              <w:t>3.627</w:t>
            </w:r>
          </w:p>
        </w:tc>
        <w:tc>
          <w:tcPr>
            <w:tcW w:w="1215" w:type="dxa"/>
          </w:tcPr>
          <w:p w:rsidR="00487D64" w:rsidRDefault="006F0D93">
            <w:pPr>
              <w:pStyle w:val="TableParagraph"/>
              <w:spacing w:before="74"/>
              <w:ind w:right="76"/>
              <w:jc w:val="center"/>
              <w:rPr>
                <w:sz w:val="23"/>
              </w:rPr>
            </w:pPr>
            <w:r>
              <w:rPr>
                <w:spacing w:val="-2"/>
                <w:w w:val="105"/>
                <w:sz w:val="23"/>
              </w:rPr>
              <w:t>1.966</w:t>
            </w:r>
          </w:p>
        </w:tc>
        <w:tc>
          <w:tcPr>
            <w:tcW w:w="912" w:type="dxa"/>
          </w:tcPr>
          <w:p w:rsidR="00487D64" w:rsidRDefault="006F0D93">
            <w:pPr>
              <w:pStyle w:val="TableParagraph"/>
              <w:spacing w:before="74"/>
              <w:ind w:right="92"/>
              <w:jc w:val="center"/>
              <w:rPr>
                <w:sz w:val="23"/>
              </w:rPr>
            </w:pPr>
            <w:r>
              <w:rPr>
                <w:spacing w:val="-4"/>
                <w:w w:val="105"/>
                <w:sz w:val="23"/>
              </w:rPr>
              <w:t>.000</w:t>
            </w:r>
          </w:p>
        </w:tc>
        <w:tc>
          <w:tcPr>
            <w:tcW w:w="1452" w:type="dxa"/>
          </w:tcPr>
          <w:p w:rsidR="00487D64" w:rsidRDefault="006F0D93">
            <w:pPr>
              <w:pStyle w:val="TableParagraph"/>
              <w:spacing w:before="74"/>
              <w:ind w:right="539"/>
              <w:jc w:val="right"/>
              <w:rPr>
                <w:sz w:val="23"/>
              </w:rPr>
            </w:pPr>
            <w:r>
              <w:rPr>
                <w:spacing w:val="-4"/>
                <w:w w:val="105"/>
                <w:sz w:val="23"/>
              </w:rPr>
              <w:t>.996</w:t>
            </w:r>
          </w:p>
        </w:tc>
        <w:tc>
          <w:tcPr>
            <w:tcW w:w="914" w:type="dxa"/>
          </w:tcPr>
          <w:p w:rsidR="00487D64" w:rsidRDefault="006F0D93">
            <w:pPr>
              <w:pStyle w:val="TableParagraph"/>
              <w:spacing w:before="74"/>
              <w:ind w:left="8" w:right="28"/>
              <w:jc w:val="center"/>
              <w:rPr>
                <w:sz w:val="23"/>
              </w:rPr>
            </w:pPr>
            <w:r>
              <w:rPr>
                <w:spacing w:val="-5"/>
                <w:w w:val="105"/>
                <w:sz w:val="23"/>
              </w:rPr>
              <w:t>393</w:t>
            </w:r>
          </w:p>
        </w:tc>
      </w:tr>
      <w:tr w:rsidR="00487D64">
        <w:trPr>
          <w:trHeight w:val="410"/>
        </w:trPr>
        <w:tc>
          <w:tcPr>
            <w:tcW w:w="2713" w:type="dxa"/>
          </w:tcPr>
          <w:p w:rsidR="00487D64" w:rsidRDefault="006F0D93">
            <w:pPr>
              <w:pStyle w:val="TableParagraph"/>
              <w:spacing w:before="71"/>
              <w:ind w:left="71"/>
              <w:rPr>
                <w:sz w:val="23"/>
              </w:rPr>
            </w:pPr>
            <w:r>
              <w:rPr>
                <w:w w:val="105"/>
                <w:sz w:val="23"/>
              </w:rPr>
              <w:t>Stud.</w:t>
            </w:r>
            <w:r>
              <w:rPr>
                <w:spacing w:val="-14"/>
                <w:w w:val="105"/>
                <w:sz w:val="23"/>
              </w:rPr>
              <w:t xml:space="preserve"> </w:t>
            </w:r>
            <w:r>
              <w:rPr>
                <w:spacing w:val="-2"/>
                <w:w w:val="105"/>
                <w:sz w:val="23"/>
              </w:rPr>
              <w:t>Residual</w:t>
            </w:r>
          </w:p>
        </w:tc>
        <w:tc>
          <w:tcPr>
            <w:tcW w:w="1039" w:type="dxa"/>
          </w:tcPr>
          <w:p w:rsidR="00487D64" w:rsidRDefault="006F0D93">
            <w:pPr>
              <w:pStyle w:val="TableParagraph"/>
              <w:spacing w:before="71"/>
              <w:ind w:right="55"/>
              <w:jc w:val="center"/>
              <w:rPr>
                <w:sz w:val="23"/>
              </w:rPr>
            </w:pPr>
            <w:r>
              <w:rPr>
                <w:spacing w:val="-7"/>
                <w:sz w:val="23"/>
              </w:rPr>
              <w:t>-</w:t>
            </w:r>
            <w:r>
              <w:rPr>
                <w:spacing w:val="-2"/>
                <w:sz w:val="23"/>
              </w:rPr>
              <w:t>3.638</w:t>
            </w:r>
          </w:p>
        </w:tc>
        <w:tc>
          <w:tcPr>
            <w:tcW w:w="1215" w:type="dxa"/>
          </w:tcPr>
          <w:p w:rsidR="00487D64" w:rsidRDefault="006F0D93">
            <w:pPr>
              <w:pStyle w:val="TableParagraph"/>
              <w:spacing w:before="71"/>
              <w:ind w:right="76"/>
              <w:jc w:val="center"/>
              <w:rPr>
                <w:sz w:val="23"/>
              </w:rPr>
            </w:pPr>
            <w:r>
              <w:rPr>
                <w:spacing w:val="-2"/>
                <w:w w:val="105"/>
                <w:sz w:val="23"/>
              </w:rPr>
              <w:t>2.011</w:t>
            </w:r>
          </w:p>
        </w:tc>
        <w:tc>
          <w:tcPr>
            <w:tcW w:w="912" w:type="dxa"/>
          </w:tcPr>
          <w:p w:rsidR="00487D64" w:rsidRDefault="006F0D93">
            <w:pPr>
              <w:pStyle w:val="TableParagraph"/>
              <w:spacing w:before="71"/>
              <w:ind w:right="92"/>
              <w:jc w:val="center"/>
              <w:rPr>
                <w:sz w:val="23"/>
              </w:rPr>
            </w:pPr>
            <w:r>
              <w:rPr>
                <w:spacing w:val="-4"/>
                <w:w w:val="105"/>
                <w:sz w:val="23"/>
              </w:rPr>
              <w:t>.000</w:t>
            </w:r>
          </w:p>
        </w:tc>
        <w:tc>
          <w:tcPr>
            <w:tcW w:w="1452" w:type="dxa"/>
          </w:tcPr>
          <w:p w:rsidR="00487D64" w:rsidRDefault="006F0D93">
            <w:pPr>
              <w:pStyle w:val="TableParagraph"/>
              <w:spacing w:before="71"/>
              <w:ind w:right="482"/>
              <w:jc w:val="right"/>
              <w:rPr>
                <w:sz w:val="23"/>
              </w:rPr>
            </w:pPr>
            <w:r>
              <w:rPr>
                <w:spacing w:val="-2"/>
                <w:w w:val="105"/>
                <w:sz w:val="23"/>
              </w:rPr>
              <w:t>1.002</w:t>
            </w:r>
          </w:p>
        </w:tc>
        <w:tc>
          <w:tcPr>
            <w:tcW w:w="914" w:type="dxa"/>
          </w:tcPr>
          <w:p w:rsidR="00487D64" w:rsidRDefault="006F0D93">
            <w:pPr>
              <w:pStyle w:val="TableParagraph"/>
              <w:spacing w:before="71"/>
              <w:ind w:left="8" w:right="28"/>
              <w:jc w:val="center"/>
              <w:rPr>
                <w:sz w:val="23"/>
              </w:rPr>
            </w:pPr>
            <w:r>
              <w:rPr>
                <w:spacing w:val="-5"/>
                <w:w w:val="105"/>
                <w:sz w:val="23"/>
              </w:rPr>
              <w:t>393</w:t>
            </w:r>
          </w:p>
        </w:tc>
      </w:tr>
      <w:tr w:rsidR="00487D64">
        <w:trPr>
          <w:trHeight w:val="414"/>
        </w:trPr>
        <w:tc>
          <w:tcPr>
            <w:tcW w:w="2713" w:type="dxa"/>
          </w:tcPr>
          <w:p w:rsidR="00487D64" w:rsidRDefault="006F0D93">
            <w:pPr>
              <w:pStyle w:val="TableParagraph"/>
              <w:spacing w:before="70"/>
              <w:ind w:left="71"/>
              <w:rPr>
                <w:sz w:val="23"/>
              </w:rPr>
            </w:pPr>
            <w:r>
              <w:rPr>
                <w:sz w:val="23"/>
              </w:rPr>
              <w:t>Deleted</w:t>
            </w:r>
            <w:r>
              <w:rPr>
                <w:spacing w:val="19"/>
                <w:sz w:val="23"/>
              </w:rPr>
              <w:t xml:space="preserve"> </w:t>
            </w:r>
            <w:r>
              <w:rPr>
                <w:spacing w:val="-2"/>
                <w:sz w:val="23"/>
              </w:rPr>
              <w:t>Residual</w:t>
            </w:r>
          </w:p>
        </w:tc>
        <w:tc>
          <w:tcPr>
            <w:tcW w:w="1039" w:type="dxa"/>
          </w:tcPr>
          <w:p w:rsidR="00487D64" w:rsidRDefault="006F0D93">
            <w:pPr>
              <w:pStyle w:val="TableParagraph"/>
              <w:spacing w:before="70"/>
              <w:ind w:right="55"/>
              <w:jc w:val="center"/>
              <w:rPr>
                <w:sz w:val="23"/>
              </w:rPr>
            </w:pPr>
            <w:r>
              <w:rPr>
                <w:spacing w:val="-7"/>
                <w:sz w:val="23"/>
              </w:rPr>
              <w:t>-</w:t>
            </w:r>
            <w:r>
              <w:rPr>
                <w:spacing w:val="-2"/>
                <w:sz w:val="23"/>
              </w:rPr>
              <w:t>3.571</w:t>
            </w:r>
          </w:p>
        </w:tc>
        <w:tc>
          <w:tcPr>
            <w:tcW w:w="1215" w:type="dxa"/>
          </w:tcPr>
          <w:p w:rsidR="00487D64" w:rsidRDefault="006F0D93">
            <w:pPr>
              <w:pStyle w:val="TableParagraph"/>
              <w:spacing w:before="70"/>
              <w:ind w:right="76"/>
              <w:jc w:val="center"/>
              <w:rPr>
                <w:sz w:val="23"/>
              </w:rPr>
            </w:pPr>
            <w:r>
              <w:rPr>
                <w:spacing w:val="-2"/>
                <w:w w:val="105"/>
                <w:sz w:val="23"/>
              </w:rPr>
              <w:t>2.014</w:t>
            </w:r>
          </w:p>
        </w:tc>
        <w:tc>
          <w:tcPr>
            <w:tcW w:w="912" w:type="dxa"/>
          </w:tcPr>
          <w:p w:rsidR="00487D64" w:rsidRDefault="006F0D93">
            <w:pPr>
              <w:pStyle w:val="TableParagraph"/>
              <w:spacing w:before="70"/>
              <w:ind w:right="92"/>
              <w:jc w:val="center"/>
              <w:rPr>
                <w:sz w:val="23"/>
              </w:rPr>
            </w:pPr>
            <w:r>
              <w:rPr>
                <w:spacing w:val="-4"/>
                <w:w w:val="105"/>
                <w:sz w:val="23"/>
              </w:rPr>
              <w:t>.001</w:t>
            </w:r>
          </w:p>
        </w:tc>
        <w:tc>
          <w:tcPr>
            <w:tcW w:w="1452" w:type="dxa"/>
          </w:tcPr>
          <w:p w:rsidR="00487D64" w:rsidRDefault="006F0D93">
            <w:pPr>
              <w:pStyle w:val="TableParagraph"/>
              <w:spacing w:before="70"/>
              <w:ind w:right="539"/>
              <w:jc w:val="right"/>
              <w:rPr>
                <w:sz w:val="23"/>
              </w:rPr>
            </w:pPr>
            <w:r>
              <w:rPr>
                <w:spacing w:val="-4"/>
                <w:w w:val="105"/>
                <w:sz w:val="23"/>
              </w:rPr>
              <w:t>.987</w:t>
            </w:r>
          </w:p>
        </w:tc>
        <w:tc>
          <w:tcPr>
            <w:tcW w:w="914" w:type="dxa"/>
          </w:tcPr>
          <w:p w:rsidR="00487D64" w:rsidRDefault="006F0D93">
            <w:pPr>
              <w:pStyle w:val="TableParagraph"/>
              <w:spacing w:before="70"/>
              <w:ind w:left="8" w:right="28"/>
              <w:jc w:val="center"/>
              <w:rPr>
                <w:sz w:val="23"/>
              </w:rPr>
            </w:pPr>
            <w:r>
              <w:rPr>
                <w:spacing w:val="-5"/>
                <w:w w:val="105"/>
                <w:sz w:val="23"/>
              </w:rPr>
              <w:t>393</w:t>
            </w:r>
          </w:p>
        </w:tc>
      </w:tr>
      <w:tr w:rsidR="00487D64">
        <w:trPr>
          <w:trHeight w:val="414"/>
        </w:trPr>
        <w:tc>
          <w:tcPr>
            <w:tcW w:w="2713" w:type="dxa"/>
          </w:tcPr>
          <w:p w:rsidR="00487D64" w:rsidRDefault="006F0D93">
            <w:pPr>
              <w:pStyle w:val="TableParagraph"/>
              <w:spacing w:before="74"/>
              <w:ind w:left="71"/>
              <w:rPr>
                <w:sz w:val="23"/>
              </w:rPr>
            </w:pPr>
            <w:r>
              <w:rPr>
                <w:w w:val="105"/>
                <w:sz w:val="23"/>
              </w:rPr>
              <w:t>Stud.</w:t>
            </w:r>
            <w:r>
              <w:rPr>
                <w:spacing w:val="-12"/>
                <w:w w:val="105"/>
                <w:sz w:val="23"/>
              </w:rPr>
              <w:t xml:space="preserve"> </w:t>
            </w:r>
            <w:r>
              <w:rPr>
                <w:w w:val="105"/>
                <w:sz w:val="23"/>
              </w:rPr>
              <w:t>Deleted</w:t>
            </w:r>
            <w:r>
              <w:rPr>
                <w:spacing w:val="-13"/>
                <w:w w:val="105"/>
                <w:sz w:val="23"/>
              </w:rPr>
              <w:t xml:space="preserve"> </w:t>
            </w:r>
            <w:r>
              <w:rPr>
                <w:spacing w:val="-2"/>
                <w:w w:val="105"/>
                <w:sz w:val="23"/>
              </w:rPr>
              <w:t>Residual</w:t>
            </w:r>
          </w:p>
        </w:tc>
        <w:tc>
          <w:tcPr>
            <w:tcW w:w="1039" w:type="dxa"/>
          </w:tcPr>
          <w:p w:rsidR="00487D64" w:rsidRDefault="006F0D93">
            <w:pPr>
              <w:pStyle w:val="TableParagraph"/>
              <w:spacing w:before="74"/>
              <w:ind w:right="55"/>
              <w:jc w:val="center"/>
              <w:rPr>
                <w:sz w:val="23"/>
              </w:rPr>
            </w:pPr>
            <w:r>
              <w:rPr>
                <w:spacing w:val="-7"/>
                <w:sz w:val="23"/>
              </w:rPr>
              <w:t>-</w:t>
            </w:r>
            <w:r>
              <w:rPr>
                <w:spacing w:val="-2"/>
                <w:sz w:val="23"/>
              </w:rPr>
              <w:t>3.697</w:t>
            </w:r>
          </w:p>
        </w:tc>
        <w:tc>
          <w:tcPr>
            <w:tcW w:w="1215" w:type="dxa"/>
          </w:tcPr>
          <w:p w:rsidR="00487D64" w:rsidRDefault="006F0D93">
            <w:pPr>
              <w:pStyle w:val="TableParagraph"/>
              <w:spacing w:before="74"/>
              <w:ind w:right="76"/>
              <w:jc w:val="center"/>
              <w:rPr>
                <w:sz w:val="23"/>
              </w:rPr>
            </w:pPr>
            <w:r>
              <w:rPr>
                <w:spacing w:val="-2"/>
                <w:w w:val="105"/>
                <w:sz w:val="23"/>
              </w:rPr>
              <w:t>2.019</w:t>
            </w:r>
          </w:p>
        </w:tc>
        <w:tc>
          <w:tcPr>
            <w:tcW w:w="912" w:type="dxa"/>
          </w:tcPr>
          <w:p w:rsidR="00487D64" w:rsidRDefault="006F0D93">
            <w:pPr>
              <w:pStyle w:val="TableParagraph"/>
              <w:spacing w:before="74"/>
              <w:ind w:right="92"/>
              <w:jc w:val="center"/>
              <w:rPr>
                <w:sz w:val="23"/>
              </w:rPr>
            </w:pPr>
            <w:r>
              <w:rPr>
                <w:spacing w:val="-7"/>
                <w:sz w:val="23"/>
              </w:rPr>
              <w:t>-</w:t>
            </w:r>
            <w:r>
              <w:rPr>
                <w:spacing w:val="-4"/>
                <w:sz w:val="23"/>
              </w:rPr>
              <w:t>.001</w:t>
            </w:r>
          </w:p>
        </w:tc>
        <w:tc>
          <w:tcPr>
            <w:tcW w:w="1452" w:type="dxa"/>
          </w:tcPr>
          <w:p w:rsidR="00487D64" w:rsidRDefault="006F0D93">
            <w:pPr>
              <w:pStyle w:val="TableParagraph"/>
              <w:spacing w:before="74"/>
              <w:ind w:right="482"/>
              <w:jc w:val="right"/>
              <w:rPr>
                <w:sz w:val="23"/>
              </w:rPr>
            </w:pPr>
            <w:r>
              <w:rPr>
                <w:spacing w:val="-2"/>
                <w:w w:val="105"/>
                <w:sz w:val="23"/>
              </w:rPr>
              <w:t>1.006</w:t>
            </w:r>
          </w:p>
        </w:tc>
        <w:tc>
          <w:tcPr>
            <w:tcW w:w="914" w:type="dxa"/>
          </w:tcPr>
          <w:p w:rsidR="00487D64" w:rsidRDefault="006F0D93">
            <w:pPr>
              <w:pStyle w:val="TableParagraph"/>
              <w:spacing w:before="74"/>
              <w:ind w:left="8" w:right="28"/>
              <w:jc w:val="center"/>
              <w:rPr>
                <w:sz w:val="23"/>
              </w:rPr>
            </w:pPr>
            <w:r>
              <w:rPr>
                <w:spacing w:val="-5"/>
                <w:w w:val="105"/>
                <w:sz w:val="23"/>
              </w:rPr>
              <w:t>393</w:t>
            </w:r>
          </w:p>
        </w:tc>
      </w:tr>
      <w:tr w:rsidR="00487D64">
        <w:trPr>
          <w:trHeight w:val="414"/>
        </w:trPr>
        <w:tc>
          <w:tcPr>
            <w:tcW w:w="2713" w:type="dxa"/>
          </w:tcPr>
          <w:p w:rsidR="00487D64" w:rsidRDefault="006F0D93">
            <w:pPr>
              <w:pStyle w:val="TableParagraph"/>
              <w:spacing w:before="71"/>
              <w:ind w:left="71"/>
              <w:rPr>
                <w:sz w:val="23"/>
              </w:rPr>
            </w:pPr>
            <w:r>
              <w:rPr>
                <w:spacing w:val="-2"/>
                <w:w w:val="105"/>
                <w:sz w:val="23"/>
              </w:rPr>
              <w:t>Mahal.</w:t>
            </w:r>
            <w:r>
              <w:rPr>
                <w:spacing w:val="-4"/>
                <w:w w:val="105"/>
                <w:sz w:val="23"/>
              </w:rPr>
              <w:t xml:space="preserve"> </w:t>
            </w:r>
            <w:r>
              <w:rPr>
                <w:spacing w:val="-2"/>
                <w:w w:val="105"/>
                <w:sz w:val="23"/>
              </w:rPr>
              <w:t>Distance</w:t>
            </w:r>
          </w:p>
        </w:tc>
        <w:tc>
          <w:tcPr>
            <w:tcW w:w="1039" w:type="dxa"/>
          </w:tcPr>
          <w:p w:rsidR="00487D64" w:rsidRDefault="006F0D93">
            <w:pPr>
              <w:pStyle w:val="TableParagraph"/>
              <w:spacing w:before="71"/>
              <w:ind w:left="7" w:right="55"/>
              <w:jc w:val="center"/>
              <w:rPr>
                <w:sz w:val="23"/>
              </w:rPr>
            </w:pPr>
            <w:r>
              <w:rPr>
                <w:spacing w:val="-4"/>
                <w:w w:val="105"/>
                <w:sz w:val="23"/>
              </w:rPr>
              <w:t>.237</w:t>
            </w:r>
          </w:p>
        </w:tc>
        <w:tc>
          <w:tcPr>
            <w:tcW w:w="1215" w:type="dxa"/>
          </w:tcPr>
          <w:p w:rsidR="00487D64" w:rsidRDefault="006F0D93">
            <w:pPr>
              <w:pStyle w:val="TableParagraph"/>
              <w:spacing w:before="71"/>
              <w:ind w:left="6" w:right="90"/>
              <w:jc w:val="center"/>
              <w:rPr>
                <w:sz w:val="23"/>
              </w:rPr>
            </w:pPr>
            <w:r>
              <w:rPr>
                <w:spacing w:val="-2"/>
                <w:w w:val="105"/>
                <w:sz w:val="23"/>
              </w:rPr>
              <w:t>17.765</w:t>
            </w:r>
          </w:p>
        </w:tc>
        <w:tc>
          <w:tcPr>
            <w:tcW w:w="912" w:type="dxa"/>
          </w:tcPr>
          <w:p w:rsidR="00487D64" w:rsidRDefault="006F0D93">
            <w:pPr>
              <w:pStyle w:val="TableParagraph"/>
              <w:spacing w:before="71"/>
              <w:ind w:left="7" w:right="92"/>
              <w:jc w:val="center"/>
              <w:rPr>
                <w:sz w:val="23"/>
              </w:rPr>
            </w:pPr>
            <w:r>
              <w:rPr>
                <w:spacing w:val="-2"/>
                <w:w w:val="105"/>
                <w:sz w:val="23"/>
              </w:rPr>
              <w:t>2.992</w:t>
            </w:r>
          </w:p>
        </w:tc>
        <w:tc>
          <w:tcPr>
            <w:tcW w:w="1452" w:type="dxa"/>
          </w:tcPr>
          <w:p w:rsidR="00487D64" w:rsidRDefault="006F0D93">
            <w:pPr>
              <w:pStyle w:val="TableParagraph"/>
              <w:spacing w:before="71"/>
              <w:ind w:right="482"/>
              <w:jc w:val="right"/>
              <w:rPr>
                <w:sz w:val="23"/>
              </w:rPr>
            </w:pPr>
            <w:r>
              <w:rPr>
                <w:spacing w:val="-2"/>
                <w:w w:val="105"/>
                <w:sz w:val="23"/>
              </w:rPr>
              <w:t>3.197</w:t>
            </w:r>
          </w:p>
        </w:tc>
        <w:tc>
          <w:tcPr>
            <w:tcW w:w="914" w:type="dxa"/>
          </w:tcPr>
          <w:p w:rsidR="00487D64" w:rsidRDefault="006F0D93">
            <w:pPr>
              <w:pStyle w:val="TableParagraph"/>
              <w:spacing w:before="71"/>
              <w:ind w:left="8" w:right="28"/>
              <w:jc w:val="center"/>
              <w:rPr>
                <w:sz w:val="23"/>
              </w:rPr>
            </w:pPr>
            <w:r>
              <w:rPr>
                <w:spacing w:val="-5"/>
                <w:w w:val="105"/>
                <w:sz w:val="23"/>
              </w:rPr>
              <w:t>393</w:t>
            </w:r>
          </w:p>
        </w:tc>
      </w:tr>
      <w:tr w:rsidR="00487D64">
        <w:trPr>
          <w:trHeight w:val="414"/>
        </w:trPr>
        <w:tc>
          <w:tcPr>
            <w:tcW w:w="2713" w:type="dxa"/>
          </w:tcPr>
          <w:p w:rsidR="00487D64" w:rsidRDefault="006F0D93">
            <w:pPr>
              <w:pStyle w:val="TableParagraph"/>
              <w:spacing w:before="74"/>
              <w:ind w:left="71"/>
              <w:rPr>
                <w:sz w:val="23"/>
              </w:rPr>
            </w:pPr>
            <w:r>
              <w:rPr>
                <w:w w:val="105"/>
                <w:sz w:val="23"/>
              </w:rPr>
              <w:t>Cook's</w:t>
            </w:r>
            <w:r>
              <w:rPr>
                <w:spacing w:val="-13"/>
                <w:w w:val="105"/>
                <w:sz w:val="23"/>
              </w:rPr>
              <w:t xml:space="preserve"> </w:t>
            </w:r>
            <w:r>
              <w:rPr>
                <w:spacing w:val="-2"/>
                <w:w w:val="105"/>
                <w:sz w:val="23"/>
              </w:rPr>
              <w:t>Distance</w:t>
            </w:r>
          </w:p>
        </w:tc>
        <w:tc>
          <w:tcPr>
            <w:tcW w:w="1039" w:type="dxa"/>
          </w:tcPr>
          <w:p w:rsidR="00487D64" w:rsidRDefault="006F0D93">
            <w:pPr>
              <w:pStyle w:val="TableParagraph"/>
              <w:spacing w:before="74"/>
              <w:ind w:left="7" w:right="55"/>
              <w:jc w:val="center"/>
              <w:rPr>
                <w:sz w:val="23"/>
              </w:rPr>
            </w:pPr>
            <w:r>
              <w:rPr>
                <w:spacing w:val="-4"/>
                <w:w w:val="105"/>
                <w:sz w:val="23"/>
              </w:rPr>
              <w:t>.000</w:t>
            </w:r>
          </w:p>
        </w:tc>
        <w:tc>
          <w:tcPr>
            <w:tcW w:w="1215" w:type="dxa"/>
          </w:tcPr>
          <w:p w:rsidR="00487D64" w:rsidRDefault="006F0D93">
            <w:pPr>
              <w:pStyle w:val="TableParagraph"/>
              <w:spacing w:before="74"/>
              <w:ind w:left="7" w:right="90"/>
              <w:jc w:val="center"/>
              <w:rPr>
                <w:sz w:val="23"/>
              </w:rPr>
            </w:pPr>
            <w:r>
              <w:rPr>
                <w:spacing w:val="-4"/>
                <w:w w:val="105"/>
                <w:sz w:val="23"/>
              </w:rPr>
              <w:t>.061</w:t>
            </w:r>
          </w:p>
        </w:tc>
        <w:tc>
          <w:tcPr>
            <w:tcW w:w="912" w:type="dxa"/>
          </w:tcPr>
          <w:p w:rsidR="00487D64" w:rsidRDefault="006F0D93">
            <w:pPr>
              <w:pStyle w:val="TableParagraph"/>
              <w:spacing w:before="74"/>
              <w:ind w:right="92"/>
              <w:jc w:val="center"/>
              <w:rPr>
                <w:sz w:val="23"/>
              </w:rPr>
            </w:pPr>
            <w:r>
              <w:rPr>
                <w:spacing w:val="-4"/>
                <w:w w:val="105"/>
                <w:sz w:val="23"/>
              </w:rPr>
              <w:t>.003</w:t>
            </w:r>
          </w:p>
        </w:tc>
        <w:tc>
          <w:tcPr>
            <w:tcW w:w="1452" w:type="dxa"/>
          </w:tcPr>
          <w:p w:rsidR="00487D64" w:rsidRDefault="006F0D93">
            <w:pPr>
              <w:pStyle w:val="TableParagraph"/>
              <w:spacing w:before="74"/>
              <w:ind w:right="539"/>
              <w:jc w:val="right"/>
              <w:rPr>
                <w:sz w:val="23"/>
              </w:rPr>
            </w:pPr>
            <w:r>
              <w:rPr>
                <w:spacing w:val="-4"/>
                <w:w w:val="105"/>
                <w:sz w:val="23"/>
              </w:rPr>
              <w:t>.007</w:t>
            </w:r>
          </w:p>
        </w:tc>
        <w:tc>
          <w:tcPr>
            <w:tcW w:w="914" w:type="dxa"/>
          </w:tcPr>
          <w:p w:rsidR="00487D64" w:rsidRDefault="006F0D93">
            <w:pPr>
              <w:pStyle w:val="TableParagraph"/>
              <w:spacing w:before="74"/>
              <w:ind w:left="7" w:right="28"/>
              <w:jc w:val="center"/>
              <w:rPr>
                <w:sz w:val="23"/>
              </w:rPr>
            </w:pPr>
            <w:r>
              <w:rPr>
                <w:spacing w:val="-5"/>
                <w:w w:val="105"/>
                <w:sz w:val="23"/>
              </w:rPr>
              <w:t>393</w:t>
            </w:r>
          </w:p>
        </w:tc>
      </w:tr>
      <w:tr w:rsidR="00487D64">
        <w:trPr>
          <w:trHeight w:val="414"/>
        </w:trPr>
        <w:tc>
          <w:tcPr>
            <w:tcW w:w="2713" w:type="dxa"/>
          </w:tcPr>
          <w:p w:rsidR="00487D64" w:rsidRDefault="006F0D93">
            <w:pPr>
              <w:pStyle w:val="TableParagraph"/>
              <w:spacing w:before="70"/>
              <w:ind w:left="71"/>
              <w:rPr>
                <w:sz w:val="23"/>
              </w:rPr>
            </w:pPr>
            <w:r>
              <w:rPr>
                <w:sz w:val="23"/>
              </w:rPr>
              <w:t>Centered</w:t>
            </w:r>
            <w:r>
              <w:rPr>
                <w:spacing w:val="33"/>
                <w:sz w:val="23"/>
              </w:rPr>
              <w:t xml:space="preserve"> </w:t>
            </w:r>
            <w:r>
              <w:rPr>
                <w:sz w:val="23"/>
              </w:rPr>
              <w:t>Leverage</w:t>
            </w:r>
            <w:r>
              <w:rPr>
                <w:spacing w:val="32"/>
                <w:sz w:val="23"/>
              </w:rPr>
              <w:t xml:space="preserve"> </w:t>
            </w:r>
            <w:r>
              <w:rPr>
                <w:spacing w:val="-4"/>
                <w:sz w:val="23"/>
              </w:rPr>
              <w:t>Value</w:t>
            </w:r>
          </w:p>
        </w:tc>
        <w:tc>
          <w:tcPr>
            <w:tcW w:w="1039" w:type="dxa"/>
          </w:tcPr>
          <w:p w:rsidR="00487D64" w:rsidRDefault="006F0D93">
            <w:pPr>
              <w:pStyle w:val="TableParagraph"/>
              <w:spacing w:before="70"/>
              <w:ind w:left="7" w:right="55"/>
              <w:jc w:val="center"/>
              <w:rPr>
                <w:sz w:val="23"/>
              </w:rPr>
            </w:pPr>
            <w:r>
              <w:rPr>
                <w:spacing w:val="-4"/>
                <w:w w:val="105"/>
                <w:sz w:val="23"/>
              </w:rPr>
              <w:t>.001</w:t>
            </w:r>
          </w:p>
        </w:tc>
        <w:tc>
          <w:tcPr>
            <w:tcW w:w="1215" w:type="dxa"/>
          </w:tcPr>
          <w:p w:rsidR="00487D64" w:rsidRDefault="006F0D93">
            <w:pPr>
              <w:pStyle w:val="TableParagraph"/>
              <w:spacing w:before="70"/>
              <w:ind w:left="7" w:right="90"/>
              <w:jc w:val="center"/>
              <w:rPr>
                <w:sz w:val="23"/>
              </w:rPr>
            </w:pPr>
            <w:r>
              <w:rPr>
                <w:spacing w:val="-4"/>
                <w:w w:val="105"/>
                <w:sz w:val="23"/>
              </w:rPr>
              <w:t>.045</w:t>
            </w:r>
          </w:p>
        </w:tc>
        <w:tc>
          <w:tcPr>
            <w:tcW w:w="912" w:type="dxa"/>
          </w:tcPr>
          <w:p w:rsidR="00487D64" w:rsidRDefault="006F0D93">
            <w:pPr>
              <w:pStyle w:val="TableParagraph"/>
              <w:spacing w:before="70"/>
              <w:ind w:right="92"/>
              <w:jc w:val="center"/>
              <w:rPr>
                <w:sz w:val="23"/>
              </w:rPr>
            </w:pPr>
            <w:r>
              <w:rPr>
                <w:spacing w:val="-4"/>
                <w:w w:val="105"/>
                <w:sz w:val="23"/>
              </w:rPr>
              <w:t>.008</w:t>
            </w:r>
          </w:p>
        </w:tc>
        <w:tc>
          <w:tcPr>
            <w:tcW w:w="1452" w:type="dxa"/>
          </w:tcPr>
          <w:p w:rsidR="00487D64" w:rsidRDefault="006F0D93">
            <w:pPr>
              <w:pStyle w:val="TableParagraph"/>
              <w:spacing w:before="70"/>
              <w:ind w:right="539"/>
              <w:jc w:val="right"/>
              <w:rPr>
                <w:sz w:val="23"/>
              </w:rPr>
            </w:pPr>
            <w:r>
              <w:rPr>
                <w:spacing w:val="-4"/>
                <w:w w:val="105"/>
                <w:sz w:val="23"/>
              </w:rPr>
              <w:t>.008</w:t>
            </w:r>
          </w:p>
        </w:tc>
        <w:tc>
          <w:tcPr>
            <w:tcW w:w="914" w:type="dxa"/>
          </w:tcPr>
          <w:p w:rsidR="00487D64" w:rsidRDefault="006F0D93">
            <w:pPr>
              <w:pStyle w:val="TableParagraph"/>
              <w:spacing w:before="70"/>
              <w:ind w:left="8" w:right="28"/>
              <w:jc w:val="center"/>
              <w:rPr>
                <w:sz w:val="23"/>
              </w:rPr>
            </w:pPr>
            <w:r>
              <w:rPr>
                <w:spacing w:val="-5"/>
                <w:w w:val="105"/>
                <w:sz w:val="23"/>
              </w:rPr>
              <w:t>393</w:t>
            </w:r>
          </w:p>
        </w:tc>
      </w:tr>
      <w:tr w:rsidR="00487D64">
        <w:trPr>
          <w:trHeight w:val="489"/>
        </w:trPr>
        <w:tc>
          <w:tcPr>
            <w:tcW w:w="2713" w:type="dxa"/>
            <w:tcBorders>
              <w:bottom w:val="single" w:sz="4" w:space="0" w:color="000000"/>
            </w:tcBorders>
          </w:tcPr>
          <w:p w:rsidR="00487D64" w:rsidRDefault="006F0D93">
            <w:pPr>
              <w:pStyle w:val="TableParagraph"/>
              <w:spacing w:before="74"/>
              <w:ind w:left="71"/>
              <w:rPr>
                <w:sz w:val="23"/>
              </w:rPr>
            </w:pPr>
            <w:r>
              <w:rPr>
                <w:w w:val="105"/>
                <w:sz w:val="23"/>
              </w:rPr>
              <w:t>a.</w:t>
            </w:r>
            <w:r>
              <w:rPr>
                <w:spacing w:val="-16"/>
                <w:w w:val="105"/>
                <w:sz w:val="23"/>
              </w:rPr>
              <w:t xml:space="preserve"> </w:t>
            </w:r>
            <w:r>
              <w:rPr>
                <w:w w:val="105"/>
                <w:sz w:val="23"/>
              </w:rPr>
              <w:t>Dependent</w:t>
            </w:r>
            <w:r>
              <w:rPr>
                <w:spacing w:val="-10"/>
                <w:w w:val="105"/>
                <w:sz w:val="23"/>
              </w:rPr>
              <w:t xml:space="preserve"> </w:t>
            </w:r>
            <w:r>
              <w:rPr>
                <w:w w:val="105"/>
                <w:sz w:val="23"/>
              </w:rPr>
              <w:t>Variable:</w:t>
            </w:r>
            <w:r>
              <w:rPr>
                <w:spacing w:val="-10"/>
                <w:w w:val="105"/>
                <w:sz w:val="23"/>
              </w:rPr>
              <w:t xml:space="preserve"> </w:t>
            </w:r>
            <w:r>
              <w:rPr>
                <w:spacing w:val="-5"/>
                <w:w w:val="105"/>
                <w:sz w:val="23"/>
              </w:rPr>
              <w:t>SC</w:t>
            </w:r>
          </w:p>
        </w:tc>
        <w:tc>
          <w:tcPr>
            <w:tcW w:w="1039" w:type="dxa"/>
            <w:tcBorders>
              <w:bottom w:val="single" w:sz="4" w:space="0" w:color="000000"/>
            </w:tcBorders>
          </w:tcPr>
          <w:p w:rsidR="00487D64" w:rsidRDefault="00487D64">
            <w:pPr>
              <w:pStyle w:val="TableParagraph"/>
            </w:pPr>
          </w:p>
        </w:tc>
        <w:tc>
          <w:tcPr>
            <w:tcW w:w="1215" w:type="dxa"/>
            <w:tcBorders>
              <w:bottom w:val="single" w:sz="4" w:space="0" w:color="000000"/>
            </w:tcBorders>
          </w:tcPr>
          <w:p w:rsidR="00487D64" w:rsidRDefault="00487D64">
            <w:pPr>
              <w:pStyle w:val="TableParagraph"/>
            </w:pPr>
          </w:p>
        </w:tc>
        <w:tc>
          <w:tcPr>
            <w:tcW w:w="912" w:type="dxa"/>
            <w:tcBorders>
              <w:bottom w:val="single" w:sz="4" w:space="0" w:color="000000"/>
            </w:tcBorders>
          </w:tcPr>
          <w:p w:rsidR="00487D64" w:rsidRDefault="00487D64">
            <w:pPr>
              <w:pStyle w:val="TableParagraph"/>
            </w:pPr>
          </w:p>
        </w:tc>
        <w:tc>
          <w:tcPr>
            <w:tcW w:w="1452" w:type="dxa"/>
            <w:tcBorders>
              <w:bottom w:val="single" w:sz="4" w:space="0" w:color="000000"/>
            </w:tcBorders>
          </w:tcPr>
          <w:p w:rsidR="00487D64" w:rsidRDefault="00487D64">
            <w:pPr>
              <w:pStyle w:val="TableParagraph"/>
            </w:pPr>
          </w:p>
        </w:tc>
        <w:tc>
          <w:tcPr>
            <w:tcW w:w="914" w:type="dxa"/>
            <w:tcBorders>
              <w:bottom w:val="single" w:sz="4" w:space="0" w:color="000000"/>
            </w:tcBorders>
          </w:tcPr>
          <w:p w:rsidR="00487D64" w:rsidRDefault="00487D64">
            <w:pPr>
              <w:pStyle w:val="TableParagraph"/>
            </w:pPr>
          </w:p>
        </w:tc>
      </w:tr>
    </w:tbl>
    <w:p w:rsidR="00487D64" w:rsidRDefault="00487D64">
      <w:pPr>
        <w:pStyle w:val="TableParagraph"/>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pStyle w:val="Heading1"/>
        <w:numPr>
          <w:ilvl w:val="2"/>
          <w:numId w:val="10"/>
        </w:numPr>
        <w:tabs>
          <w:tab w:val="left" w:pos="2860"/>
        </w:tabs>
        <w:spacing w:before="1"/>
      </w:pPr>
      <w:bookmarkStart w:id="83" w:name="3.9.3___Validity_of_Data"/>
      <w:bookmarkStart w:id="84" w:name="_bookmark41"/>
      <w:bookmarkEnd w:id="83"/>
      <w:bookmarkEnd w:id="84"/>
      <w:r>
        <w:rPr>
          <w:w w:val="105"/>
        </w:rPr>
        <w:t>Validity</w:t>
      </w:r>
      <w:r>
        <w:rPr>
          <w:spacing w:val="-15"/>
          <w:w w:val="105"/>
        </w:rPr>
        <w:t xml:space="preserve"> </w:t>
      </w:r>
      <w:r>
        <w:rPr>
          <w:w w:val="105"/>
        </w:rPr>
        <w:t>of</w:t>
      </w:r>
      <w:r>
        <w:rPr>
          <w:spacing w:val="-11"/>
          <w:w w:val="105"/>
        </w:rPr>
        <w:t xml:space="preserve"> </w:t>
      </w:r>
      <w:r>
        <w:rPr>
          <w:spacing w:val="-4"/>
          <w:w w:val="105"/>
        </w:rPr>
        <w:t>Data</w:t>
      </w:r>
    </w:p>
    <w:p w:rsidR="00487D64" w:rsidRDefault="00487D64">
      <w:pPr>
        <w:pStyle w:val="BodyText"/>
        <w:spacing w:before="18"/>
        <w:rPr>
          <w:b/>
        </w:rPr>
      </w:pPr>
    </w:p>
    <w:p w:rsidR="00487D64" w:rsidRDefault="006F0D93">
      <w:pPr>
        <w:pStyle w:val="BodyText"/>
        <w:spacing w:line="501" w:lineRule="auto"/>
        <w:ind w:left="1419" w:right="849"/>
        <w:jc w:val="both"/>
      </w:pPr>
      <w:r>
        <w:rPr>
          <w:w w:val="105"/>
        </w:rPr>
        <w:t>This study assessed the goodness of measures using both reliability and validity criteria (Sekaran, 2003). In research, validity refers to the extent to which an instrument</w:t>
      </w:r>
      <w:r>
        <w:rPr>
          <w:spacing w:val="-4"/>
          <w:w w:val="105"/>
        </w:rPr>
        <w:t xml:space="preserve"> </w:t>
      </w:r>
      <w:r>
        <w:rPr>
          <w:w w:val="105"/>
        </w:rPr>
        <w:t>accurately captures</w:t>
      </w:r>
      <w:r>
        <w:rPr>
          <w:spacing w:val="-7"/>
          <w:w w:val="105"/>
        </w:rPr>
        <w:t xml:space="preserve"> </w:t>
      </w:r>
      <w:r>
        <w:rPr>
          <w:w w:val="105"/>
        </w:rPr>
        <w:t>the concept it</w:t>
      </w:r>
      <w:r>
        <w:rPr>
          <w:spacing w:val="-4"/>
          <w:w w:val="105"/>
        </w:rPr>
        <w:t xml:space="preserve"> </w:t>
      </w:r>
      <w:r>
        <w:rPr>
          <w:w w:val="105"/>
        </w:rPr>
        <w:t>is</w:t>
      </w:r>
      <w:r>
        <w:rPr>
          <w:spacing w:val="-1"/>
          <w:w w:val="105"/>
        </w:rPr>
        <w:t xml:space="preserve"> </w:t>
      </w:r>
      <w:r>
        <w:rPr>
          <w:w w:val="105"/>
        </w:rPr>
        <w:t>inte</w:t>
      </w:r>
      <w:r>
        <w:rPr>
          <w:w w:val="105"/>
        </w:rPr>
        <w:t>nded to measure</w:t>
      </w:r>
      <w:r>
        <w:rPr>
          <w:spacing w:val="-6"/>
          <w:w w:val="105"/>
        </w:rPr>
        <w:t xml:space="preserve"> </w:t>
      </w:r>
      <w:r>
        <w:rPr>
          <w:w w:val="105"/>
        </w:rPr>
        <w:t>(Kitchin &amp;</w:t>
      </w:r>
      <w:r>
        <w:rPr>
          <w:spacing w:val="-6"/>
          <w:w w:val="105"/>
        </w:rPr>
        <w:t xml:space="preserve"> </w:t>
      </w:r>
      <w:r>
        <w:rPr>
          <w:w w:val="105"/>
        </w:rPr>
        <w:t>Tate, 2013). It speaks to the trustworthiness, appropriateness, and legitimacy of the tool used to obtain data and ensures that the data collected is suitable for achieving the research objectives (Denscombe, 2010;</w:t>
      </w:r>
      <w:r>
        <w:rPr>
          <w:spacing w:val="-2"/>
          <w:w w:val="105"/>
        </w:rPr>
        <w:t xml:space="preserve"> </w:t>
      </w:r>
      <w:r>
        <w:rPr>
          <w:w w:val="105"/>
        </w:rPr>
        <w:t>Hair et al.,</w:t>
      </w:r>
      <w:r>
        <w:rPr>
          <w:spacing w:val="-2"/>
          <w:w w:val="105"/>
        </w:rPr>
        <w:t xml:space="preserve"> </w:t>
      </w:r>
      <w:r>
        <w:rPr>
          <w:w w:val="105"/>
        </w:rPr>
        <w:t>2</w:t>
      </w:r>
      <w:r>
        <w:rPr>
          <w:w w:val="105"/>
        </w:rPr>
        <w:t>010).</w:t>
      </w:r>
      <w:r>
        <w:rPr>
          <w:spacing w:val="-2"/>
          <w:w w:val="105"/>
        </w:rPr>
        <w:t xml:space="preserve"> </w:t>
      </w:r>
      <w:r>
        <w:rPr>
          <w:w w:val="105"/>
        </w:rPr>
        <w:t xml:space="preserve">Two key forms of validity were evaluated in this study, content validity and construct validity, both of which are widely accepted in business and social science research (Bordens &amp; Abbott, </w:t>
      </w:r>
      <w:r>
        <w:rPr>
          <w:spacing w:val="-2"/>
          <w:w w:val="105"/>
        </w:rPr>
        <w:t>2011).</w:t>
      </w:r>
    </w:p>
    <w:p w:rsidR="00487D64" w:rsidRDefault="006F0D93">
      <w:pPr>
        <w:pStyle w:val="BodyText"/>
        <w:spacing w:before="233" w:line="501" w:lineRule="auto"/>
        <w:ind w:left="1419" w:right="848"/>
        <w:jc w:val="both"/>
      </w:pPr>
      <w:r>
        <w:rPr>
          <w:w w:val="105"/>
        </w:rPr>
        <w:t>Content Validity, also known as face validity,</w:t>
      </w:r>
      <w:r>
        <w:rPr>
          <w:w w:val="105"/>
        </w:rPr>
        <w:t xml:space="preserve"> content validity ensures that the instrument adequately covers all relevant dimensions of the constructs under study. In this research, content validity was established by consulting field experts in procurement. These experts reviewed the questionnaire t</w:t>
      </w:r>
      <w:r>
        <w:rPr>
          <w:w w:val="105"/>
        </w:rPr>
        <w:t>o confirm that each item accurately represented its corresponding construct. Additionally, a pre-test of the questionnaire was conducted to refine item clarity, sequence, and relevance.</w:t>
      </w:r>
    </w:p>
    <w:p w:rsidR="00487D64" w:rsidRDefault="006F0D93">
      <w:pPr>
        <w:pStyle w:val="BodyText"/>
        <w:spacing w:before="235" w:line="501" w:lineRule="auto"/>
        <w:ind w:left="1419" w:right="851"/>
        <w:jc w:val="both"/>
      </w:pPr>
      <w:r>
        <w:rPr>
          <w:w w:val="105"/>
        </w:rPr>
        <w:t>Construct validity assesses how well the measurement items reflect the</w:t>
      </w:r>
      <w:r>
        <w:rPr>
          <w:w w:val="105"/>
        </w:rPr>
        <w:t xml:space="preserve"> theoretical constructs they are intended to represent (Bordens &amp; Abbott, 2011; Raemah, 2010). It involves both theoretical justification based on prior literature and statistical validation through empirical analysis. In this study, construct validity was</w:t>
      </w:r>
      <w:r>
        <w:rPr>
          <w:w w:val="105"/>
        </w:rPr>
        <w:t xml:space="preserve"> assessed using</w:t>
      </w:r>
      <w:r>
        <w:rPr>
          <w:spacing w:val="-9"/>
          <w:w w:val="105"/>
        </w:rPr>
        <w:t xml:space="preserve"> </w:t>
      </w:r>
      <w:r>
        <w:rPr>
          <w:w w:val="105"/>
        </w:rPr>
        <w:t>Partial</w:t>
      </w:r>
      <w:r>
        <w:rPr>
          <w:spacing w:val="-7"/>
          <w:w w:val="105"/>
        </w:rPr>
        <w:t xml:space="preserve"> </w:t>
      </w:r>
      <w:r>
        <w:rPr>
          <w:w w:val="105"/>
        </w:rPr>
        <w:t>Least</w:t>
      </w:r>
      <w:r>
        <w:rPr>
          <w:spacing w:val="-7"/>
          <w:w w:val="105"/>
        </w:rPr>
        <w:t xml:space="preserve"> </w:t>
      </w:r>
      <w:r>
        <w:rPr>
          <w:w w:val="105"/>
        </w:rPr>
        <w:t>Squares</w:t>
      </w:r>
      <w:r>
        <w:rPr>
          <w:spacing w:val="-10"/>
          <w:w w:val="105"/>
        </w:rPr>
        <w:t xml:space="preserve"> </w:t>
      </w:r>
      <w:r>
        <w:rPr>
          <w:w w:val="105"/>
        </w:rPr>
        <w:t>Structural</w:t>
      </w:r>
      <w:r>
        <w:rPr>
          <w:spacing w:val="-7"/>
          <w:w w:val="105"/>
        </w:rPr>
        <w:t xml:space="preserve"> </w:t>
      </w:r>
      <w:r>
        <w:rPr>
          <w:w w:val="105"/>
        </w:rPr>
        <w:t>Equation</w:t>
      </w:r>
      <w:r>
        <w:rPr>
          <w:spacing w:val="-9"/>
          <w:w w:val="105"/>
        </w:rPr>
        <w:t xml:space="preserve"> </w:t>
      </w:r>
      <w:r>
        <w:rPr>
          <w:w w:val="105"/>
        </w:rPr>
        <w:t>Modeling</w:t>
      </w:r>
      <w:r>
        <w:rPr>
          <w:spacing w:val="-9"/>
          <w:w w:val="105"/>
        </w:rPr>
        <w:t xml:space="preserve"> </w:t>
      </w:r>
      <w:r>
        <w:rPr>
          <w:w w:val="105"/>
        </w:rPr>
        <w:t>(PLS-SEM)</w:t>
      </w:r>
      <w:r>
        <w:rPr>
          <w:spacing w:val="-5"/>
          <w:w w:val="105"/>
        </w:rPr>
        <w:t xml:space="preserve"> </w:t>
      </w:r>
      <w:r>
        <w:rPr>
          <w:w w:val="105"/>
        </w:rPr>
        <w:t>via</w:t>
      </w:r>
      <w:r>
        <w:rPr>
          <w:spacing w:val="-3"/>
          <w:w w:val="105"/>
        </w:rPr>
        <w:t xml:space="preserve"> </w:t>
      </w:r>
      <w:r>
        <w:rPr>
          <w:w w:val="105"/>
        </w:rPr>
        <w:t>Smart</w:t>
      </w:r>
      <w:r>
        <w:rPr>
          <w:spacing w:val="-7"/>
          <w:w w:val="105"/>
        </w:rPr>
        <w:t xml:space="preserve"> </w:t>
      </w:r>
      <w:r>
        <w:rPr>
          <w:w w:val="105"/>
        </w:rPr>
        <w:t xml:space="preserve">PLS </w:t>
      </w:r>
      <w:r>
        <w:rPr>
          <w:spacing w:val="-6"/>
          <w:w w:val="105"/>
        </w:rPr>
        <w:t>4.</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61"/>
        <w:jc w:val="both"/>
      </w:pPr>
      <w:r>
        <w:rPr>
          <w:w w:val="105"/>
        </w:rPr>
        <w:t>Convergent validity evaluates the extent to which indicators of a specific construct converge</w:t>
      </w:r>
      <w:r>
        <w:rPr>
          <w:spacing w:val="-9"/>
          <w:w w:val="105"/>
        </w:rPr>
        <w:t xml:space="preserve"> </w:t>
      </w:r>
      <w:r>
        <w:rPr>
          <w:w w:val="105"/>
        </w:rPr>
        <w:t>or share</w:t>
      </w:r>
      <w:r>
        <w:rPr>
          <w:spacing w:val="-12"/>
          <w:w w:val="105"/>
        </w:rPr>
        <w:t xml:space="preserve"> </w:t>
      </w:r>
      <w:r>
        <w:rPr>
          <w:w w:val="105"/>
        </w:rPr>
        <w:t>a</w:t>
      </w:r>
      <w:r>
        <w:rPr>
          <w:spacing w:val="-2"/>
          <w:w w:val="105"/>
        </w:rPr>
        <w:t xml:space="preserve"> </w:t>
      </w:r>
      <w:r>
        <w:rPr>
          <w:w w:val="105"/>
        </w:rPr>
        <w:t>high</w:t>
      </w:r>
      <w:r>
        <w:rPr>
          <w:spacing w:val="-8"/>
          <w:w w:val="105"/>
        </w:rPr>
        <w:t xml:space="preserve"> </w:t>
      </w:r>
      <w:r>
        <w:rPr>
          <w:w w:val="105"/>
        </w:rPr>
        <w:t>proportion</w:t>
      </w:r>
      <w:r>
        <w:rPr>
          <w:spacing w:val="-8"/>
          <w:w w:val="105"/>
        </w:rPr>
        <w:t xml:space="preserve"> </w:t>
      </w:r>
      <w:r>
        <w:rPr>
          <w:w w:val="105"/>
        </w:rPr>
        <w:t>of</w:t>
      </w:r>
      <w:r>
        <w:rPr>
          <w:spacing w:val="-10"/>
          <w:w w:val="105"/>
        </w:rPr>
        <w:t xml:space="preserve"> </w:t>
      </w:r>
      <w:r>
        <w:rPr>
          <w:w w:val="105"/>
        </w:rPr>
        <w:t>variance.</w:t>
      </w:r>
      <w:r>
        <w:rPr>
          <w:spacing w:val="-6"/>
          <w:w w:val="105"/>
        </w:rPr>
        <w:t xml:space="preserve"> </w:t>
      </w:r>
      <w:r>
        <w:rPr>
          <w:w w:val="105"/>
        </w:rPr>
        <w:t>It was</w:t>
      </w:r>
      <w:r>
        <w:rPr>
          <w:spacing w:val="-10"/>
          <w:w w:val="105"/>
        </w:rPr>
        <w:t xml:space="preserve"> </w:t>
      </w:r>
      <w:r>
        <w:rPr>
          <w:w w:val="105"/>
        </w:rPr>
        <w:t>tested</w:t>
      </w:r>
      <w:r>
        <w:rPr>
          <w:spacing w:val="-8"/>
          <w:w w:val="105"/>
        </w:rPr>
        <w:t xml:space="preserve"> </w:t>
      </w:r>
      <w:r>
        <w:rPr>
          <w:w w:val="105"/>
        </w:rPr>
        <w:t>using</w:t>
      </w:r>
      <w:r>
        <w:rPr>
          <w:spacing w:val="-8"/>
          <w:w w:val="105"/>
        </w:rPr>
        <w:t xml:space="preserve"> </w:t>
      </w:r>
      <w:r>
        <w:rPr>
          <w:w w:val="105"/>
        </w:rPr>
        <w:t>three</w:t>
      </w:r>
      <w:r>
        <w:rPr>
          <w:spacing w:val="-15"/>
          <w:w w:val="105"/>
        </w:rPr>
        <w:t xml:space="preserve"> </w:t>
      </w:r>
      <w:r>
        <w:rPr>
          <w:w w:val="105"/>
        </w:rPr>
        <w:t>key</w:t>
      </w:r>
      <w:r>
        <w:rPr>
          <w:spacing w:val="-8"/>
          <w:w w:val="105"/>
        </w:rPr>
        <w:t xml:space="preserve"> </w:t>
      </w:r>
      <w:r>
        <w:rPr>
          <w:w w:val="105"/>
        </w:rPr>
        <w:t>criteria: item loadings, Composite</w:t>
      </w:r>
      <w:r>
        <w:rPr>
          <w:spacing w:val="-1"/>
          <w:w w:val="105"/>
        </w:rPr>
        <w:t xml:space="preserve"> </w:t>
      </w:r>
      <w:r>
        <w:rPr>
          <w:w w:val="105"/>
        </w:rPr>
        <w:t>Reliability (CR), and Average Variance Extracted (AVE). According to Hair et al. (2010) and Bagozzi and Yi (1988), acceptable thresholds are:</w:t>
      </w:r>
      <w:r>
        <w:rPr>
          <w:spacing w:val="-3"/>
          <w:w w:val="105"/>
        </w:rPr>
        <w:t xml:space="preserve"> </w:t>
      </w:r>
      <w:r>
        <w:rPr>
          <w:w w:val="105"/>
        </w:rPr>
        <w:t>item</w:t>
      </w:r>
      <w:r>
        <w:rPr>
          <w:spacing w:val="-12"/>
          <w:w w:val="105"/>
        </w:rPr>
        <w:t xml:space="preserve"> </w:t>
      </w:r>
      <w:r>
        <w:rPr>
          <w:w w:val="105"/>
        </w:rPr>
        <w:t>loadings</w:t>
      </w:r>
      <w:r>
        <w:rPr>
          <w:spacing w:val="-7"/>
          <w:w w:val="105"/>
        </w:rPr>
        <w:t xml:space="preserve"> </w:t>
      </w:r>
      <w:r>
        <w:rPr>
          <w:w w:val="105"/>
        </w:rPr>
        <w:t>≥</w:t>
      </w:r>
      <w:r>
        <w:rPr>
          <w:spacing w:val="-9"/>
          <w:w w:val="105"/>
        </w:rPr>
        <w:t xml:space="preserve"> </w:t>
      </w:r>
      <w:r>
        <w:rPr>
          <w:w w:val="105"/>
        </w:rPr>
        <w:t>0.7,</w:t>
      </w:r>
      <w:r>
        <w:rPr>
          <w:spacing w:val="-3"/>
          <w:w w:val="105"/>
        </w:rPr>
        <w:t xml:space="preserve"> </w:t>
      </w:r>
      <w:r>
        <w:rPr>
          <w:w w:val="105"/>
        </w:rPr>
        <w:t>CR</w:t>
      </w:r>
      <w:r>
        <w:rPr>
          <w:spacing w:val="-2"/>
          <w:w w:val="105"/>
        </w:rPr>
        <w:t xml:space="preserve"> </w:t>
      </w:r>
      <w:r>
        <w:rPr>
          <w:w w:val="105"/>
        </w:rPr>
        <w:t>≥</w:t>
      </w:r>
      <w:r>
        <w:rPr>
          <w:spacing w:val="-9"/>
          <w:w w:val="105"/>
        </w:rPr>
        <w:t xml:space="preserve"> </w:t>
      </w:r>
      <w:r>
        <w:rPr>
          <w:w w:val="105"/>
        </w:rPr>
        <w:t>0.7,</w:t>
      </w:r>
      <w:r>
        <w:rPr>
          <w:spacing w:val="-3"/>
          <w:w w:val="105"/>
        </w:rPr>
        <w:t xml:space="preserve"> </w:t>
      </w:r>
      <w:r>
        <w:rPr>
          <w:w w:val="105"/>
        </w:rPr>
        <w:t>and</w:t>
      </w:r>
      <w:r>
        <w:rPr>
          <w:spacing w:val="-5"/>
          <w:w w:val="105"/>
        </w:rPr>
        <w:t xml:space="preserve"> </w:t>
      </w:r>
      <w:r>
        <w:rPr>
          <w:w w:val="105"/>
        </w:rPr>
        <w:t>AVE</w:t>
      </w:r>
      <w:r>
        <w:rPr>
          <w:spacing w:val="-10"/>
          <w:w w:val="105"/>
        </w:rPr>
        <w:t xml:space="preserve"> </w:t>
      </w:r>
      <w:r>
        <w:rPr>
          <w:w w:val="105"/>
        </w:rPr>
        <w:t>≥</w:t>
      </w:r>
      <w:r>
        <w:rPr>
          <w:spacing w:val="-2"/>
          <w:w w:val="105"/>
        </w:rPr>
        <w:t xml:space="preserve"> </w:t>
      </w:r>
      <w:r>
        <w:rPr>
          <w:w w:val="105"/>
        </w:rPr>
        <w:t>0.5.</w:t>
      </w:r>
      <w:r>
        <w:rPr>
          <w:spacing w:val="-3"/>
          <w:w w:val="105"/>
        </w:rPr>
        <w:t xml:space="preserve"> </w:t>
      </w:r>
      <w:r>
        <w:rPr>
          <w:w w:val="105"/>
        </w:rPr>
        <w:t>All</w:t>
      </w:r>
      <w:r>
        <w:rPr>
          <w:spacing w:val="-3"/>
          <w:w w:val="105"/>
        </w:rPr>
        <w:t xml:space="preserve"> </w:t>
      </w:r>
      <w:r>
        <w:rPr>
          <w:w w:val="105"/>
        </w:rPr>
        <w:t>const</w:t>
      </w:r>
      <w:r>
        <w:rPr>
          <w:w w:val="105"/>
        </w:rPr>
        <w:t>ructs</w:t>
      </w:r>
      <w:r>
        <w:rPr>
          <w:spacing w:val="-8"/>
          <w:w w:val="105"/>
        </w:rPr>
        <w:t xml:space="preserve"> </w:t>
      </w:r>
      <w:r>
        <w:rPr>
          <w:w w:val="105"/>
        </w:rPr>
        <w:t>in</w:t>
      </w:r>
      <w:r>
        <w:rPr>
          <w:spacing w:val="-12"/>
          <w:w w:val="105"/>
        </w:rPr>
        <w:t xml:space="preserve"> </w:t>
      </w:r>
      <w:r>
        <w:rPr>
          <w:w w:val="105"/>
        </w:rPr>
        <w:t>this study met</w:t>
      </w:r>
      <w:r>
        <w:rPr>
          <w:spacing w:val="-3"/>
          <w:w w:val="105"/>
        </w:rPr>
        <w:t xml:space="preserve"> </w:t>
      </w:r>
      <w:r>
        <w:rPr>
          <w:w w:val="105"/>
        </w:rPr>
        <w:t>or exceeded these thresholds, indicating acceptable convergent validity.</w:t>
      </w:r>
    </w:p>
    <w:p w:rsidR="00487D64" w:rsidRDefault="006F0D93">
      <w:pPr>
        <w:pStyle w:val="BodyText"/>
        <w:spacing w:before="235" w:line="501" w:lineRule="auto"/>
        <w:ind w:left="1419" w:right="847"/>
        <w:jc w:val="both"/>
      </w:pPr>
      <w:r>
        <w:rPr>
          <w:w w:val="105"/>
        </w:rPr>
        <w:t>Discriminant</w:t>
      </w:r>
      <w:r>
        <w:rPr>
          <w:spacing w:val="-5"/>
          <w:w w:val="105"/>
        </w:rPr>
        <w:t xml:space="preserve"> </w:t>
      </w:r>
      <w:r>
        <w:rPr>
          <w:w w:val="105"/>
        </w:rPr>
        <w:t>validity</w:t>
      </w:r>
      <w:r>
        <w:rPr>
          <w:spacing w:val="-7"/>
          <w:w w:val="105"/>
        </w:rPr>
        <w:t xml:space="preserve"> </w:t>
      </w:r>
      <w:r>
        <w:rPr>
          <w:w w:val="105"/>
        </w:rPr>
        <w:t>determines</w:t>
      </w:r>
      <w:r>
        <w:rPr>
          <w:spacing w:val="-8"/>
          <w:w w:val="105"/>
        </w:rPr>
        <w:t xml:space="preserve"> </w:t>
      </w:r>
      <w:r>
        <w:rPr>
          <w:w w:val="105"/>
        </w:rPr>
        <w:t>the</w:t>
      </w:r>
      <w:r>
        <w:rPr>
          <w:spacing w:val="-1"/>
          <w:w w:val="105"/>
        </w:rPr>
        <w:t xml:space="preserve"> </w:t>
      </w:r>
      <w:r>
        <w:rPr>
          <w:w w:val="105"/>
        </w:rPr>
        <w:t>extent</w:t>
      </w:r>
      <w:r>
        <w:rPr>
          <w:spacing w:val="-5"/>
          <w:w w:val="105"/>
        </w:rPr>
        <w:t xml:space="preserve"> </w:t>
      </w:r>
      <w:r>
        <w:rPr>
          <w:w w:val="105"/>
        </w:rPr>
        <w:t>to which</w:t>
      </w:r>
      <w:r>
        <w:rPr>
          <w:spacing w:val="-7"/>
          <w:w w:val="105"/>
        </w:rPr>
        <w:t xml:space="preserve"> </w:t>
      </w:r>
      <w:r>
        <w:rPr>
          <w:w w:val="105"/>
        </w:rPr>
        <w:t>a</w:t>
      </w:r>
      <w:r>
        <w:rPr>
          <w:spacing w:val="-1"/>
          <w:w w:val="105"/>
        </w:rPr>
        <w:t xml:space="preserve"> </w:t>
      </w:r>
      <w:r>
        <w:rPr>
          <w:w w:val="105"/>
        </w:rPr>
        <w:t>construct</w:t>
      </w:r>
      <w:r>
        <w:rPr>
          <w:spacing w:val="-5"/>
          <w:w w:val="105"/>
        </w:rPr>
        <w:t xml:space="preserve"> </w:t>
      </w:r>
      <w:r>
        <w:rPr>
          <w:w w:val="105"/>
        </w:rPr>
        <w:t>is</w:t>
      </w:r>
      <w:r>
        <w:rPr>
          <w:spacing w:val="-9"/>
          <w:w w:val="105"/>
        </w:rPr>
        <w:t xml:space="preserve"> </w:t>
      </w:r>
      <w:r>
        <w:rPr>
          <w:w w:val="105"/>
        </w:rPr>
        <w:t>truly</w:t>
      </w:r>
      <w:r>
        <w:rPr>
          <w:spacing w:val="-7"/>
          <w:w w:val="105"/>
        </w:rPr>
        <w:t xml:space="preserve"> </w:t>
      </w:r>
      <w:r>
        <w:rPr>
          <w:w w:val="105"/>
        </w:rPr>
        <w:t>distinct from other constructs</w:t>
      </w:r>
      <w:r>
        <w:rPr>
          <w:spacing w:val="-8"/>
          <w:w w:val="105"/>
        </w:rPr>
        <w:t xml:space="preserve"> </w:t>
      </w:r>
      <w:r>
        <w:rPr>
          <w:w w:val="105"/>
        </w:rPr>
        <w:t>in</w:t>
      </w:r>
      <w:r>
        <w:rPr>
          <w:spacing w:val="-6"/>
          <w:w w:val="105"/>
        </w:rPr>
        <w:t xml:space="preserve"> </w:t>
      </w:r>
      <w:r>
        <w:rPr>
          <w:w w:val="105"/>
        </w:rPr>
        <w:t>the</w:t>
      </w:r>
      <w:r>
        <w:rPr>
          <w:spacing w:val="-1"/>
          <w:w w:val="105"/>
        </w:rPr>
        <w:t xml:space="preserve"> </w:t>
      </w:r>
      <w:r>
        <w:rPr>
          <w:w w:val="105"/>
        </w:rPr>
        <w:t>model.</w:t>
      </w:r>
      <w:r>
        <w:rPr>
          <w:spacing w:val="-4"/>
          <w:w w:val="105"/>
        </w:rPr>
        <w:t xml:space="preserve"> </w:t>
      </w:r>
      <w:r>
        <w:rPr>
          <w:w w:val="105"/>
        </w:rPr>
        <w:t>This</w:t>
      </w:r>
      <w:r>
        <w:rPr>
          <w:spacing w:val="-1"/>
          <w:w w:val="105"/>
        </w:rPr>
        <w:t xml:space="preserve"> </w:t>
      </w:r>
      <w:r>
        <w:rPr>
          <w:w w:val="105"/>
        </w:rPr>
        <w:t>study</w:t>
      </w:r>
      <w:r>
        <w:rPr>
          <w:spacing w:val="-6"/>
          <w:w w:val="105"/>
        </w:rPr>
        <w:t xml:space="preserve"> </w:t>
      </w:r>
      <w:r>
        <w:rPr>
          <w:w w:val="105"/>
        </w:rPr>
        <w:t>used</w:t>
      </w:r>
      <w:r>
        <w:rPr>
          <w:spacing w:val="-6"/>
          <w:w w:val="105"/>
        </w:rPr>
        <w:t xml:space="preserve"> </w:t>
      </w:r>
      <w:r>
        <w:rPr>
          <w:w w:val="105"/>
        </w:rPr>
        <w:t>two widely recommended</w:t>
      </w:r>
      <w:r>
        <w:rPr>
          <w:spacing w:val="-6"/>
          <w:w w:val="105"/>
        </w:rPr>
        <w:t xml:space="preserve"> </w:t>
      </w:r>
      <w:r>
        <w:rPr>
          <w:w w:val="105"/>
        </w:rPr>
        <w:t>approaches, the Fornell–Larcker criterion and the Heterotrait–Monotrait Ratio (HTMT). According</w:t>
      </w:r>
      <w:r>
        <w:rPr>
          <w:spacing w:val="-5"/>
          <w:w w:val="105"/>
        </w:rPr>
        <w:t xml:space="preserve"> </w:t>
      </w:r>
      <w:r>
        <w:rPr>
          <w:w w:val="105"/>
        </w:rPr>
        <w:t>to Hair et al. (2010),</w:t>
      </w:r>
      <w:r>
        <w:rPr>
          <w:spacing w:val="-3"/>
          <w:w w:val="105"/>
        </w:rPr>
        <w:t xml:space="preserve"> </w:t>
      </w:r>
      <w:r>
        <w:rPr>
          <w:w w:val="105"/>
        </w:rPr>
        <w:t>the square root of</w:t>
      </w:r>
      <w:r>
        <w:rPr>
          <w:spacing w:val="-1"/>
          <w:w w:val="105"/>
        </w:rPr>
        <w:t xml:space="preserve"> </w:t>
      </w:r>
      <w:r>
        <w:rPr>
          <w:w w:val="105"/>
        </w:rPr>
        <w:t>AVE for each construct should be greater than its correlations with other constructs (Fornell–Larcker), and HTMT value</w:t>
      </w:r>
      <w:r>
        <w:rPr>
          <w:w w:val="105"/>
        </w:rPr>
        <w:t>s should be below 0.90. The results met both criteria, confirming the discriminant validity of the constructs.</w:t>
      </w:r>
    </w:p>
    <w:p w:rsidR="00487D64" w:rsidRDefault="00487D64">
      <w:pPr>
        <w:pStyle w:val="BodyText"/>
        <w:spacing w:before="253"/>
      </w:pPr>
    </w:p>
    <w:p w:rsidR="00487D64" w:rsidRDefault="006F0D93">
      <w:pPr>
        <w:pStyle w:val="Heading1"/>
        <w:numPr>
          <w:ilvl w:val="2"/>
          <w:numId w:val="10"/>
        </w:numPr>
        <w:tabs>
          <w:tab w:val="left" w:pos="2860"/>
        </w:tabs>
      </w:pPr>
      <w:bookmarkStart w:id="85" w:name="3.9.4___Pre-test_Results"/>
      <w:bookmarkStart w:id="86" w:name="_bookmark42"/>
      <w:bookmarkEnd w:id="85"/>
      <w:bookmarkEnd w:id="86"/>
      <w:r>
        <w:t>Pre-test</w:t>
      </w:r>
      <w:r>
        <w:rPr>
          <w:spacing w:val="26"/>
        </w:rPr>
        <w:t xml:space="preserve"> </w:t>
      </w:r>
      <w:r>
        <w:rPr>
          <w:spacing w:val="-2"/>
        </w:rPr>
        <w:t>Results</w:t>
      </w:r>
    </w:p>
    <w:p w:rsidR="00487D64" w:rsidRDefault="00487D64">
      <w:pPr>
        <w:pStyle w:val="BodyText"/>
        <w:spacing w:before="18"/>
        <w:rPr>
          <w:b/>
        </w:rPr>
      </w:pPr>
    </w:p>
    <w:p w:rsidR="00487D64" w:rsidRDefault="006F0D93">
      <w:pPr>
        <w:pStyle w:val="BodyText"/>
        <w:spacing w:before="1" w:line="501" w:lineRule="auto"/>
        <w:ind w:left="1419" w:right="854"/>
        <w:jc w:val="both"/>
      </w:pPr>
      <w:r>
        <w:rPr>
          <w:w w:val="105"/>
        </w:rPr>
        <w:t>According</w:t>
      </w:r>
      <w:r>
        <w:rPr>
          <w:spacing w:val="-7"/>
          <w:w w:val="105"/>
        </w:rPr>
        <w:t xml:space="preserve"> </w:t>
      </w:r>
      <w:r>
        <w:rPr>
          <w:w w:val="105"/>
        </w:rPr>
        <w:t>to</w:t>
      </w:r>
      <w:r>
        <w:rPr>
          <w:spacing w:val="-7"/>
          <w:w w:val="105"/>
        </w:rPr>
        <w:t xml:space="preserve"> </w:t>
      </w:r>
      <w:r>
        <w:rPr>
          <w:w w:val="105"/>
        </w:rPr>
        <w:t>Yaghmaei (2009),</w:t>
      </w:r>
      <w:r>
        <w:rPr>
          <w:spacing w:val="-5"/>
          <w:w w:val="105"/>
        </w:rPr>
        <w:t xml:space="preserve"> </w:t>
      </w:r>
      <w:r>
        <w:rPr>
          <w:w w:val="105"/>
        </w:rPr>
        <w:t>conducting</w:t>
      </w:r>
      <w:r>
        <w:rPr>
          <w:spacing w:val="-7"/>
          <w:w w:val="105"/>
        </w:rPr>
        <w:t xml:space="preserve"> </w:t>
      </w:r>
      <w:r>
        <w:rPr>
          <w:w w:val="105"/>
        </w:rPr>
        <w:t>a pre-test is</w:t>
      </w:r>
      <w:r>
        <w:rPr>
          <w:spacing w:val="-3"/>
          <w:w w:val="105"/>
        </w:rPr>
        <w:t xml:space="preserve"> </w:t>
      </w:r>
      <w:r>
        <w:rPr>
          <w:w w:val="105"/>
        </w:rPr>
        <w:t>essential for establishing</w:t>
      </w:r>
      <w:r>
        <w:rPr>
          <w:spacing w:val="-1"/>
          <w:w w:val="105"/>
        </w:rPr>
        <w:t xml:space="preserve"> </w:t>
      </w:r>
      <w:r>
        <w:rPr>
          <w:w w:val="105"/>
        </w:rPr>
        <w:t>the face validity of</w:t>
      </w:r>
      <w:r>
        <w:rPr>
          <w:spacing w:val="-2"/>
          <w:w w:val="105"/>
        </w:rPr>
        <w:t xml:space="preserve"> </w:t>
      </w:r>
      <w:r>
        <w:rPr>
          <w:w w:val="105"/>
        </w:rPr>
        <w:t>a questionnaire. In thi</w:t>
      </w:r>
      <w:r>
        <w:rPr>
          <w:w w:val="105"/>
        </w:rPr>
        <w:t>s</w:t>
      </w:r>
      <w:r>
        <w:rPr>
          <w:spacing w:val="-1"/>
          <w:w w:val="105"/>
        </w:rPr>
        <w:t xml:space="preserve"> </w:t>
      </w:r>
      <w:r>
        <w:rPr>
          <w:w w:val="105"/>
        </w:rPr>
        <w:t>study, the research instrument was pre-tested before its full distribution. A panel of academic scholars and procurement practitioners was invited to critically evaluate the instrument and provide feedback on potential ambiguities, complexities, or uncle</w:t>
      </w:r>
      <w:r>
        <w:rPr>
          <w:w w:val="105"/>
        </w:rPr>
        <w:t>ar wording within the items. The primary objective</w:t>
      </w:r>
      <w:r>
        <w:rPr>
          <w:spacing w:val="-1"/>
          <w:w w:val="105"/>
        </w:rPr>
        <w:t xml:space="preserve"> </w:t>
      </w:r>
      <w:r>
        <w:rPr>
          <w:w w:val="105"/>
        </w:rPr>
        <w:t>of</w:t>
      </w:r>
      <w:r>
        <w:rPr>
          <w:spacing w:val="-2"/>
          <w:w w:val="105"/>
        </w:rPr>
        <w:t xml:space="preserve"> </w:t>
      </w:r>
      <w:r>
        <w:rPr>
          <w:w w:val="105"/>
        </w:rPr>
        <w:t>the</w:t>
      </w:r>
      <w:r>
        <w:rPr>
          <w:spacing w:val="-1"/>
          <w:w w:val="105"/>
        </w:rPr>
        <w:t xml:space="preserve"> </w:t>
      </w:r>
      <w:r>
        <w:rPr>
          <w:w w:val="105"/>
        </w:rPr>
        <w:t>pre-test was</w:t>
      </w:r>
      <w:r>
        <w:rPr>
          <w:spacing w:val="-8"/>
          <w:w w:val="105"/>
        </w:rPr>
        <w:t xml:space="preserve"> </w:t>
      </w:r>
      <w:r>
        <w:rPr>
          <w:w w:val="105"/>
        </w:rPr>
        <w:t>to ensure</w:t>
      </w:r>
      <w:r>
        <w:rPr>
          <w:spacing w:val="-1"/>
          <w:w w:val="105"/>
        </w:rPr>
        <w:t xml:space="preserve"> </w:t>
      </w:r>
      <w:r>
        <w:rPr>
          <w:w w:val="105"/>
        </w:rPr>
        <w:t>that</w:t>
      </w:r>
      <w:r>
        <w:rPr>
          <w:spacing w:val="-4"/>
          <w:w w:val="105"/>
        </w:rPr>
        <w:t xml:space="preserve"> </w:t>
      </w:r>
      <w:r>
        <w:rPr>
          <w:w w:val="105"/>
        </w:rPr>
        <w:t>all questionnaire statements</w:t>
      </w:r>
      <w:r>
        <w:rPr>
          <w:spacing w:val="-2"/>
          <w:w w:val="105"/>
        </w:rPr>
        <w:t xml:space="preserve"> </w:t>
      </w:r>
      <w:r>
        <w:rPr>
          <w:w w:val="105"/>
        </w:rPr>
        <w:t>were clear, concise, objective, and easily comprehensible to the target respondents. As Bryman</w:t>
      </w:r>
      <w:r>
        <w:rPr>
          <w:spacing w:val="60"/>
          <w:w w:val="150"/>
        </w:rPr>
        <w:t xml:space="preserve"> </w:t>
      </w:r>
      <w:r>
        <w:rPr>
          <w:w w:val="105"/>
        </w:rPr>
        <w:t>(2016)</w:t>
      </w:r>
      <w:r>
        <w:rPr>
          <w:spacing w:val="63"/>
          <w:w w:val="150"/>
        </w:rPr>
        <w:t xml:space="preserve"> </w:t>
      </w:r>
      <w:r>
        <w:rPr>
          <w:w w:val="105"/>
        </w:rPr>
        <w:t>and</w:t>
      </w:r>
      <w:r>
        <w:rPr>
          <w:spacing w:val="60"/>
          <w:w w:val="150"/>
        </w:rPr>
        <w:t xml:space="preserve"> </w:t>
      </w:r>
      <w:r>
        <w:rPr>
          <w:w w:val="105"/>
        </w:rPr>
        <w:t>Miller</w:t>
      </w:r>
      <w:r>
        <w:rPr>
          <w:spacing w:val="63"/>
          <w:w w:val="150"/>
        </w:rPr>
        <w:t xml:space="preserve"> </w:t>
      </w:r>
      <w:r>
        <w:rPr>
          <w:w w:val="105"/>
        </w:rPr>
        <w:t>and</w:t>
      </w:r>
      <w:r>
        <w:rPr>
          <w:spacing w:val="60"/>
          <w:w w:val="150"/>
        </w:rPr>
        <w:t xml:space="preserve"> </w:t>
      </w:r>
      <w:r>
        <w:rPr>
          <w:w w:val="105"/>
        </w:rPr>
        <w:t>Salkind</w:t>
      </w:r>
      <w:r>
        <w:rPr>
          <w:spacing w:val="60"/>
          <w:w w:val="150"/>
        </w:rPr>
        <w:t xml:space="preserve"> </w:t>
      </w:r>
      <w:r>
        <w:rPr>
          <w:w w:val="105"/>
        </w:rPr>
        <w:t>(2002)</w:t>
      </w:r>
      <w:r>
        <w:rPr>
          <w:spacing w:val="63"/>
          <w:w w:val="150"/>
        </w:rPr>
        <w:t xml:space="preserve"> </w:t>
      </w:r>
      <w:r>
        <w:rPr>
          <w:w w:val="105"/>
        </w:rPr>
        <w:t>emphasize,</w:t>
      </w:r>
      <w:r>
        <w:rPr>
          <w:spacing w:val="67"/>
          <w:w w:val="150"/>
        </w:rPr>
        <w:t xml:space="preserve"> </w:t>
      </w:r>
      <w:r>
        <w:rPr>
          <w:w w:val="105"/>
        </w:rPr>
        <w:t>pre-testing</w:t>
      </w:r>
      <w:r>
        <w:rPr>
          <w:spacing w:val="60"/>
          <w:w w:val="150"/>
        </w:rPr>
        <w:t xml:space="preserve"> </w:t>
      </w:r>
      <w:r>
        <w:rPr>
          <w:spacing w:val="-2"/>
          <w:w w:val="105"/>
        </w:rPr>
        <w:t>allows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1"/>
      </w:pPr>
      <w:r>
        <w:rPr>
          <w:w w:val="105"/>
        </w:rPr>
        <w:t>researchers</w:t>
      </w:r>
      <w:r>
        <w:rPr>
          <w:spacing w:val="80"/>
          <w:w w:val="105"/>
        </w:rPr>
        <w:t xml:space="preserve"> </w:t>
      </w:r>
      <w:r>
        <w:rPr>
          <w:w w:val="105"/>
        </w:rPr>
        <w:t>to</w:t>
      </w:r>
      <w:r>
        <w:rPr>
          <w:spacing w:val="80"/>
          <w:w w:val="105"/>
        </w:rPr>
        <w:t xml:space="preserve"> </w:t>
      </w:r>
      <w:r>
        <w:rPr>
          <w:w w:val="105"/>
        </w:rPr>
        <w:t>refine</w:t>
      </w:r>
      <w:r>
        <w:rPr>
          <w:spacing w:val="80"/>
          <w:w w:val="105"/>
        </w:rPr>
        <w:t xml:space="preserve"> </w:t>
      </w:r>
      <w:r>
        <w:rPr>
          <w:w w:val="105"/>
        </w:rPr>
        <w:t>their</w:t>
      </w:r>
      <w:r>
        <w:rPr>
          <w:spacing w:val="80"/>
          <w:w w:val="105"/>
        </w:rPr>
        <w:t xml:space="preserve"> </w:t>
      </w:r>
      <w:r>
        <w:rPr>
          <w:w w:val="105"/>
        </w:rPr>
        <w:t>instruments</w:t>
      </w:r>
      <w:r>
        <w:rPr>
          <w:spacing w:val="80"/>
          <w:w w:val="105"/>
        </w:rPr>
        <w:t xml:space="preserve"> </w:t>
      </w:r>
      <w:r>
        <w:rPr>
          <w:w w:val="105"/>
        </w:rPr>
        <w:t>by</w:t>
      </w:r>
      <w:r>
        <w:rPr>
          <w:spacing w:val="80"/>
          <w:w w:val="105"/>
        </w:rPr>
        <w:t xml:space="preserve"> </w:t>
      </w:r>
      <w:r>
        <w:rPr>
          <w:w w:val="105"/>
        </w:rPr>
        <w:t>identifying</w:t>
      </w:r>
      <w:r>
        <w:rPr>
          <w:spacing w:val="80"/>
          <w:w w:val="105"/>
        </w:rPr>
        <w:t xml:space="preserve"> </w:t>
      </w:r>
      <w:r>
        <w:rPr>
          <w:w w:val="105"/>
        </w:rPr>
        <w:t>problematic</w:t>
      </w:r>
      <w:r>
        <w:rPr>
          <w:spacing w:val="80"/>
          <w:w w:val="105"/>
        </w:rPr>
        <w:t xml:space="preserve"> </w:t>
      </w:r>
      <w:r>
        <w:rPr>
          <w:w w:val="105"/>
        </w:rPr>
        <w:t>items</w:t>
      </w:r>
      <w:r>
        <w:rPr>
          <w:spacing w:val="80"/>
          <w:w w:val="105"/>
        </w:rPr>
        <w:t xml:space="preserve"> </w:t>
      </w:r>
      <w:r>
        <w:rPr>
          <w:w w:val="105"/>
        </w:rPr>
        <w:t>and enhancing</w:t>
      </w:r>
      <w:r>
        <w:rPr>
          <w:spacing w:val="40"/>
          <w:w w:val="105"/>
        </w:rPr>
        <w:t xml:space="preserve"> </w:t>
      </w:r>
      <w:r>
        <w:rPr>
          <w:w w:val="105"/>
        </w:rPr>
        <w:t>overall</w:t>
      </w:r>
      <w:r>
        <w:rPr>
          <w:spacing w:val="40"/>
          <w:w w:val="105"/>
        </w:rPr>
        <w:t xml:space="preserve"> </w:t>
      </w:r>
      <w:r>
        <w:rPr>
          <w:w w:val="105"/>
        </w:rPr>
        <w:t>clarity</w:t>
      </w:r>
      <w:r>
        <w:rPr>
          <w:spacing w:val="40"/>
          <w:w w:val="105"/>
        </w:rPr>
        <w:t xml:space="preserve"> </w:t>
      </w:r>
      <w:r>
        <w:rPr>
          <w:w w:val="105"/>
        </w:rPr>
        <w:t>and</w:t>
      </w:r>
      <w:r>
        <w:rPr>
          <w:spacing w:val="40"/>
          <w:w w:val="105"/>
        </w:rPr>
        <w:t xml:space="preserve"> </w:t>
      </w:r>
      <w:r>
        <w:rPr>
          <w:w w:val="105"/>
        </w:rPr>
        <w:t>interpretability,</w:t>
      </w:r>
      <w:r>
        <w:rPr>
          <w:spacing w:val="40"/>
          <w:w w:val="105"/>
        </w:rPr>
        <w:t xml:space="preserve"> </w:t>
      </w:r>
      <w:r>
        <w:rPr>
          <w:w w:val="105"/>
        </w:rPr>
        <w:t>thereby</w:t>
      </w:r>
      <w:r>
        <w:rPr>
          <w:spacing w:val="40"/>
          <w:w w:val="105"/>
        </w:rPr>
        <w:t xml:space="preserve"> </w:t>
      </w:r>
      <w:r>
        <w:rPr>
          <w:w w:val="105"/>
        </w:rPr>
        <w:t>improving</w:t>
      </w:r>
      <w:r>
        <w:rPr>
          <w:spacing w:val="40"/>
          <w:w w:val="105"/>
        </w:rPr>
        <w:t xml:space="preserve"> </w:t>
      </w:r>
      <w:r>
        <w:rPr>
          <w:w w:val="105"/>
        </w:rPr>
        <w:t>the</w:t>
      </w:r>
      <w:r>
        <w:rPr>
          <w:spacing w:val="40"/>
          <w:w w:val="105"/>
        </w:rPr>
        <w:t xml:space="preserve"> </w:t>
      </w:r>
      <w:r>
        <w:rPr>
          <w:w w:val="105"/>
        </w:rPr>
        <w:t>quality</w:t>
      </w:r>
      <w:r>
        <w:rPr>
          <w:spacing w:val="40"/>
          <w:w w:val="105"/>
        </w:rPr>
        <w:t xml:space="preserve"> </w:t>
      </w:r>
      <w:r>
        <w:rPr>
          <w:w w:val="105"/>
        </w:rPr>
        <w:t>and reliability of data</w:t>
      </w:r>
      <w:r>
        <w:rPr>
          <w:w w:val="105"/>
        </w:rPr>
        <w:t xml:space="preserve"> collection. For this purpose, two procurement experts from public sector institutions</w:t>
      </w:r>
      <w:r>
        <w:rPr>
          <w:spacing w:val="24"/>
          <w:w w:val="105"/>
        </w:rPr>
        <w:t xml:space="preserve"> </w:t>
      </w:r>
      <w:r>
        <w:rPr>
          <w:w w:val="105"/>
        </w:rPr>
        <w:t>with procurement-related</w:t>
      </w:r>
      <w:r>
        <w:rPr>
          <w:spacing w:val="26"/>
          <w:w w:val="105"/>
        </w:rPr>
        <w:t xml:space="preserve"> </w:t>
      </w:r>
      <w:r>
        <w:rPr>
          <w:w w:val="105"/>
        </w:rPr>
        <w:t>experience and three academic experts from</w:t>
      </w:r>
      <w:r>
        <w:rPr>
          <w:spacing w:val="40"/>
          <w:w w:val="105"/>
        </w:rPr>
        <w:t xml:space="preserve"> </w:t>
      </w:r>
      <w:r>
        <w:rPr>
          <w:w w:val="105"/>
        </w:rPr>
        <w:t>the</w:t>
      </w:r>
      <w:r>
        <w:rPr>
          <w:spacing w:val="40"/>
          <w:w w:val="105"/>
        </w:rPr>
        <w:t xml:space="preserve"> </w:t>
      </w:r>
      <w:r>
        <w:rPr>
          <w:w w:val="105"/>
        </w:rPr>
        <w:t>Faculty</w:t>
      </w:r>
      <w:r>
        <w:rPr>
          <w:spacing w:val="40"/>
          <w:w w:val="105"/>
        </w:rPr>
        <w:t xml:space="preserve"> </w:t>
      </w:r>
      <w:r>
        <w:rPr>
          <w:w w:val="105"/>
        </w:rPr>
        <w:t>of</w:t>
      </w:r>
      <w:r>
        <w:rPr>
          <w:spacing w:val="40"/>
          <w:w w:val="105"/>
        </w:rPr>
        <w:t xml:space="preserve"> </w:t>
      </w:r>
      <w:r>
        <w:rPr>
          <w:w w:val="105"/>
        </w:rPr>
        <w:t>Business</w:t>
      </w:r>
      <w:r>
        <w:rPr>
          <w:spacing w:val="40"/>
          <w:w w:val="105"/>
        </w:rPr>
        <w:t xml:space="preserve"> </w:t>
      </w:r>
      <w:r>
        <w:rPr>
          <w:w w:val="105"/>
        </w:rPr>
        <w:t>Management</w:t>
      </w:r>
      <w:r>
        <w:rPr>
          <w:spacing w:val="40"/>
          <w:w w:val="105"/>
        </w:rPr>
        <w:t xml:space="preserve"> </w:t>
      </w:r>
      <w:r>
        <w:rPr>
          <w:w w:val="105"/>
        </w:rPr>
        <w:t>at</w:t>
      </w:r>
      <w:r>
        <w:rPr>
          <w:spacing w:val="40"/>
          <w:w w:val="105"/>
        </w:rPr>
        <w:t xml:space="preserve"> </w:t>
      </w:r>
      <w:r>
        <w:rPr>
          <w:w w:val="105"/>
        </w:rPr>
        <w:t>the</w:t>
      </w:r>
      <w:r>
        <w:rPr>
          <w:spacing w:val="40"/>
          <w:w w:val="105"/>
        </w:rPr>
        <w:t xml:space="preserve"> </w:t>
      </w:r>
      <w:r>
        <w:rPr>
          <w:w w:val="105"/>
        </w:rPr>
        <w:t>Open</w:t>
      </w:r>
      <w:r>
        <w:rPr>
          <w:spacing w:val="40"/>
          <w:w w:val="105"/>
        </w:rPr>
        <w:t xml:space="preserve"> </w:t>
      </w:r>
      <w:r>
        <w:rPr>
          <w:w w:val="105"/>
        </w:rPr>
        <w:t>University</w:t>
      </w:r>
      <w:r>
        <w:rPr>
          <w:spacing w:val="40"/>
          <w:w w:val="105"/>
        </w:rPr>
        <w:t xml:space="preserve"> </w:t>
      </w:r>
      <w:r>
        <w:rPr>
          <w:w w:val="105"/>
        </w:rPr>
        <w:t>of</w:t>
      </w:r>
      <w:r>
        <w:rPr>
          <w:spacing w:val="40"/>
          <w:w w:val="105"/>
        </w:rPr>
        <w:t xml:space="preserve"> </w:t>
      </w:r>
      <w:r>
        <w:rPr>
          <w:w w:val="105"/>
        </w:rPr>
        <w:t>Tanzania (OUT), having both</w:t>
      </w:r>
      <w:r>
        <w:rPr>
          <w:spacing w:val="-2"/>
          <w:w w:val="105"/>
        </w:rPr>
        <w:t xml:space="preserve"> </w:t>
      </w:r>
      <w:r>
        <w:rPr>
          <w:w w:val="105"/>
        </w:rPr>
        <w:t>professional and</w:t>
      </w:r>
      <w:r>
        <w:rPr>
          <w:spacing w:val="-2"/>
          <w:w w:val="105"/>
        </w:rPr>
        <w:t xml:space="preserve"> </w:t>
      </w:r>
      <w:r>
        <w:rPr>
          <w:w w:val="105"/>
        </w:rPr>
        <w:t>research experience, were</w:t>
      </w:r>
      <w:r>
        <w:rPr>
          <w:spacing w:val="-3"/>
          <w:w w:val="105"/>
        </w:rPr>
        <w:t xml:space="preserve"> </w:t>
      </w:r>
      <w:r>
        <w:rPr>
          <w:w w:val="105"/>
        </w:rPr>
        <w:t>consulted</w:t>
      </w:r>
      <w:r>
        <w:rPr>
          <w:spacing w:val="-2"/>
          <w:w w:val="105"/>
        </w:rPr>
        <w:t xml:space="preserve"> </w:t>
      </w:r>
      <w:r>
        <w:rPr>
          <w:w w:val="105"/>
        </w:rPr>
        <w:t>to</w:t>
      </w:r>
      <w:r>
        <w:rPr>
          <w:spacing w:val="-2"/>
          <w:w w:val="105"/>
        </w:rPr>
        <w:t xml:space="preserve"> </w:t>
      </w:r>
      <w:r>
        <w:rPr>
          <w:w w:val="105"/>
        </w:rPr>
        <w:t>provide an</w:t>
      </w:r>
      <w:r>
        <w:rPr>
          <w:spacing w:val="-3"/>
          <w:w w:val="105"/>
        </w:rPr>
        <w:t xml:space="preserve"> </w:t>
      </w:r>
      <w:r>
        <w:rPr>
          <w:w w:val="105"/>
        </w:rPr>
        <w:t>opinion on the survey's quality and face validity by underlining a few</w:t>
      </w:r>
      <w:r>
        <w:rPr>
          <w:spacing w:val="-5"/>
          <w:w w:val="105"/>
        </w:rPr>
        <w:t xml:space="preserve"> </w:t>
      </w:r>
      <w:r>
        <w:rPr>
          <w:w w:val="105"/>
        </w:rPr>
        <w:t xml:space="preserve">key points. As a result, the reviewers suggested minor changes, such as adding more indicator items to the constructs </w:t>
      </w:r>
      <w:r>
        <w:rPr>
          <w:w w:val="105"/>
        </w:rPr>
        <w:t>of market orientation, the inclusion of</w:t>
      </w:r>
      <w:r>
        <w:rPr>
          <w:spacing w:val="-1"/>
          <w:w w:val="105"/>
        </w:rPr>
        <w:t xml:space="preserve"> </w:t>
      </w:r>
      <w:r>
        <w:rPr>
          <w:w w:val="105"/>
        </w:rPr>
        <w:t>‘type of</w:t>
      </w:r>
      <w:r>
        <w:rPr>
          <w:spacing w:val="-1"/>
          <w:w w:val="105"/>
        </w:rPr>
        <w:t xml:space="preserve"> </w:t>
      </w:r>
      <w:r>
        <w:rPr>
          <w:w w:val="105"/>
        </w:rPr>
        <w:t>special</w:t>
      </w:r>
      <w:r>
        <w:rPr>
          <w:spacing w:val="-3"/>
          <w:w w:val="105"/>
        </w:rPr>
        <w:t xml:space="preserve"> </w:t>
      </w:r>
      <w:r>
        <w:rPr>
          <w:w w:val="105"/>
        </w:rPr>
        <w:t>group’ in</w:t>
      </w:r>
      <w:r>
        <w:rPr>
          <w:spacing w:val="37"/>
          <w:w w:val="105"/>
        </w:rPr>
        <w:t xml:space="preserve"> </w:t>
      </w:r>
      <w:r>
        <w:rPr>
          <w:w w:val="105"/>
        </w:rPr>
        <w:t>the</w:t>
      </w:r>
      <w:r>
        <w:rPr>
          <w:spacing w:val="40"/>
          <w:w w:val="105"/>
        </w:rPr>
        <w:t xml:space="preserve"> </w:t>
      </w:r>
      <w:r>
        <w:rPr>
          <w:w w:val="105"/>
        </w:rPr>
        <w:t>options</w:t>
      </w:r>
      <w:r>
        <w:rPr>
          <w:spacing w:val="40"/>
          <w:w w:val="105"/>
        </w:rPr>
        <w:t xml:space="preserve"> </w:t>
      </w:r>
      <w:r>
        <w:rPr>
          <w:w w:val="105"/>
        </w:rPr>
        <w:t>for</w:t>
      </w:r>
      <w:r>
        <w:rPr>
          <w:spacing w:val="40"/>
          <w:w w:val="105"/>
        </w:rPr>
        <w:t xml:space="preserve"> </w:t>
      </w:r>
      <w:r>
        <w:rPr>
          <w:w w:val="105"/>
        </w:rPr>
        <w:t>the</w:t>
      </w:r>
      <w:r>
        <w:rPr>
          <w:spacing w:val="36"/>
          <w:w w:val="105"/>
        </w:rPr>
        <w:t xml:space="preserve"> </w:t>
      </w:r>
      <w:r>
        <w:rPr>
          <w:w w:val="105"/>
        </w:rPr>
        <w:t>demographic</w:t>
      </w:r>
      <w:r>
        <w:rPr>
          <w:spacing w:val="36"/>
          <w:w w:val="105"/>
        </w:rPr>
        <w:t xml:space="preserve"> </w:t>
      </w:r>
      <w:r>
        <w:rPr>
          <w:w w:val="105"/>
        </w:rPr>
        <w:t>profile,</w:t>
      </w:r>
      <w:r>
        <w:rPr>
          <w:spacing w:val="38"/>
          <w:w w:val="105"/>
        </w:rPr>
        <w:t xml:space="preserve"> </w:t>
      </w:r>
      <w:r>
        <w:rPr>
          <w:w w:val="105"/>
        </w:rPr>
        <w:t>also</w:t>
      </w:r>
      <w:r>
        <w:rPr>
          <w:spacing w:val="37"/>
          <w:w w:val="105"/>
        </w:rPr>
        <w:t xml:space="preserve"> </w:t>
      </w:r>
      <w:r>
        <w:rPr>
          <w:w w:val="105"/>
        </w:rPr>
        <w:t>improvements</w:t>
      </w:r>
      <w:r>
        <w:rPr>
          <w:spacing w:val="34"/>
          <w:w w:val="105"/>
        </w:rPr>
        <w:t xml:space="preserve"> </w:t>
      </w:r>
      <w:r>
        <w:rPr>
          <w:w w:val="105"/>
        </w:rPr>
        <w:t>were</w:t>
      </w:r>
      <w:r>
        <w:rPr>
          <w:spacing w:val="40"/>
          <w:w w:val="105"/>
        </w:rPr>
        <w:t xml:space="preserve"> </w:t>
      </w:r>
      <w:r>
        <w:rPr>
          <w:w w:val="105"/>
        </w:rPr>
        <w:t>made</w:t>
      </w:r>
      <w:r>
        <w:rPr>
          <w:spacing w:val="40"/>
          <w:w w:val="105"/>
        </w:rPr>
        <w:t xml:space="preserve"> </w:t>
      </w:r>
      <w:r>
        <w:rPr>
          <w:w w:val="105"/>
        </w:rPr>
        <w:t>to</w:t>
      </w:r>
      <w:r>
        <w:rPr>
          <w:spacing w:val="37"/>
          <w:w w:val="105"/>
        </w:rPr>
        <w:t xml:space="preserve"> </w:t>
      </w:r>
      <w:r>
        <w:rPr>
          <w:w w:val="105"/>
        </w:rPr>
        <w:t>the items</w:t>
      </w:r>
      <w:r>
        <w:rPr>
          <w:spacing w:val="33"/>
          <w:w w:val="105"/>
        </w:rPr>
        <w:t xml:space="preserve"> </w:t>
      </w:r>
      <w:r>
        <w:rPr>
          <w:w w:val="105"/>
        </w:rPr>
        <w:t>based</w:t>
      </w:r>
      <w:r>
        <w:rPr>
          <w:spacing w:val="36"/>
          <w:w w:val="105"/>
        </w:rPr>
        <w:t xml:space="preserve"> </w:t>
      </w:r>
      <w:r>
        <w:rPr>
          <w:w w:val="105"/>
        </w:rPr>
        <w:t>on</w:t>
      </w:r>
      <w:r>
        <w:rPr>
          <w:spacing w:val="29"/>
          <w:w w:val="105"/>
        </w:rPr>
        <w:t xml:space="preserve"> </w:t>
      </w:r>
      <w:r>
        <w:rPr>
          <w:w w:val="105"/>
        </w:rPr>
        <w:t>their</w:t>
      </w:r>
      <w:r>
        <w:rPr>
          <w:spacing w:val="39"/>
          <w:w w:val="105"/>
        </w:rPr>
        <w:t xml:space="preserve"> </w:t>
      </w:r>
      <w:r>
        <w:rPr>
          <w:w w:val="105"/>
        </w:rPr>
        <w:t>feedback</w:t>
      </w:r>
      <w:r>
        <w:rPr>
          <w:spacing w:val="35"/>
          <w:w w:val="105"/>
        </w:rPr>
        <w:t xml:space="preserve"> </w:t>
      </w:r>
      <w:r>
        <w:rPr>
          <w:w w:val="105"/>
        </w:rPr>
        <w:t>regarding</w:t>
      </w:r>
      <w:r>
        <w:rPr>
          <w:spacing w:val="36"/>
          <w:w w:val="105"/>
        </w:rPr>
        <w:t xml:space="preserve"> </w:t>
      </w:r>
      <w:r>
        <w:rPr>
          <w:w w:val="105"/>
        </w:rPr>
        <w:t>the</w:t>
      </w:r>
      <w:r>
        <w:rPr>
          <w:spacing w:val="35"/>
          <w:w w:val="105"/>
        </w:rPr>
        <w:t xml:space="preserve"> </w:t>
      </w:r>
      <w:r>
        <w:rPr>
          <w:w w:val="105"/>
        </w:rPr>
        <w:t>simplicity,</w:t>
      </w:r>
      <w:r>
        <w:rPr>
          <w:spacing w:val="37"/>
          <w:w w:val="105"/>
        </w:rPr>
        <w:t xml:space="preserve"> </w:t>
      </w:r>
      <w:r>
        <w:rPr>
          <w:w w:val="105"/>
        </w:rPr>
        <w:t>format,</w:t>
      </w:r>
      <w:r>
        <w:rPr>
          <w:spacing w:val="31"/>
          <w:w w:val="105"/>
        </w:rPr>
        <w:t xml:space="preserve"> </w:t>
      </w:r>
      <w:r>
        <w:rPr>
          <w:w w:val="105"/>
        </w:rPr>
        <w:t>and</w:t>
      </w:r>
      <w:r>
        <w:rPr>
          <w:spacing w:val="35"/>
          <w:w w:val="105"/>
        </w:rPr>
        <w:t xml:space="preserve"> </w:t>
      </w:r>
      <w:r>
        <w:rPr>
          <w:w w:val="105"/>
        </w:rPr>
        <w:t>clarity</w:t>
      </w:r>
      <w:r>
        <w:rPr>
          <w:spacing w:val="36"/>
          <w:w w:val="105"/>
        </w:rPr>
        <w:t xml:space="preserve"> </w:t>
      </w:r>
      <w:r>
        <w:rPr>
          <w:w w:val="105"/>
        </w:rPr>
        <w:t>of</w:t>
      </w:r>
      <w:r>
        <w:rPr>
          <w:spacing w:val="26"/>
          <w:w w:val="105"/>
        </w:rPr>
        <w:t xml:space="preserve"> </w:t>
      </w:r>
      <w:r>
        <w:rPr>
          <w:w w:val="105"/>
        </w:rPr>
        <w:t>the ambiguous statements. These</w:t>
      </w:r>
      <w:r>
        <w:rPr>
          <w:spacing w:val="-2"/>
          <w:w w:val="105"/>
        </w:rPr>
        <w:t xml:space="preserve"> </w:t>
      </w:r>
      <w:r>
        <w:rPr>
          <w:w w:val="105"/>
        </w:rPr>
        <w:t>improvements</w:t>
      </w:r>
      <w:r>
        <w:rPr>
          <w:spacing w:val="-3"/>
          <w:w w:val="105"/>
        </w:rPr>
        <w:t xml:space="preserve"> </w:t>
      </w:r>
      <w:r>
        <w:rPr>
          <w:w w:val="105"/>
        </w:rPr>
        <w:t>were</w:t>
      </w:r>
      <w:r>
        <w:rPr>
          <w:spacing w:val="-2"/>
          <w:w w:val="105"/>
        </w:rPr>
        <w:t xml:space="preserve"> </w:t>
      </w:r>
      <w:r>
        <w:rPr>
          <w:w w:val="105"/>
        </w:rPr>
        <w:t>required</w:t>
      </w:r>
      <w:r>
        <w:rPr>
          <w:spacing w:val="-1"/>
          <w:w w:val="105"/>
        </w:rPr>
        <w:t xml:space="preserve"> </w:t>
      </w:r>
      <w:r>
        <w:rPr>
          <w:w w:val="105"/>
        </w:rPr>
        <w:t>to ensure</w:t>
      </w:r>
      <w:r>
        <w:rPr>
          <w:spacing w:val="-2"/>
          <w:w w:val="105"/>
        </w:rPr>
        <w:t xml:space="preserve"> </w:t>
      </w:r>
      <w:r>
        <w:rPr>
          <w:w w:val="105"/>
        </w:rPr>
        <w:t>a high</w:t>
      </w:r>
      <w:r>
        <w:rPr>
          <w:spacing w:val="-1"/>
          <w:w w:val="105"/>
        </w:rPr>
        <w:t xml:space="preserve"> </w:t>
      </w:r>
      <w:r>
        <w:rPr>
          <w:w w:val="105"/>
        </w:rPr>
        <w:t>response rate.</w:t>
      </w:r>
      <w:r>
        <w:rPr>
          <w:spacing w:val="39"/>
          <w:w w:val="105"/>
        </w:rPr>
        <w:t xml:space="preserve"> </w:t>
      </w:r>
      <w:r>
        <w:rPr>
          <w:w w:val="105"/>
        </w:rPr>
        <w:t>It</w:t>
      </w:r>
      <w:r>
        <w:rPr>
          <w:spacing w:val="40"/>
          <w:w w:val="105"/>
        </w:rPr>
        <w:t xml:space="preserve"> </w:t>
      </w:r>
      <w:r>
        <w:rPr>
          <w:w w:val="105"/>
        </w:rPr>
        <w:t>is</w:t>
      </w:r>
      <w:r>
        <w:rPr>
          <w:spacing w:val="35"/>
          <w:w w:val="105"/>
        </w:rPr>
        <w:t xml:space="preserve"> </w:t>
      </w:r>
      <w:r>
        <w:rPr>
          <w:w w:val="105"/>
        </w:rPr>
        <w:t>also</w:t>
      </w:r>
      <w:r>
        <w:rPr>
          <w:spacing w:val="38"/>
          <w:w w:val="105"/>
        </w:rPr>
        <w:t xml:space="preserve"> </w:t>
      </w:r>
      <w:r>
        <w:rPr>
          <w:w w:val="105"/>
        </w:rPr>
        <w:t>worth</w:t>
      </w:r>
      <w:r>
        <w:rPr>
          <w:spacing w:val="40"/>
          <w:w w:val="105"/>
        </w:rPr>
        <w:t xml:space="preserve"> </w:t>
      </w:r>
      <w:r>
        <w:rPr>
          <w:w w:val="105"/>
        </w:rPr>
        <w:t>noting</w:t>
      </w:r>
      <w:r>
        <w:rPr>
          <w:spacing w:val="37"/>
          <w:w w:val="105"/>
        </w:rPr>
        <w:t xml:space="preserve"> </w:t>
      </w:r>
      <w:r>
        <w:rPr>
          <w:w w:val="105"/>
        </w:rPr>
        <w:t>that</w:t>
      </w:r>
      <w:r>
        <w:rPr>
          <w:spacing w:val="40"/>
          <w:w w:val="105"/>
        </w:rPr>
        <w:t xml:space="preserve"> </w:t>
      </w:r>
      <w:r>
        <w:rPr>
          <w:w w:val="105"/>
        </w:rPr>
        <w:t>the</w:t>
      </w:r>
      <w:r>
        <w:rPr>
          <w:spacing w:val="40"/>
          <w:w w:val="105"/>
        </w:rPr>
        <w:t xml:space="preserve"> </w:t>
      </w:r>
      <w:r>
        <w:rPr>
          <w:w w:val="105"/>
        </w:rPr>
        <w:t>participants</w:t>
      </w:r>
      <w:r>
        <w:rPr>
          <w:spacing w:val="35"/>
          <w:w w:val="105"/>
        </w:rPr>
        <w:t xml:space="preserve"> </w:t>
      </w:r>
      <w:r>
        <w:rPr>
          <w:w w:val="105"/>
        </w:rPr>
        <w:t>at</w:t>
      </w:r>
      <w:r>
        <w:rPr>
          <w:spacing w:val="40"/>
          <w:w w:val="105"/>
        </w:rPr>
        <w:t xml:space="preserve"> </w:t>
      </w:r>
      <w:r>
        <w:rPr>
          <w:w w:val="105"/>
        </w:rPr>
        <w:t>this</w:t>
      </w:r>
      <w:r>
        <w:rPr>
          <w:spacing w:val="40"/>
          <w:w w:val="105"/>
        </w:rPr>
        <w:t xml:space="preserve"> </w:t>
      </w:r>
      <w:r>
        <w:rPr>
          <w:w w:val="105"/>
        </w:rPr>
        <w:t>stage</w:t>
      </w:r>
      <w:r>
        <w:rPr>
          <w:spacing w:val="40"/>
          <w:w w:val="105"/>
        </w:rPr>
        <w:t xml:space="preserve"> </w:t>
      </w:r>
      <w:r>
        <w:rPr>
          <w:w w:val="105"/>
        </w:rPr>
        <w:t>were</w:t>
      </w:r>
      <w:r>
        <w:rPr>
          <w:spacing w:val="37"/>
          <w:w w:val="105"/>
        </w:rPr>
        <w:t xml:space="preserve"> </w:t>
      </w:r>
      <w:r>
        <w:rPr>
          <w:w w:val="105"/>
        </w:rPr>
        <w:t>not</w:t>
      </w:r>
      <w:r>
        <w:rPr>
          <w:spacing w:val="40"/>
          <w:w w:val="105"/>
        </w:rPr>
        <w:t xml:space="preserve"> </w:t>
      </w:r>
      <w:r>
        <w:rPr>
          <w:w w:val="105"/>
        </w:rPr>
        <w:t>part</w:t>
      </w:r>
      <w:r>
        <w:rPr>
          <w:spacing w:val="40"/>
          <w:w w:val="105"/>
        </w:rPr>
        <w:t xml:space="preserve"> </w:t>
      </w:r>
      <w:r>
        <w:rPr>
          <w:w w:val="105"/>
        </w:rPr>
        <w:t>of</w:t>
      </w:r>
      <w:r>
        <w:rPr>
          <w:spacing w:val="34"/>
          <w:w w:val="105"/>
        </w:rPr>
        <w:t xml:space="preserve"> </w:t>
      </w:r>
      <w:r>
        <w:rPr>
          <w:w w:val="105"/>
        </w:rPr>
        <w:t>a sample or a pilot study.</w:t>
      </w:r>
    </w:p>
    <w:p w:rsidR="00487D64" w:rsidRDefault="00487D64">
      <w:pPr>
        <w:pStyle w:val="BodyText"/>
      </w:pPr>
    </w:p>
    <w:p w:rsidR="00487D64" w:rsidRDefault="00487D64">
      <w:pPr>
        <w:pStyle w:val="BodyText"/>
        <w:spacing w:before="125"/>
      </w:pPr>
    </w:p>
    <w:p w:rsidR="00487D64" w:rsidRDefault="006F0D93">
      <w:pPr>
        <w:pStyle w:val="Heading1"/>
        <w:numPr>
          <w:ilvl w:val="2"/>
          <w:numId w:val="10"/>
        </w:numPr>
        <w:tabs>
          <w:tab w:val="left" w:pos="2860"/>
        </w:tabs>
      </w:pPr>
      <w:bookmarkStart w:id="87" w:name="3.9.5____Pilot_Study"/>
      <w:bookmarkStart w:id="88" w:name="_bookmark43"/>
      <w:bookmarkEnd w:id="87"/>
      <w:bookmarkEnd w:id="88"/>
      <w:r>
        <w:rPr>
          <w:w w:val="105"/>
        </w:rPr>
        <w:t>Pilot</w:t>
      </w:r>
      <w:r>
        <w:rPr>
          <w:spacing w:val="-9"/>
          <w:w w:val="105"/>
        </w:rPr>
        <w:t xml:space="preserve"> </w:t>
      </w:r>
      <w:r>
        <w:rPr>
          <w:spacing w:val="-2"/>
          <w:w w:val="105"/>
        </w:rPr>
        <w:t>Study</w:t>
      </w:r>
    </w:p>
    <w:p w:rsidR="00487D64" w:rsidRDefault="00487D64">
      <w:pPr>
        <w:pStyle w:val="BodyText"/>
        <w:spacing w:before="18"/>
        <w:rPr>
          <w:b/>
        </w:rPr>
      </w:pPr>
    </w:p>
    <w:p w:rsidR="00487D64" w:rsidRDefault="006F0D93">
      <w:pPr>
        <w:pStyle w:val="BodyText"/>
        <w:spacing w:line="501" w:lineRule="auto"/>
        <w:ind w:left="1419" w:right="855"/>
        <w:jc w:val="both"/>
      </w:pPr>
      <w:r>
        <w:rPr>
          <w:w w:val="105"/>
        </w:rPr>
        <w:t>Following the pre-test refinements, a pilot study was conducted to evaluate th</w:t>
      </w:r>
      <w:r>
        <w:rPr>
          <w:w w:val="105"/>
        </w:rPr>
        <w:t>e research instrument before the main data collection. The analysis followed the reflective measurement model and included the assessment of internal consistency reliability, convergent validity, coefficient of determination (R²), and the size and signific</w:t>
      </w:r>
      <w:r>
        <w:rPr>
          <w:w w:val="105"/>
        </w:rPr>
        <w:t>ance of path coefficients. The pilot study aimed to provide preliminary insights into how the survey instrument performed before the full data collection. A total of 40 respondents participated in the pilot study, comprising 20 procurement specialists</w:t>
      </w:r>
      <w:r>
        <w:rPr>
          <w:spacing w:val="26"/>
          <w:w w:val="105"/>
        </w:rPr>
        <w:t xml:space="preserve"> </w:t>
      </w:r>
      <w:r>
        <w:rPr>
          <w:w w:val="105"/>
        </w:rPr>
        <w:t>from</w:t>
      </w:r>
      <w:r>
        <w:rPr>
          <w:spacing w:val="27"/>
          <w:w w:val="105"/>
        </w:rPr>
        <w:t xml:space="preserve"> </w:t>
      </w:r>
      <w:r>
        <w:rPr>
          <w:w w:val="105"/>
        </w:rPr>
        <w:t>public</w:t>
      </w:r>
      <w:r>
        <w:rPr>
          <w:spacing w:val="27"/>
          <w:w w:val="105"/>
        </w:rPr>
        <w:t xml:space="preserve"> </w:t>
      </w:r>
      <w:r>
        <w:rPr>
          <w:w w:val="105"/>
        </w:rPr>
        <w:t>procuring</w:t>
      </w:r>
      <w:r>
        <w:rPr>
          <w:spacing w:val="27"/>
          <w:w w:val="105"/>
        </w:rPr>
        <w:t xml:space="preserve"> </w:t>
      </w:r>
      <w:r>
        <w:rPr>
          <w:w w:val="105"/>
        </w:rPr>
        <w:t>entities</w:t>
      </w:r>
      <w:r>
        <w:rPr>
          <w:spacing w:val="19"/>
          <w:w w:val="105"/>
        </w:rPr>
        <w:t xml:space="preserve"> </w:t>
      </w:r>
      <w:r>
        <w:rPr>
          <w:w w:val="105"/>
        </w:rPr>
        <w:t>and</w:t>
      </w:r>
      <w:r>
        <w:rPr>
          <w:spacing w:val="21"/>
          <w:w w:val="105"/>
        </w:rPr>
        <w:t xml:space="preserve"> </w:t>
      </w:r>
      <w:r>
        <w:rPr>
          <w:w w:val="105"/>
        </w:rPr>
        <w:t>20</w:t>
      </w:r>
      <w:r>
        <w:rPr>
          <w:spacing w:val="34"/>
          <w:w w:val="105"/>
        </w:rPr>
        <w:t xml:space="preserve"> </w:t>
      </w:r>
      <w:r>
        <w:rPr>
          <w:w w:val="105"/>
        </w:rPr>
        <w:t>from</w:t>
      </w:r>
      <w:r>
        <w:rPr>
          <w:spacing w:val="27"/>
          <w:w w:val="105"/>
        </w:rPr>
        <w:t xml:space="preserve"> </w:t>
      </w:r>
      <w:r>
        <w:rPr>
          <w:w w:val="105"/>
        </w:rPr>
        <w:t>private</w:t>
      </w:r>
      <w:r>
        <w:rPr>
          <w:spacing w:val="20"/>
          <w:w w:val="105"/>
        </w:rPr>
        <w:t xml:space="preserve"> </w:t>
      </w:r>
      <w:r>
        <w:rPr>
          <w:w w:val="105"/>
        </w:rPr>
        <w:t>registered</w:t>
      </w:r>
      <w:r>
        <w:rPr>
          <w:spacing w:val="27"/>
          <w:w w:val="105"/>
        </w:rPr>
        <w:t xml:space="preserve"> </w:t>
      </w:r>
      <w:r>
        <w:rPr>
          <w:w w:val="105"/>
        </w:rPr>
        <w:t>suppliers.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6"/>
        <w:jc w:val="both"/>
      </w:pPr>
      <w:r>
        <w:rPr>
          <w:w w:val="105"/>
        </w:rPr>
        <w:t>This sample size met the recommended rule of thumb by Hair et al. (2020), which suggests that the minimum sample size should be ten times the number of</w:t>
      </w:r>
      <w:r>
        <w:rPr>
          <w:spacing w:val="-1"/>
          <w:w w:val="105"/>
        </w:rPr>
        <w:t xml:space="preserve"> </w:t>
      </w:r>
      <w:r>
        <w:rPr>
          <w:w w:val="105"/>
        </w:rPr>
        <w:t>indicators for the most complex construct. In this study, the exogenous construct (Market orientation) had three indicators, requiring a minimum of</w:t>
      </w:r>
      <w:r>
        <w:rPr>
          <w:spacing w:val="-3"/>
          <w:w w:val="105"/>
        </w:rPr>
        <w:t xml:space="preserve"> </w:t>
      </w:r>
      <w:r>
        <w:rPr>
          <w:w w:val="105"/>
        </w:rPr>
        <w:t>30 respondents.</w:t>
      </w:r>
    </w:p>
    <w:p w:rsidR="00487D64" w:rsidRDefault="00487D64">
      <w:pPr>
        <w:pStyle w:val="BodyText"/>
        <w:spacing w:before="255"/>
      </w:pPr>
    </w:p>
    <w:p w:rsidR="00487D64" w:rsidRDefault="006F0D93">
      <w:pPr>
        <w:pStyle w:val="Heading1"/>
        <w:numPr>
          <w:ilvl w:val="2"/>
          <w:numId w:val="10"/>
        </w:numPr>
        <w:tabs>
          <w:tab w:val="left" w:pos="2860"/>
        </w:tabs>
      </w:pPr>
      <w:bookmarkStart w:id="89" w:name="3.9.6____Item_Parcelling_(SF)"/>
      <w:bookmarkStart w:id="90" w:name="_bookmark44"/>
      <w:bookmarkEnd w:id="89"/>
      <w:bookmarkEnd w:id="90"/>
      <w:r>
        <w:t>Item</w:t>
      </w:r>
      <w:r>
        <w:rPr>
          <w:spacing w:val="19"/>
        </w:rPr>
        <w:t xml:space="preserve"> </w:t>
      </w:r>
      <w:r>
        <w:t>Parcelling</w:t>
      </w:r>
      <w:r>
        <w:rPr>
          <w:spacing w:val="30"/>
        </w:rPr>
        <w:t xml:space="preserve"> </w:t>
      </w:r>
      <w:r>
        <w:rPr>
          <w:spacing w:val="-4"/>
        </w:rPr>
        <w:t>(SF)</w:t>
      </w:r>
    </w:p>
    <w:p w:rsidR="00487D64" w:rsidRDefault="00487D64">
      <w:pPr>
        <w:pStyle w:val="BodyText"/>
        <w:spacing w:before="18"/>
        <w:rPr>
          <w:b/>
        </w:rPr>
      </w:pPr>
    </w:p>
    <w:p w:rsidR="00487D64" w:rsidRDefault="006F0D93">
      <w:pPr>
        <w:pStyle w:val="BodyText"/>
        <w:spacing w:line="501" w:lineRule="auto"/>
        <w:ind w:left="1419" w:right="850"/>
        <w:jc w:val="both"/>
      </w:pPr>
      <w:r>
        <w:rPr>
          <w:w w:val="105"/>
        </w:rPr>
        <w:t>Item parceling was applied to the Strategic Flexibility (SF) construct in this study to enhance</w:t>
      </w:r>
      <w:r>
        <w:rPr>
          <w:spacing w:val="-9"/>
          <w:w w:val="105"/>
        </w:rPr>
        <w:t xml:space="preserve"> </w:t>
      </w:r>
      <w:r>
        <w:rPr>
          <w:w w:val="105"/>
        </w:rPr>
        <w:t>the</w:t>
      </w:r>
      <w:r>
        <w:rPr>
          <w:spacing w:val="-9"/>
          <w:w w:val="105"/>
        </w:rPr>
        <w:t xml:space="preserve"> </w:t>
      </w:r>
      <w:r>
        <w:rPr>
          <w:w w:val="105"/>
        </w:rPr>
        <w:t>reliability</w:t>
      </w:r>
      <w:r>
        <w:rPr>
          <w:spacing w:val="-14"/>
          <w:w w:val="105"/>
        </w:rPr>
        <w:t xml:space="preserve"> </w:t>
      </w:r>
      <w:r>
        <w:rPr>
          <w:w w:val="105"/>
        </w:rPr>
        <w:t>and</w:t>
      </w:r>
      <w:r>
        <w:rPr>
          <w:spacing w:val="-2"/>
          <w:w w:val="105"/>
        </w:rPr>
        <w:t xml:space="preserve"> </w:t>
      </w:r>
      <w:r>
        <w:rPr>
          <w:w w:val="105"/>
        </w:rPr>
        <w:t>parsimony</w:t>
      </w:r>
      <w:r>
        <w:rPr>
          <w:spacing w:val="-8"/>
          <w:w w:val="105"/>
        </w:rPr>
        <w:t xml:space="preserve"> </w:t>
      </w:r>
      <w:r>
        <w:rPr>
          <w:w w:val="105"/>
        </w:rPr>
        <w:t>of</w:t>
      </w:r>
      <w:r>
        <w:rPr>
          <w:spacing w:val="-10"/>
          <w:w w:val="105"/>
        </w:rPr>
        <w:t xml:space="preserve"> </w:t>
      </w:r>
      <w:r>
        <w:rPr>
          <w:w w:val="105"/>
        </w:rPr>
        <w:t>the</w:t>
      </w:r>
      <w:r>
        <w:rPr>
          <w:spacing w:val="-3"/>
          <w:w w:val="105"/>
        </w:rPr>
        <w:t xml:space="preserve"> </w:t>
      </w:r>
      <w:r>
        <w:rPr>
          <w:w w:val="105"/>
        </w:rPr>
        <w:t>measurement</w:t>
      </w:r>
      <w:r>
        <w:rPr>
          <w:spacing w:val="-6"/>
          <w:w w:val="105"/>
        </w:rPr>
        <w:t xml:space="preserve"> </w:t>
      </w:r>
      <w:r>
        <w:rPr>
          <w:w w:val="105"/>
        </w:rPr>
        <w:t>model. According</w:t>
      </w:r>
      <w:r>
        <w:rPr>
          <w:spacing w:val="-8"/>
          <w:w w:val="105"/>
        </w:rPr>
        <w:t xml:space="preserve"> </w:t>
      </w:r>
      <w:r>
        <w:rPr>
          <w:w w:val="105"/>
        </w:rPr>
        <w:t>to</w:t>
      </w:r>
      <w:r>
        <w:rPr>
          <w:spacing w:val="-2"/>
          <w:w w:val="105"/>
        </w:rPr>
        <w:t xml:space="preserve"> </w:t>
      </w:r>
      <w:r>
        <w:rPr>
          <w:w w:val="105"/>
        </w:rPr>
        <w:t>Kline (2016),</w:t>
      </w:r>
      <w:r>
        <w:rPr>
          <w:spacing w:val="-9"/>
          <w:w w:val="105"/>
        </w:rPr>
        <w:t xml:space="preserve"> </w:t>
      </w:r>
      <w:r>
        <w:rPr>
          <w:w w:val="105"/>
        </w:rPr>
        <w:t>an</w:t>
      </w:r>
      <w:r>
        <w:rPr>
          <w:spacing w:val="-11"/>
          <w:w w:val="105"/>
        </w:rPr>
        <w:t xml:space="preserve"> </w:t>
      </w:r>
      <w:r>
        <w:rPr>
          <w:w w:val="105"/>
        </w:rPr>
        <w:t>item</w:t>
      </w:r>
      <w:r>
        <w:rPr>
          <w:spacing w:val="-6"/>
          <w:w w:val="105"/>
        </w:rPr>
        <w:t xml:space="preserve"> </w:t>
      </w:r>
      <w:r>
        <w:rPr>
          <w:w w:val="105"/>
        </w:rPr>
        <w:t>parcel</w:t>
      </w:r>
      <w:r>
        <w:rPr>
          <w:spacing w:val="-9"/>
          <w:w w:val="105"/>
        </w:rPr>
        <w:t xml:space="preserve"> </w:t>
      </w:r>
      <w:r>
        <w:rPr>
          <w:w w:val="105"/>
        </w:rPr>
        <w:t>refers</w:t>
      </w:r>
      <w:r>
        <w:rPr>
          <w:spacing w:val="-7"/>
          <w:w w:val="105"/>
        </w:rPr>
        <w:t xml:space="preserve"> </w:t>
      </w:r>
      <w:r>
        <w:rPr>
          <w:w w:val="105"/>
        </w:rPr>
        <w:t>to</w:t>
      </w:r>
      <w:r>
        <w:rPr>
          <w:spacing w:val="-11"/>
          <w:w w:val="105"/>
        </w:rPr>
        <w:t xml:space="preserve"> </w:t>
      </w:r>
      <w:r>
        <w:rPr>
          <w:w w:val="105"/>
        </w:rPr>
        <w:t>a composite score</w:t>
      </w:r>
      <w:r>
        <w:rPr>
          <w:spacing w:val="-6"/>
          <w:w w:val="105"/>
        </w:rPr>
        <w:t xml:space="preserve"> </w:t>
      </w:r>
      <w:r>
        <w:rPr>
          <w:w w:val="105"/>
        </w:rPr>
        <w:t>derived</w:t>
      </w:r>
      <w:r>
        <w:rPr>
          <w:spacing w:val="-5"/>
          <w:w w:val="105"/>
        </w:rPr>
        <w:t xml:space="preserve"> </w:t>
      </w:r>
      <w:r>
        <w:rPr>
          <w:w w:val="105"/>
        </w:rPr>
        <w:t>from</w:t>
      </w:r>
      <w:r>
        <w:rPr>
          <w:spacing w:val="-12"/>
          <w:w w:val="105"/>
        </w:rPr>
        <w:t xml:space="preserve"> </w:t>
      </w:r>
      <w:r>
        <w:rPr>
          <w:w w:val="105"/>
        </w:rPr>
        <w:t>a set</w:t>
      </w:r>
      <w:r>
        <w:rPr>
          <w:spacing w:val="-3"/>
          <w:w w:val="105"/>
        </w:rPr>
        <w:t xml:space="preserve"> </w:t>
      </w:r>
      <w:r>
        <w:rPr>
          <w:w w:val="105"/>
        </w:rPr>
        <w:t>of</w:t>
      </w:r>
      <w:r>
        <w:rPr>
          <w:spacing w:val="-7"/>
          <w:w w:val="105"/>
        </w:rPr>
        <w:t xml:space="preserve"> </w:t>
      </w:r>
      <w:r>
        <w:rPr>
          <w:w w:val="105"/>
        </w:rPr>
        <w:t xml:space="preserve">homogeneous </w:t>
      </w:r>
      <w:r>
        <w:rPr>
          <w:w w:val="105"/>
        </w:rPr>
        <w:t>items, typically measured using Likert-type scales, which serve as indicators of a latent variable.</w:t>
      </w:r>
    </w:p>
    <w:p w:rsidR="00487D64" w:rsidRDefault="006F0D93">
      <w:pPr>
        <w:pStyle w:val="BodyText"/>
        <w:spacing w:before="240" w:line="501" w:lineRule="auto"/>
        <w:ind w:left="1419" w:right="855"/>
        <w:jc w:val="both"/>
      </w:pPr>
      <w:r>
        <w:rPr>
          <w:w w:val="105"/>
        </w:rPr>
        <w:t>The primary advantage of parceling is its ability to improve score reliability and reduce random measurement error, as parcels tend to exhibit higher intern</w:t>
      </w:r>
      <w:r>
        <w:rPr>
          <w:w w:val="105"/>
        </w:rPr>
        <w:t>al consistency than individual items (Little et al., 2013). This approach also simplifies model</w:t>
      </w:r>
      <w:r>
        <w:rPr>
          <w:spacing w:val="-1"/>
          <w:w w:val="105"/>
        </w:rPr>
        <w:t xml:space="preserve"> </w:t>
      </w:r>
      <w:r>
        <w:rPr>
          <w:w w:val="105"/>
        </w:rPr>
        <w:t>estimation</w:t>
      </w:r>
      <w:r>
        <w:rPr>
          <w:spacing w:val="-9"/>
          <w:w w:val="105"/>
        </w:rPr>
        <w:t xml:space="preserve"> </w:t>
      </w:r>
      <w:r>
        <w:rPr>
          <w:w w:val="105"/>
        </w:rPr>
        <w:t>by</w:t>
      </w:r>
      <w:r>
        <w:rPr>
          <w:spacing w:val="-9"/>
          <w:w w:val="105"/>
        </w:rPr>
        <w:t xml:space="preserve"> </w:t>
      </w:r>
      <w:r>
        <w:rPr>
          <w:w w:val="105"/>
        </w:rPr>
        <w:t>reducing</w:t>
      </w:r>
      <w:r>
        <w:rPr>
          <w:spacing w:val="-9"/>
          <w:w w:val="105"/>
        </w:rPr>
        <w:t xml:space="preserve"> </w:t>
      </w:r>
      <w:r>
        <w:rPr>
          <w:w w:val="105"/>
        </w:rPr>
        <w:t>the</w:t>
      </w:r>
      <w:r>
        <w:rPr>
          <w:spacing w:val="-10"/>
          <w:w w:val="105"/>
        </w:rPr>
        <w:t xml:space="preserve"> </w:t>
      </w:r>
      <w:r>
        <w:rPr>
          <w:w w:val="105"/>
        </w:rPr>
        <w:t>number</w:t>
      </w:r>
      <w:r>
        <w:rPr>
          <w:spacing w:val="-5"/>
          <w:w w:val="105"/>
        </w:rPr>
        <w:t xml:space="preserve"> </w:t>
      </w:r>
      <w:r>
        <w:rPr>
          <w:w w:val="105"/>
        </w:rPr>
        <w:t>of</w:t>
      </w:r>
      <w:r>
        <w:rPr>
          <w:spacing w:val="-11"/>
          <w:w w:val="105"/>
        </w:rPr>
        <w:t xml:space="preserve"> </w:t>
      </w:r>
      <w:r>
        <w:rPr>
          <w:w w:val="105"/>
        </w:rPr>
        <w:t>observed</w:t>
      </w:r>
      <w:r>
        <w:rPr>
          <w:spacing w:val="-9"/>
          <w:w w:val="105"/>
        </w:rPr>
        <w:t xml:space="preserve"> </w:t>
      </w:r>
      <w:r>
        <w:rPr>
          <w:w w:val="105"/>
        </w:rPr>
        <w:t>variables,</w:t>
      </w:r>
      <w:r>
        <w:rPr>
          <w:spacing w:val="-7"/>
          <w:w w:val="105"/>
        </w:rPr>
        <w:t xml:space="preserve"> </w:t>
      </w:r>
      <w:r>
        <w:rPr>
          <w:w w:val="105"/>
        </w:rPr>
        <w:t>which</w:t>
      </w:r>
      <w:r>
        <w:rPr>
          <w:spacing w:val="-15"/>
          <w:w w:val="105"/>
        </w:rPr>
        <w:t xml:space="preserve"> </w:t>
      </w:r>
      <w:r>
        <w:rPr>
          <w:w w:val="105"/>
        </w:rPr>
        <w:t>is</w:t>
      </w:r>
      <w:r>
        <w:rPr>
          <w:spacing w:val="-4"/>
          <w:w w:val="105"/>
        </w:rPr>
        <w:t xml:space="preserve"> </w:t>
      </w:r>
      <w:r>
        <w:rPr>
          <w:w w:val="105"/>
        </w:rPr>
        <w:t>particularly beneficial in Partial</w:t>
      </w:r>
      <w:r>
        <w:rPr>
          <w:spacing w:val="-1"/>
          <w:w w:val="105"/>
        </w:rPr>
        <w:t xml:space="preserve"> </w:t>
      </w:r>
      <w:r>
        <w:rPr>
          <w:w w:val="105"/>
        </w:rPr>
        <w:t>Least Squares</w:t>
      </w:r>
      <w:r>
        <w:rPr>
          <w:spacing w:val="-5"/>
          <w:w w:val="105"/>
        </w:rPr>
        <w:t xml:space="preserve"> </w:t>
      </w:r>
      <w:r>
        <w:rPr>
          <w:w w:val="105"/>
        </w:rPr>
        <w:t>Structural</w:t>
      </w:r>
      <w:r>
        <w:rPr>
          <w:spacing w:val="-1"/>
          <w:w w:val="105"/>
        </w:rPr>
        <w:t xml:space="preserve"> </w:t>
      </w:r>
      <w:r>
        <w:rPr>
          <w:w w:val="105"/>
        </w:rPr>
        <w:t>Equation Modeling</w:t>
      </w:r>
      <w:r>
        <w:rPr>
          <w:spacing w:val="-4"/>
          <w:w w:val="105"/>
        </w:rPr>
        <w:t xml:space="preserve"> </w:t>
      </w:r>
      <w:r>
        <w:rPr>
          <w:w w:val="105"/>
        </w:rPr>
        <w:t xml:space="preserve">(PLS-SEM), where complex models with many indicators can lead to estimation challenges (Hair et al., </w:t>
      </w:r>
      <w:r>
        <w:rPr>
          <w:spacing w:val="-2"/>
          <w:w w:val="105"/>
        </w:rPr>
        <w:t>2021).</w:t>
      </w:r>
    </w:p>
    <w:p w:rsidR="00487D64" w:rsidRDefault="006F0D93">
      <w:pPr>
        <w:pStyle w:val="BodyText"/>
        <w:spacing w:before="237" w:line="499" w:lineRule="auto"/>
        <w:ind w:left="1419" w:right="847"/>
        <w:jc w:val="both"/>
      </w:pPr>
      <w:r>
        <w:rPr>
          <w:w w:val="105"/>
        </w:rPr>
        <w:t>In this study, the Strategic Flexibility scale adopted from Han and Zhang (2021) comprised fourteen items grouped under three conceptual sub-dimensi</w:t>
      </w:r>
      <w:r>
        <w:rPr>
          <w:w w:val="105"/>
        </w:rPr>
        <w:t>ons Planning Flexibility, Resource Flexibility, and Coordination Flexibility were the three subdimensions of strategic flexibility. Each subdimension was represented by four indicators, measured on</w:t>
      </w:r>
      <w:r>
        <w:rPr>
          <w:spacing w:val="-2"/>
          <w:w w:val="105"/>
        </w:rPr>
        <w:t xml:space="preserve"> </w:t>
      </w:r>
      <w:r>
        <w:rPr>
          <w:w w:val="105"/>
        </w:rPr>
        <w:t>a five-point Likert scale, except Planning Flexibility, wh</w:t>
      </w:r>
      <w:r>
        <w:rPr>
          <w:w w:val="105"/>
        </w:rPr>
        <w:t>ich</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4"/>
        <w:jc w:val="both"/>
      </w:pPr>
      <w:r>
        <w:rPr>
          <w:w w:val="105"/>
        </w:rPr>
        <w:t>had six</w:t>
      </w:r>
      <w:r>
        <w:rPr>
          <w:spacing w:val="-7"/>
          <w:w w:val="105"/>
        </w:rPr>
        <w:t xml:space="preserve"> </w:t>
      </w:r>
      <w:r>
        <w:rPr>
          <w:w w:val="105"/>
        </w:rPr>
        <w:t>indicators.</w:t>
      </w:r>
      <w:r>
        <w:rPr>
          <w:spacing w:val="-5"/>
          <w:w w:val="105"/>
        </w:rPr>
        <w:t xml:space="preserve"> </w:t>
      </w:r>
      <w:r>
        <w:rPr>
          <w:w w:val="105"/>
        </w:rPr>
        <w:t>Because</w:t>
      </w:r>
      <w:r>
        <w:rPr>
          <w:spacing w:val="-7"/>
          <w:w w:val="105"/>
        </w:rPr>
        <w:t xml:space="preserve"> </w:t>
      </w:r>
      <w:r>
        <w:rPr>
          <w:w w:val="105"/>
        </w:rPr>
        <w:t>these</w:t>
      </w:r>
      <w:r>
        <w:rPr>
          <w:spacing w:val="-7"/>
          <w:w w:val="105"/>
        </w:rPr>
        <w:t xml:space="preserve"> </w:t>
      </w:r>
      <w:r>
        <w:rPr>
          <w:w w:val="105"/>
        </w:rPr>
        <w:t>items</w:t>
      </w:r>
      <w:r>
        <w:rPr>
          <w:spacing w:val="-2"/>
          <w:w w:val="105"/>
        </w:rPr>
        <w:t xml:space="preserve"> </w:t>
      </w:r>
      <w:r>
        <w:rPr>
          <w:w w:val="105"/>
        </w:rPr>
        <w:t>were</w:t>
      </w:r>
      <w:r>
        <w:rPr>
          <w:spacing w:val="-7"/>
          <w:w w:val="105"/>
        </w:rPr>
        <w:t xml:space="preserve"> </w:t>
      </w:r>
      <w:r>
        <w:rPr>
          <w:w w:val="105"/>
        </w:rPr>
        <w:t>conceptually</w:t>
      </w:r>
      <w:r>
        <w:rPr>
          <w:spacing w:val="-7"/>
          <w:w w:val="105"/>
        </w:rPr>
        <w:t xml:space="preserve"> </w:t>
      </w:r>
      <w:r>
        <w:rPr>
          <w:w w:val="105"/>
        </w:rPr>
        <w:t>and statistically measuring one construct, they were aggregated into three parcels representing the sub- dimensions: SFP (Planning Flexibility Parcel), SFR (Resource Flexib</w:t>
      </w:r>
      <w:r>
        <w:rPr>
          <w:w w:val="105"/>
        </w:rPr>
        <w:t>ility Parcel), and SFC</w:t>
      </w:r>
      <w:r>
        <w:rPr>
          <w:spacing w:val="-3"/>
          <w:w w:val="105"/>
        </w:rPr>
        <w:t xml:space="preserve"> </w:t>
      </w:r>
      <w:r>
        <w:rPr>
          <w:w w:val="105"/>
        </w:rPr>
        <w:t>(Coordination Flexibility Parcel).</w:t>
      </w:r>
      <w:r>
        <w:rPr>
          <w:spacing w:val="-4"/>
          <w:w w:val="105"/>
        </w:rPr>
        <w:t xml:space="preserve"> </w:t>
      </w:r>
      <w:r>
        <w:rPr>
          <w:w w:val="105"/>
        </w:rPr>
        <w:t>The aggregation was</w:t>
      </w:r>
      <w:r>
        <w:rPr>
          <w:spacing w:val="-1"/>
          <w:w w:val="105"/>
        </w:rPr>
        <w:t xml:space="preserve"> </w:t>
      </w:r>
      <w:r>
        <w:rPr>
          <w:w w:val="105"/>
        </w:rPr>
        <w:t xml:space="preserve">conducted using the Transform and Compute Variable function in SPSS Version 29, where the mean score of the respective items was computed for each parcel. The use of mean values </w:t>
      </w:r>
      <w:r>
        <w:rPr>
          <w:w w:val="105"/>
        </w:rPr>
        <w:t>ensured comparability across indicators while preserving the original measurement scale (Little et al., 2013).</w:t>
      </w:r>
    </w:p>
    <w:p w:rsidR="00487D64" w:rsidRDefault="006F0D93">
      <w:pPr>
        <w:pStyle w:val="BodyText"/>
        <w:spacing w:before="239" w:line="501" w:lineRule="auto"/>
        <w:ind w:left="1419" w:right="858"/>
        <w:jc w:val="both"/>
      </w:pPr>
      <w:r>
        <w:rPr>
          <w:w w:val="105"/>
        </w:rPr>
        <w:t>The decision to employ item parceling was further justified by its ability to enhance model stability and improve estimation accuracy. By reducin</w:t>
      </w:r>
      <w:r>
        <w:rPr>
          <w:w w:val="105"/>
        </w:rPr>
        <w:t>g the number of parameters to be estimated, parceling facilitates better algorithm convergence in PLS-SEM and increases statistical power without compromising the theoretical structure</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construct</w:t>
      </w:r>
      <w:r>
        <w:rPr>
          <w:spacing w:val="-4"/>
          <w:w w:val="105"/>
        </w:rPr>
        <w:t xml:space="preserve"> </w:t>
      </w:r>
      <w:r>
        <w:rPr>
          <w:w w:val="105"/>
        </w:rPr>
        <w:t>(Matsunaga,</w:t>
      </w:r>
      <w:r>
        <w:rPr>
          <w:spacing w:val="-4"/>
          <w:w w:val="105"/>
        </w:rPr>
        <w:t xml:space="preserve"> </w:t>
      </w:r>
      <w:r>
        <w:rPr>
          <w:w w:val="105"/>
        </w:rPr>
        <w:t>2008;</w:t>
      </w:r>
      <w:r>
        <w:rPr>
          <w:spacing w:val="-4"/>
          <w:w w:val="105"/>
        </w:rPr>
        <w:t xml:space="preserve"> </w:t>
      </w:r>
      <w:r>
        <w:rPr>
          <w:w w:val="105"/>
        </w:rPr>
        <w:t>Hair</w:t>
      </w:r>
      <w:r>
        <w:rPr>
          <w:spacing w:val="-2"/>
          <w:w w:val="105"/>
        </w:rPr>
        <w:t xml:space="preserve"> </w:t>
      </w:r>
      <w:r>
        <w:rPr>
          <w:w w:val="105"/>
        </w:rPr>
        <w:t>et</w:t>
      </w:r>
      <w:r>
        <w:rPr>
          <w:spacing w:val="-4"/>
          <w:w w:val="105"/>
        </w:rPr>
        <w:t xml:space="preserve"> </w:t>
      </w:r>
      <w:r>
        <w:rPr>
          <w:w w:val="105"/>
        </w:rPr>
        <w:t>al.,</w:t>
      </w:r>
      <w:r>
        <w:rPr>
          <w:spacing w:val="-4"/>
          <w:w w:val="105"/>
        </w:rPr>
        <w:t xml:space="preserve"> </w:t>
      </w:r>
      <w:r>
        <w:rPr>
          <w:w w:val="105"/>
        </w:rPr>
        <w:t>2021).</w:t>
      </w:r>
      <w:r>
        <w:rPr>
          <w:spacing w:val="-4"/>
          <w:w w:val="105"/>
        </w:rPr>
        <w:t xml:space="preserve"> </w:t>
      </w:r>
      <w:r>
        <w:rPr>
          <w:w w:val="105"/>
        </w:rPr>
        <w:t>Therefore,</w:t>
      </w:r>
      <w:r>
        <w:rPr>
          <w:spacing w:val="-4"/>
          <w:w w:val="105"/>
        </w:rPr>
        <w:t xml:space="preserve"> </w:t>
      </w:r>
      <w:r>
        <w:rPr>
          <w:w w:val="105"/>
        </w:rPr>
        <w:t>in the final measurement model, Strategic Flexibility (SF) was represented by three aggregated parcels, SFP, SFR, and SFC, instead of the original fourteen individual items, ensuring both conceptual integrity and methodological robustness. As shown in Tabl</w:t>
      </w:r>
      <w:r>
        <w:rPr>
          <w:w w:val="105"/>
        </w:rPr>
        <w:t>e 3.3.</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1419"/>
        <w:jc w:val="both"/>
        <w:rPr>
          <w:b/>
          <w:sz w:val="23"/>
        </w:rPr>
      </w:pPr>
      <w:r>
        <w:rPr>
          <w:b/>
          <w:w w:val="105"/>
          <w:sz w:val="23"/>
        </w:rPr>
        <w:t>Table</w:t>
      </w:r>
      <w:r>
        <w:rPr>
          <w:b/>
          <w:spacing w:val="-12"/>
          <w:w w:val="105"/>
          <w:sz w:val="23"/>
        </w:rPr>
        <w:t xml:space="preserve"> </w:t>
      </w:r>
      <w:r>
        <w:rPr>
          <w:b/>
          <w:w w:val="105"/>
          <w:sz w:val="23"/>
        </w:rPr>
        <w:t>3.</w:t>
      </w:r>
      <w:r>
        <w:rPr>
          <w:b/>
          <w:spacing w:val="-14"/>
          <w:w w:val="105"/>
          <w:sz w:val="23"/>
        </w:rPr>
        <w:t xml:space="preserve"> </w:t>
      </w:r>
      <w:r>
        <w:rPr>
          <w:b/>
          <w:w w:val="105"/>
          <w:sz w:val="23"/>
        </w:rPr>
        <w:t>3:</w:t>
      </w:r>
      <w:r>
        <w:rPr>
          <w:b/>
          <w:spacing w:val="-6"/>
          <w:w w:val="105"/>
          <w:sz w:val="23"/>
        </w:rPr>
        <w:t xml:space="preserve"> </w:t>
      </w:r>
      <w:r>
        <w:rPr>
          <w:b/>
          <w:w w:val="105"/>
          <w:sz w:val="23"/>
        </w:rPr>
        <w:t>Strategic</w:t>
      </w:r>
      <w:r>
        <w:rPr>
          <w:b/>
          <w:spacing w:val="-5"/>
          <w:w w:val="105"/>
          <w:sz w:val="23"/>
        </w:rPr>
        <w:t xml:space="preserve"> </w:t>
      </w:r>
      <w:r>
        <w:rPr>
          <w:b/>
          <w:w w:val="105"/>
          <w:sz w:val="23"/>
        </w:rPr>
        <w:t>Flexibility</w:t>
      </w:r>
      <w:r>
        <w:rPr>
          <w:b/>
          <w:spacing w:val="-16"/>
          <w:w w:val="105"/>
          <w:sz w:val="23"/>
        </w:rPr>
        <w:t xml:space="preserve"> </w:t>
      </w:r>
      <w:r>
        <w:rPr>
          <w:b/>
          <w:w w:val="105"/>
          <w:sz w:val="23"/>
        </w:rPr>
        <w:t>(SF)</w:t>
      </w:r>
      <w:r>
        <w:rPr>
          <w:b/>
          <w:spacing w:val="-6"/>
          <w:w w:val="105"/>
          <w:sz w:val="23"/>
        </w:rPr>
        <w:t xml:space="preserve"> </w:t>
      </w:r>
      <w:r>
        <w:rPr>
          <w:b/>
          <w:w w:val="105"/>
          <w:sz w:val="23"/>
        </w:rPr>
        <w:t>Parameters</w:t>
      </w:r>
      <w:r>
        <w:rPr>
          <w:b/>
          <w:spacing w:val="-13"/>
          <w:w w:val="105"/>
          <w:sz w:val="23"/>
        </w:rPr>
        <w:t xml:space="preserve"> </w:t>
      </w:r>
      <w:r>
        <w:rPr>
          <w:b/>
          <w:spacing w:val="-2"/>
          <w:w w:val="105"/>
          <w:sz w:val="23"/>
        </w:rPr>
        <w:t>Parceling</w:t>
      </w:r>
    </w:p>
    <w:p w:rsidR="00487D64" w:rsidRDefault="00487D64">
      <w:pPr>
        <w:pStyle w:val="BodyText"/>
        <w:spacing w:before="44"/>
        <w:rPr>
          <w:b/>
          <w:sz w:val="20"/>
        </w:rPr>
      </w:pPr>
    </w:p>
    <w:tbl>
      <w:tblPr>
        <w:tblW w:w="0" w:type="auto"/>
        <w:tblInd w:w="1304" w:type="dxa"/>
        <w:tblLayout w:type="fixed"/>
        <w:tblCellMar>
          <w:left w:w="0" w:type="dxa"/>
          <w:right w:w="0" w:type="dxa"/>
        </w:tblCellMar>
        <w:tblLook w:val="01E0" w:firstRow="1" w:lastRow="1" w:firstColumn="1" w:lastColumn="1" w:noHBand="0" w:noVBand="0"/>
      </w:tblPr>
      <w:tblGrid>
        <w:gridCol w:w="3158"/>
        <w:gridCol w:w="2899"/>
        <w:gridCol w:w="2399"/>
      </w:tblGrid>
      <w:tr w:rsidR="00487D64">
        <w:trPr>
          <w:trHeight w:val="285"/>
        </w:trPr>
        <w:tc>
          <w:tcPr>
            <w:tcW w:w="3158" w:type="dxa"/>
            <w:tcBorders>
              <w:top w:val="single" w:sz="4" w:space="0" w:color="000000"/>
              <w:bottom w:val="single" w:sz="4" w:space="0" w:color="000000"/>
            </w:tcBorders>
          </w:tcPr>
          <w:p w:rsidR="00487D64" w:rsidRDefault="006F0D93">
            <w:pPr>
              <w:pStyle w:val="TableParagraph"/>
              <w:spacing w:line="248" w:lineRule="exact"/>
              <w:ind w:left="122"/>
              <w:rPr>
                <w:b/>
              </w:rPr>
            </w:pPr>
            <w:r>
              <w:rPr>
                <w:b/>
                <w:spacing w:val="-2"/>
              </w:rPr>
              <w:t>Items</w:t>
            </w:r>
          </w:p>
        </w:tc>
        <w:tc>
          <w:tcPr>
            <w:tcW w:w="2899" w:type="dxa"/>
            <w:tcBorders>
              <w:top w:val="single" w:sz="4" w:space="0" w:color="000000"/>
              <w:bottom w:val="single" w:sz="4" w:space="0" w:color="000000"/>
            </w:tcBorders>
          </w:tcPr>
          <w:p w:rsidR="00487D64" w:rsidRDefault="006F0D93">
            <w:pPr>
              <w:pStyle w:val="TableParagraph"/>
              <w:spacing w:line="248" w:lineRule="exact"/>
              <w:ind w:left="214" w:right="7"/>
              <w:jc w:val="center"/>
              <w:rPr>
                <w:b/>
              </w:rPr>
            </w:pPr>
            <w:r>
              <w:rPr>
                <w:b/>
              </w:rPr>
              <w:t>Parcels</w:t>
            </w:r>
            <w:r>
              <w:rPr>
                <w:b/>
                <w:spacing w:val="-13"/>
              </w:rPr>
              <w:t xml:space="preserve"> </w:t>
            </w:r>
            <w:r>
              <w:rPr>
                <w:b/>
                <w:spacing w:val="-4"/>
              </w:rPr>
              <w:t>Codes</w:t>
            </w:r>
          </w:p>
        </w:tc>
        <w:tc>
          <w:tcPr>
            <w:tcW w:w="2399" w:type="dxa"/>
            <w:tcBorders>
              <w:top w:val="single" w:sz="4" w:space="0" w:color="000000"/>
              <w:bottom w:val="single" w:sz="4" w:space="0" w:color="000000"/>
            </w:tcBorders>
          </w:tcPr>
          <w:p w:rsidR="00487D64" w:rsidRDefault="006F0D93">
            <w:pPr>
              <w:pStyle w:val="TableParagraph"/>
              <w:spacing w:line="248" w:lineRule="exact"/>
              <w:ind w:left="71" w:right="4"/>
              <w:jc w:val="center"/>
              <w:rPr>
                <w:b/>
              </w:rPr>
            </w:pPr>
            <w:r>
              <w:rPr>
                <w:b/>
                <w:spacing w:val="-2"/>
              </w:rPr>
              <w:t>Parameters</w:t>
            </w:r>
          </w:p>
        </w:tc>
      </w:tr>
      <w:tr w:rsidR="00487D64">
        <w:trPr>
          <w:trHeight w:val="276"/>
        </w:trPr>
        <w:tc>
          <w:tcPr>
            <w:tcW w:w="3158" w:type="dxa"/>
            <w:tcBorders>
              <w:top w:val="single" w:sz="4" w:space="0" w:color="000000"/>
            </w:tcBorders>
          </w:tcPr>
          <w:p w:rsidR="00487D64" w:rsidRDefault="006F0D93">
            <w:pPr>
              <w:pStyle w:val="TableParagraph"/>
              <w:spacing w:before="2"/>
              <w:ind w:left="122"/>
            </w:pPr>
            <w:r>
              <w:t>Planning</w:t>
            </w:r>
            <w:r>
              <w:rPr>
                <w:spacing w:val="-4"/>
              </w:rPr>
              <w:t xml:space="preserve"> </w:t>
            </w:r>
            <w:r>
              <w:rPr>
                <w:spacing w:val="-2"/>
              </w:rPr>
              <w:t>flexibility</w:t>
            </w:r>
          </w:p>
        </w:tc>
        <w:tc>
          <w:tcPr>
            <w:tcW w:w="2899" w:type="dxa"/>
            <w:tcBorders>
              <w:top w:val="single" w:sz="4" w:space="0" w:color="000000"/>
            </w:tcBorders>
          </w:tcPr>
          <w:p w:rsidR="00487D64" w:rsidRDefault="006F0D93">
            <w:pPr>
              <w:pStyle w:val="TableParagraph"/>
              <w:spacing w:before="2"/>
              <w:ind w:left="214"/>
              <w:jc w:val="center"/>
            </w:pPr>
            <w:r>
              <w:rPr>
                <w:spacing w:val="-5"/>
              </w:rPr>
              <w:t>SFP</w:t>
            </w:r>
          </w:p>
        </w:tc>
        <w:tc>
          <w:tcPr>
            <w:tcW w:w="2399" w:type="dxa"/>
            <w:tcBorders>
              <w:top w:val="single" w:sz="4" w:space="0" w:color="000000"/>
            </w:tcBorders>
          </w:tcPr>
          <w:p w:rsidR="00487D64" w:rsidRDefault="006F0D93">
            <w:pPr>
              <w:pStyle w:val="TableParagraph"/>
              <w:spacing w:before="2"/>
              <w:ind w:left="71" w:right="1"/>
              <w:jc w:val="center"/>
            </w:pPr>
            <w:r>
              <w:rPr>
                <w:spacing w:val="-4"/>
              </w:rPr>
              <w:t>SFP1</w:t>
            </w:r>
          </w:p>
        </w:tc>
      </w:tr>
      <w:tr w:rsidR="00487D64">
        <w:trPr>
          <w:trHeight w:val="291"/>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4"/>
              <w:ind w:left="71" w:right="1"/>
              <w:jc w:val="center"/>
            </w:pPr>
            <w:r>
              <w:rPr>
                <w:spacing w:val="-4"/>
              </w:rPr>
              <w:t>SFP2</w:t>
            </w:r>
          </w:p>
        </w:tc>
      </w:tr>
      <w:tr w:rsidR="00487D64">
        <w:trPr>
          <w:trHeight w:val="291"/>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8"/>
              <w:ind w:left="71" w:right="1"/>
              <w:jc w:val="center"/>
            </w:pPr>
            <w:r>
              <w:rPr>
                <w:spacing w:val="-4"/>
              </w:rPr>
              <w:t>SFP3</w:t>
            </w:r>
          </w:p>
        </w:tc>
      </w:tr>
      <w:tr w:rsidR="00487D64">
        <w:trPr>
          <w:trHeight w:val="288"/>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4"/>
              <w:ind w:left="71" w:right="1"/>
              <w:jc w:val="center"/>
            </w:pPr>
            <w:r>
              <w:rPr>
                <w:spacing w:val="-4"/>
              </w:rPr>
              <w:t>SFP4</w:t>
            </w:r>
          </w:p>
        </w:tc>
      </w:tr>
      <w:tr w:rsidR="00487D64">
        <w:trPr>
          <w:trHeight w:val="291"/>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4"/>
              <w:ind w:left="71" w:right="1"/>
              <w:jc w:val="center"/>
            </w:pPr>
            <w:r>
              <w:rPr>
                <w:spacing w:val="-4"/>
              </w:rPr>
              <w:t>SFP5</w:t>
            </w:r>
          </w:p>
        </w:tc>
      </w:tr>
      <w:tr w:rsidR="00487D64">
        <w:trPr>
          <w:trHeight w:val="291"/>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7"/>
              <w:ind w:left="71" w:right="1"/>
              <w:jc w:val="center"/>
            </w:pPr>
            <w:r>
              <w:rPr>
                <w:spacing w:val="-4"/>
              </w:rPr>
              <w:t>SFP6</w:t>
            </w:r>
          </w:p>
        </w:tc>
      </w:tr>
      <w:tr w:rsidR="00487D64">
        <w:trPr>
          <w:trHeight w:val="291"/>
        </w:trPr>
        <w:tc>
          <w:tcPr>
            <w:tcW w:w="3158" w:type="dxa"/>
          </w:tcPr>
          <w:p w:rsidR="00487D64" w:rsidRDefault="006F0D93">
            <w:pPr>
              <w:pStyle w:val="TableParagraph"/>
              <w:spacing w:before="14"/>
              <w:ind w:left="122"/>
            </w:pPr>
            <w:r>
              <w:t>Resource</w:t>
            </w:r>
            <w:r>
              <w:rPr>
                <w:spacing w:val="-4"/>
              </w:rPr>
              <w:t xml:space="preserve"> </w:t>
            </w:r>
            <w:r>
              <w:rPr>
                <w:spacing w:val="-2"/>
              </w:rPr>
              <w:t>Flexibility</w:t>
            </w:r>
          </w:p>
        </w:tc>
        <w:tc>
          <w:tcPr>
            <w:tcW w:w="2899" w:type="dxa"/>
          </w:tcPr>
          <w:p w:rsidR="00487D64" w:rsidRDefault="006F0D93">
            <w:pPr>
              <w:pStyle w:val="TableParagraph"/>
              <w:spacing w:before="14"/>
              <w:ind w:left="214" w:right="4"/>
              <w:jc w:val="center"/>
            </w:pPr>
            <w:r>
              <w:rPr>
                <w:spacing w:val="-5"/>
              </w:rPr>
              <w:t>SFR</w:t>
            </w:r>
          </w:p>
        </w:tc>
        <w:tc>
          <w:tcPr>
            <w:tcW w:w="2399" w:type="dxa"/>
          </w:tcPr>
          <w:p w:rsidR="00487D64" w:rsidRDefault="006F0D93">
            <w:pPr>
              <w:pStyle w:val="TableParagraph"/>
              <w:spacing w:before="14"/>
              <w:ind w:left="71"/>
              <w:jc w:val="center"/>
            </w:pPr>
            <w:r>
              <w:rPr>
                <w:spacing w:val="-4"/>
              </w:rPr>
              <w:t>SFR1</w:t>
            </w:r>
          </w:p>
        </w:tc>
      </w:tr>
      <w:tr w:rsidR="00487D64">
        <w:trPr>
          <w:trHeight w:val="291"/>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7"/>
              <w:ind w:left="71"/>
              <w:jc w:val="center"/>
            </w:pPr>
            <w:r>
              <w:rPr>
                <w:spacing w:val="-4"/>
              </w:rPr>
              <w:t>SFR2</w:t>
            </w:r>
          </w:p>
        </w:tc>
      </w:tr>
      <w:tr w:rsidR="00487D64">
        <w:trPr>
          <w:trHeight w:val="291"/>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4"/>
              <w:ind w:left="71"/>
              <w:jc w:val="center"/>
            </w:pPr>
            <w:r>
              <w:rPr>
                <w:spacing w:val="-4"/>
              </w:rPr>
              <w:t>SFR3</w:t>
            </w:r>
          </w:p>
        </w:tc>
      </w:tr>
      <w:tr w:rsidR="00487D64">
        <w:trPr>
          <w:trHeight w:val="291"/>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7"/>
              <w:ind w:left="71"/>
              <w:jc w:val="center"/>
            </w:pPr>
            <w:r>
              <w:rPr>
                <w:spacing w:val="-4"/>
              </w:rPr>
              <w:t>SFR4</w:t>
            </w:r>
          </w:p>
        </w:tc>
      </w:tr>
      <w:tr w:rsidR="00487D64">
        <w:trPr>
          <w:trHeight w:val="288"/>
        </w:trPr>
        <w:tc>
          <w:tcPr>
            <w:tcW w:w="3158" w:type="dxa"/>
          </w:tcPr>
          <w:p w:rsidR="00487D64" w:rsidRDefault="006F0D93">
            <w:pPr>
              <w:pStyle w:val="TableParagraph"/>
              <w:spacing w:before="14"/>
              <w:ind w:left="122"/>
            </w:pPr>
            <w:r>
              <w:t>Coordination</w:t>
            </w:r>
            <w:r>
              <w:rPr>
                <w:spacing w:val="-5"/>
              </w:rPr>
              <w:t xml:space="preserve"> </w:t>
            </w:r>
            <w:r>
              <w:rPr>
                <w:spacing w:val="-2"/>
              </w:rPr>
              <w:t>Flexibility</w:t>
            </w:r>
          </w:p>
        </w:tc>
        <w:tc>
          <w:tcPr>
            <w:tcW w:w="2899" w:type="dxa"/>
          </w:tcPr>
          <w:p w:rsidR="00487D64" w:rsidRDefault="006F0D93">
            <w:pPr>
              <w:pStyle w:val="TableParagraph"/>
              <w:spacing w:before="14"/>
              <w:ind w:left="214" w:right="4"/>
              <w:jc w:val="center"/>
            </w:pPr>
            <w:r>
              <w:rPr>
                <w:spacing w:val="-5"/>
              </w:rPr>
              <w:t>SFC</w:t>
            </w:r>
          </w:p>
        </w:tc>
        <w:tc>
          <w:tcPr>
            <w:tcW w:w="2399" w:type="dxa"/>
          </w:tcPr>
          <w:p w:rsidR="00487D64" w:rsidRDefault="006F0D93">
            <w:pPr>
              <w:pStyle w:val="TableParagraph"/>
              <w:spacing w:before="14"/>
              <w:ind w:left="71"/>
              <w:jc w:val="center"/>
            </w:pPr>
            <w:r>
              <w:rPr>
                <w:spacing w:val="-4"/>
              </w:rPr>
              <w:t>SFC1</w:t>
            </w:r>
          </w:p>
        </w:tc>
      </w:tr>
      <w:tr w:rsidR="00487D64">
        <w:trPr>
          <w:trHeight w:val="291"/>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4"/>
              <w:ind w:left="71"/>
              <w:jc w:val="center"/>
            </w:pPr>
            <w:r>
              <w:rPr>
                <w:spacing w:val="-4"/>
              </w:rPr>
              <w:t>SFC2</w:t>
            </w:r>
          </w:p>
        </w:tc>
      </w:tr>
      <w:tr w:rsidR="00487D64">
        <w:trPr>
          <w:trHeight w:val="291"/>
        </w:trPr>
        <w:tc>
          <w:tcPr>
            <w:tcW w:w="3158" w:type="dxa"/>
          </w:tcPr>
          <w:p w:rsidR="00487D64" w:rsidRDefault="00487D64">
            <w:pPr>
              <w:pStyle w:val="TableParagraph"/>
              <w:rPr>
                <w:sz w:val="20"/>
              </w:rPr>
            </w:pPr>
          </w:p>
        </w:tc>
        <w:tc>
          <w:tcPr>
            <w:tcW w:w="2899" w:type="dxa"/>
          </w:tcPr>
          <w:p w:rsidR="00487D64" w:rsidRDefault="00487D64">
            <w:pPr>
              <w:pStyle w:val="TableParagraph"/>
              <w:rPr>
                <w:sz w:val="20"/>
              </w:rPr>
            </w:pPr>
          </w:p>
        </w:tc>
        <w:tc>
          <w:tcPr>
            <w:tcW w:w="2399" w:type="dxa"/>
          </w:tcPr>
          <w:p w:rsidR="00487D64" w:rsidRDefault="006F0D93">
            <w:pPr>
              <w:pStyle w:val="TableParagraph"/>
              <w:spacing w:before="17"/>
              <w:ind w:left="71"/>
              <w:jc w:val="center"/>
            </w:pPr>
            <w:r>
              <w:rPr>
                <w:spacing w:val="-4"/>
              </w:rPr>
              <w:t>SFC3</w:t>
            </w:r>
          </w:p>
        </w:tc>
      </w:tr>
      <w:tr w:rsidR="00487D64">
        <w:trPr>
          <w:trHeight w:val="311"/>
        </w:trPr>
        <w:tc>
          <w:tcPr>
            <w:tcW w:w="3158" w:type="dxa"/>
            <w:tcBorders>
              <w:bottom w:val="single" w:sz="4" w:space="0" w:color="000000"/>
            </w:tcBorders>
          </w:tcPr>
          <w:p w:rsidR="00487D64" w:rsidRDefault="00487D64">
            <w:pPr>
              <w:pStyle w:val="TableParagraph"/>
            </w:pPr>
          </w:p>
        </w:tc>
        <w:tc>
          <w:tcPr>
            <w:tcW w:w="2899" w:type="dxa"/>
            <w:tcBorders>
              <w:bottom w:val="single" w:sz="4" w:space="0" w:color="000000"/>
            </w:tcBorders>
          </w:tcPr>
          <w:p w:rsidR="00487D64" w:rsidRDefault="00487D64">
            <w:pPr>
              <w:pStyle w:val="TableParagraph"/>
            </w:pPr>
          </w:p>
        </w:tc>
        <w:tc>
          <w:tcPr>
            <w:tcW w:w="2399" w:type="dxa"/>
            <w:tcBorders>
              <w:bottom w:val="single" w:sz="4" w:space="0" w:color="000000"/>
            </w:tcBorders>
          </w:tcPr>
          <w:p w:rsidR="00487D64" w:rsidRDefault="006F0D93">
            <w:pPr>
              <w:pStyle w:val="TableParagraph"/>
              <w:spacing w:before="14"/>
              <w:ind w:left="71"/>
              <w:jc w:val="center"/>
            </w:pPr>
            <w:r>
              <w:rPr>
                <w:spacing w:val="-4"/>
              </w:rPr>
              <w:t>SFC4</w:t>
            </w:r>
          </w:p>
        </w:tc>
      </w:tr>
    </w:tbl>
    <w:p w:rsidR="00487D64" w:rsidRDefault="00487D64">
      <w:pPr>
        <w:pStyle w:val="BodyText"/>
        <w:rPr>
          <w:b/>
        </w:rPr>
      </w:pPr>
    </w:p>
    <w:p w:rsidR="00487D64" w:rsidRDefault="00487D64">
      <w:pPr>
        <w:pStyle w:val="BodyText"/>
        <w:spacing w:before="3"/>
        <w:rPr>
          <w:b/>
        </w:rPr>
      </w:pPr>
    </w:p>
    <w:p w:rsidR="00487D64" w:rsidRDefault="006F0D93">
      <w:pPr>
        <w:pStyle w:val="Heading1"/>
        <w:numPr>
          <w:ilvl w:val="1"/>
          <w:numId w:val="10"/>
        </w:numPr>
        <w:tabs>
          <w:tab w:val="left" w:pos="2139"/>
        </w:tabs>
        <w:spacing w:before="1"/>
        <w:ind w:left="2139" w:hanging="720"/>
      </w:pPr>
      <w:bookmarkStart w:id="91" w:name="3.10___Data_Analysis_Techniques"/>
      <w:bookmarkStart w:id="92" w:name="_bookmark45"/>
      <w:bookmarkEnd w:id="91"/>
      <w:bookmarkEnd w:id="92"/>
      <w:r>
        <w:rPr>
          <w:w w:val="105"/>
        </w:rPr>
        <w:t>Data</w:t>
      </w:r>
      <w:r>
        <w:rPr>
          <w:spacing w:val="-12"/>
          <w:w w:val="105"/>
        </w:rPr>
        <w:t xml:space="preserve"> </w:t>
      </w:r>
      <w:r>
        <w:rPr>
          <w:w w:val="105"/>
        </w:rPr>
        <w:t>Analysis</w:t>
      </w:r>
      <w:r>
        <w:rPr>
          <w:spacing w:val="-13"/>
          <w:w w:val="105"/>
        </w:rPr>
        <w:t xml:space="preserve"> </w:t>
      </w:r>
      <w:r>
        <w:rPr>
          <w:spacing w:val="-2"/>
          <w:w w:val="105"/>
        </w:rPr>
        <w:t>Techniques</w:t>
      </w:r>
    </w:p>
    <w:p w:rsidR="00487D64" w:rsidRDefault="00487D64">
      <w:pPr>
        <w:pStyle w:val="BodyText"/>
        <w:spacing w:before="18"/>
        <w:rPr>
          <w:b/>
        </w:rPr>
      </w:pPr>
    </w:p>
    <w:p w:rsidR="00487D64" w:rsidRDefault="006F0D93">
      <w:pPr>
        <w:pStyle w:val="BodyText"/>
        <w:spacing w:line="501" w:lineRule="auto"/>
        <w:ind w:left="1419" w:right="846"/>
        <w:jc w:val="both"/>
      </w:pPr>
      <w:r>
        <w:rPr>
          <w:w w:val="105"/>
        </w:rPr>
        <w:t>Data analysis was carried out using both descriptive and inferential statistical techniques,</w:t>
      </w:r>
      <w:r>
        <w:rPr>
          <w:spacing w:val="-2"/>
          <w:w w:val="105"/>
        </w:rPr>
        <w:t xml:space="preserve"> </w:t>
      </w:r>
      <w:r>
        <w:rPr>
          <w:w w:val="105"/>
        </w:rPr>
        <w:t>supported</w:t>
      </w:r>
      <w:r>
        <w:rPr>
          <w:spacing w:val="-9"/>
          <w:w w:val="105"/>
        </w:rPr>
        <w:t xml:space="preserve"> </w:t>
      </w:r>
      <w:r>
        <w:rPr>
          <w:w w:val="105"/>
        </w:rPr>
        <w:t>by</w:t>
      </w:r>
      <w:r>
        <w:rPr>
          <w:spacing w:val="-6"/>
          <w:w w:val="105"/>
        </w:rPr>
        <w:t xml:space="preserve"> </w:t>
      </w:r>
      <w:r>
        <w:rPr>
          <w:w w:val="105"/>
        </w:rPr>
        <w:t>SPSS</w:t>
      </w:r>
      <w:r>
        <w:rPr>
          <w:spacing w:val="-3"/>
          <w:w w:val="105"/>
        </w:rPr>
        <w:t xml:space="preserve"> </w:t>
      </w:r>
      <w:r>
        <w:rPr>
          <w:w w:val="105"/>
        </w:rPr>
        <w:t>Version</w:t>
      </w:r>
      <w:r>
        <w:rPr>
          <w:spacing w:val="-9"/>
          <w:w w:val="105"/>
        </w:rPr>
        <w:t xml:space="preserve"> </w:t>
      </w:r>
      <w:r>
        <w:rPr>
          <w:w w:val="105"/>
        </w:rPr>
        <w:t>29</w:t>
      </w:r>
      <w:r>
        <w:rPr>
          <w:spacing w:val="-7"/>
          <w:w w:val="105"/>
        </w:rPr>
        <w:t xml:space="preserve"> </w:t>
      </w:r>
      <w:r>
        <w:rPr>
          <w:w w:val="105"/>
        </w:rPr>
        <w:t>and</w:t>
      </w:r>
      <w:r>
        <w:rPr>
          <w:spacing w:val="-3"/>
          <w:w w:val="105"/>
        </w:rPr>
        <w:t xml:space="preserve"> </w:t>
      </w:r>
      <w:r>
        <w:rPr>
          <w:w w:val="105"/>
        </w:rPr>
        <w:t>SmartPLS</w:t>
      </w:r>
      <w:r>
        <w:rPr>
          <w:spacing w:val="-3"/>
          <w:w w:val="105"/>
        </w:rPr>
        <w:t xml:space="preserve"> </w:t>
      </w:r>
      <w:r>
        <w:rPr>
          <w:w w:val="105"/>
        </w:rPr>
        <w:t>Version</w:t>
      </w:r>
      <w:r>
        <w:rPr>
          <w:spacing w:val="-9"/>
          <w:w w:val="105"/>
        </w:rPr>
        <w:t xml:space="preserve"> </w:t>
      </w:r>
      <w:r>
        <w:rPr>
          <w:w w:val="105"/>
        </w:rPr>
        <w:t>4.1.0.6.</w:t>
      </w:r>
      <w:r>
        <w:rPr>
          <w:spacing w:val="-2"/>
          <w:w w:val="105"/>
        </w:rPr>
        <w:t xml:space="preserve"> </w:t>
      </w:r>
      <w:r>
        <w:rPr>
          <w:w w:val="105"/>
        </w:rPr>
        <w:t>SPSS</w:t>
      </w:r>
      <w:r>
        <w:rPr>
          <w:spacing w:val="-3"/>
          <w:w w:val="105"/>
        </w:rPr>
        <w:t xml:space="preserve"> </w:t>
      </w:r>
      <w:r>
        <w:rPr>
          <w:w w:val="105"/>
        </w:rPr>
        <w:t>was used for preliminary</w:t>
      </w:r>
      <w:r>
        <w:rPr>
          <w:spacing w:val="-1"/>
          <w:w w:val="105"/>
        </w:rPr>
        <w:t xml:space="preserve"> </w:t>
      </w:r>
      <w:r>
        <w:rPr>
          <w:w w:val="105"/>
        </w:rPr>
        <w:t>data screening</w:t>
      </w:r>
      <w:r>
        <w:rPr>
          <w:spacing w:val="-1"/>
          <w:w w:val="105"/>
        </w:rPr>
        <w:t xml:space="preserve"> </w:t>
      </w:r>
      <w:r>
        <w:rPr>
          <w:w w:val="105"/>
        </w:rPr>
        <w:t>and</w:t>
      </w:r>
      <w:r>
        <w:rPr>
          <w:spacing w:val="-1"/>
          <w:w w:val="105"/>
        </w:rPr>
        <w:t xml:space="preserve"> </w:t>
      </w:r>
      <w:r>
        <w:rPr>
          <w:w w:val="105"/>
        </w:rPr>
        <w:t>descriptive</w:t>
      </w:r>
      <w:r>
        <w:rPr>
          <w:spacing w:val="-2"/>
          <w:w w:val="105"/>
        </w:rPr>
        <w:t xml:space="preserve"> </w:t>
      </w:r>
      <w:r>
        <w:rPr>
          <w:w w:val="105"/>
        </w:rPr>
        <w:t>statistics, while</w:t>
      </w:r>
      <w:r>
        <w:rPr>
          <w:spacing w:val="-2"/>
          <w:w w:val="105"/>
        </w:rPr>
        <w:t xml:space="preserve"> </w:t>
      </w:r>
      <w:r>
        <w:rPr>
          <w:w w:val="105"/>
        </w:rPr>
        <w:t>SmartPLS 4 was applied for hypothesis testing through Partial Least Squares Structural Equation Modeling (PLS-SEM). The choice of PLS-SEM was guided by its suitability for handling c</w:t>
      </w:r>
      <w:r>
        <w:rPr>
          <w:w w:val="105"/>
        </w:rPr>
        <w:t xml:space="preserve">omplex models, its robustness with non-normal data distributions, and its ability to analyze both direct and moderating effects in small to medium-sized samples </w:t>
      </w:r>
      <w:r>
        <w:rPr>
          <w:b/>
          <w:w w:val="105"/>
        </w:rPr>
        <w:t>(</w:t>
      </w:r>
      <w:r>
        <w:rPr>
          <w:w w:val="105"/>
        </w:rPr>
        <w:t>Hair, Hult, Ringle, &amp; Sarstedt, 2019).</w:t>
      </w:r>
    </w:p>
    <w:p w:rsidR="00487D64" w:rsidRDefault="00487D64">
      <w:pPr>
        <w:pStyle w:val="BodyText"/>
        <w:spacing w:before="255"/>
      </w:pPr>
    </w:p>
    <w:p w:rsidR="00487D64" w:rsidRDefault="006F0D93">
      <w:pPr>
        <w:pStyle w:val="Heading1"/>
        <w:numPr>
          <w:ilvl w:val="2"/>
          <w:numId w:val="10"/>
        </w:numPr>
        <w:tabs>
          <w:tab w:val="left" w:pos="2860"/>
        </w:tabs>
      </w:pPr>
      <w:bookmarkStart w:id="93" w:name="3.10.1____Descriptive_Analysis"/>
      <w:bookmarkStart w:id="94" w:name="_bookmark46"/>
      <w:bookmarkEnd w:id="93"/>
      <w:bookmarkEnd w:id="94"/>
      <w:r>
        <w:t>Descriptive</w:t>
      </w:r>
      <w:r>
        <w:rPr>
          <w:spacing w:val="37"/>
        </w:rPr>
        <w:t xml:space="preserve"> </w:t>
      </w:r>
      <w:r>
        <w:rPr>
          <w:spacing w:val="-2"/>
        </w:rPr>
        <w:t>Analysis</w:t>
      </w:r>
    </w:p>
    <w:p w:rsidR="00487D64" w:rsidRDefault="00487D64">
      <w:pPr>
        <w:pStyle w:val="BodyText"/>
        <w:spacing w:before="18"/>
        <w:rPr>
          <w:b/>
        </w:rPr>
      </w:pPr>
    </w:p>
    <w:p w:rsidR="00487D64" w:rsidRDefault="006F0D93">
      <w:pPr>
        <w:pStyle w:val="BodyText"/>
        <w:spacing w:line="499" w:lineRule="auto"/>
        <w:ind w:left="1419" w:right="850"/>
        <w:jc w:val="both"/>
      </w:pPr>
      <w:r>
        <w:rPr>
          <w:w w:val="105"/>
        </w:rPr>
        <w:t>To provide an overview of the st</w:t>
      </w:r>
      <w:r>
        <w:rPr>
          <w:w w:val="105"/>
        </w:rPr>
        <w:t>udy variables and to summarize the demographic characteristics of the respondents enterprises, descriptive statistics were employed. The</w:t>
      </w:r>
      <w:r>
        <w:rPr>
          <w:spacing w:val="34"/>
          <w:w w:val="105"/>
        </w:rPr>
        <w:t xml:space="preserve"> </w:t>
      </w:r>
      <w:r>
        <w:rPr>
          <w:w w:val="105"/>
        </w:rPr>
        <w:t>analysis</w:t>
      </w:r>
      <w:r>
        <w:rPr>
          <w:spacing w:val="39"/>
          <w:w w:val="105"/>
        </w:rPr>
        <w:t xml:space="preserve"> </w:t>
      </w:r>
      <w:r>
        <w:rPr>
          <w:w w:val="105"/>
        </w:rPr>
        <w:t>utilized</w:t>
      </w:r>
      <w:r>
        <w:rPr>
          <w:spacing w:val="41"/>
          <w:w w:val="105"/>
        </w:rPr>
        <w:t xml:space="preserve"> </w:t>
      </w:r>
      <w:r>
        <w:rPr>
          <w:w w:val="105"/>
        </w:rPr>
        <w:t>frequencies</w:t>
      </w:r>
      <w:r>
        <w:rPr>
          <w:spacing w:val="32"/>
          <w:w w:val="105"/>
        </w:rPr>
        <w:t xml:space="preserve"> </w:t>
      </w:r>
      <w:r>
        <w:rPr>
          <w:w w:val="105"/>
        </w:rPr>
        <w:t>and</w:t>
      </w:r>
      <w:r>
        <w:rPr>
          <w:spacing w:val="42"/>
          <w:w w:val="105"/>
        </w:rPr>
        <w:t xml:space="preserve"> </w:t>
      </w:r>
      <w:r>
        <w:rPr>
          <w:w w:val="105"/>
        </w:rPr>
        <w:t>percentages,</w:t>
      </w:r>
      <w:r>
        <w:rPr>
          <w:spacing w:val="44"/>
          <w:w w:val="105"/>
        </w:rPr>
        <w:t xml:space="preserve"> </w:t>
      </w:r>
      <w:r>
        <w:rPr>
          <w:w w:val="105"/>
        </w:rPr>
        <w:t>which</w:t>
      </w:r>
      <w:r>
        <w:rPr>
          <w:spacing w:val="41"/>
          <w:w w:val="105"/>
        </w:rPr>
        <w:t xml:space="preserve"> </w:t>
      </w:r>
      <w:r>
        <w:rPr>
          <w:w w:val="105"/>
        </w:rPr>
        <w:t>were</w:t>
      </w:r>
      <w:r>
        <w:rPr>
          <w:spacing w:val="41"/>
          <w:w w:val="105"/>
        </w:rPr>
        <w:t xml:space="preserve"> </w:t>
      </w:r>
      <w:r>
        <w:rPr>
          <w:w w:val="105"/>
        </w:rPr>
        <w:t>presented</w:t>
      </w:r>
      <w:r>
        <w:rPr>
          <w:spacing w:val="41"/>
          <w:w w:val="105"/>
        </w:rPr>
        <w:t xml:space="preserve"> </w:t>
      </w:r>
      <w:r>
        <w:rPr>
          <w:spacing w:val="-2"/>
          <w:w w:val="105"/>
        </w:rPr>
        <w:t>through</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9"/>
        <w:jc w:val="both"/>
      </w:pPr>
      <w:r>
        <w:rPr>
          <w:w w:val="105"/>
        </w:rPr>
        <w:t>tables and figures</w:t>
      </w:r>
      <w:r>
        <w:rPr>
          <w:w w:val="105"/>
        </w:rPr>
        <w:t xml:space="preserve"> for clarity. Specifically, the demographic information captured included the category of special group</w:t>
      </w:r>
      <w:r>
        <w:rPr>
          <w:b/>
          <w:w w:val="105"/>
        </w:rPr>
        <w:t xml:space="preserve">, </w:t>
      </w:r>
      <w:r>
        <w:rPr>
          <w:w w:val="105"/>
        </w:rPr>
        <w:t>nature of business activity</w:t>
      </w:r>
      <w:r>
        <w:rPr>
          <w:b/>
          <w:w w:val="105"/>
        </w:rPr>
        <w:t xml:space="preserve">, </w:t>
      </w:r>
      <w:r>
        <w:rPr>
          <w:w w:val="105"/>
        </w:rPr>
        <w:t>level of capital investment</w:t>
      </w:r>
      <w:r>
        <w:rPr>
          <w:b/>
          <w:w w:val="105"/>
        </w:rPr>
        <w:t xml:space="preserve">, </w:t>
      </w:r>
      <w:r>
        <w:rPr>
          <w:w w:val="105"/>
        </w:rPr>
        <w:t xml:space="preserve">primary sources of income generation, and the number of employees. This descriptive analysis </w:t>
      </w:r>
      <w:r>
        <w:rPr>
          <w:w w:val="105"/>
        </w:rPr>
        <w:t>not only profiled the participating SMEs but also established the contextual background necessary for interpreting the subsequent inferential results.</w:t>
      </w:r>
    </w:p>
    <w:p w:rsidR="00487D64" w:rsidRDefault="00487D64">
      <w:pPr>
        <w:pStyle w:val="BodyText"/>
        <w:spacing w:before="251"/>
      </w:pPr>
    </w:p>
    <w:p w:rsidR="00487D64" w:rsidRDefault="006F0D93">
      <w:pPr>
        <w:pStyle w:val="Heading1"/>
        <w:numPr>
          <w:ilvl w:val="2"/>
          <w:numId w:val="10"/>
        </w:numPr>
        <w:tabs>
          <w:tab w:val="left" w:pos="2860"/>
        </w:tabs>
        <w:spacing w:before="1"/>
      </w:pPr>
      <w:bookmarkStart w:id="95" w:name="3.10.2____Inferential_Analysis"/>
      <w:bookmarkStart w:id="96" w:name="_bookmark47"/>
      <w:bookmarkEnd w:id="95"/>
      <w:bookmarkEnd w:id="96"/>
      <w:r>
        <w:t>Inferential</w:t>
      </w:r>
      <w:r>
        <w:rPr>
          <w:spacing w:val="37"/>
        </w:rPr>
        <w:t xml:space="preserve"> </w:t>
      </w:r>
      <w:r>
        <w:rPr>
          <w:spacing w:val="-2"/>
        </w:rPr>
        <w:t>Analysis</w:t>
      </w:r>
    </w:p>
    <w:p w:rsidR="00487D64" w:rsidRDefault="00487D64">
      <w:pPr>
        <w:pStyle w:val="BodyText"/>
        <w:spacing w:before="18"/>
        <w:rPr>
          <w:b/>
        </w:rPr>
      </w:pPr>
    </w:p>
    <w:p w:rsidR="00487D64" w:rsidRDefault="006F0D93">
      <w:pPr>
        <w:pStyle w:val="BodyText"/>
        <w:spacing w:line="501" w:lineRule="auto"/>
        <w:ind w:left="1419" w:right="847"/>
        <w:jc w:val="both"/>
      </w:pPr>
      <w:r>
        <w:rPr>
          <w:w w:val="105"/>
        </w:rPr>
        <w:t>Inferential statistics</w:t>
      </w:r>
      <w:r>
        <w:rPr>
          <w:spacing w:val="-2"/>
          <w:w w:val="105"/>
        </w:rPr>
        <w:t xml:space="preserve"> </w:t>
      </w:r>
      <w:r>
        <w:rPr>
          <w:w w:val="105"/>
        </w:rPr>
        <w:t>were</w:t>
      </w:r>
      <w:r>
        <w:rPr>
          <w:spacing w:val="-1"/>
          <w:w w:val="105"/>
        </w:rPr>
        <w:t xml:space="preserve"> </w:t>
      </w:r>
      <w:r>
        <w:rPr>
          <w:w w:val="105"/>
        </w:rPr>
        <w:t>employed</w:t>
      </w:r>
      <w:r>
        <w:rPr>
          <w:spacing w:val="-6"/>
          <w:w w:val="105"/>
        </w:rPr>
        <w:t xml:space="preserve"> </w:t>
      </w:r>
      <w:r>
        <w:rPr>
          <w:w w:val="105"/>
        </w:rPr>
        <w:t>to</w:t>
      </w:r>
      <w:r>
        <w:rPr>
          <w:spacing w:val="-6"/>
          <w:w w:val="105"/>
        </w:rPr>
        <w:t xml:space="preserve"> </w:t>
      </w:r>
      <w:r>
        <w:rPr>
          <w:w w:val="105"/>
        </w:rPr>
        <w:t>test the study’s</w:t>
      </w:r>
      <w:r>
        <w:rPr>
          <w:spacing w:val="-1"/>
          <w:w w:val="105"/>
        </w:rPr>
        <w:t xml:space="preserve"> </w:t>
      </w:r>
      <w:r>
        <w:rPr>
          <w:w w:val="105"/>
        </w:rPr>
        <w:t>hypotheses</w:t>
      </w:r>
      <w:r>
        <w:rPr>
          <w:spacing w:val="-2"/>
          <w:w w:val="105"/>
        </w:rPr>
        <w:t xml:space="preserve"> </w:t>
      </w:r>
      <w:r>
        <w:rPr>
          <w:w w:val="105"/>
        </w:rPr>
        <w:t>and</w:t>
      </w:r>
      <w:r>
        <w:rPr>
          <w:spacing w:val="-6"/>
          <w:w w:val="105"/>
        </w:rPr>
        <w:t xml:space="preserve"> </w:t>
      </w:r>
      <w:r>
        <w:rPr>
          <w:w w:val="105"/>
        </w:rPr>
        <w:t>to</w:t>
      </w:r>
      <w:r>
        <w:rPr>
          <w:spacing w:val="-6"/>
          <w:w w:val="105"/>
        </w:rPr>
        <w:t xml:space="preserve"> </w:t>
      </w:r>
      <w:r>
        <w:rPr>
          <w:w w:val="105"/>
        </w:rPr>
        <w:t>evaluate</w:t>
      </w:r>
      <w:r>
        <w:rPr>
          <w:spacing w:val="-7"/>
          <w:w w:val="105"/>
        </w:rPr>
        <w:t xml:space="preserve"> </w:t>
      </w:r>
      <w:r>
        <w:rPr>
          <w:w w:val="105"/>
        </w:rPr>
        <w:t>the conceptual framework. The analysis was conducted using Partial Least Squares Structural Equation Modeling (PLS-SEM) in SmartPLS 4, which has emerged as a robust methodological approach for handling complex models with multiple latent construct</w:t>
      </w:r>
      <w:r>
        <w:rPr>
          <w:w w:val="105"/>
        </w:rPr>
        <w:t>s and interrelated structural relationships. PLS-SEM was particularly suitable for this study because it accommodates moderating effects, requires fewer distributional assumptions compared to covariance-based SEM (CB-SEM), and is well-suited for studies wi</w:t>
      </w:r>
      <w:r>
        <w:rPr>
          <w:w w:val="105"/>
        </w:rPr>
        <w:t>th small to medium sample sizes and non-normal data distributions (Hair, Hult, Ringle, &amp; Sarstedt, 2019). These features made PLS-SEM appropriate</w:t>
      </w:r>
      <w:r>
        <w:rPr>
          <w:spacing w:val="-3"/>
          <w:w w:val="105"/>
        </w:rPr>
        <w:t xml:space="preserve"> </w:t>
      </w:r>
      <w:r>
        <w:rPr>
          <w:w w:val="105"/>
        </w:rPr>
        <w:t>for</w:t>
      </w:r>
      <w:r>
        <w:rPr>
          <w:spacing w:val="-5"/>
          <w:w w:val="105"/>
        </w:rPr>
        <w:t xml:space="preserve"> </w:t>
      </w:r>
      <w:r>
        <w:rPr>
          <w:w w:val="105"/>
        </w:rPr>
        <w:t>analyzing</w:t>
      </w:r>
      <w:r>
        <w:rPr>
          <w:spacing w:val="-8"/>
          <w:w w:val="105"/>
        </w:rPr>
        <w:t xml:space="preserve"> </w:t>
      </w:r>
      <w:r>
        <w:rPr>
          <w:w w:val="105"/>
        </w:rPr>
        <w:t>the</w:t>
      </w:r>
      <w:r>
        <w:rPr>
          <w:spacing w:val="-9"/>
          <w:w w:val="105"/>
        </w:rPr>
        <w:t xml:space="preserve"> </w:t>
      </w:r>
      <w:r>
        <w:rPr>
          <w:w w:val="105"/>
        </w:rPr>
        <w:t>relationship</w:t>
      </w:r>
      <w:r>
        <w:rPr>
          <w:spacing w:val="-2"/>
          <w:w w:val="105"/>
        </w:rPr>
        <w:t xml:space="preserve"> </w:t>
      </w:r>
      <w:r>
        <w:rPr>
          <w:w w:val="105"/>
        </w:rPr>
        <w:t>between</w:t>
      </w:r>
      <w:r>
        <w:rPr>
          <w:spacing w:val="-2"/>
          <w:w w:val="105"/>
        </w:rPr>
        <w:t xml:space="preserve"> </w:t>
      </w:r>
      <w:r>
        <w:rPr>
          <w:w w:val="105"/>
        </w:rPr>
        <w:t>market</w:t>
      </w:r>
      <w:r>
        <w:rPr>
          <w:spacing w:val="-6"/>
          <w:w w:val="105"/>
        </w:rPr>
        <w:t xml:space="preserve"> </w:t>
      </w:r>
      <w:r>
        <w:rPr>
          <w:w w:val="105"/>
        </w:rPr>
        <w:t>orientation</w:t>
      </w:r>
      <w:r>
        <w:rPr>
          <w:spacing w:val="-14"/>
          <w:w w:val="105"/>
        </w:rPr>
        <w:t xml:space="preserve"> </w:t>
      </w:r>
      <w:r>
        <w:rPr>
          <w:w w:val="105"/>
        </w:rPr>
        <w:t>and</w:t>
      </w:r>
      <w:r>
        <w:rPr>
          <w:spacing w:val="-8"/>
          <w:w w:val="105"/>
        </w:rPr>
        <w:t xml:space="preserve"> </w:t>
      </w:r>
      <w:r>
        <w:rPr>
          <w:w w:val="105"/>
        </w:rPr>
        <w:t xml:space="preserve">sustainable competitiveness among special group </w:t>
      </w:r>
      <w:r>
        <w:rPr>
          <w:w w:val="105"/>
        </w:rPr>
        <w:t xml:space="preserve">SMEs in Tanzania’s public procurement system, a context characterized by heterogeneous firm conditions and potential data </w:t>
      </w:r>
      <w:r>
        <w:rPr>
          <w:spacing w:val="-2"/>
          <w:w w:val="105"/>
        </w:rPr>
        <w:t>non-normality.</w:t>
      </w:r>
    </w:p>
    <w:p w:rsidR="00487D64" w:rsidRDefault="006F0D93">
      <w:pPr>
        <w:pStyle w:val="BodyText"/>
        <w:spacing w:before="233" w:line="504" w:lineRule="auto"/>
        <w:ind w:left="1419" w:right="853"/>
        <w:jc w:val="both"/>
      </w:pPr>
      <w:r>
        <w:rPr>
          <w:w w:val="105"/>
        </w:rPr>
        <w:t>The</w:t>
      </w:r>
      <w:r>
        <w:rPr>
          <w:spacing w:val="-6"/>
          <w:w w:val="105"/>
        </w:rPr>
        <w:t xml:space="preserve"> </w:t>
      </w:r>
      <w:r>
        <w:rPr>
          <w:w w:val="105"/>
        </w:rPr>
        <w:t>analysis</w:t>
      </w:r>
      <w:r>
        <w:rPr>
          <w:spacing w:val="-1"/>
          <w:w w:val="105"/>
        </w:rPr>
        <w:t xml:space="preserve"> </w:t>
      </w:r>
      <w:r>
        <w:rPr>
          <w:w w:val="105"/>
        </w:rPr>
        <w:t>followed the two-step procedure recommended by</w:t>
      </w:r>
      <w:r>
        <w:rPr>
          <w:spacing w:val="-5"/>
          <w:w w:val="105"/>
        </w:rPr>
        <w:t xml:space="preserve"> </w:t>
      </w:r>
      <w:r>
        <w:rPr>
          <w:w w:val="105"/>
        </w:rPr>
        <w:t>Hair et</w:t>
      </w:r>
      <w:r>
        <w:rPr>
          <w:spacing w:val="-3"/>
          <w:w w:val="105"/>
        </w:rPr>
        <w:t xml:space="preserve"> </w:t>
      </w:r>
      <w:r>
        <w:rPr>
          <w:w w:val="105"/>
        </w:rPr>
        <w:t>al.</w:t>
      </w:r>
      <w:r>
        <w:rPr>
          <w:spacing w:val="-3"/>
          <w:w w:val="105"/>
        </w:rPr>
        <w:t xml:space="preserve"> </w:t>
      </w:r>
      <w:r>
        <w:rPr>
          <w:w w:val="105"/>
        </w:rPr>
        <w:t>(2022).</w:t>
      </w:r>
      <w:r>
        <w:rPr>
          <w:spacing w:val="-3"/>
          <w:w w:val="105"/>
        </w:rPr>
        <w:t xml:space="preserve"> </w:t>
      </w:r>
      <w:r>
        <w:rPr>
          <w:w w:val="105"/>
        </w:rPr>
        <w:t>In the</w:t>
      </w:r>
      <w:r>
        <w:rPr>
          <w:spacing w:val="18"/>
          <w:w w:val="105"/>
        </w:rPr>
        <w:t xml:space="preserve"> </w:t>
      </w:r>
      <w:r>
        <w:rPr>
          <w:w w:val="105"/>
        </w:rPr>
        <w:t>first</w:t>
      </w:r>
      <w:r>
        <w:rPr>
          <w:spacing w:val="21"/>
          <w:w w:val="105"/>
        </w:rPr>
        <w:t xml:space="preserve"> </w:t>
      </w:r>
      <w:r>
        <w:rPr>
          <w:w w:val="105"/>
        </w:rPr>
        <w:t>stage,</w:t>
      </w:r>
      <w:r>
        <w:rPr>
          <w:spacing w:val="20"/>
          <w:w w:val="105"/>
        </w:rPr>
        <w:t xml:space="preserve"> </w:t>
      </w:r>
      <w:r>
        <w:rPr>
          <w:w w:val="105"/>
        </w:rPr>
        <w:t>the</w:t>
      </w:r>
      <w:r>
        <w:rPr>
          <w:spacing w:val="18"/>
          <w:w w:val="105"/>
        </w:rPr>
        <w:t xml:space="preserve"> </w:t>
      </w:r>
      <w:r>
        <w:rPr>
          <w:w w:val="105"/>
        </w:rPr>
        <w:t>measurement</w:t>
      </w:r>
      <w:r>
        <w:rPr>
          <w:spacing w:val="22"/>
          <w:w w:val="105"/>
        </w:rPr>
        <w:t xml:space="preserve"> </w:t>
      </w:r>
      <w:r>
        <w:rPr>
          <w:w w:val="105"/>
        </w:rPr>
        <w:t>mod</w:t>
      </w:r>
      <w:r>
        <w:rPr>
          <w:w w:val="105"/>
        </w:rPr>
        <w:t>el</w:t>
      </w:r>
      <w:r>
        <w:rPr>
          <w:spacing w:val="21"/>
          <w:w w:val="105"/>
        </w:rPr>
        <w:t xml:space="preserve"> </w:t>
      </w:r>
      <w:r>
        <w:rPr>
          <w:w w:val="105"/>
        </w:rPr>
        <w:t>was</w:t>
      </w:r>
      <w:r>
        <w:rPr>
          <w:spacing w:val="11"/>
          <w:w w:val="105"/>
        </w:rPr>
        <w:t xml:space="preserve"> </w:t>
      </w:r>
      <w:r>
        <w:rPr>
          <w:w w:val="105"/>
        </w:rPr>
        <w:t>assessed</w:t>
      </w:r>
      <w:r>
        <w:rPr>
          <w:spacing w:val="13"/>
          <w:w w:val="105"/>
        </w:rPr>
        <w:t xml:space="preserve"> </w:t>
      </w:r>
      <w:r>
        <w:rPr>
          <w:w w:val="105"/>
        </w:rPr>
        <w:t>to</w:t>
      </w:r>
      <w:r>
        <w:rPr>
          <w:spacing w:val="19"/>
          <w:w w:val="105"/>
        </w:rPr>
        <w:t xml:space="preserve"> </w:t>
      </w:r>
      <w:r>
        <w:rPr>
          <w:w w:val="105"/>
        </w:rPr>
        <w:t>establish</w:t>
      </w:r>
      <w:r>
        <w:rPr>
          <w:spacing w:val="14"/>
          <w:w w:val="105"/>
        </w:rPr>
        <w:t xml:space="preserve"> </w:t>
      </w:r>
      <w:r>
        <w:rPr>
          <w:w w:val="105"/>
        </w:rPr>
        <w:t>the</w:t>
      </w:r>
      <w:r>
        <w:rPr>
          <w:spacing w:val="20"/>
          <w:w w:val="105"/>
        </w:rPr>
        <w:t xml:space="preserve"> </w:t>
      </w:r>
      <w:r>
        <w:rPr>
          <w:w w:val="105"/>
        </w:rPr>
        <w:t>assessment</w:t>
      </w:r>
      <w:r>
        <w:rPr>
          <w:spacing w:val="15"/>
          <w:w w:val="105"/>
        </w:rPr>
        <w:t xml:space="preserve"> </w:t>
      </w:r>
      <w:r>
        <w:rPr>
          <w:spacing w:val="-5"/>
          <w:w w:val="105"/>
        </w:rPr>
        <w:t>of</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3"/>
        <w:jc w:val="both"/>
      </w:pPr>
      <w:r>
        <w:rPr>
          <w:w w:val="105"/>
        </w:rPr>
        <w:t>measurement properties, l.e, psychometric properties of the constructs. Reliability was examined using indicator loadings, where values of 0.70 or higher indicated acceptable item</w:t>
      </w:r>
      <w:r>
        <w:rPr>
          <w:w w:val="105"/>
        </w:rPr>
        <w:t xml:space="preserve"> reliability. Internal consistency was assessed using Cronbach’s Alpha</w:t>
      </w:r>
      <w:r>
        <w:rPr>
          <w:b/>
          <w:w w:val="105"/>
        </w:rPr>
        <w:t>,</w:t>
      </w:r>
      <w:r>
        <w:rPr>
          <w:b/>
          <w:spacing w:val="-4"/>
          <w:w w:val="105"/>
        </w:rPr>
        <w:t xml:space="preserve"> </w:t>
      </w:r>
      <w:r>
        <w:rPr>
          <w:w w:val="105"/>
        </w:rPr>
        <w:t>Composite</w:t>
      </w:r>
      <w:r>
        <w:rPr>
          <w:spacing w:val="-7"/>
          <w:w w:val="105"/>
        </w:rPr>
        <w:t xml:space="preserve"> </w:t>
      </w:r>
      <w:r>
        <w:rPr>
          <w:w w:val="105"/>
        </w:rPr>
        <w:t>Reliability</w:t>
      </w:r>
      <w:r>
        <w:rPr>
          <w:spacing w:val="-12"/>
          <w:w w:val="105"/>
        </w:rPr>
        <w:t xml:space="preserve"> </w:t>
      </w:r>
      <w:r>
        <w:rPr>
          <w:w w:val="105"/>
        </w:rPr>
        <w:t>(CR),</w:t>
      </w:r>
      <w:r>
        <w:rPr>
          <w:spacing w:val="-4"/>
          <w:w w:val="105"/>
        </w:rPr>
        <w:t xml:space="preserve"> </w:t>
      </w:r>
      <w:r>
        <w:rPr>
          <w:w w:val="105"/>
        </w:rPr>
        <w:t>and</w:t>
      </w:r>
      <w:r>
        <w:rPr>
          <w:spacing w:val="-5"/>
          <w:w w:val="105"/>
        </w:rPr>
        <w:t xml:space="preserve"> </w:t>
      </w:r>
      <w:r>
        <w:rPr>
          <w:w w:val="105"/>
        </w:rPr>
        <w:t>rho_A,</w:t>
      </w:r>
      <w:r>
        <w:rPr>
          <w:spacing w:val="-10"/>
          <w:w w:val="105"/>
        </w:rPr>
        <w:t xml:space="preserve"> </w:t>
      </w:r>
      <w:r>
        <w:rPr>
          <w:w w:val="105"/>
        </w:rPr>
        <w:t>all</w:t>
      </w:r>
      <w:r>
        <w:rPr>
          <w:spacing w:val="-4"/>
          <w:w w:val="105"/>
        </w:rPr>
        <w:t xml:space="preserve"> </w:t>
      </w:r>
      <w:r>
        <w:rPr>
          <w:w w:val="105"/>
        </w:rPr>
        <w:t>of</w:t>
      </w:r>
      <w:r>
        <w:rPr>
          <w:spacing w:val="-2"/>
          <w:w w:val="105"/>
        </w:rPr>
        <w:t xml:space="preserve"> </w:t>
      </w:r>
      <w:r>
        <w:rPr>
          <w:w w:val="105"/>
        </w:rPr>
        <w:t>which</w:t>
      </w:r>
      <w:r>
        <w:rPr>
          <w:spacing w:val="-6"/>
          <w:w w:val="105"/>
        </w:rPr>
        <w:t xml:space="preserve"> </w:t>
      </w:r>
      <w:r>
        <w:rPr>
          <w:w w:val="105"/>
        </w:rPr>
        <w:t>were expected to exceed</w:t>
      </w:r>
    </w:p>
    <w:p w:rsidR="00487D64" w:rsidRDefault="006F0D93">
      <w:pPr>
        <w:pStyle w:val="BodyText"/>
        <w:spacing w:before="1" w:line="499" w:lineRule="auto"/>
        <w:ind w:left="1419" w:right="849"/>
        <w:jc w:val="both"/>
      </w:pPr>
      <w:r>
        <w:rPr>
          <w:w w:val="105"/>
        </w:rPr>
        <w:t>0.70. Convergent validity was confirmed through the Average Variance Extracted (AVE)</w:t>
      </w:r>
      <w:r>
        <w:rPr>
          <w:b/>
          <w:w w:val="105"/>
        </w:rPr>
        <w:t xml:space="preserve">, </w:t>
      </w:r>
      <w:r>
        <w:rPr>
          <w:w w:val="105"/>
        </w:rPr>
        <w:t>with thresholds of 0.5</w:t>
      </w:r>
      <w:r>
        <w:rPr>
          <w:w w:val="105"/>
        </w:rPr>
        <w:t>0 or higher, indicating that each construct explained more than half of the variance of its indicators. Discriminant validity was evaluated using the Fornell–Larcker criterion and the Heterotrait–Monotrait (HTMT) ratio, ensuring that constructs were empiri</w:t>
      </w:r>
      <w:r>
        <w:rPr>
          <w:w w:val="105"/>
        </w:rPr>
        <w:t>cally distinct, with HTMT values below 0.85.</w:t>
      </w:r>
    </w:p>
    <w:p w:rsidR="00487D64" w:rsidRDefault="006F0D93">
      <w:pPr>
        <w:pStyle w:val="BodyText"/>
        <w:spacing w:before="246" w:line="501" w:lineRule="auto"/>
        <w:ind w:left="1419" w:right="851"/>
        <w:jc w:val="both"/>
      </w:pPr>
      <w:r>
        <w:rPr>
          <w:w w:val="105"/>
        </w:rPr>
        <w:t>In stage two, the structural model was evaluated to determine the hypothesized causal relationships among variables. Several key metrics were employed:</w:t>
      </w:r>
      <w:r>
        <w:rPr>
          <w:w w:val="105"/>
        </w:rPr>
        <w:t xml:space="preserve"> the coefficient of determination (R²) assessed the explanatory power of the endogenous construct, while predictive relevance (Q²) obtained</w:t>
      </w:r>
      <w:r>
        <w:rPr>
          <w:spacing w:val="-3"/>
          <w:w w:val="105"/>
        </w:rPr>
        <w:t xml:space="preserve"> </w:t>
      </w:r>
      <w:r>
        <w:rPr>
          <w:w w:val="105"/>
        </w:rPr>
        <w:t>through blindfolding verified the model’s predictive accuracy. Path coefficients (β values) were estimated to test t</w:t>
      </w:r>
      <w:r>
        <w:rPr>
          <w:w w:val="105"/>
        </w:rPr>
        <w:t>he direction</w:t>
      </w:r>
      <w:r>
        <w:rPr>
          <w:spacing w:val="-1"/>
          <w:w w:val="105"/>
        </w:rPr>
        <w:t xml:space="preserve"> </w:t>
      </w:r>
      <w:r>
        <w:rPr>
          <w:w w:val="105"/>
        </w:rPr>
        <w:t>and strength</w:t>
      </w:r>
      <w:r>
        <w:rPr>
          <w:spacing w:val="-1"/>
          <w:w w:val="105"/>
        </w:rPr>
        <w:t xml:space="preserve"> </w:t>
      </w:r>
      <w:r>
        <w:rPr>
          <w:w w:val="105"/>
        </w:rPr>
        <w:t>of hypothesized</w:t>
      </w:r>
      <w:r>
        <w:rPr>
          <w:spacing w:val="-1"/>
          <w:w w:val="105"/>
        </w:rPr>
        <w:t xml:space="preserve"> </w:t>
      </w:r>
      <w:r>
        <w:rPr>
          <w:w w:val="105"/>
        </w:rPr>
        <w:t>relationships, and</w:t>
      </w:r>
      <w:r>
        <w:rPr>
          <w:spacing w:val="-1"/>
          <w:w w:val="105"/>
        </w:rPr>
        <w:t xml:space="preserve"> </w:t>
      </w:r>
      <w:r>
        <w:rPr>
          <w:w w:val="105"/>
        </w:rPr>
        <w:t>their statistical significance was determined using the bootstrapping technique with 5,000 resamples, a robust approach that provides standard errors and confidence intervals without relying on d</w:t>
      </w:r>
      <w:r>
        <w:rPr>
          <w:w w:val="105"/>
        </w:rPr>
        <w:t>ata normality. The effect size (ƒ²) was calculated to determine the relative contribution of each exogenous construct, while Variance Inflation Factor (VIF) values were used to assess multicollinearity, with thresholds below 3.3 indicating that collinearit</w:t>
      </w:r>
      <w:r>
        <w:rPr>
          <w:w w:val="105"/>
        </w:rPr>
        <w:t>y was not a concern. Finally, model fit was assessed using the Standardized Root Mean Square Residual (SRMR), which has been increasingly recognized as an overall fit index in PLS-SEM studies.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Heading1"/>
        <w:numPr>
          <w:ilvl w:val="1"/>
          <w:numId w:val="10"/>
        </w:numPr>
        <w:tabs>
          <w:tab w:val="left" w:pos="2860"/>
        </w:tabs>
        <w:spacing w:before="1"/>
        <w:ind w:left="2860" w:hanging="1441"/>
      </w:pPr>
      <w:bookmarkStart w:id="97" w:name="3.11____Assessment_of_Reflective_Measure"/>
      <w:bookmarkStart w:id="98" w:name="_bookmark48"/>
      <w:bookmarkEnd w:id="97"/>
      <w:bookmarkEnd w:id="98"/>
      <w:r>
        <w:t>Assessment</w:t>
      </w:r>
      <w:r>
        <w:rPr>
          <w:spacing w:val="32"/>
        </w:rPr>
        <w:t xml:space="preserve"> </w:t>
      </w:r>
      <w:r>
        <w:t>of</w:t>
      </w:r>
      <w:r>
        <w:rPr>
          <w:spacing w:val="32"/>
        </w:rPr>
        <w:t xml:space="preserve"> </w:t>
      </w:r>
      <w:r>
        <w:t>Reflective</w:t>
      </w:r>
      <w:r>
        <w:rPr>
          <w:spacing w:val="35"/>
        </w:rPr>
        <w:t xml:space="preserve"> </w:t>
      </w:r>
      <w:r>
        <w:t>Measurement</w:t>
      </w:r>
      <w:r>
        <w:rPr>
          <w:spacing w:val="32"/>
        </w:rPr>
        <w:t xml:space="preserve"> </w:t>
      </w:r>
      <w:r>
        <w:rPr>
          <w:spacing w:val="-2"/>
        </w:rPr>
        <w:t>Mode</w:t>
      </w:r>
      <w:r>
        <w:rPr>
          <w:spacing w:val="-2"/>
        </w:rPr>
        <w:t>ls</w:t>
      </w:r>
    </w:p>
    <w:p w:rsidR="00487D64" w:rsidRDefault="00487D64">
      <w:pPr>
        <w:pStyle w:val="BodyText"/>
        <w:spacing w:before="18"/>
        <w:rPr>
          <w:b/>
        </w:rPr>
      </w:pPr>
    </w:p>
    <w:p w:rsidR="00487D64" w:rsidRDefault="006F0D93">
      <w:pPr>
        <w:pStyle w:val="BodyText"/>
        <w:spacing w:line="501" w:lineRule="auto"/>
        <w:ind w:left="1419" w:right="852"/>
        <w:jc w:val="both"/>
      </w:pPr>
      <w:r>
        <w:rPr>
          <w:w w:val="105"/>
        </w:rPr>
        <w:t>Testing theory using PLS-SEM follows a two-step process (Hair, Black, Babin, &amp; Anderson, 2019).</w:t>
      </w:r>
      <w:r>
        <w:rPr>
          <w:spacing w:val="-4"/>
          <w:w w:val="105"/>
        </w:rPr>
        <w:t xml:space="preserve"> </w:t>
      </w:r>
      <w:r>
        <w:rPr>
          <w:w w:val="105"/>
        </w:rPr>
        <w:t xml:space="preserve">We first test the measurement theory to confirm the reliability and validity of the measurement models. After the measurement models are confirmed, we move </w:t>
      </w:r>
      <w:r>
        <w:rPr>
          <w:w w:val="105"/>
        </w:rPr>
        <w:t>on to testing the structural theory. The logic is that we must first confirm the</w:t>
      </w:r>
      <w:r>
        <w:rPr>
          <w:spacing w:val="-9"/>
          <w:w w:val="105"/>
        </w:rPr>
        <w:t xml:space="preserve"> </w:t>
      </w:r>
      <w:r>
        <w:rPr>
          <w:w w:val="105"/>
        </w:rPr>
        <w:t>measurement</w:t>
      </w:r>
      <w:r>
        <w:rPr>
          <w:spacing w:val="-6"/>
          <w:w w:val="105"/>
        </w:rPr>
        <w:t xml:space="preserve"> </w:t>
      </w:r>
      <w:r>
        <w:rPr>
          <w:w w:val="105"/>
        </w:rPr>
        <w:t>theory</w:t>
      </w:r>
      <w:r>
        <w:rPr>
          <w:spacing w:val="-8"/>
          <w:w w:val="105"/>
        </w:rPr>
        <w:t xml:space="preserve"> </w:t>
      </w:r>
      <w:r>
        <w:rPr>
          <w:w w:val="105"/>
        </w:rPr>
        <w:t>before</w:t>
      </w:r>
      <w:r>
        <w:rPr>
          <w:spacing w:val="-9"/>
          <w:w w:val="105"/>
        </w:rPr>
        <w:t xml:space="preserve"> </w:t>
      </w:r>
      <w:r>
        <w:rPr>
          <w:w w:val="105"/>
        </w:rPr>
        <w:t>testing</w:t>
      </w:r>
      <w:r>
        <w:rPr>
          <w:spacing w:val="-2"/>
          <w:w w:val="105"/>
        </w:rPr>
        <w:t xml:space="preserve"> </w:t>
      </w:r>
      <w:r>
        <w:rPr>
          <w:w w:val="105"/>
        </w:rPr>
        <w:t>the</w:t>
      </w:r>
      <w:r>
        <w:rPr>
          <w:spacing w:val="-3"/>
          <w:w w:val="105"/>
        </w:rPr>
        <w:t xml:space="preserve"> </w:t>
      </w:r>
      <w:r>
        <w:rPr>
          <w:w w:val="105"/>
        </w:rPr>
        <w:t>structural</w:t>
      </w:r>
      <w:r>
        <w:rPr>
          <w:spacing w:val="-6"/>
          <w:w w:val="105"/>
        </w:rPr>
        <w:t xml:space="preserve"> </w:t>
      </w:r>
      <w:r>
        <w:rPr>
          <w:w w:val="105"/>
        </w:rPr>
        <w:t>theory,</w:t>
      </w:r>
      <w:r>
        <w:rPr>
          <w:spacing w:val="-6"/>
          <w:w w:val="105"/>
        </w:rPr>
        <w:t xml:space="preserve"> </w:t>
      </w:r>
      <w:r>
        <w:rPr>
          <w:w w:val="105"/>
        </w:rPr>
        <w:t>because</w:t>
      </w:r>
      <w:r>
        <w:rPr>
          <w:spacing w:val="-3"/>
          <w:w w:val="105"/>
        </w:rPr>
        <w:t xml:space="preserve"> </w:t>
      </w:r>
      <w:r>
        <w:rPr>
          <w:w w:val="105"/>
        </w:rPr>
        <w:t>structural</w:t>
      </w:r>
      <w:r>
        <w:rPr>
          <w:spacing w:val="-12"/>
          <w:w w:val="105"/>
        </w:rPr>
        <w:t xml:space="preserve"> </w:t>
      </w:r>
      <w:r>
        <w:rPr>
          <w:w w:val="105"/>
        </w:rPr>
        <w:t>theory cannot be confirmed if the measures are unreliable or invalid.</w:t>
      </w:r>
    </w:p>
    <w:p w:rsidR="00487D64" w:rsidRDefault="006F0D93">
      <w:pPr>
        <w:pStyle w:val="BodyText"/>
        <w:spacing w:before="235" w:line="501" w:lineRule="auto"/>
        <w:ind w:left="1419" w:right="849"/>
        <w:jc w:val="both"/>
      </w:pPr>
      <w:r>
        <w:rPr>
          <w:w w:val="105"/>
        </w:rPr>
        <w:t>The assessment of the measurement models is the first step in evaluating the results of PLS-SEM analysis, which is composed of reflective constructs. To find out if the result of</w:t>
      </w:r>
      <w:r>
        <w:rPr>
          <w:spacing w:val="-10"/>
          <w:w w:val="105"/>
        </w:rPr>
        <w:t xml:space="preserve"> </w:t>
      </w:r>
      <w:r>
        <w:rPr>
          <w:w w:val="105"/>
        </w:rPr>
        <w:t>the</w:t>
      </w:r>
      <w:r>
        <w:rPr>
          <w:spacing w:val="-2"/>
          <w:w w:val="105"/>
        </w:rPr>
        <w:t xml:space="preserve"> </w:t>
      </w:r>
      <w:r>
        <w:rPr>
          <w:w w:val="105"/>
        </w:rPr>
        <w:t>measurement models</w:t>
      </w:r>
      <w:r>
        <w:rPr>
          <w:spacing w:val="-3"/>
          <w:w w:val="105"/>
        </w:rPr>
        <w:t xml:space="preserve"> </w:t>
      </w:r>
      <w:r>
        <w:rPr>
          <w:w w:val="105"/>
        </w:rPr>
        <w:t>will meet</w:t>
      </w:r>
      <w:r>
        <w:rPr>
          <w:spacing w:val="-5"/>
          <w:w w:val="105"/>
        </w:rPr>
        <w:t xml:space="preserve"> </w:t>
      </w:r>
      <w:r>
        <w:rPr>
          <w:w w:val="105"/>
        </w:rPr>
        <w:t>the</w:t>
      </w:r>
      <w:r>
        <w:rPr>
          <w:spacing w:val="-2"/>
          <w:w w:val="105"/>
        </w:rPr>
        <w:t xml:space="preserve"> </w:t>
      </w:r>
      <w:r>
        <w:rPr>
          <w:w w:val="105"/>
        </w:rPr>
        <w:t>cut-off</w:t>
      </w:r>
      <w:r>
        <w:rPr>
          <w:spacing w:val="-4"/>
          <w:w w:val="105"/>
        </w:rPr>
        <w:t xml:space="preserve"> </w:t>
      </w:r>
      <w:r>
        <w:rPr>
          <w:w w:val="105"/>
        </w:rPr>
        <w:t>criteria</w:t>
      </w:r>
      <w:r>
        <w:rPr>
          <w:spacing w:val="-2"/>
          <w:w w:val="105"/>
        </w:rPr>
        <w:t xml:space="preserve"> </w:t>
      </w:r>
      <w:r>
        <w:rPr>
          <w:w w:val="105"/>
        </w:rPr>
        <w:t>to</w:t>
      </w:r>
      <w:r>
        <w:rPr>
          <w:spacing w:val="-1"/>
          <w:w w:val="105"/>
        </w:rPr>
        <w:t xml:space="preserve"> </w:t>
      </w:r>
      <w:r>
        <w:rPr>
          <w:w w:val="105"/>
        </w:rPr>
        <w:t>move forward</w:t>
      </w:r>
      <w:r>
        <w:rPr>
          <w:spacing w:val="-1"/>
          <w:w w:val="105"/>
        </w:rPr>
        <w:t xml:space="preserve"> </w:t>
      </w:r>
      <w:r>
        <w:rPr>
          <w:w w:val="105"/>
        </w:rPr>
        <w:t>with th</w:t>
      </w:r>
      <w:r>
        <w:rPr>
          <w:w w:val="105"/>
        </w:rPr>
        <w:t>e structural model assessment at the next stage. PLS-SEM follows comprehensive rules that recommend how the researcher can evaluate models and interpret the calculations, the same to most of the common statistical methods</w:t>
      </w:r>
      <w:r>
        <w:rPr>
          <w:spacing w:val="-1"/>
          <w:w w:val="105"/>
        </w:rPr>
        <w:t xml:space="preserve"> </w:t>
      </w:r>
      <w:r>
        <w:rPr>
          <w:w w:val="105"/>
        </w:rPr>
        <w:t>that typically vary according to t</w:t>
      </w:r>
      <w:r>
        <w:rPr>
          <w:w w:val="105"/>
        </w:rPr>
        <w:t>he research context and types, for instance, the aim of the analysis as well as data availability (Hair et al., 2017; Hair et al., 2019). The criteria for evaluation of</w:t>
      </w:r>
      <w:r>
        <w:rPr>
          <w:spacing w:val="-2"/>
          <w:w w:val="105"/>
        </w:rPr>
        <w:t xml:space="preserve"> </w:t>
      </w:r>
      <w:r>
        <w:rPr>
          <w:w w:val="105"/>
        </w:rPr>
        <w:t>the outer model are shown below in Table 3.4.</w:t>
      </w:r>
    </w:p>
    <w:p w:rsidR="00487D64" w:rsidRDefault="006F0D93">
      <w:pPr>
        <w:spacing w:before="240"/>
        <w:ind w:left="1419"/>
        <w:jc w:val="both"/>
        <w:rPr>
          <w:b/>
          <w:sz w:val="23"/>
        </w:rPr>
      </w:pPr>
      <w:r>
        <w:rPr>
          <w:b/>
          <w:w w:val="105"/>
          <w:sz w:val="23"/>
        </w:rPr>
        <w:t>Table</w:t>
      </w:r>
      <w:r>
        <w:rPr>
          <w:b/>
          <w:spacing w:val="-10"/>
          <w:w w:val="105"/>
          <w:sz w:val="23"/>
        </w:rPr>
        <w:t xml:space="preserve"> </w:t>
      </w:r>
      <w:r>
        <w:rPr>
          <w:b/>
          <w:w w:val="105"/>
          <w:sz w:val="23"/>
        </w:rPr>
        <w:t>3.</w:t>
      </w:r>
      <w:r>
        <w:rPr>
          <w:b/>
          <w:spacing w:val="-13"/>
          <w:w w:val="105"/>
          <w:sz w:val="23"/>
        </w:rPr>
        <w:t xml:space="preserve"> </w:t>
      </w:r>
      <w:r>
        <w:rPr>
          <w:b/>
          <w:w w:val="105"/>
          <w:sz w:val="23"/>
        </w:rPr>
        <w:t>4:</w:t>
      </w:r>
      <w:r>
        <w:rPr>
          <w:b/>
          <w:spacing w:val="-11"/>
          <w:w w:val="105"/>
          <w:sz w:val="23"/>
        </w:rPr>
        <w:t xml:space="preserve"> </w:t>
      </w:r>
      <w:r>
        <w:rPr>
          <w:b/>
          <w:w w:val="105"/>
          <w:sz w:val="23"/>
        </w:rPr>
        <w:t>The</w:t>
      </w:r>
      <w:r>
        <w:rPr>
          <w:b/>
          <w:spacing w:val="-4"/>
          <w:w w:val="105"/>
          <w:sz w:val="23"/>
        </w:rPr>
        <w:t xml:space="preserve"> </w:t>
      </w:r>
      <w:r>
        <w:rPr>
          <w:b/>
          <w:w w:val="105"/>
          <w:sz w:val="23"/>
        </w:rPr>
        <w:t>Assessment</w:t>
      </w:r>
      <w:r>
        <w:rPr>
          <w:b/>
          <w:spacing w:val="-12"/>
          <w:w w:val="105"/>
          <w:sz w:val="23"/>
        </w:rPr>
        <w:t xml:space="preserve"> </w:t>
      </w:r>
      <w:r>
        <w:rPr>
          <w:b/>
          <w:w w:val="105"/>
          <w:sz w:val="23"/>
        </w:rPr>
        <w:t>of</w:t>
      </w:r>
      <w:r>
        <w:rPr>
          <w:b/>
          <w:spacing w:val="-5"/>
          <w:w w:val="105"/>
          <w:sz w:val="23"/>
        </w:rPr>
        <w:t xml:space="preserve"> </w:t>
      </w:r>
      <w:r>
        <w:rPr>
          <w:b/>
          <w:w w:val="105"/>
          <w:sz w:val="23"/>
        </w:rPr>
        <w:t>the</w:t>
      </w:r>
      <w:r>
        <w:rPr>
          <w:b/>
          <w:spacing w:val="-10"/>
          <w:w w:val="105"/>
          <w:sz w:val="23"/>
        </w:rPr>
        <w:t xml:space="preserve"> </w:t>
      </w:r>
      <w:r>
        <w:rPr>
          <w:b/>
          <w:w w:val="105"/>
          <w:sz w:val="23"/>
        </w:rPr>
        <w:t>Measure</w:t>
      </w:r>
      <w:r>
        <w:rPr>
          <w:b/>
          <w:w w:val="105"/>
          <w:sz w:val="23"/>
        </w:rPr>
        <w:t>ment</w:t>
      </w:r>
      <w:r>
        <w:rPr>
          <w:b/>
          <w:spacing w:val="-6"/>
          <w:w w:val="105"/>
          <w:sz w:val="23"/>
        </w:rPr>
        <w:t xml:space="preserve"> </w:t>
      </w:r>
      <w:r>
        <w:rPr>
          <w:b/>
          <w:w w:val="105"/>
          <w:sz w:val="23"/>
        </w:rPr>
        <w:t>Model</w:t>
      </w:r>
      <w:r>
        <w:rPr>
          <w:b/>
          <w:spacing w:val="-13"/>
          <w:w w:val="105"/>
          <w:sz w:val="23"/>
        </w:rPr>
        <w:t xml:space="preserve"> </w:t>
      </w:r>
      <w:r>
        <w:rPr>
          <w:b/>
          <w:w w:val="105"/>
          <w:sz w:val="23"/>
        </w:rPr>
        <w:t>(Outer</w:t>
      </w:r>
      <w:r>
        <w:rPr>
          <w:b/>
          <w:spacing w:val="-10"/>
          <w:w w:val="105"/>
          <w:sz w:val="23"/>
        </w:rPr>
        <w:t xml:space="preserve"> </w:t>
      </w:r>
      <w:r>
        <w:rPr>
          <w:b/>
          <w:spacing w:val="-2"/>
          <w:w w:val="105"/>
          <w:sz w:val="23"/>
        </w:rPr>
        <w:t>Model)</w:t>
      </w:r>
    </w:p>
    <w:p w:rsidR="00487D64" w:rsidRDefault="00487D64">
      <w:pPr>
        <w:pStyle w:val="BodyText"/>
        <w:spacing w:before="11"/>
        <w:rPr>
          <w:b/>
          <w:sz w:val="11"/>
        </w:rPr>
      </w:pPr>
    </w:p>
    <w:tbl>
      <w:tblPr>
        <w:tblW w:w="0" w:type="auto"/>
        <w:tblInd w:w="1311" w:type="dxa"/>
        <w:tblLayout w:type="fixed"/>
        <w:tblCellMar>
          <w:left w:w="0" w:type="dxa"/>
          <w:right w:w="0" w:type="dxa"/>
        </w:tblCellMar>
        <w:tblLook w:val="01E0" w:firstRow="1" w:lastRow="1" w:firstColumn="1" w:lastColumn="1" w:noHBand="0" w:noVBand="0"/>
      </w:tblPr>
      <w:tblGrid>
        <w:gridCol w:w="2425"/>
        <w:gridCol w:w="3262"/>
        <w:gridCol w:w="2764"/>
      </w:tblGrid>
      <w:tr w:rsidR="00487D64">
        <w:trPr>
          <w:trHeight w:val="346"/>
        </w:trPr>
        <w:tc>
          <w:tcPr>
            <w:tcW w:w="2425" w:type="dxa"/>
            <w:tcBorders>
              <w:top w:val="single" w:sz="4" w:space="0" w:color="000000"/>
            </w:tcBorders>
          </w:tcPr>
          <w:p w:rsidR="00487D64" w:rsidRDefault="006F0D93">
            <w:pPr>
              <w:pStyle w:val="TableParagraph"/>
              <w:spacing w:before="7"/>
              <w:ind w:left="115"/>
              <w:rPr>
                <w:b/>
                <w:sz w:val="23"/>
              </w:rPr>
            </w:pPr>
            <w:r>
              <w:rPr>
                <w:b/>
                <w:spacing w:val="-2"/>
                <w:w w:val="105"/>
                <w:sz w:val="23"/>
              </w:rPr>
              <w:t>Criterion</w:t>
            </w:r>
          </w:p>
        </w:tc>
        <w:tc>
          <w:tcPr>
            <w:tcW w:w="3262" w:type="dxa"/>
            <w:tcBorders>
              <w:top w:val="single" w:sz="4" w:space="0" w:color="000000"/>
            </w:tcBorders>
          </w:tcPr>
          <w:p w:rsidR="00487D64" w:rsidRDefault="006F0D93">
            <w:pPr>
              <w:pStyle w:val="TableParagraph"/>
              <w:spacing w:before="7"/>
              <w:ind w:left="7" w:right="57"/>
              <w:jc w:val="center"/>
              <w:rPr>
                <w:b/>
                <w:sz w:val="23"/>
              </w:rPr>
            </w:pPr>
            <w:r>
              <w:rPr>
                <w:b/>
                <w:sz w:val="23"/>
              </w:rPr>
              <w:t>Criterion</w:t>
            </w:r>
            <w:r>
              <w:rPr>
                <w:b/>
                <w:spacing w:val="29"/>
                <w:sz w:val="23"/>
              </w:rPr>
              <w:t xml:space="preserve"> </w:t>
            </w:r>
            <w:r>
              <w:rPr>
                <w:b/>
                <w:spacing w:val="-2"/>
                <w:sz w:val="23"/>
              </w:rPr>
              <w:t>Description</w:t>
            </w:r>
          </w:p>
        </w:tc>
        <w:tc>
          <w:tcPr>
            <w:tcW w:w="2764" w:type="dxa"/>
            <w:tcBorders>
              <w:top w:val="single" w:sz="4" w:space="0" w:color="000000"/>
            </w:tcBorders>
          </w:tcPr>
          <w:p w:rsidR="00487D64" w:rsidRDefault="006F0D93">
            <w:pPr>
              <w:pStyle w:val="TableParagraph"/>
              <w:spacing w:before="7"/>
              <w:ind w:left="5" w:right="71"/>
              <w:jc w:val="center"/>
              <w:rPr>
                <w:b/>
                <w:sz w:val="23"/>
              </w:rPr>
            </w:pPr>
            <w:r>
              <w:rPr>
                <w:b/>
                <w:w w:val="105"/>
                <w:sz w:val="23"/>
              </w:rPr>
              <w:t>Rules</w:t>
            </w:r>
            <w:r>
              <w:rPr>
                <w:b/>
                <w:spacing w:val="-11"/>
                <w:w w:val="105"/>
                <w:sz w:val="23"/>
              </w:rPr>
              <w:t xml:space="preserve"> </w:t>
            </w:r>
            <w:r>
              <w:rPr>
                <w:b/>
                <w:w w:val="105"/>
                <w:sz w:val="23"/>
              </w:rPr>
              <w:t>of</w:t>
            </w:r>
            <w:r>
              <w:rPr>
                <w:b/>
                <w:spacing w:val="-10"/>
                <w:w w:val="105"/>
                <w:sz w:val="23"/>
              </w:rPr>
              <w:t xml:space="preserve"> </w:t>
            </w:r>
            <w:r>
              <w:rPr>
                <w:b/>
                <w:spacing w:val="-4"/>
                <w:w w:val="105"/>
                <w:sz w:val="23"/>
              </w:rPr>
              <w:t>Thumb</w:t>
            </w:r>
          </w:p>
        </w:tc>
      </w:tr>
      <w:tr w:rsidR="00487D64">
        <w:trPr>
          <w:trHeight w:val="896"/>
        </w:trPr>
        <w:tc>
          <w:tcPr>
            <w:tcW w:w="2425" w:type="dxa"/>
            <w:tcBorders>
              <w:bottom w:val="single" w:sz="4" w:space="0" w:color="000000"/>
            </w:tcBorders>
          </w:tcPr>
          <w:p w:rsidR="00487D64" w:rsidRDefault="006F0D93">
            <w:pPr>
              <w:pStyle w:val="TableParagraph"/>
              <w:spacing w:before="70"/>
              <w:ind w:left="115"/>
              <w:rPr>
                <w:sz w:val="23"/>
              </w:rPr>
            </w:pPr>
            <w:r>
              <w:rPr>
                <w:sz w:val="23"/>
              </w:rPr>
              <w:t>Significance</w:t>
            </w:r>
            <w:r>
              <w:rPr>
                <w:spacing w:val="42"/>
                <w:sz w:val="23"/>
              </w:rPr>
              <w:t xml:space="preserve"> </w:t>
            </w:r>
            <w:r>
              <w:rPr>
                <w:spacing w:val="-5"/>
                <w:sz w:val="23"/>
              </w:rPr>
              <w:t>of</w:t>
            </w:r>
          </w:p>
          <w:p w:rsidR="00487D64" w:rsidRDefault="006F0D93">
            <w:pPr>
              <w:pStyle w:val="TableParagraph"/>
              <w:spacing w:before="147"/>
              <w:ind w:left="115"/>
              <w:rPr>
                <w:sz w:val="23"/>
              </w:rPr>
            </w:pPr>
            <w:r>
              <w:rPr>
                <w:spacing w:val="-2"/>
                <w:w w:val="105"/>
                <w:sz w:val="23"/>
              </w:rPr>
              <w:t>weights</w:t>
            </w:r>
          </w:p>
        </w:tc>
        <w:tc>
          <w:tcPr>
            <w:tcW w:w="3262" w:type="dxa"/>
            <w:tcBorders>
              <w:bottom w:val="single" w:sz="4" w:space="0" w:color="000000"/>
            </w:tcBorders>
          </w:tcPr>
          <w:p w:rsidR="00487D64" w:rsidRDefault="006F0D93">
            <w:pPr>
              <w:pStyle w:val="TableParagraph"/>
              <w:spacing w:before="70"/>
              <w:ind w:left="14" w:right="57"/>
              <w:jc w:val="center"/>
              <w:rPr>
                <w:sz w:val="23"/>
              </w:rPr>
            </w:pPr>
            <w:r>
              <w:rPr>
                <w:sz w:val="23"/>
              </w:rPr>
              <w:t>Report</w:t>
            </w:r>
            <w:r>
              <w:rPr>
                <w:spacing w:val="25"/>
                <w:sz w:val="23"/>
              </w:rPr>
              <w:t xml:space="preserve"> </w:t>
            </w:r>
            <w:r>
              <w:rPr>
                <w:sz w:val="23"/>
              </w:rPr>
              <w:t>t-values</w:t>
            </w:r>
            <w:r>
              <w:rPr>
                <w:spacing w:val="19"/>
                <w:sz w:val="23"/>
              </w:rPr>
              <w:t xml:space="preserve"> </w:t>
            </w:r>
            <w:r>
              <w:rPr>
                <w:sz w:val="23"/>
              </w:rPr>
              <w:t>and</w:t>
            </w:r>
            <w:r>
              <w:rPr>
                <w:spacing w:val="33"/>
                <w:sz w:val="23"/>
              </w:rPr>
              <w:t xml:space="preserve"> </w:t>
            </w:r>
            <w:r>
              <w:rPr>
                <w:sz w:val="23"/>
              </w:rPr>
              <w:t>p-</w:t>
            </w:r>
            <w:r>
              <w:rPr>
                <w:spacing w:val="-2"/>
                <w:sz w:val="23"/>
              </w:rPr>
              <w:t>values</w:t>
            </w:r>
          </w:p>
        </w:tc>
        <w:tc>
          <w:tcPr>
            <w:tcW w:w="2764" w:type="dxa"/>
            <w:tcBorders>
              <w:bottom w:val="single" w:sz="4" w:space="0" w:color="000000"/>
            </w:tcBorders>
          </w:tcPr>
          <w:p w:rsidR="00487D64" w:rsidRDefault="006F0D93">
            <w:pPr>
              <w:pStyle w:val="TableParagraph"/>
              <w:spacing w:before="70"/>
              <w:ind w:left="5" w:right="71"/>
              <w:jc w:val="center"/>
              <w:rPr>
                <w:sz w:val="23"/>
              </w:rPr>
            </w:pPr>
            <w:r>
              <w:rPr>
                <w:sz w:val="23"/>
              </w:rPr>
              <w:t>Report</w:t>
            </w:r>
            <w:r>
              <w:rPr>
                <w:spacing w:val="21"/>
                <w:sz w:val="23"/>
              </w:rPr>
              <w:t xml:space="preserve"> </w:t>
            </w:r>
            <w:r>
              <w:rPr>
                <w:sz w:val="23"/>
              </w:rPr>
              <w:t>t-values</w:t>
            </w:r>
            <w:r>
              <w:rPr>
                <w:spacing w:val="16"/>
                <w:sz w:val="23"/>
              </w:rPr>
              <w:t xml:space="preserve"> </w:t>
            </w:r>
            <w:r>
              <w:rPr>
                <w:sz w:val="23"/>
              </w:rPr>
              <w:t>and</w:t>
            </w:r>
            <w:r>
              <w:rPr>
                <w:spacing w:val="29"/>
                <w:sz w:val="23"/>
              </w:rPr>
              <w:t xml:space="preserve"> </w:t>
            </w:r>
            <w:r>
              <w:rPr>
                <w:spacing w:val="-5"/>
                <w:sz w:val="23"/>
              </w:rPr>
              <w:t>p-</w:t>
            </w:r>
          </w:p>
          <w:p w:rsidR="00487D64" w:rsidRDefault="006F0D93">
            <w:pPr>
              <w:pStyle w:val="TableParagraph"/>
              <w:spacing w:before="147"/>
              <w:ind w:left="3" w:right="71"/>
              <w:jc w:val="center"/>
              <w:rPr>
                <w:sz w:val="23"/>
              </w:rPr>
            </w:pPr>
            <w:r>
              <w:rPr>
                <w:spacing w:val="-2"/>
                <w:w w:val="105"/>
                <w:sz w:val="23"/>
              </w:rPr>
              <w:t>values</w:t>
            </w:r>
          </w:p>
        </w:tc>
      </w:tr>
      <w:tr w:rsidR="00487D64">
        <w:trPr>
          <w:trHeight w:val="753"/>
        </w:trPr>
        <w:tc>
          <w:tcPr>
            <w:tcW w:w="2425" w:type="dxa"/>
            <w:tcBorders>
              <w:top w:val="single" w:sz="4" w:space="0" w:color="000000"/>
            </w:tcBorders>
          </w:tcPr>
          <w:p w:rsidR="00487D64" w:rsidRDefault="006F0D93">
            <w:pPr>
              <w:pStyle w:val="TableParagraph"/>
              <w:ind w:left="115"/>
              <w:rPr>
                <w:sz w:val="23"/>
              </w:rPr>
            </w:pPr>
            <w:r>
              <w:rPr>
                <w:w w:val="105"/>
                <w:sz w:val="23"/>
              </w:rPr>
              <w:t>Indicator</w:t>
            </w:r>
            <w:r>
              <w:rPr>
                <w:spacing w:val="-11"/>
                <w:w w:val="105"/>
                <w:sz w:val="23"/>
              </w:rPr>
              <w:t xml:space="preserve"> </w:t>
            </w:r>
            <w:r>
              <w:rPr>
                <w:w w:val="105"/>
                <w:sz w:val="23"/>
              </w:rPr>
              <w:t>loading</w:t>
            </w:r>
            <w:r>
              <w:rPr>
                <w:spacing w:val="-14"/>
                <w:w w:val="105"/>
                <w:sz w:val="23"/>
              </w:rPr>
              <w:t xml:space="preserve"> </w:t>
            </w:r>
            <w:r>
              <w:rPr>
                <w:spacing w:val="-4"/>
                <w:w w:val="105"/>
                <w:sz w:val="23"/>
              </w:rPr>
              <w:t>size</w:t>
            </w:r>
          </w:p>
        </w:tc>
        <w:tc>
          <w:tcPr>
            <w:tcW w:w="3262" w:type="dxa"/>
            <w:tcBorders>
              <w:top w:val="single" w:sz="4" w:space="0" w:color="000000"/>
            </w:tcBorders>
          </w:tcPr>
          <w:p w:rsidR="00487D64" w:rsidRDefault="006F0D93">
            <w:pPr>
              <w:pStyle w:val="TableParagraph"/>
              <w:ind w:left="12" w:right="57"/>
              <w:jc w:val="center"/>
              <w:rPr>
                <w:sz w:val="23"/>
              </w:rPr>
            </w:pPr>
            <w:r>
              <w:rPr>
                <w:sz w:val="23"/>
              </w:rPr>
              <w:t>Standardized</w:t>
            </w:r>
            <w:r>
              <w:rPr>
                <w:spacing w:val="42"/>
                <w:sz w:val="23"/>
              </w:rPr>
              <w:t xml:space="preserve"> </w:t>
            </w:r>
            <w:r>
              <w:rPr>
                <w:spacing w:val="-2"/>
                <w:sz w:val="23"/>
              </w:rPr>
              <w:t>indicator</w:t>
            </w:r>
          </w:p>
          <w:p w:rsidR="00487D64" w:rsidRDefault="006F0D93">
            <w:pPr>
              <w:pStyle w:val="TableParagraph"/>
              <w:spacing w:before="145"/>
              <w:ind w:left="6" w:right="57"/>
              <w:jc w:val="center"/>
              <w:rPr>
                <w:sz w:val="23"/>
              </w:rPr>
            </w:pPr>
            <w:r>
              <w:rPr>
                <w:spacing w:val="-2"/>
                <w:w w:val="105"/>
                <w:sz w:val="23"/>
              </w:rPr>
              <w:t>loadings</w:t>
            </w:r>
          </w:p>
        </w:tc>
        <w:tc>
          <w:tcPr>
            <w:tcW w:w="2764" w:type="dxa"/>
            <w:tcBorders>
              <w:top w:val="single" w:sz="4" w:space="0" w:color="000000"/>
            </w:tcBorders>
          </w:tcPr>
          <w:p w:rsidR="00487D64" w:rsidRDefault="006F0D93">
            <w:pPr>
              <w:pStyle w:val="TableParagraph"/>
              <w:ind w:right="71"/>
              <w:jc w:val="center"/>
              <w:rPr>
                <w:sz w:val="23"/>
              </w:rPr>
            </w:pPr>
            <w:r>
              <w:rPr>
                <w:w w:val="105"/>
                <w:sz w:val="23"/>
              </w:rPr>
              <w:t>≥</w:t>
            </w:r>
            <w:r>
              <w:rPr>
                <w:spacing w:val="-7"/>
                <w:w w:val="105"/>
                <w:sz w:val="23"/>
              </w:rPr>
              <w:t xml:space="preserve"> </w:t>
            </w:r>
            <w:r>
              <w:rPr>
                <w:spacing w:val="-4"/>
                <w:w w:val="105"/>
                <w:sz w:val="23"/>
              </w:rPr>
              <w:t>0.70</w:t>
            </w:r>
          </w:p>
        </w:tc>
      </w:tr>
      <w:tr w:rsidR="00487D64">
        <w:trPr>
          <w:trHeight w:val="899"/>
        </w:trPr>
        <w:tc>
          <w:tcPr>
            <w:tcW w:w="2425" w:type="dxa"/>
            <w:tcBorders>
              <w:bottom w:val="single" w:sz="4" w:space="0" w:color="000000"/>
            </w:tcBorders>
          </w:tcPr>
          <w:p w:rsidR="00487D64" w:rsidRDefault="006F0D93">
            <w:pPr>
              <w:pStyle w:val="TableParagraph"/>
              <w:spacing w:before="74"/>
              <w:ind w:left="115"/>
              <w:rPr>
                <w:sz w:val="23"/>
              </w:rPr>
            </w:pPr>
            <w:r>
              <w:rPr>
                <w:sz w:val="23"/>
              </w:rPr>
              <w:t>Convergent</w:t>
            </w:r>
            <w:r>
              <w:rPr>
                <w:spacing w:val="35"/>
                <w:sz w:val="23"/>
              </w:rPr>
              <w:t xml:space="preserve"> </w:t>
            </w:r>
            <w:r>
              <w:rPr>
                <w:spacing w:val="-2"/>
                <w:sz w:val="23"/>
              </w:rPr>
              <w:t>validity</w:t>
            </w:r>
          </w:p>
        </w:tc>
        <w:tc>
          <w:tcPr>
            <w:tcW w:w="3262" w:type="dxa"/>
            <w:tcBorders>
              <w:bottom w:val="single" w:sz="4" w:space="0" w:color="000000"/>
            </w:tcBorders>
          </w:tcPr>
          <w:p w:rsidR="00487D64" w:rsidRDefault="006F0D93">
            <w:pPr>
              <w:pStyle w:val="TableParagraph"/>
              <w:spacing w:before="74"/>
              <w:ind w:right="57"/>
              <w:jc w:val="center"/>
              <w:rPr>
                <w:sz w:val="23"/>
              </w:rPr>
            </w:pPr>
            <w:r>
              <w:rPr>
                <w:sz w:val="23"/>
              </w:rPr>
              <w:t>Average</w:t>
            </w:r>
            <w:r>
              <w:rPr>
                <w:spacing w:val="28"/>
                <w:sz w:val="23"/>
              </w:rPr>
              <w:t xml:space="preserve"> </w:t>
            </w:r>
            <w:r>
              <w:rPr>
                <w:sz w:val="23"/>
              </w:rPr>
              <w:t>Variance</w:t>
            </w:r>
            <w:r>
              <w:rPr>
                <w:spacing w:val="28"/>
                <w:sz w:val="23"/>
              </w:rPr>
              <w:t xml:space="preserve"> </w:t>
            </w:r>
            <w:r>
              <w:rPr>
                <w:spacing w:val="-2"/>
                <w:sz w:val="23"/>
              </w:rPr>
              <w:t>Extracted</w:t>
            </w:r>
          </w:p>
          <w:p w:rsidR="00487D64" w:rsidRDefault="006F0D93">
            <w:pPr>
              <w:pStyle w:val="TableParagraph"/>
              <w:spacing w:before="146"/>
              <w:ind w:left="1" w:right="57"/>
              <w:jc w:val="center"/>
              <w:rPr>
                <w:sz w:val="23"/>
              </w:rPr>
            </w:pPr>
            <w:r>
              <w:rPr>
                <w:spacing w:val="-4"/>
                <w:w w:val="105"/>
                <w:sz w:val="23"/>
              </w:rPr>
              <w:t>(AVE)</w:t>
            </w:r>
          </w:p>
        </w:tc>
        <w:tc>
          <w:tcPr>
            <w:tcW w:w="2764" w:type="dxa"/>
            <w:tcBorders>
              <w:bottom w:val="single" w:sz="4" w:space="0" w:color="000000"/>
            </w:tcBorders>
          </w:tcPr>
          <w:p w:rsidR="00487D64" w:rsidRDefault="006F0D93">
            <w:pPr>
              <w:pStyle w:val="TableParagraph"/>
              <w:spacing w:before="74"/>
              <w:ind w:right="71"/>
              <w:jc w:val="center"/>
              <w:rPr>
                <w:sz w:val="23"/>
              </w:rPr>
            </w:pPr>
            <w:r>
              <w:rPr>
                <w:w w:val="105"/>
                <w:sz w:val="23"/>
              </w:rPr>
              <w:t>AVE</w:t>
            </w:r>
            <w:r>
              <w:rPr>
                <w:spacing w:val="-8"/>
                <w:w w:val="105"/>
                <w:sz w:val="23"/>
              </w:rPr>
              <w:t xml:space="preserve"> </w:t>
            </w:r>
            <w:r>
              <w:rPr>
                <w:w w:val="105"/>
                <w:sz w:val="23"/>
              </w:rPr>
              <w:t>≥</w:t>
            </w:r>
            <w:r>
              <w:rPr>
                <w:spacing w:val="-12"/>
                <w:w w:val="105"/>
                <w:sz w:val="23"/>
              </w:rPr>
              <w:t xml:space="preserve"> </w:t>
            </w:r>
            <w:r>
              <w:rPr>
                <w:spacing w:val="-4"/>
                <w:w w:val="105"/>
                <w:sz w:val="23"/>
              </w:rPr>
              <w:t>0.50</w:t>
            </w:r>
          </w:p>
        </w:tc>
      </w:tr>
    </w:tbl>
    <w:p w:rsidR="00487D64" w:rsidRDefault="00487D64">
      <w:pPr>
        <w:pStyle w:val="TableParagraph"/>
        <w:jc w:val="center"/>
        <w:rPr>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pStyle w:val="Heading1"/>
        <w:numPr>
          <w:ilvl w:val="2"/>
          <w:numId w:val="10"/>
        </w:numPr>
        <w:tabs>
          <w:tab w:val="left" w:pos="2860"/>
        </w:tabs>
        <w:spacing w:before="1"/>
      </w:pPr>
      <w:bookmarkStart w:id="99" w:name="3.11.1___Indicator_Loading"/>
      <w:bookmarkStart w:id="100" w:name="_bookmark49"/>
      <w:bookmarkEnd w:id="99"/>
      <w:bookmarkEnd w:id="100"/>
      <w:r>
        <w:t>Indicator</w:t>
      </w:r>
      <w:r>
        <w:rPr>
          <w:spacing w:val="30"/>
        </w:rPr>
        <w:t xml:space="preserve"> </w:t>
      </w:r>
      <w:r>
        <w:rPr>
          <w:spacing w:val="-2"/>
        </w:rPr>
        <w:t>Loading</w:t>
      </w:r>
    </w:p>
    <w:p w:rsidR="00487D64" w:rsidRDefault="00487D64">
      <w:pPr>
        <w:pStyle w:val="BodyText"/>
        <w:spacing w:before="18"/>
        <w:rPr>
          <w:b/>
        </w:rPr>
      </w:pPr>
    </w:p>
    <w:p w:rsidR="00487D64" w:rsidRDefault="006F0D93">
      <w:pPr>
        <w:pStyle w:val="BodyText"/>
        <w:spacing w:line="499" w:lineRule="auto"/>
        <w:ind w:left="1419" w:right="862"/>
        <w:jc w:val="both"/>
      </w:pPr>
      <w:r>
        <w:rPr>
          <w:w w:val="105"/>
        </w:rPr>
        <w:t>Indicators Loading The first step for the assessment of the reflective measurement model requires evaluating the values of indicator loadings. It is recommended that factor</w:t>
      </w:r>
      <w:r>
        <w:rPr>
          <w:w w:val="105"/>
        </w:rPr>
        <w:t xml:space="preserve"> loadings values be above 0.70, since it indicates that these constructs can explain more</w:t>
      </w:r>
      <w:r>
        <w:rPr>
          <w:spacing w:val="-2"/>
          <w:w w:val="105"/>
        </w:rPr>
        <w:t xml:space="preserve"> </w:t>
      </w:r>
      <w:r>
        <w:rPr>
          <w:w w:val="105"/>
        </w:rPr>
        <w:t>than</w:t>
      </w:r>
      <w:r>
        <w:rPr>
          <w:spacing w:val="-1"/>
          <w:w w:val="105"/>
        </w:rPr>
        <w:t xml:space="preserve"> </w:t>
      </w:r>
      <w:r>
        <w:rPr>
          <w:w w:val="105"/>
        </w:rPr>
        <w:t>50% of the indicator’s variance; consequently, they</w:t>
      </w:r>
      <w:r>
        <w:rPr>
          <w:spacing w:val="-1"/>
          <w:w w:val="105"/>
        </w:rPr>
        <w:t xml:space="preserve"> </w:t>
      </w:r>
      <w:r>
        <w:rPr>
          <w:w w:val="105"/>
        </w:rPr>
        <w:t>are providing acceptable constructs (items) reliability (Hair et al., 2019).</w:t>
      </w:r>
    </w:p>
    <w:p w:rsidR="00487D64" w:rsidRDefault="00487D64">
      <w:pPr>
        <w:pStyle w:val="BodyText"/>
      </w:pPr>
    </w:p>
    <w:p w:rsidR="00487D64" w:rsidRDefault="00487D64">
      <w:pPr>
        <w:pStyle w:val="BodyText"/>
        <w:spacing w:before="41"/>
      </w:pPr>
    </w:p>
    <w:p w:rsidR="00487D64" w:rsidRDefault="006F0D93">
      <w:pPr>
        <w:pStyle w:val="Heading1"/>
        <w:numPr>
          <w:ilvl w:val="2"/>
          <w:numId w:val="10"/>
        </w:numPr>
        <w:tabs>
          <w:tab w:val="left" w:pos="2860"/>
        </w:tabs>
      </w:pPr>
      <w:bookmarkStart w:id="101" w:name="3.11.2____Internal_Consistency_Reliabili"/>
      <w:bookmarkStart w:id="102" w:name="_bookmark50"/>
      <w:bookmarkEnd w:id="101"/>
      <w:bookmarkEnd w:id="102"/>
      <w:r>
        <w:t>Internal</w:t>
      </w:r>
      <w:r>
        <w:rPr>
          <w:spacing w:val="30"/>
        </w:rPr>
        <w:t xml:space="preserve"> </w:t>
      </w:r>
      <w:r>
        <w:t>Consistency</w:t>
      </w:r>
      <w:r>
        <w:rPr>
          <w:spacing w:val="38"/>
        </w:rPr>
        <w:t xml:space="preserve"> </w:t>
      </w:r>
      <w:r>
        <w:rPr>
          <w:spacing w:val="-2"/>
        </w:rPr>
        <w:t>Reliabili</w:t>
      </w:r>
      <w:r>
        <w:rPr>
          <w:spacing w:val="-2"/>
        </w:rPr>
        <w:t>ty</w:t>
      </w:r>
    </w:p>
    <w:p w:rsidR="00487D64" w:rsidRDefault="00487D64">
      <w:pPr>
        <w:pStyle w:val="BodyText"/>
        <w:spacing w:before="11"/>
        <w:rPr>
          <w:b/>
        </w:rPr>
      </w:pPr>
    </w:p>
    <w:p w:rsidR="00487D64" w:rsidRDefault="006F0D93">
      <w:pPr>
        <w:pStyle w:val="BodyText"/>
        <w:spacing w:line="501" w:lineRule="auto"/>
        <w:ind w:left="1419" w:right="848"/>
        <w:jc w:val="both"/>
      </w:pPr>
      <w:r>
        <w:rPr>
          <w:w w:val="105"/>
        </w:rPr>
        <w:t>Being the second step internal consistency reliability of the reflective measurement model was rigorously assessed using SmartPLS 4, based on established reliability and validity indicators for all latent constructs under study: Customer Orientation</w:t>
      </w:r>
      <w:r>
        <w:rPr>
          <w:b/>
          <w:w w:val="105"/>
        </w:rPr>
        <w:t xml:space="preserve">, </w:t>
      </w:r>
      <w:r>
        <w:rPr>
          <w:w w:val="105"/>
        </w:rPr>
        <w:t>Competitor Orientation</w:t>
      </w:r>
      <w:r>
        <w:rPr>
          <w:b/>
          <w:w w:val="105"/>
        </w:rPr>
        <w:t xml:space="preserve">, </w:t>
      </w:r>
      <w:r>
        <w:rPr>
          <w:w w:val="105"/>
        </w:rPr>
        <w:t>Functional Coordination</w:t>
      </w:r>
      <w:r>
        <w:rPr>
          <w:b/>
          <w:w w:val="105"/>
        </w:rPr>
        <w:t xml:space="preserve">, </w:t>
      </w:r>
      <w:r>
        <w:rPr>
          <w:w w:val="105"/>
        </w:rPr>
        <w:t>Sustainable Competitiveness, and Strategic Flexibility</w:t>
      </w:r>
      <w:r>
        <w:rPr>
          <w:b/>
          <w:w w:val="105"/>
        </w:rPr>
        <w:t xml:space="preserve">. </w:t>
      </w:r>
      <w:r>
        <w:rPr>
          <w:w w:val="105"/>
        </w:rPr>
        <w:t>The evaluation was guided by recommended standards in the PLS-SEM literature (Hair, Risher, Sarstedt, &amp; Ringle, 2018; Hair et al., 2019).</w:t>
      </w:r>
    </w:p>
    <w:p w:rsidR="00487D64" w:rsidRDefault="00487D64">
      <w:pPr>
        <w:pStyle w:val="BodyText"/>
        <w:spacing w:before="259"/>
      </w:pPr>
    </w:p>
    <w:p w:rsidR="00487D64" w:rsidRDefault="006F0D93">
      <w:pPr>
        <w:pStyle w:val="Heading1"/>
        <w:numPr>
          <w:ilvl w:val="2"/>
          <w:numId w:val="10"/>
        </w:numPr>
        <w:tabs>
          <w:tab w:val="left" w:pos="2860"/>
        </w:tabs>
      </w:pPr>
      <w:bookmarkStart w:id="103" w:name="3.11.3___Convergent_Validity"/>
      <w:bookmarkStart w:id="104" w:name="_bookmark51"/>
      <w:bookmarkEnd w:id="103"/>
      <w:bookmarkEnd w:id="104"/>
      <w:r>
        <w:t>Convergent</w:t>
      </w:r>
      <w:r>
        <w:rPr>
          <w:spacing w:val="43"/>
        </w:rPr>
        <w:t xml:space="preserve"> </w:t>
      </w:r>
      <w:r>
        <w:rPr>
          <w:spacing w:val="-2"/>
        </w:rPr>
        <w:t>V</w:t>
      </w:r>
      <w:r>
        <w:rPr>
          <w:spacing w:val="-2"/>
        </w:rPr>
        <w:t>alidity</w:t>
      </w:r>
    </w:p>
    <w:p w:rsidR="00487D64" w:rsidRDefault="00487D64">
      <w:pPr>
        <w:pStyle w:val="BodyText"/>
        <w:spacing w:before="18"/>
        <w:rPr>
          <w:b/>
        </w:rPr>
      </w:pPr>
    </w:p>
    <w:p w:rsidR="00487D64" w:rsidRDefault="006F0D93">
      <w:pPr>
        <w:pStyle w:val="BodyText"/>
        <w:spacing w:line="501" w:lineRule="auto"/>
        <w:ind w:left="1419" w:right="855"/>
        <w:jc w:val="both"/>
      </w:pPr>
      <w:r>
        <w:rPr>
          <w:w w:val="105"/>
        </w:rPr>
        <w:t xml:space="preserve">In line with the PLS-SEM approach, convergent validity was examined to confirm that the observed indicators adequately represent their respective latent constructs. This was assessed using standardized factor loadings, Composite Reliability (CR), </w:t>
      </w:r>
      <w:r>
        <w:rPr>
          <w:w w:val="105"/>
        </w:rPr>
        <w:t>and Average Variance Extracted (AVE), applying the threshold criteria recommended</w:t>
      </w:r>
      <w:r>
        <w:rPr>
          <w:spacing w:val="-5"/>
          <w:w w:val="105"/>
        </w:rPr>
        <w:t xml:space="preserve"> </w:t>
      </w:r>
      <w:r>
        <w:rPr>
          <w:w w:val="105"/>
        </w:rPr>
        <w:t>by</w:t>
      </w:r>
      <w:r>
        <w:rPr>
          <w:spacing w:val="-12"/>
          <w:w w:val="105"/>
        </w:rPr>
        <w:t xml:space="preserve"> </w:t>
      </w:r>
      <w:r>
        <w:rPr>
          <w:w w:val="105"/>
        </w:rPr>
        <w:t>Hair</w:t>
      </w:r>
      <w:r>
        <w:rPr>
          <w:spacing w:val="-2"/>
          <w:w w:val="105"/>
        </w:rPr>
        <w:t xml:space="preserve"> </w:t>
      </w:r>
      <w:r>
        <w:rPr>
          <w:w w:val="105"/>
        </w:rPr>
        <w:t>et</w:t>
      </w:r>
      <w:r>
        <w:rPr>
          <w:spacing w:val="-4"/>
          <w:w w:val="105"/>
        </w:rPr>
        <w:t xml:space="preserve"> </w:t>
      </w:r>
      <w:r>
        <w:rPr>
          <w:w w:val="105"/>
        </w:rPr>
        <w:t>al.</w:t>
      </w:r>
      <w:r>
        <w:rPr>
          <w:spacing w:val="-4"/>
          <w:w w:val="105"/>
        </w:rPr>
        <w:t xml:space="preserve"> </w:t>
      </w:r>
      <w:r>
        <w:rPr>
          <w:w w:val="105"/>
        </w:rPr>
        <w:t>(2019).</w:t>
      </w:r>
      <w:r>
        <w:rPr>
          <w:spacing w:val="-10"/>
          <w:w w:val="105"/>
        </w:rPr>
        <w:t xml:space="preserve"> </w:t>
      </w:r>
      <w:r>
        <w:rPr>
          <w:w w:val="105"/>
        </w:rPr>
        <w:t>The</w:t>
      </w:r>
      <w:r>
        <w:rPr>
          <w:spacing w:val="-6"/>
          <w:w w:val="105"/>
        </w:rPr>
        <w:t xml:space="preserve"> </w:t>
      </w:r>
      <w:r>
        <w:rPr>
          <w:w w:val="105"/>
        </w:rPr>
        <w:t>detailed</w:t>
      </w:r>
      <w:r>
        <w:rPr>
          <w:spacing w:val="-5"/>
          <w:w w:val="105"/>
        </w:rPr>
        <w:t xml:space="preserve"> </w:t>
      </w:r>
      <w:r>
        <w:rPr>
          <w:w w:val="105"/>
        </w:rPr>
        <w:t>results</w:t>
      </w:r>
      <w:r>
        <w:rPr>
          <w:spacing w:val="-1"/>
          <w:w w:val="105"/>
        </w:rPr>
        <w:t xml:space="preserve"> </w:t>
      </w:r>
      <w:r>
        <w:rPr>
          <w:w w:val="105"/>
        </w:rPr>
        <w:t>of</w:t>
      </w:r>
      <w:r>
        <w:rPr>
          <w:spacing w:val="-8"/>
          <w:w w:val="105"/>
        </w:rPr>
        <w:t xml:space="preserve"> </w:t>
      </w:r>
      <w:r>
        <w:rPr>
          <w:w w:val="105"/>
        </w:rPr>
        <w:t>convergent</w:t>
      </w:r>
      <w:r>
        <w:rPr>
          <w:spacing w:val="-4"/>
          <w:w w:val="105"/>
        </w:rPr>
        <w:t xml:space="preserve"> </w:t>
      </w:r>
      <w:r>
        <w:rPr>
          <w:w w:val="105"/>
        </w:rPr>
        <w:t>validity for</w:t>
      </w:r>
      <w:r>
        <w:rPr>
          <w:spacing w:val="-8"/>
          <w:w w:val="105"/>
        </w:rPr>
        <w:t xml:space="preserve"> </w:t>
      </w:r>
      <w:r>
        <w:rPr>
          <w:w w:val="105"/>
        </w:rPr>
        <w:t>all study constructs are presented in Chapter Four.</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Heading1"/>
        <w:numPr>
          <w:ilvl w:val="2"/>
          <w:numId w:val="10"/>
        </w:numPr>
        <w:tabs>
          <w:tab w:val="left" w:pos="2860"/>
        </w:tabs>
        <w:spacing w:before="1"/>
      </w:pPr>
      <w:bookmarkStart w:id="105" w:name="3.11.4____Discriminant_Validity"/>
      <w:bookmarkStart w:id="106" w:name="_bookmark52"/>
      <w:bookmarkEnd w:id="105"/>
      <w:bookmarkEnd w:id="106"/>
      <w:r>
        <w:t>Discriminant</w:t>
      </w:r>
      <w:r>
        <w:rPr>
          <w:spacing w:val="43"/>
        </w:rPr>
        <w:t xml:space="preserve"> </w:t>
      </w:r>
      <w:r>
        <w:rPr>
          <w:spacing w:val="-2"/>
        </w:rPr>
        <w:t>Validity</w:t>
      </w:r>
    </w:p>
    <w:p w:rsidR="00487D64" w:rsidRDefault="00487D64">
      <w:pPr>
        <w:pStyle w:val="BodyText"/>
        <w:spacing w:before="18"/>
        <w:rPr>
          <w:b/>
        </w:rPr>
      </w:pPr>
    </w:p>
    <w:p w:rsidR="00487D64" w:rsidRDefault="006F0D93">
      <w:pPr>
        <w:pStyle w:val="BodyText"/>
        <w:spacing w:line="499" w:lineRule="auto"/>
        <w:ind w:left="1419" w:right="849"/>
        <w:jc w:val="both"/>
      </w:pPr>
      <w:r>
        <w:rPr>
          <w:w w:val="105"/>
        </w:rPr>
        <w:t>The Heterotrait-Monotrait Ratio of Correlations (HTMT) was</w:t>
      </w:r>
      <w:r>
        <w:rPr>
          <w:spacing w:val="-1"/>
          <w:w w:val="105"/>
        </w:rPr>
        <w:t xml:space="preserve"> </w:t>
      </w:r>
      <w:r>
        <w:rPr>
          <w:w w:val="105"/>
        </w:rPr>
        <w:t>assessed to determine whether the correlations between and within constructs indicated that the constructs were truly distinct. The results indicated that all HTMT values are well below the conserv</w:t>
      </w:r>
      <w:r>
        <w:rPr>
          <w:w w:val="105"/>
        </w:rPr>
        <w:t>ative threshold of 0.85, and even the highest value (0.762 between Strategic Flexibility and Sustainable Competitiveness) is within acceptable limits.</w:t>
      </w:r>
    </w:p>
    <w:p w:rsidR="00487D64" w:rsidRDefault="006F0D93">
      <w:pPr>
        <w:pStyle w:val="BodyText"/>
        <w:spacing w:before="246" w:line="501" w:lineRule="auto"/>
        <w:ind w:left="1419" w:right="851"/>
        <w:jc w:val="both"/>
      </w:pPr>
      <w:r>
        <w:rPr>
          <w:w w:val="105"/>
        </w:rPr>
        <w:t>According to Franke and Sarstedt (2019), in real-world scenarios, HTMT values between 0.70 and 0.85 are c</w:t>
      </w:r>
      <w:r>
        <w:rPr>
          <w:w w:val="105"/>
        </w:rPr>
        <w:t xml:space="preserve">ommonly encountered and do not necessarily indicate a violation of discriminant validity, especially when the constructs are logically </w:t>
      </w:r>
      <w:r>
        <w:rPr>
          <w:spacing w:val="-2"/>
          <w:w w:val="105"/>
        </w:rPr>
        <w:t>related.</w:t>
      </w:r>
    </w:p>
    <w:p w:rsidR="00487D64" w:rsidRDefault="00487D64">
      <w:pPr>
        <w:pStyle w:val="BodyText"/>
        <w:spacing w:before="254"/>
      </w:pPr>
    </w:p>
    <w:p w:rsidR="00487D64" w:rsidRDefault="006F0D93">
      <w:pPr>
        <w:pStyle w:val="Heading1"/>
        <w:numPr>
          <w:ilvl w:val="2"/>
          <w:numId w:val="10"/>
        </w:numPr>
        <w:tabs>
          <w:tab w:val="left" w:pos="2860"/>
        </w:tabs>
        <w:spacing w:before="1"/>
      </w:pPr>
      <w:bookmarkStart w:id="107" w:name="3.11.5____Fornell–Larcker"/>
      <w:bookmarkStart w:id="108" w:name="_bookmark53"/>
      <w:bookmarkEnd w:id="107"/>
      <w:bookmarkEnd w:id="108"/>
      <w:r>
        <w:rPr>
          <w:spacing w:val="-2"/>
          <w:w w:val="105"/>
        </w:rPr>
        <w:t>Fornell–Larcker</w:t>
      </w:r>
    </w:p>
    <w:p w:rsidR="00487D64" w:rsidRDefault="00487D64">
      <w:pPr>
        <w:pStyle w:val="BodyText"/>
        <w:spacing w:before="18"/>
        <w:rPr>
          <w:b/>
        </w:rPr>
      </w:pPr>
    </w:p>
    <w:p w:rsidR="00487D64" w:rsidRDefault="006F0D93">
      <w:pPr>
        <w:pStyle w:val="BodyText"/>
        <w:spacing w:line="501" w:lineRule="auto"/>
        <w:ind w:left="1419" w:right="850"/>
        <w:jc w:val="both"/>
      </w:pPr>
      <w:r>
        <w:rPr>
          <w:w w:val="105"/>
        </w:rPr>
        <w:t xml:space="preserve">The Fornell–Larcker criterion was employed as a complementary assessment to the HTMT analysis </w:t>
      </w:r>
      <w:r>
        <w:rPr>
          <w:w w:val="105"/>
        </w:rPr>
        <w:t>to further ensure discriminant validity, particularly given that one HTMT value was nearly approaching the recommended threshold. This method compares the square root of the Average Variance Extracted (√AVE) for each construct with</w:t>
      </w:r>
      <w:r>
        <w:rPr>
          <w:spacing w:val="-5"/>
          <w:w w:val="105"/>
        </w:rPr>
        <w:t xml:space="preserve"> </w:t>
      </w:r>
      <w:r>
        <w:rPr>
          <w:w w:val="105"/>
        </w:rPr>
        <w:t>its correlations with ot</w:t>
      </w:r>
      <w:r>
        <w:rPr>
          <w:w w:val="105"/>
        </w:rPr>
        <w:t>her constructs</w:t>
      </w:r>
      <w:r>
        <w:rPr>
          <w:spacing w:val="-7"/>
          <w:w w:val="105"/>
        </w:rPr>
        <w:t xml:space="preserve"> </w:t>
      </w:r>
      <w:r>
        <w:rPr>
          <w:w w:val="105"/>
        </w:rPr>
        <w:t>in</w:t>
      </w:r>
      <w:r>
        <w:rPr>
          <w:spacing w:val="-5"/>
          <w:w w:val="105"/>
        </w:rPr>
        <w:t xml:space="preserve"> </w:t>
      </w:r>
      <w:r>
        <w:rPr>
          <w:w w:val="105"/>
        </w:rPr>
        <w:t>the model.</w:t>
      </w:r>
      <w:r>
        <w:rPr>
          <w:spacing w:val="-3"/>
          <w:w w:val="105"/>
        </w:rPr>
        <w:t xml:space="preserve"> </w:t>
      </w:r>
      <w:r>
        <w:rPr>
          <w:w w:val="105"/>
        </w:rPr>
        <w:t>Its</w:t>
      </w:r>
      <w:r>
        <w:rPr>
          <w:spacing w:val="-7"/>
          <w:w w:val="105"/>
        </w:rPr>
        <w:t xml:space="preserve"> </w:t>
      </w:r>
      <w:r>
        <w:rPr>
          <w:w w:val="105"/>
        </w:rPr>
        <w:t>use</w:t>
      </w:r>
      <w:r>
        <w:rPr>
          <w:spacing w:val="-6"/>
          <w:w w:val="105"/>
        </w:rPr>
        <w:t xml:space="preserve"> </w:t>
      </w:r>
      <w:r>
        <w:rPr>
          <w:w w:val="105"/>
        </w:rPr>
        <w:t>is supported by Henseler, Ringle, and Sarstedt (2015), who recommend reporting the Fornell Larcker criterion and cross-loadings as additional evidence of discriminant validity, especially when HTMT values are near the c</w:t>
      </w:r>
      <w:r>
        <w:rPr>
          <w:w w:val="105"/>
        </w:rPr>
        <w:t>onservative cut-off.</w:t>
      </w:r>
    </w:p>
    <w:p w:rsidR="00487D64" w:rsidRDefault="006F0D93">
      <w:pPr>
        <w:pStyle w:val="BodyText"/>
        <w:spacing w:before="238" w:line="499" w:lineRule="auto"/>
        <w:ind w:left="1419" w:right="862"/>
        <w:jc w:val="both"/>
      </w:pPr>
      <w:r>
        <w:rPr>
          <w:w w:val="105"/>
        </w:rPr>
        <w:t>In this study, although the HTMT value between Strategic Flexibility (SF) and Sustainable Competitiveness (SC) was 0.762, still below the 0.85 threshold, it indicated</w:t>
      </w:r>
      <w:r>
        <w:rPr>
          <w:spacing w:val="39"/>
          <w:w w:val="105"/>
        </w:rPr>
        <w:t xml:space="preserve"> </w:t>
      </w:r>
      <w:r>
        <w:rPr>
          <w:w w:val="105"/>
        </w:rPr>
        <w:t>a</w:t>
      </w:r>
      <w:r>
        <w:rPr>
          <w:spacing w:val="51"/>
          <w:w w:val="105"/>
        </w:rPr>
        <w:t xml:space="preserve"> </w:t>
      </w:r>
      <w:r>
        <w:rPr>
          <w:w w:val="105"/>
        </w:rPr>
        <w:t>moderate</w:t>
      </w:r>
      <w:r>
        <w:rPr>
          <w:spacing w:val="44"/>
          <w:w w:val="105"/>
        </w:rPr>
        <w:t xml:space="preserve"> </w:t>
      </w:r>
      <w:r>
        <w:rPr>
          <w:w w:val="105"/>
        </w:rPr>
        <w:t>correlation.</w:t>
      </w:r>
      <w:r>
        <w:rPr>
          <w:spacing w:val="42"/>
          <w:w w:val="105"/>
        </w:rPr>
        <w:t xml:space="preserve"> </w:t>
      </w:r>
      <w:r>
        <w:rPr>
          <w:w w:val="105"/>
        </w:rPr>
        <w:t>This</w:t>
      </w:r>
      <w:r>
        <w:rPr>
          <w:spacing w:val="43"/>
          <w:w w:val="105"/>
        </w:rPr>
        <w:t xml:space="preserve"> </w:t>
      </w:r>
      <w:r>
        <w:rPr>
          <w:w w:val="105"/>
        </w:rPr>
        <w:t>warranted</w:t>
      </w:r>
      <w:r>
        <w:rPr>
          <w:spacing w:val="46"/>
          <w:w w:val="105"/>
        </w:rPr>
        <w:t xml:space="preserve"> </w:t>
      </w:r>
      <w:r>
        <w:rPr>
          <w:w w:val="105"/>
        </w:rPr>
        <w:t>further</w:t>
      </w:r>
      <w:r>
        <w:rPr>
          <w:spacing w:val="49"/>
          <w:w w:val="105"/>
        </w:rPr>
        <w:t xml:space="preserve"> </w:t>
      </w:r>
      <w:r>
        <w:rPr>
          <w:w w:val="105"/>
        </w:rPr>
        <w:t>verification</w:t>
      </w:r>
      <w:r>
        <w:rPr>
          <w:spacing w:val="46"/>
          <w:w w:val="105"/>
        </w:rPr>
        <w:t xml:space="preserve"> </w:t>
      </w:r>
      <w:r>
        <w:rPr>
          <w:w w:val="105"/>
        </w:rPr>
        <w:t>through</w:t>
      </w:r>
      <w:r>
        <w:rPr>
          <w:spacing w:val="39"/>
          <w:w w:val="105"/>
        </w:rPr>
        <w:t xml:space="preserve"> </w:t>
      </w:r>
      <w:r>
        <w:rPr>
          <w:spacing w:val="-5"/>
          <w:w w:val="105"/>
        </w:rPr>
        <w:t>the</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69"/>
        <w:jc w:val="both"/>
      </w:pPr>
      <w:r>
        <w:rPr>
          <w:w w:val="105"/>
        </w:rPr>
        <w:t>Fornell–Larcker criterion to confirm that discriminant validity between the two constructs was not compromised.</w:t>
      </w:r>
    </w:p>
    <w:p w:rsidR="00487D64" w:rsidRDefault="00487D64">
      <w:pPr>
        <w:pStyle w:val="BodyText"/>
      </w:pPr>
    </w:p>
    <w:p w:rsidR="00487D64" w:rsidRDefault="00487D64">
      <w:pPr>
        <w:pStyle w:val="BodyText"/>
        <w:spacing w:before="25"/>
      </w:pPr>
    </w:p>
    <w:p w:rsidR="00487D64" w:rsidRDefault="006F0D93">
      <w:pPr>
        <w:pStyle w:val="Heading1"/>
        <w:numPr>
          <w:ilvl w:val="1"/>
          <w:numId w:val="10"/>
        </w:numPr>
        <w:tabs>
          <w:tab w:val="left" w:pos="2860"/>
        </w:tabs>
        <w:ind w:left="2860" w:hanging="1441"/>
      </w:pPr>
      <w:bookmarkStart w:id="109" w:name="3.12____Structural_Model_Assessment"/>
      <w:bookmarkStart w:id="110" w:name="_bookmark54"/>
      <w:bookmarkEnd w:id="109"/>
      <w:bookmarkEnd w:id="110"/>
      <w:r>
        <w:t>Structural</w:t>
      </w:r>
      <w:r>
        <w:rPr>
          <w:spacing w:val="24"/>
        </w:rPr>
        <w:t xml:space="preserve"> </w:t>
      </w:r>
      <w:r>
        <w:t>Model</w:t>
      </w:r>
      <w:r>
        <w:rPr>
          <w:spacing w:val="35"/>
        </w:rPr>
        <w:t xml:space="preserve"> </w:t>
      </w:r>
      <w:r>
        <w:rPr>
          <w:spacing w:val="-2"/>
        </w:rPr>
        <w:t>Assessment</w:t>
      </w:r>
    </w:p>
    <w:p w:rsidR="00487D64" w:rsidRDefault="00487D64">
      <w:pPr>
        <w:pStyle w:val="BodyText"/>
        <w:spacing w:before="18"/>
        <w:rPr>
          <w:b/>
        </w:rPr>
      </w:pPr>
    </w:p>
    <w:p w:rsidR="00487D64" w:rsidRDefault="006F0D93">
      <w:pPr>
        <w:pStyle w:val="BodyText"/>
        <w:spacing w:line="501" w:lineRule="auto"/>
        <w:ind w:left="1419" w:right="852"/>
        <w:jc w:val="both"/>
      </w:pPr>
      <w:r>
        <w:rPr>
          <w:w w:val="105"/>
        </w:rPr>
        <w:t>After establishing the adequacy and acceptability of the measurement model demonstrated</w:t>
      </w:r>
      <w:r>
        <w:rPr>
          <w:spacing w:val="-7"/>
          <w:w w:val="105"/>
        </w:rPr>
        <w:t xml:space="preserve"> </w:t>
      </w:r>
      <w:r>
        <w:rPr>
          <w:w w:val="105"/>
        </w:rPr>
        <w:t>through</w:t>
      </w:r>
      <w:r>
        <w:rPr>
          <w:spacing w:val="-7"/>
          <w:w w:val="105"/>
        </w:rPr>
        <w:t xml:space="preserve"> </w:t>
      </w:r>
      <w:r>
        <w:rPr>
          <w:w w:val="105"/>
        </w:rPr>
        <w:t>assessments</w:t>
      </w:r>
      <w:r>
        <w:rPr>
          <w:spacing w:val="-3"/>
          <w:w w:val="105"/>
        </w:rPr>
        <w:t xml:space="preserve"> </w:t>
      </w:r>
      <w:r>
        <w:rPr>
          <w:w w:val="105"/>
        </w:rPr>
        <w:t>of</w:t>
      </w:r>
      <w:r>
        <w:rPr>
          <w:spacing w:val="-4"/>
          <w:w w:val="105"/>
        </w:rPr>
        <w:t xml:space="preserve"> </w:t>
      </w:r>
      <w:r>
        <w:rPr>
          <w:w w:val="105"/>
        </w:rPr>
        <w:t>reliability</w:t>
      </w:r>
      <w:r>
        <w:rPr>
          <w:spacing w:val="-7"/>
          <w:w w:val="105"/>
        </w:rPr>
        <w:t xml:space="preserve"> </w:t>
      </w:r>
      <w:r>
        <w:rPr>
          <w:w w:val="105"/>
        </w:rPr>
        <w:t>and</w:t>
      </w:r>
      <w:r>
        <w:rPr>
          <w:spacing w:val="-1"/>
          <w:w w:val="105"/>
        </w:rPr>
        <w:t xml:space="preserve"> </w:t>
      </w:r>
      <w:r>
        <w:rPr>
          <w:w w:val="105"/>
        </w:rPr>
        <w:t>validity, the</w:t>
      </w:r>
      <w:r>
        <w:rPr>
          <w:spacing w:val="-2"/>
          <w:w w:val="105"/>
        </w:rPr>
        <w:t xml:space="preserve"> </w:t>
      </w:r>
      <w:r>
        <w:rPr>
          <w:w w:val="105"/>
        </w:rPr>
        <w:t>subsequent phase</w:t>
      </w:r>
      <w:r>
        <w:rPr>
          <w:spacing w:val="-8"/>
          <w:w w:val="105"/>
        </w:rPr>
        <w:t xml:space="preserve"> </w:t>
      </w:r>
      <w:r>
        <w:rPr>
          <w:w w:val="105"/>
        </w:rPr>
        <w:t>in Partial Least Squares Structural Equation Modeling</w:t>
      </w:r>
      <w:r>
        <w:rPr>
          <w:spacing w:val="-1"/>
          <w:w w:val="105"/>
        </w:rPr>
        <w:t xml:space="preserve"> </w:t>
      </w:r>
      <w:r>
        <w:rPr>
          <w:w w:val="105"/>
        </w:rPr>
        <w:t>(PLS-SEM) involves evaluating the structural model. This step focuses on examining the hypothesized relationships among the constru</w:t>
      </w:r>
      <w:r>
        <w:rPr>
          <w:w w:val="105"/>
        </w:rPr>
        <w:t>cts to determine whether the theoretical model is supported by empirical data.</w:t>
      </w:r>
    </w:p>
    <w:p w:rsidR="00487D64" w:rsidRDefault="006F0D93">
      <w:pPr>
        <w:pStyle w:val="BodyText"/>
        <w:spacing w:line="501" w:lineRule="auto"/>
        <w:ind w:left="1419" w:right="849"/>
        <w:jc w:val="both"/>
      </w:pPr>
      <w:r>
        <w:rPr>
          <w:w w:val="105"/>
        </w:rPr>
        <w:t>According to Hair et al. (2019), the evaluation of the structural model should be guided by standard criteria. These include: the coefficient of determination (R²), which indica</w:t>
      </w:r>
      <w:r>
        <w:rPr>
          <w:w w:val="105"/>
        </w:rPr>
        <w:t>tes the proportion of variance in the endogenous (dependent/inside) constructs explained by the exogenous (independent/outside) constructs; the blindfolding-based cross-validated redundancy measure (Q²), which assesses the model’s predictive relevance; and</w:t>
      </w:r>
      <w:r>
        <w:rPr>
          <w:w w:val="105"/>
        </w:rPr>
        <w:t xml:space="preserve"> the statistical significance and relevance of path coefficients, which reflect the hypothesized causal relationships between constructs.</w:t>
      </w:r>
    </w:p>
    <w:p w:rsidR="00487D64" w:rsidRDefault="006F0D93">
      <w:pPr>
        <w:pStyle w:val="BodyText"/>
        <w:spacing w:before="233" w:line="499" w:lineRule="auto"/>
        <w:ind w:left="1419" w:right="853"/>
        <w:jc w:val="both"/>
      </w:pPr>
      <w:r>
        <w:rPr>
          <w:w w:val="105"/>
        </w:rPr>
        <w:t>The interpretation of</w:t>
      </w:r>
      <w:r>
        <w:rPr>
          <w:spacing w:val="-2"/>
          <w:w w:val="105"/>
        </w:rPr>
        <w:t xml:space="preserve"> </w:t>
      </w:r>
      <w:r>
        <w:rPr>
          <w:w w:val="105"/>
        </w:rPr>
        <w:t>R² values follows the thresholds proposed by Hair et al. (2017, p. 455), where values of 0.75, 0</w:t>
      </w:r>
      <w:r>
        <w:rPr>
          <w:w w:val="105"/>
        </w:rPr>
        <w:t>.50, and 0.25 indicate substantial, moderate, and weak</w:t>
      </w:r>
      <w:r>
        <w:rPr>
          <w:spacing w:val="-1"/>
          <w:w w:val="105"/>
        </w:rPr>
        <w:t xml:space="preserve"> </w:t>
      </w:r>
      <w:r>
        <w:rPr>
          <w:w w:val="105"/>
        </w:rPr>
        <w:t>explanatory</w:t>
      </w:r>
      <w:r>
        <w:rPr>
          <w:spacing w:val="-7"/>
          <w:w w:val="105"/>
        </w:rPr>
        <w:t xml:space="preserve"> </w:t>
      </w:r>
      <w:r>
        <w:rPr>
          <w:w w:val="105"/>
        </w:rPr>
        <w:t>power,</w:t>
      </w:r>
      <w:r>
        <w:rPr>
          <w:spacing w:val="-5"/>
          <w:w w:val="105"/>
        </w:rPr>
        <w:t xml:space="preserve"> </w:t>
      </w:r>
      <w:r>
        <w:rPr>
          <w:w w:val="105"/>
        </w:rPr>
        <w:t>respectively. A</w:t>
      </w:r>
      <w:r>
        <w:rPr>
          <w:spacing w:val="-9"/>
          <w:w w:val="105"/>
        </w:rPr>
        <w:t xml:space="preserve"> </w:t>
      </w:r>
      <w:r>
        <w:rPr>
          <w:w w:val="105"/>
        </w:rPr>
        <w:t>higher</w:t>
      </w:r>
      <w:r>
        <w:rPr>
          <w:spacing w:val="-4"/>
          <w:w w:val="105"/>
        </w:rPr>
        <w:t xml:space="preserve"> </w:t>
      </w:r>
      <w:r>
        <w:rPr>
          <w:w w:val="105"/>
        </w:rPr>
        <w:t>R² value</w:t>
      </w:r>
      <w:r>
        <w:rPr>
          <w:spacing w:val="-2"/>
          <w:w w:val="105"/>
        </w:rPr>
        <w:t xml:space="preserve"> </w:t>
      </w:r>
      <w:r>
        <w:rPr>
          <w:w w:val="105"/>
        </w:rPr>
        <w:t>suggests</w:t>
      </w:r>
      <w:r>
        <w:rPr>
          <w:spacing w:val="-9"/>
          <w:w w:val="105"/>
        </w:rPr>
        <w:t xml:space="preserve"> </w:t>
      </w:r>
      <w:r>
        <w:rPr>
          <w:w w:val="105"/>
        </w:rPr>
        <w:t>that</w:t>
      </w:r>
      <w:r>
        <w:rPr>
          <w:spacing w:val="-5"/>
          <w:w w:val="105"/>
        </w:rPr>
        <w:t xml:space="preserve"> </w:t>
      </w:r>
      <w:r>
        <w:rPr>
          <w:w w:val="105"/>
        </w:rPr>
        <w:t>the</w:t>
      </w:r>
      <w:r>
        <w:rPr>
          <w:spacing w:val="-2"/>
          <w:w w:val="105"/>
        </w:rPr>
        <w:t xml:space="preserve"> </w:t>
      </w:r>
      <w:r>
        <w:rPr>
          <w:w w:val="105"/>
        </w:rPr>
        <w:t>model has better explanatory capability concerning the endogenous variables. The criteria for evaluation of</w:t>
      </w:r>
      <w:r>
        <w:rPr>
          <w:spacing w:val="-2"/>
          <w:w w:val="105"/>
        </w:rPr>
        <w:t xml:space="preserve"> </w:t>
      </w:r>
      <w:r>
        <w:rPr>
          <w:w w:val="105"/>
        </w:rPr>
        <w:t>the structural model are shown below in Table 3.5.</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1419"/>
        <w:rPr>
          <w:b/>
          <w:sz w:val="23"/>
        </w:rPr>
      </w:pPr>
      <w:r>
        <w:rPr>
          <w:b/>
          <w:w w:val="105"/>
          <w:sz w:val="23"/>
        </w:rPr>
        <w:t>Table</w:t>
      </w:r>
      <w:r>
        <w:rPr>
          <w:b/>
          <w:spacing w:val="-9"/>
          <w:w w:val="105"/>
          <w:sz w:val="23"/>
        </w:rPr>
        <w:t xml:space="preserve"> </w:t>
      </w:r>
      <w:r>
        <w:rPr>
          <w:b/>
          <w:w w:val="105"/>
          <w:sz w:val="23"/>
        </w:rPr>
        <w:t>3.</w:t>
      </w:r>
      <w:r>
        <w:rPr>
          <w:b/>
          <w:spacing w:val="-12"/>
          <w:w w:val="105"/>
          <w:sz w:val="23"/>
        </w:rPr>
        <w:t xml:space="preserve"> </w:t>
      </w:r>
      <w:r>
        <w:rPr>
          <w:b/>
          <w:w w:val="105"/>
          <w:sz w:val="23"/>
        </w:rPr>
        <w:t>5:</w:t>
      </w:r>
      <w:r>
        <w:rPr>
          <w:b/>
          <w:spacing w:val="-4"/>
          <w:w w:val="105"/>
          <w:sz w:val="23"/>
        </w:rPr>
        <w:t xml:space="preserve"> </w:t>
      </w:r>
      <w:r>
        <w:rPr>
          <w:b/>
          <w:w w:val="105"/>
          <w:sz w:val="23"/>
        </w:rPr>
        <w:t>Structural</w:t>
      </w:r>
      <w:r>
        <w:rPr>
          <w:b/>
          <w:spacing w:val="-6"/>
          <w:w w:val="105"/>
          <w:sz w:val="23"/>
        </w:rPr>
        <w:t xml:space="preserve"> </w:t>
      </w:r>
      <w:r>
        <w:rPr>
          <w:b/>
          <w:w w:val="105"/>
          <w:sz w:val="23"/>
        </w:rPr>
        <w:t>Model</w:t>
      </w:r>
      <w:r>
        <w:rPr>
          <w:b/>
          <w:spacing w:val="-6"/>
          <w:w w:val="105"/>
          <w:sz w:val="23"/>
        </w:rPr>
        <w:t xml:space="preserve"> </w:t>
      </w:r>
      <w:r>
        <w:rPr>
          <w:b/>
          <w:spacing w:val="-2"/>
          <w:w w:val="105"/>
          <w:sz w:val="23"/>
        </w:rPr>
        <w:t>Assessment</w:t>
      </w:r>
    </w:p>
    <w:p w:rsidR="00487D64" w:rsidRDefault="00487D64">
      <w:pPr>
        <w:pStyle w:val="BodyText"/>
        <w:spacing w:before="44"/>
        <w:rPr>
          <w:b/>
          <w:sz w:val="20"/>
        </w:rPr>
      </w:pPr>
    </w:p>
    <w:tbl>
      <w:tblPr>
        <w:tblW w:w="0" w:type="auto"/>
        <w:tblInd w:w="1311" w:type="dxa"/>
        <w:tblLayout w:type="fixed"/>
        <w:tblCellMar>
          <w:left w:w="0" w:type="dxa"/>
          <w:right w:w="0" w:type="dxa"/>
        </w:tblCellMar>
        <w:tblLook w:val="01E0" w:firstRow="1" w:lastRow="1" w:firstColumn="1" w:lastColumn="1" w:noHBand="0" w:noVBand="0"/>
      </w:tblPr>
      <w:tblGrid>
        <w:gridCol w:w="3403"/>
        <w:gridCol w:w="5047"/>
      </w:tblGrid>
      <w:tr w:rsidR="00487D64">
        <w:trPr>
          <w:trHeight w:val="551"/>
        </w:trPr>
        <w:tc>
          <w:tcPr>
            <w:tcW w:w="3403" w:type="dxa"/>
            <w:tcBorders>
              <w:top w:val="single" w:sz="4" w:space="0" w:color="000000"/>
              <w:bottom w:val="single" w:sz="4" w:space="0" w:color="000000"/>
            </w:tcBorders>
          </w:tcPr>
          <w:p w:rsidR="00487D64" w:rsidRDefault="006F0D93">
            <w:pPr>
              <w:pStyle w:val="TableParagraph"/>
              <w:spacing w:before="14"/>
              <w:ind w:left="115"/>
              <w:rPr>
                <w:b/>
                <w:sz w:val="23"/>
              </w:rPr>
            </w:pPr>
            <w:r>
              <w:rPr>
                <w:b/>
                <w:spacing w:val="-2"/>
                <w:w w:val="105"/>
                <w:sz w:val="23"/>
              </w:rPr>
              <w:t>Criterion</w:t>
            </w:r>
          </w:p>
        </w:tc>
        <w:tc>
          <w:tcPr>
            <w:tcW w:w="5047" w:type="dxa"/>
            <w:tcBorders>
              <w:top w:val="single" w:sz="4" w:space="0" w:color="000000"/>
              <w:bottom w:val="single" w:sz="4" w:space="0" w:color="000000"/>
            </w:tcBorders>
          </w:tcPr>
          <w:p w:rsidR="00487D64" w:rsidRDefault="006F0D93">
            <w:pPr>
              <w:pStyle w:val="TableParagraph"/>
              <w:spacing w:before="14"/>
              <w:ind w:left="112"/>
              <w:rPr>
                <w:b/>
                <w:sz w:val="23"/>
              </w:rPr>
            </w:pPr>
            <w:r>
              <w:rPr>
                <w:b/>
                <w:w w:val="105"/>
                <w:sz w:val="23"/>
              </w:rPr>
              <w:t>Criterion</w:t>
            </w:r>
            <w:r>
              <w:rPr>
                <w:b/>
                <w:spacing w:val="-15"/>
                <w:w w:val="105"/>
                <w:sz w:val="23"/>
              </w:rPr>
              <w:t xml:space="preserve"> </w:t>
            </w:r>
            <w:r>
              <w:rPr>
                <w:b/>
                <w:w w:val="105"/>
                <w:sz w:val="23"/>
              </w:rPr>
              <w:t>Rules</w:t>
            </w:r>
            <w:r>
              <w:rPr>
                <w:b/>
                <w:spacing w:val="-5"/>
                <w:w w:val="105"/>
                <w:sz w:val="23"/>
              </w:rPr>
              <w:t xml:space="preserve"> </w:t>
            </w:r>
            <w:r>
              <w:rPr>
                <w:b/>
                <w:w w:val="105"/>
                <w:sz w:val="23"/>
              </w:rPr>
              <w:t>of</w:t>
            </w:r>
            <w:r>
              <w:rPr>
                <w:b/>
                <w:spacing w:val="-12"/>
                <w:w w:val="105"/>
                <w:sz w:val="23"/>
              </w:rPr>
              <w:t xml:space="preserve"> </w:t>
            </w:r>
            <w:r>
              <w:rPr>
                <w:b/>
                <w:spacing w:val="-2"/>
                <w:w w:val="105"/>
                <w:sz w:val="23"/>
              </w:rPr>
              <w:t>thumb</w:t>
            </w:r>
          </w:p>
        </w:tc>
      </w:tr>
      <w:tr w:rsidR="00487D64">
        <w:trPr>
          <w:trHeight w:val="419"/>
        </w:trPr>
        <w:tc>
          <w:tcPr>
            <w:tcW w:w="3403" w:type="dxa"/>
            <w:tcBorders>
              <w:top w:val="single" w:sz="4" w:space="0" w:color="000000"/>
            </w:tcBorders>
          </w:tcPr>
          <w:p w:rsidR="00487D64" w:rsidRDefault="006F0D93">
            <w:pPr>
              <w:pStyle w:val="TableParagraph"/>
              <w:spacing w:before="7"/>
              <w:ind w:left="115"/>
              <w:rPr>
                <w:sz w:val="23"/>
              </w:rPr>
            </w:pPr>
            <w:r>
              <w:rPr>
                <w:sz w:val="23"/>
              </w:rPr>
              <w:t>Significance</w:t>
            </w:r>
            <w:r>
              <w:rPr>
                <w:spacing w:val="27"/>
                <w:sz w:val="23"/>
              </w:rPr>
              <w:t xml:space="preserve"> </w:t>
            </w:r>
            <w:r>
              <w:rPr>
                <w:sz w:val="23"/>
              </w:rPr>
              <w:t>of</w:t>
            </w:r>
            <w:r>
              <w:rPr>
                <w:spacing w:val="24"/>
                <w:sz w:val="23"/>
              </w:rPr>
              <w:t xml:space="preserve"> </w:t>
            </w:r>
            <w:r>
              <w:rPr>
                <w:spacing w:val="-2"/>
                <w:sz w:val="23"/>
              </w:rPr>
              <w:t>weights</w:t>
            </w:r>
          </w:p>
        </w:tc>
        <w:tc>
          <w:tcPr>
            <w:tcW w:w="5047" w:type="dxa"/>
            <w:tcBorders>
              <w:top w:val="single" w:sz="4" w:space="0" w:color="000000"/>
            </w:tcBorders>
          </w:tcPr>
          <w:p w:rsidR="00487D64" w:rsidRDefault="006F0D93">
            <w:pPr>
              <w:pStyle w:val="TableParagraph"/>
              <w:spacing w:before="7"/>
              <w:ind w:left="112"/>
              <w:rPr>
                <w:sz w:val="23"/>
              </w:rPr>
            </w:pPr>
            <w:r>
              <w:rPr>
                <w:sz w:val="23"/>
              </w:rPr>
              <w:t>Report</w:t>
            </w:r>
            <w:r>
              <w:rPr>
                <w:spacing w:val="24"/>
                <w:sz w:val="23"/>
              </w:rPr>
              <w:t xml:space="preserve"> </w:t>
            </w:r>
            <w:r>
              <w:rPr>
                <w:sz w:val="23"/>
              </w:rPr>
              <w:t>t-values</w:t>
            </w:r>
            <w:r>
              <w:rPr>
                <w:spacing w:val="19"/>
                <w:sz w:val="23"/>
              </w:rPr>
              <w:t xml:space="preserve"> </w:t>
            </w:r>
            <w:r>
              <w:rPr>
                <w:sz w:val="23"/>
              </w:rPr>
              <w:t>and</w:t>
            </w:r>
            <w:r>
              <w:rPr>
                <w:spacing w:val="33"/>
                <w:sz w:val="23"/>
              </w:rPr>
              <w:t xml:space="preserve"> </w:t>
            </w:r>
            <w:r>
              <w:rPr>
                <w:sz w:val="23"/>
              </w:rPr>
              <w:t>p-</w:t>
            </w:r>
            <w:r>
              <w:rPr>
                <w:spacing w:val="-2"/>
                <w:sz w:val="23"/>
              </w:rPr>
              <w:t>values</w:t>
            </w:r>
          </w:p>
        </w:tc>
      </w:tr>
      <w:tr w:rsidR="00487D64">
        <w:trPr>
          <w:trHeight w:val="551"/>
        </w:trPr>
        <w:tc>
          <w:tcPr>
            <w:tcW w:w="3403" w:type="dxa"/>
          </w:tcPr>
          <w:p w:rsidR="00487D64" w:rsidRDefault="006F0D93">
            <w:pPr>
              <w:pStyle w:val="TableParagraph"/>
              <w:spacing w:before="143"/>
              <w:ind w:left="115"/>
              <w:rPr>
                <w:sz w:val="23"/>
              </w:rPr>
            </w:pPr>
            <w:r>
              <w:rPr>
                <w:spacing w:val="-2"/>
                <w:w w:val="105"/>
                <w:sz w:val="23"/>
              </w:rPr>
              <w:t>Multicollinearity</w:t>
            </w:r>
          </w:p>
        </w:tc>
        <w:tc>
          <w:tcPr>
            <w:tcW w:w="5047" w:type="dxa"/>
          </w:tcPr>
          <w:p w:rsidR="00487D64" w:rsidRDefault="006F0D93">
            <w:pPr>
              <w:pStyle w:val="TableParagraph"/>
              <w:spacing w:before="143"/>
              <w:ind w:left="112"/>
              <w:rPr>
                <w:sz w:val="23"/>
              </w:rPr>
            </w:pPr>
            <w:r>
              <w:rPr>
                <w:w w:val="105"/>
                <w:sz w:val="23"/>
              </w:rPr>
              <w:t>Examine</w:t>
            </w:r>
            <w:r>
              <w:rPr>
                <w:spacing w:val="-2"/>
                <w:w w:val="105"/>
                <w:sz w:val="23"/>
              </w:rPr>
              <w:t xml:space="preserve"> </w:t>
            </w:r>
            <w:r>
              <w:rPr>
                <w:w w:val="105"/>
                <w:sz w:val="23"/>
              </w:rPr>
              <w:t>for</w:t>
            </w:r>
            <w:r>
              <w:rPr>
                <w:spacing w:val="-3"/>
                <w:w w:val="105"/>
                <w:sz w:val="23"/>
              </w:rPr>
              <w:t xml:space="preserve"> </w:t>
            </w:r>
            <w:r>
              <w:rPr>
                <w:w w:val="105"/>
                <w:sz w:val="23"/>
              </w:rPr>
              <w:t>VIF</w:t>
            </w:r>
            <w:r>
              <w:rPr>
                <w:spacing w:val="-13"/>
                <w:w w:val="105"/>
                <w:sz w:val="23"/>
              </w:rPr>
              <w:t xml:space="preserve"> </w:t>
            </w:r>
            <w:r>
              <w:rPr>
                <w:w w:val="105"/>
                <w:sz w:val="23"/>
              </w:rPr>
              <w:t>less</w:t>
            </w:r>
            <w:r>
              <w:rPr>
                <w:spacing w:val="-8"/>
                <w:w w:val="105"/>
                <w:sz w:val="23"/>
              </w:rPr>
              <w:t xml:space="preserve"> </w:t>
            </w:r>
            <w:r>
              <w:rPr>
                <w:w w:val="105"/>
                <w:sz w:val="23"/>
              </w:rPr>
              <w:t>than</w:t>
            </w:r>
            <w:r>
              <w:rPr>
                <w:spacing w:val="-13"/>
                <w:w w:val="105"/>
                <w:sz w:val="23"/>
              </w:rPr>
              <w:t xml:space="preserve"> </w:t>
            </w:r>
            <w:r>
              <w:rPr>
                <w:w w:val="105"/>
                <w:sz w:val="23"/>
              </w:rPr>
              <w:t>5,</w:t>
            </w:r>
            <w:r>
              <w:rPr>
                <w:spacing w:val="-6"/>
                <w:w w:val="105"/>
                <w:sz w:val="23"/>
              </w:rPr>
              <w:t xml:space="preserve"> </w:t>
            </w:r>
            <w:r>
              <w:rPr>
                <w:w w:val="105"/>
                <w:sz w:val="23"/>
              </w:rPr>
              <w:t>ideally</w:t>
            </w:r>
            <w:r>
              <w:rPr>
                <w:spacing w:val="-6"/>
                <w:w w:val="105"/>
                <w:sz w:val="23"/>
              </w:rPr>
              <w:t xml:space="preserve"> </w:t>
            </w:r>
            <w:r>
              <w:rPr>
                <w:w w:val="105"/>
                <w:sz w:val="23"/>
              </w:rPr>
              <w:t>less</w:t>
            </w:r>
            <w:r>
              <w:rPr>
                <w:spacing w:val="-10"/>
                <w:w w:val="105"/>
                <w:sz w:val="23"/>
              </w:rPr>
              <w:t xml:space="preserve"> </w:t>
            </w:r>
            <w:r>
              <w:rPr>
                <w:w w:val="105"/>
                <w:sz w:val="23"/>
              </w:rPr>
              <w:t>than</w:t>
            </w:r>
            <w:r>
              <w:rPr>
                <w:spacing w:val="-13"/>
                <w:w w:val="105"/>
                <w:sz w:val="23"/>
              </w:rPr>
              <w:t xml:space="preserve"> </w:t>
            </w:r>
            <w:r>
              <w:rPr>
                <w:spacing w:val="-10"/>
                <w:w w:val="105"/>
                <w:sz w:val="23"/>
              </w:rPr>
              <w:t>3</w:t>
            </w:r>
          </w:p>
        </w:tc>
      </w:tr>
      <w:tr w:rsidR="00487D64">
        <w:trPr>
          <w:trHeight w:val="1105"/>
        </w:trPr>
        <w:tc>
          <w:tcPr>
            <w:tcW w:w="3403" w:type="dxa"/>
          </w:tcPr>
          <w:p w:rsidR="00487D64" w:rsidRDefault="006F0D93">
            <w:pPr>
              <w:pStyle w:val="TableParagraph"/>
              <w:spacing w:before="139"/>
              <w:ind w:left="115"/>
              <w:rPr>
                <w:sz w:val="23"/>
              </w:rPr>
            </w:pPr>
            <w:r>
              <w:rPr>
                <w:sz w:val="23"/>
              </w:rPr>
              <w:t>Absolute</w:t>
            </w:r>
            <w:r>
              <w:rPr>
                <w:spacing w:val="23"/>
                <w:sz w:val="23"/>
              </w:rPr>
              <w:t xml:space="preserve"> </w:t>
            </w:r>
            <w:r>
              <w:rPr>
                <w:sz w:val="23"/>
              </w:rPr>
              <w:t>vs</w:t>
            </w:r>
            <w:r>
              <w:rPr>
                <w:spacing w:val="21"/>
                <w:sz w:val="23"/>
              </w:rPr>
              <w:t xml:space="preserve"> </w:t>
            </w:r>
            <w:r>
              <w:rPr>
                <w:sz w:val="23"/>
              </w:rPr>
              <w:t>relative</w:t>
            </w:r>
            <w:r>
              <w:rPr>
                <w:spacing w:val="14"/>
                <w:sz w:val="23"/>
              </w:rPr>
              <w:t xml:space="preserve"> </w:t>
            </w:r>
            <w:r>
              <w:rPr>
                <w:spacing w:val="-2"/>
                <w:sz w:val="23"/>
              </w:rPr>
              <w:t>indicator</w:t>
            </w:r>
          </w:p>
        </w:tc>
        <w:tc>
          <w:tcPr>
            <w:tcW w:w="5047" w:type="dxa"/>
          </w:tcPr>
          <w:p w:rsidR="00487D64" w:rsidRDefault="006F0D93">
            <w:pPr>
              <w:pStyle w:val="TableParagraph"/>
              <w:spacing w:before="139"/>
              <w:ind w:left="112"/>
              <w:rPr>
                <w:sz w:val="23"/>
              </w:rPr>
            </w:pPr>
            <w:r>
              <w:rPr>
                <w:w w:val="105"/>
                <w:sz w:val="23"/>
              </w:rPr>
              <w:t>Report</w:t>
            </w:r>
            <w:r>
              <w:rPr>
                <w:spacing w:val="78"/>
                <w:w w:val="105"/>
                <w:sz w:val="23"/>
              </w:rPr>
              <w:t xml:space="preserve"> </w:t>
            </w:r>
            <w:r>
              <w:rPr>
                <w:w w:val="105"/>
                <w:sz w:val="23"/>
              </w:rPr>
              <w:t>indicator</w:t>
            </w:r>
            <w:r>
              <w:rPr>
                <w:spacing w:val="60"/>
                <w:w w:val="150"/>
                <w:sz w:val="23"/>
              </w:rPr>
              <w:t xml:space="preserve"> </w:t>
            </w:r>
            <w:r>
              <w:rPr>
                <w:w w:val="105"/>
                <w:sz w:val="23"/>
              </w:rPr>
              <w:t>weights</w:t>
            </w:r>
            <w:r>
              <w:rPr>
                <w:spacing w:val="74"/>
                <w:w w:val="105"/>
                <w:sz w:val="23"/>
              </w:rPr>
              <w:t xml:space="preserve"> </w:t>
            </w:r>
            <w:r>
              <w:rPr>
                <w:w w:val="105"/>
                <w:sz w:val="23"/>
              </w:rPr>
              <w:t>and</w:t>
            </w:r>
            <w:r>
              <w:rPr>
                <w:spacing w:val="76"/>
                <w:w w:val="105"/>
                <w:sz w:val="23"/>
              </w:rPr>
              <w:t xml:space="preserve"> </w:t>
            </w:r>
            <w:r>
              <w:rPr>
                <w:w w:val="105"/>
                <w:sz w:val="23"/>
              </w:rPr>
              <w:t>loadings;</w:t>
            </w:r>
            <w:r>
              <w:rPr>
                <w:spacing w:val="79"/>
                <w:w w:val="105"/>
                <w:sz w:val="23"/>
              </w:rPr>
              <w:t xml:space="preserve"> </w:t>
            </w:r>
            <w:r>
              <w:rPr>
                <w:spacing w:val="-2"/>
                <w:w w:val="105"/>
                <w:sz w:val="23"/>
              </w:rPr>
              <w:t>assess</w:t>
            </w:r>
          </w:p>
          <w:p w:rsidR="00487D64" w:rsidRDefault="00487D64">
            <w:pPr>
              <w:pStyle w:val="TableParagraph"/>
              <w:spacing w:before="25"/>
              <w:rPr>
                <w:b/>
                <w:sz w:val="23"/>
              </w:rPr>
            </w:pPr>
          </w:p>
          <w:p w:rsidR="00487D64" w:rsidRDefault="006F0D93">
            <w:pPr>
              <w:pStyle w:val="TableParagraph"/>
              <w:spacing w:before="1"/>
              <w:ind w:left="112"/>
              <w:rPr>
                <w:sz w:val="23"/>
              </w:rPr>
            </w:pPr>
            <w:r>
              <w:rPr>
                <w:sz w:val="23"/>
              </w:rPr>
              <w:t>significance</w:t>
            </w:r>
            <w:r>
              <w:rPr>
                <w:spacing w:val="37"/>
                <w:sz w:val="23"/>
              </w:rPr>
              <w:t xml:space="preserve"> </w:t>
            </w:r>
            <w:r>
              <w:rPr>
                <w:spacing w:val="-2"/>
                <w:sz w:val="23"/>
              </w:rPr>
              <w:t>contributions</w:t>
            </w:r>
          </w:p>
        </w:tc>
      </w:tr>
      <w:tr w:rsidR="00487D64">
        <w:trPr>
          <w:trHeight w:val="2758"/>
        </w:trPr>
        <w:tc>
          <w:tcPr>
            <w:tcW w:w="3403" w:type="dxa"/>
          </w:tcPr>
          <w:p w:rsidR="00487D64" w:rsidRDefault="006F0D93">
            <w:pPr>
              <w:pStyle w:val="TableParagraph"/>
              <w:spacing w:before="142"/>
              <w:ind w:left="115"/>
              <w:rPr>
                <w:sz w:val="23"/>
              </w:rPr>
            </w:pPr>
            <w:r>
              <w:rPr>
                <w:w w:val="105"/>
                <w:sz w:val="23"/>
              </w:rPr>
              <w:t>R2</w:t>
            </w:r>
            <w:r>
              <w:rPr>
                <w:spacing w:val="-6"/>
                <w:w w:val="105"/>
                <w:sz w:val="23"/>
              </w:rPr>
              <w:t xml:space="preserve"> </w:t>
            </w:r>
            <w:r>
              <w:rPr>
                <w:spacing w:val="-2"/>
                <w:w w:val="105"/>
                <w:sz w:val="23"/>
              </w:rPr>
              <w:t>value</w:t>
            </w:r>
          </w:p>
        </w:tc>
        <w:tc>
          <w:tcPr>
            <w:tcW w:w="5047" w:type="dxa"/>
          </w:tcPr>
          <w:p w:rsidR="00487D64" w:rsidRDefault="006F0D93">
            <w:pPr>
              <w:pStyle w:val="TableParagraph"/>
              <w:spacing w:before="142" w:line="499" w:lineRule="auto"/>
              <w:ind w:left="112" w:right="119"/>
              <w:jc w:val="both"/>
              <w:rPr>
                <w:sz w:val="23"/>
              </w:rPr>
            </w:pPr>
            <w:r>
              <w:rPr>
                <w:w w:val="105"/>
                <w:sz w:val="23"/>
              </w:rPr>
              <w:t>Research context determines the acceptable level of R2 values of 0.75, 0.50, and</w:t>
            </w:r>
            <w:r>
              <w:rPr>
                <w:w w:val="105"/>
                <w:sz w:val="23"/>
              </w:rPr>
              <w:t xml:space="preserve"> 0.25, considered substantial, moderate, and weak.</w:t>
            </w:r>
          </w:p>
          <w:p w:rsidR="00487D64" w:rsidRDefault="006F0D93">
            <w:pPr>
              <w:pStyle w:val="TableParagraph"/>
              <w:spacing w:before="7"/>
              <w:ind w:left="112"/>
              <w:jc w:val="both"/>
              <w:rPr>
                <w:sz w:val="23"/>
              </w:rPr>
            </w:pPr>
            <w:r>
              <w:rPr>
                <w:w w:val="105"/>
                <w:sz w:val="23"/>
              </w:rPr>
              <w:t>R2</w:t>
            </w:r>
            <w:r>
              <w:rPr>
                <w:spacing w:val="24"/>
                <w:w w:val="105"/>
                <w:sz w:val="23"/>
              </w:rPr>
              <w:t xml:space="preserve">  </w:t>
            </w:r>
            <w:r>
              <w:rPr>
                <w:w w:val="105"/>
                <w:sz w:val="23"/>
              </w:rPr>
              <w:t>values</w:t>
            </w:r>
            <w:r>
              <w:rPr>
                <w:spacing w:val="24"/>
                <w:w w:val="105"/>
                <w:sz w:val="23"/>
              </w:rPr>
              <w:t xml:space="preserve">  </w:t>
            </w:r>
            <w:r>
              <w:rPr>
                <w:w w:val="105"/>
                <w:sz w:val="23"/>
              </w:rPr>
              <w:t>of</w:t>
            </w:r>
            <w:r>
              <w:rPr>
                <w:spacing w:val="74"/>
                <w:w w:val="150"/>
                <w:sz w:val="23"/>
              </w:rPr>
              <w:t xml:space="preserve"> </w:t>
            </w:r>
            <w:r>
              <w:rPr>
                <w:w w:val="105"/>
                <w:sz w:val="23"/>
              </w:rPr>
              <w:t>0.90</w:t>
            </w:r>
            <w:r>
              <w:rPr>
                <w:spacing w:val="25"/>
                <w:w w:val="105"/>
                <w:sz w:val="23"/>
              </w:rPr>
              <w:t xml:space="preserve">  </w:t>
            </w:r>
            <w:r>
              <w:rPr>
                <w:w w:val="105"/>
                <w:sz w:val="23"/>
              </w:rPr>
              <w:t>and</w:t>
            </w:r>
            <w:r>
              <w:rPr>
                <w:spacing w:val="24"/>
                <w:w w:val="105"/>
                <w:sz w:val="23"/>
              </w:rPr>
              <w:t xml:space="preserve">  </w:t>
            </w:r>
            <w:r>
              <w:rPr>
                <w:w w:val="105"/>
                <w:sz w:val="23"/>
              </w:rPr>
              <w:t>higher</w:t>
            </w:r>
            <w:r>
              <w:rPr>
                <w:spacing w:val="24"/>
                <w:w w:val="105"/>
                <w:sz w:val="23"/>
              </w:rPr>
              <w:t xml:space="preserve">  </w:t>
            </w:r>
            <w:r>
              <w:rPr>
                <w:w w:val="105"/>
                <w:sz w:val="23"/>
              </w:rPr>
              <w:t>are</w:t>
            </w:r>
            <w:r>
              <w:rPr>
                <w:spacing w:val="24"/>
                <w:w w:val="105"/>
                <w:sz w:val="23"/>
              </w:rPr>
              <w:t xml:space="preserve">  </w:t>
            </w:r>
            <w:r>
              <w:rPr>
                <w:spacing w:val="-2"/>
                <w:w w:val="105"/>
                <w:sz w:val="23"/>
              </w:rPr>
              <w:t>typically</w:t>
            </w:r>
          </w:p>
          <w:p w:rsidR="00487D64" w:rsidRDefault="00487D64">
            <w:pPr>
              <w:pStyle w:val="TableParagraph"/>
              <w:spacing w:before="18"/>
              <w:rPr>
                <w:b/>
                <w:sz w:val="23"/>
              </w:rPr>
            </w:pPr>
          </w:p>
          <w:p w:rsidR="00487D64" w:rsidRDefault="006F0D93">
            <w:pPr>
              <w:pStyle w:val="TableParagraph"/>
              <w:ind w:left="112"/>
              <w:jc w:val="both"/>
              <w:rPr>
                <w:sz w:val="23"/>
              </w:rPr>
            </w:pPr>
            <w:r>
              <w:rPr>
                <w:w w:val="105"/>
                <w:sz w:val="23"/>
              </w:rPr>
              <w:t>indicative</w:t>
            </w:r>
            <w:r>
              <w:rPr>
                <w:spacing w:val="-8"/>
                <w:w w:val="105"/>
                <w:sz w:val="23"/>
              </w:rPr>
              <w:t xml:space="preserve"> </w:t>
            </w:r>
            <w:r>
              <w:rPr>
                <w:w w:val="105"/>
                <w:sz w:val="23"/>
              </w:rPr>
              <w:t>of</w:t>
            </w:r>
            <w:r>
              <w:rPr>
                <w:spacing w:val="-10"/>
                <w:w w:val="105"/>
                <w:sz w:val="23"/>
              </w:rPr>
              <w:t xml:space="preserve"> </w:t>
            </w:r>
            <w:r>
              <w:rPr>
                <w:w w:val="105"/>
                <w:sz w:val="23"/>
              </w:rPr>
              <w:t>overfitting</w:t>
            </w:r>
            <w:r>
              <w:rPr>
                <w:spacing w:val="-10"/>
                <w:w w:val="105"/>
                <w:sz w:val="23"/>
              </w:rPr>
              <w:t xml:space="preserve"> </w:t>
            </w:r>
            <w:r>
              <w:rPr>
                <w:w w:val="105"/>
                <w:sz w:val="23"/>
              </w:rPr>
              <w:t>(Hair</w:t>
            </w:r>
            <w:r>
              <w:rPr>
                <w:spacing w:val="-3"/>
                <w:w w:val="105"/>
                <w:sz w:val="23"/>
              </w:rPr>
              <w:t xml:space="preserve"> </w:t>
            </w:r>
            <w:r>
              <w:rPr>
                <w:w w:val="105"/>
                <w:sz w:val="23"/>
              </w:rPr>
              <w:t>et</w:t>
            </w:r>
            <w:r>
              <w:rPr>
                <w:spacing w:val="-11"/>
                <w:w w:val="105"/>
                <w:sz w:val="23"/>
              </w:rPr>
              <w:t xml:space="preserve"> </w:t>
            </w:r>
            <w:r>
              <w:rPr>
                <w:w w:val="105"/>
                <w:sz w:val="23"/>
              </w:rPr>
              <w:t>al.,</w:t>
            </w:r>
            <w:r>
              <w:rPr>
                <w:spacing w:val="-12"/>
                <w:w w:val="105"/>
                <w:sz w:val="23"/>
              </w:rPr>
              <w:t xml:space="preserve"> </w:t>
            </w:r>
            <w:r>
              <w:rPr>
                <w:spacing w:val="-2"/>
                <w:w w:val="105"/>
                <w:sz w:val="23"/>
              </w:rPr>
              <w:t>2017)</w:t>
            </w:r>
          </w:p>
        </w:tc>
      </w:tr>
      <w:tr w:rsidR="00487D64">
        <w:trPr>
          <w:trHeight w:val="1105"/>
        </w:trPr>
        <w:tc>
          <w:tcPr>
            <w:tcW w:w="3403" w:type="dxa"/>
          </w:tcPr>
          <w:p w:rsidR="00487D64" w:rsidRDefault="006F0D93">
            <w:pPr>
              <w:pStyle w:val="TableParagraph"/>
              <w:spacing w:before="143"/>
              <w:ind w:left="115"/>
              <w:rPr>
                <w:sz w:val="23"/>
              </w:rPr>
            </w:pPr>
            <w:r>
              <w:rPr>
                <w:w w:val="105"/>
                <w:sz w:val="23"/>
              </w:rPr>
              <w:t>Effect</w:t>
            </w:r>
            <w:r>
              <w:rPr>
                <w:spacing w:val="-2"/>
                <w:w w:val="105"/>
                <w:sz w:val="23"/>
              </w:rPr>
              <w:t xml:space="preserve"> </w:t>
            </w:r>
            <w:r>
              <w:rPr>
                <w:w w:val="105"/>
                <w:sz w:val="23"/>
              </w:rPr>
              <w:t>size:</w:t>
            </w:r>
            <w:r>
              <w:rPr>
                <w:spacing w:val="-7"/>
                <w:w w:val="105"/>
                <w:sz w:val="23"/>
              </w:rPr>
              <w:t xml:space="preserve"> </w:t>
            </w:r>
            <w:r>
              <w:rPr>
                <w:w w:val="105"/>
                <w:sz w:val="23"/>
              </w:rPr>
              <w:t>f</w:t>
            </w:r>
            <w:r>
              <w:rPr>
                <w:spacing w:val="-12"/>
                <w:w w:val="105"/>
                <w:sz w:val="23"/>
              </w:rPr>
              <w:t xml:space="preserve"> </w:t>
            </w:r>
            <w:r>
              <w:rPr>
                <w:w w:val="105"/>
                <w:sz w:val="23"/>
              </w:rPr>
              <w:t>Square</w:t>
            </w:r>
            <w:r>
              <w:rPr>
                <w:spacing w:val="-10"/>
                <w:w w:val="105"/>
                <w:sz w:val="23"/>
              </w:rPr>
              <w:t xml:space="preserve"> </w:t>
            </w:r>
            <w:r>
              <w:rPr>
                <w:spacing w:val="-4"/>
                <w:w w:val="105"/>
                <w:sz w:val="23"/>
              </w:rPr>
              <w:t>(ƒ2)</w:t>
            </w:r>
          </w:p>
        </w:tc>
        <w:tc>
          <w:tcPr>
            <w:tcW w:w="5047" w:type="dxa"/>
          </w:tcPr>
          <w:p w:rsidR="00487D64" w:rsidRDefault="006F0D93">
            <w:pPr>
              <w:pStyle w:val="TableParagraph"/>
              <w:spacing w:before="143"/>
              <w:ind w:left="112"/>
              <w:rPr>
                <w:sz w:val="23"/>
              </w:rPr>
            </w:pPr>
            <w:r>
              <w:rPr>
                <w:w w:val="105"/>
                <w:sz w:val="23"/>
              </w:rPr>
              <w:t>0.02,</w:t>
            </w:r>
            <w:r>
              <w:rPr>
                <w:spacing w:val="75"/>
                <w:w w:val="150"/>
                <w:sz w:val="23"/>
              </w:rPr>
              <w:t xml:space="preserve"> </w:t>
            </w:r>
            <w:r>
              <w:rPr>
                <w:w w:val="105"/>
                <w:sz w:val="23"/>
              </w:rPr>
              <w:t>0.15,</w:t>
            </w:r>
            <w:r>
              <w:rPr>
                <w:spacing w:val="76"/>
                <w:w w:val="150"/>
                <w:sz w:val="23"/>
              </w:rPr>
              <w:t xml:space="preserve"> </w:t>
            </w:r>
            <w:r>
              <w:rPr>
                <w:w w:val="105"/>
                <w:sz w:val="23"/>
              </w:rPr>
              <w:t>0.35</w:t>
            </w:r>
            <w:r>
              <w:rPr>
                <w:spacing w:val="22"/>
                <w:w w:val="105"/>
                <w:sz w:val="23"/>
              </w:rPr>
              <w:t xml:space="preserve">  </w:t>
            </w:r>
            <w:r>
              <w:rPr>
                <w:w w:val="105"/>
                <w:sz w:val="23"/>
              </w:rPr>
              <w:t>for</w:t>
            </w:r>
            <w:r>
              <w:rPr>
                <w:spacing w:val="25"/>
                <w:w w:val="105"/>
                <w:sz w:val="23"/>
              </w:rPr>
              <w:t xml:space="preserve">  </w:t>
            </w:r>
            <w:r>
              <w:rPr>
                <w:w w:val="105"/>
                <w:sz w:val="23"/>
              </w:rPr>
              <w:t>weak,</w:t>
            </w:r>
            <w:r>
              <w:rPr>
                <w:spacing w:val="24"/>
                <w:w w:val="105"/>
                <w:sz w:val="23"/>
              </w:rPr>
              <w:t xml:space="preserve">  </w:t>
            </w:r>
            <w:r>
              <w:rPr>
                <w:w w:val="105"/>
                <w:sz w:val="23"/>
              </w:rPr>
              <w:t>moderate,</w:t>
            </w:r>
            <w:r>
              <w:rPr>
                <w:spacing w:val="27"/>
                <w:w w:val="105"/>
                <w:sz w:val="23"/>
              </w:rPr>
              <w:t xml:space="preserve">  </w:t>
            </w:r>
            <w:r>
              <w:rPr>
                <w:spacing w:val="-2"/>
                <w:w w:val="105"/>
                <w:sz w:val="23"/>
              </w:rPr>
              <w:t>strong</w:t>
            </w:r>
          </w:p>
          <w:p w:rsidR="00487D64" w:rsidRDefault="00487D64">
            <w:pPr>
              <w:pStyle w:val="TableParagraph"/>
              <w:spacing w:before="25"/>
              <w:rPr>
                <w:b/>
                <w:sz w:val="23"/>
              </w:rPr>
            </w:pPr>
          </w:p>
          <w:p w:rsidR="00487D64" w:rsidRDefault="006F0D93">
            <w:pPr>
              <w:pStyle w:val="TableParagraph"/>
              <w:ind w:left="112"/>
              <w:rPr>
                <w:sz w:val="23"/>
              </w:rPr>
            </w:pPr>
            <w:r>
              <w:rPr>
                <w:spacing w:val="-2"/>
                <w:w w:val="105"/>
                <w:sz w:val="23"/>
              </w:rPr>
              <w:t>effects</w:t>
            </w:r>
          </w:p>
        </w:tc>
      </w:tr>
      <w:tr w:rsidR="00487D64">
        <w:trPr>
          <w:trHeight w:val="551"/>
        </w:trPr>
        <w:tc>
          <w:tcPr>
            <w:tcW w:w="3403" w:type="dxa"/>
          </w:tcPr>
          <w:p w:rsidR="00487D64" w:rsidRDefault="006F0D93">
            <w:pPr>
              <w:pStyle w:val="TableParagraph"/>
              <w:spacing w:before="139"/>
              <w:ind w:left="115"/>
              <w:rPr>
                <w:sz w:val="23"/>
              </w:rPr>
            </w:pPr>
            <w:r>
              <w:rPr>
                <w:w w:val="105"/>
                <w:sz w:val="23"/>
              </w:rPr>
              <w:t>Path</w:t>
            </w:r>
            <w:r>
              <w:rPr>
                <w:spacing w:val="-15"/>
                <w:w w:val="105"/>
                <w:sz w:val="23"/>
              </w:rPr>
              <w:t xml:space="preserve"> </w:t>
            </w:r>
            <w:r>
              <w:rPr>
                <w:w w:val="105"/>
                <w:sz w:val="23"/>
              </w:rPr>
              <w:t>coefficient</w:t>
            </w:r>
            <w:r>
              <w:rPr>
                <w:spacing w:val="-12"/>
                <w:w w:val="105"/>
                <w:sz w:val="23"/>
              </w:rPr>
              <w:t xml:space="preserve"> </w:t>
            </w:r>
            <w:r>
              <w:rPr>
                <w:spacing w:val="-2"/>
                <w:w w:val="105"/>
                <w:sz w:val="23"/>
              </w:rPr>
              <w:t>estimates</w:t>
            </w:r>
          </w:p>
        </w:tc>
        <w:tc>
          <w:tcPr>
            <w:tcW w:w="5047" w:type="dxa"/>
          </w:tcPr>
          <w:p w:rsidR="00487D64" w:rsidRDefault="006F0D93">
            <w:pPr>
              <w:pStyle w:val="TableParagraph"/>
              <w:spacing w:before="139"/>
              <w:ind w:left="112"/>
              <w:rPr>
                <w:sz w:val="23"/>
              </w:rPr>
            </w:pPr>
            <w:r>
              <w:rPr>
                <w:sz w:val="23"/>
              </w:rPr>
              <w:t>Assess</w:t>
            </w:r>
            <w:r>
              <w:rPr>
                <w:spacing w:val="28"/>
                <w:sz w:val="23"/>
              </w:rPr>
              <w:t xml:space="preserve"> </w:t>
            </w:r>
            <w:r>
              <w:rPr>
                <w:sz w:val="23"/>
              </w:rPr>
              <w:t>significance</w:t>
            </w:r>
            <w:r>
              <w:rPr>
                <w:spacing w:val="20"/>
                <w:sz w:val="23"/>
              </w:rPr>
              <w:t xml:space="preserve"> </w:t>
            </w:r>
            <w:r>
              <w:rPr>
                <w:sz w:val="23"/>
              </w:rPr>
              <w:t>and</w:t>
            </w:r>
            <w:r>
              <w:rPr>
                <w:spacing w:val="32"/>
                <w:sz w:val="23"/>
              </w:rPr>
              <w:t xml:space="preserve"> </w:t>
            </w:r>
            <w:r>
              <w:rPr>
                <w:sz w:val="23"/>
              </w:rPr>
              <w:t>confidence</w:t>
            </w:r>
            <w:r>
              <w:rPr>
                <w:spacing w:val="30"/>
                <w:sz w:val="23"/>
              </w:rPr>
              <w:t xml:space="preserve"> </w:t>
            </w:r>
            <w:r>
              <w:rPr>
                <w:spacing w:val="-2"/>
                <w:sz w:val="23"/>
              </w:rPr>
              <w:t>intervals.</w:t>
            </w:r>
          </w:p>
        </w:tc>
      </w:tr>
      <w:tr w:rsidR="00487D64">
        <w:trPr>
          <w:trHeight w:val="2343"/>
        </w:trPr>
        <w:tc>
          <w:tcPr>
            <w:tcW w:w="3403" w:type="dxa"/>
            <w:tcBorders>
              <w:bottom w:val="single" w:sz="4" w:space="0" w:color="000000"/>
            </w:tcBorders>
          </w:tcPr>
          <w:p w:rsidR="00487D64" w:rsidRDefault="006F0D93">
            <w:pPr>
              <w:pStyle w:val="TableParagraph"/>
              <w:spacing w:before="142" w:line="504" w:lineRule="auto"/>
              <w:ind w:left="115"/>
              <w:rPr>
                <w:sz w:val="23"/>
              </w:rPr>
            </w:pPr>
            <w:r>
              <w:rPr>
                <w:w w:val="105"/>
                <w:sz w:val="23"/>
              </w:rPr>
              <w:t>Predictive</w:t>
            </w:r>
            <w:r>
              <w:rPr>
                <w:spacing w:val="40"/>
                <w:w w:val="105"/>
                <w:sz w:val="23"/>
              </w:rPr>
              <w:t xml:space="preserve"> </w:t>
            </w:r>
            <w:r>
              <w:rPr>
                <w:w w:val="105"/>
                <w:sz w:val="23"/>
              </w:rPr>
              <w:t>relevance</w:t>
            </w:r>
            <w:r>
              <w:rPr>
                <w:spacing w:val="40"/>
                <w:w w:val="105"/>
                <w:sz w:val="23"/>
              </w:rPr>
              <w:t xml:space="preserve"> </w:t>
            </w:r>
            <w:r>
              <w:rPr>
                <w:w w:val="105"/>
                <w:sz w:val="23"/>
              </w:rPr>
              <w:t>Q2</w:t>
            </w:r>
            <w:r>
              <w:rPr>
                <w:spacing w:val="80"/>
                <w:w w:val="105"/>
                <w:sz w:val="23"/>
              </w:rPr>
              <w:t xml:space="preserve"> </w:t>
            </w:r>
            <w:r>
              <w:rPr>
                <w:w w:val="105"/>
                <w:sz w:val="23"/>
              </w:rPr>
              <w:t>value and q2</w:t>
            </w:r>
          </w:p>
        </w:tc>
        <w:tc>
          <w:tcPr>
            <w:tcW w:w="5047" w:type="dxa"/>
            <w:tcBorders>
              <w:bottom w:val="single" w:sz="4" w:space="0" w:color="000000"/>
            </w:tcBorders>
          </w:tcPr>
          <w:p w:rsidR="00487D64" w:rsidRDefault="006F0D93">
            <w:pPr>
              <w:pStyle w:val="TableParagraph"/>
              <w:spacing w:before="142"/>
              <w:ind w:left="112"/>
              <w:rPr>
                <w:sz w:val="23"/>
              </w:rPr>
            </w:pPr>
            <w:r>
              <w:rPr>
                <w:w w:val="105"/>
                <w:sz w:val="23"/>
              </w:rPr>
              <w:t>Values</w:t>
            </w:r>
            <w:r>
              <w:rPr>
                <w:spacing w:val="-13"/>
                <w:w w:val="105"/>
                <w:sz w:val="23"/>
              </w:rPr>
              <w:t xml:space="preserve"> </w:t>
            </w:r>
            <w:r>
              <w:rPr>
                <w:w w:val="105"/>
                <w:sz w:val="23"/>
              </w:rPr>
              <w:t>larger</w:t>
            </w:r>
            <w:r>
              <w:rPr>
                <w:spacing w:val="-6"/>
                <w:w w:val="105"/>
                <w:sz w:val="23"/>
              </w:rPr>
              <w:t xml:space="preserve"> </w:t>
            </w:r>
            <w:r>
              <w:rPr>
                <w:w w:val="105"/>
                <w:sz w:val="23"/>
              </w:rPr>
              <w:t>than</w:t>
            </w:r>
            <w:r>
              <w:rPr>
                <w:spacing w:val="-4"/>
                <w:w w:val="105"/>
                <w:sz w:val="23"/>
              </w:rPr>
              <w:t xml:space="preserve"> </w:t>
            </w:r>
            <w:r>
              <w:rPr>
                <w:w w:val="105"/>
                <w:sz w:val="23"/>
              </w:rPr>
              <w:t>zero</w:t>
            </w:r>
            <w:r>
              <w:rPr>
                <w:spacing w:val="-10"/>
                <w:w w:val="105"/>
                <w:sz w:val="23"/>
              </w:rPr>
              <w:t xml:space="preserve"> </w:t>
            </w:r>
            <w:r>
              <w:rPr>
                <w:w w:val="105"/>
                <w:sz w:val="23"/>
              </w:rPr>
              <w:t>are</w:t>
            </w:r>
            <w:r>
              <w:rPr>
                <w:spacing w:val="-5"/>
                <w:w w:val="105"/>
                <w:sz w:val="23"/>
              </w:rPr>
              <w:t xml:space="preserve"> </w:t>
            </w:r>
            <w:r>
              <w:rPr>
                <w:spacing w:val="-2"/>
                <w:w w:val="105"/>
                <w:sz w:val="23"/>
              </w:rPr>
              <w:t>meaningful.</w:t>
            </w:r>
          </w:p>
          <w:p w:rsidR="00487D64" w:rsidRDefault="00487D64">
            <w:pPr>
              <w:pStyle w:val="TableParagraph"/>
              <w:spacing w:before="26"/>
              <w:rPr>
                <w:b/>
                <w:sz w:val="23"/>
              </w:rPr>
            </w:pPr>
          </w:p>
          <w:p w:rsidR="00487D64" w:rsidRDefault="006F0D93">
            <w:pPr>
              <w:pStyle w:val="TableParagraph"/>
              <w:spacing w:line="496" w:lineRule="auto"/>
              <w:ind w:left="112"/>
              <w:rPr>
                <w:sz w:val="23"/>
              </w:rPr>
            </w:pPr>
            <w:r>
              <w:rPr>
                <w:w w:val="105"/>
                <w:sz w:val="23"/>
              </w:rPr>
              <w:t>Values</w:t>
            </w:r>
            <w:r>
              <w:rPr>
                <w:spacing w:val="-2"/>
                <w:w w:val="105"/>
                <w:sz w:val="23"/>
              </w:rPr>
              <w:t xml:space="preserve"> </w:t>
            </w:r>
            <w:r>
              <w:rPr>
                <w:w w:val="105"/>
                <w:sz w:val="23"/>
              </w:rPr>
              <w:t>higher than</w:t>
            </w:r>
            <w:r>
              <w:rPr>
                <w:spacing w:val="-7"/>
                <w:w w:val="105"/>
                <w:sz w:val="23"/>
              </w:rPr>
              <w:t xml:space="preserve"> </w:t>
            </w:r>
            <w:r>
              <w:rPr>
                <w:w w:val="105"/>
                <w:sz w:val="23"/>
              </w:rPr>
              <w:t>0,</w:t>
            </w:r>
            <w:r>
              <w:rPr>
                <w:spacing w:val="-5"/>
                <w:w w:val="105"/>
                <w:sz w:val="23"/>
              </w:rPr>
              <w:t xml:space="preserve"> </w:t>
            </w:r>
            <w:r>
              <w:rPr>
                <w:w w:val="105"/>
                <w:sz w:val="23"/>
              </w:rPr>
              <w:t>0.25,</w:t>
            </w:r>
            <w:r>
              <w:rPr>
                <w:spacing w:val="-5"/>
                <w:w w:val="105"/>
                <w:sz w:val="23"/>
              </w:rPr>
              <w:t xml:space="preserve"> </w:t>
            </w:r>
            <w:r>
              <w:rPr>
                <w:w w:val="105"/>
                <w:sz w:val="23"/>
              </w:rPr>
              <w:t>and</w:t>
            </w:r>
            <w:r>
              <w:rPr>
                <w:spacing w:val="-7"/>
                <w:w w:val="105"/>
                <w:sz w:val="23"/>
              </w:rPr>
              <w:t xml:space="preserve"> </w:t>
            </w:r>
            <w:r>
              <w:rPr>
                <w:w w:val="105"/>
                <w:sz w:val="23"/>
              </w:rPr>
              <w:t>0.50 depict small, medium,</w:t>
            </w:r>
            <w:r>
              <w:rPr>
                <w:spacing w:val="-12"/>
                <w:w w:val="105"/>
                <w:sz w:val="23"/>
              </w:rPr>
              <w:t xml:space="preserve"> </w:t>
            </w:r>
            <w:r>
              <w:rPr>
                <w:w w:val="105"/>
                <w:sz w:val="23"/>
              </w:rPr>
              <w:t>and</w:t>
            </w:r>
            <w:r>
              <w:rPr>
                <w:spacing w:val="-4"/>
                <w:w w:val="105"/>
                <w:sz w:val="23"/>
              </w:rPr>
              <w:t xml:space="preserve"> </w:t>
            </w:r>
            <w:r>
              <w:rPr>
                <w:w w:val="105"/>
                <w:sz w:val="23"/>
              </w:rPr>
              <w:t>large</w:t>
            </w:r>
            <w:r>
              <w:rPr>
                <w:spacing w:val="-1"/>
                <w:w w:val="105"/>
                <w:sz w:val="23"/>
              </w:rPr>
              <w:t xml:space="preserve"> </w:t>
            </w:r>
            <w:r>
              <w:rPr>
                <w:w w:val="105"/>
                <w:sz w:val="23"/>
              </w:rPr>
              <w:t>predictive</w:t>
            </w:r>
            <w:r>
              <w:rPr>
                <w:spacing w:val="-8"/>
                <w:w w:val="105"/>
                <w:sz w:val="23"/>
              </w:rPr>
              <w:t xml:space="preserve"> </w:t>
            </w:r>
            <w:r>
              <w:rPr>
                <w:w w:val="105"/>
                <w:sz w:val="23"/>
              </w:rPr>
              <w:t>accuracy</w:t>
            </w:r>
            <w:r>
              <w:rPr>
                <w:spacing w:val="-7"/>
                <w:w w:val="105"/>
                <w:sz w:val="23"/>
              </w:rPr>
              <w:t xml:space="preserve"> </w:t>
            </w:r>
            <w:r>
              <w:rPr>
                <w:w w:val="105"/>
                <w:sz w:val="23"/>
              </w:rPr>
              <w:t>of</w:t>
            </w:r>
            <w:r>
              <w:rPr>
                <w:spacing w:val="-9"/>
                <w:w w:val="105"/>
                <w:sz w:val="23"/>
              </w:rPr>
              <w:t xml:space="preserve"> </w:t>
            </w:r>
            <w:r>
              <w:rPr>
                <w:w w:val="105"/>
                <w:sz w:val="23"/>
              </w:rPr>
              <w:t>the</w:t>
            </w:r>
            <w:r>
              <w:rPr>
                <w:spacing w:val="-8"/>
                <w:w w:val="105"/>
                <w:sz w:val="23"/>
              </w:rPr>
              <w:t xml:space="preserve"> </w:t>
            </w:r>
            <w:r>
              <w:rPr>
                <w:spacing w:val="-5"/>
                <w:w w:val="105"/>
                <w:sz w:val="23"/>
              </w:rPr>
              <w:t>PLS</w:t>
            </w:r>
          </w:p>
          <w:p w:rsidR="00487D64" w:rsidRDefault="006F0D93">
            <w:pPr>
              <w:pStyle w:val="TableParagraph"/>
              <w:spacing w:before="7"/>
              <w:ind w:left="112"/>
              <w:rPr>
                <w:sz w:val="23"/>
              </w:rPr>
            </w:pPr>
            <w:r>
              <w:rPr>
                <w:w w:val="105"/>
                <w:sz w:val="23"/>
              </w:rPr>
              <w:t>path</w:t>
            </w:r>
            <w:r>
              <w:rPr>
                <w:spacing w:val="-2"/>
                <w:w w:val="105"/>
                <w:sz w:val="23"/>
              </w:rPr>
              <w:t xml:space="preserve"> </w:t>
            </w:r>
            <w:r>
              <w:rPr>
                <w:w w:val="105"/>
                <w:sz w:val="23"/>
              </w:rPr>
              <w:t>model</w:t>
            </w:r>
            <w:r>
              <w:rPr>
                <w:spacing w:val="-10"/>
                <w:w w:val="105"/>
                <w:sz w:val="23"/>
              </w:rPr>
              <w:t xml:space="preserve"> </w:t>
            </w:r>
            <w:r>
              <w:rPr>
                <w:w w:val="105"/>
                <w:sz w:val="23"/>
              </w:rPr>
              <w:t>(Hair</w:t>
            </w:r>
            <w:r>
              <w:rPr>
                <w:spacing w:val="-4"/>
                <w:w w:val="105"/>
                <w:sz w:val="23"/>
              </w:rPr>
              <w:t xml:space="preserve"> </w:t>
            </w:r>
            <w:r>
              <w:rPr>
                <w:w w:val="105"/>
                <w:sz w:val="23"/>
              </w:rPr>
              <w:t>et</w:t>
            </w:r>
            <w:r>
              <w:rPr>
                <w:spacing w:val="-12"/>
                <w:w w:val="105"/>
                <w:sz w:val="23"/>
              </w:rPr>
              <w:t xml:space="preserve"> </w:t>
            </w:r>
            <w:r>
              <w:rPr>
                <w:w w:val="105"/>
                <w:sz w:val="23"/>
              </w:rPr>
              <w:t>al.,</w:t>
            </w:r>
            <w:r>
              <w:rPr>
                <w:spacing w:val="-12"/>
                <w:w w:val="105"/>
                <w:sz w:val="23"/>
              </w:rPr>
              <w:t xml:space="preserve"> </w:t>
            </w:r>
            <w:r>
              <w:rPr>
                <w:spacing w:val="-2"/>
                <w:w w:val="105"/>
                <w:sz w:val="23"/>
              </w:rPr>
              <w:t>2019)</w:t>
            </w:r>
          </w:p>
        </w:tc>
      </w:tr>
    </w:tbl>
    <w:p w:rsidR="00487D64" w:rsidRDefault="006F0D93">
      <w:pPr>
        <w:spacing w:before="9"/>
        <w:ind w:left="1419"/>
        <w:rPr>
          <w:sz w:val="23"/>
        </w:rPr>
      </w:pPr>
      <w:r>
        <w:rPr>
          <w:b/>
          <w:w w:val="105"/>
          <w:sz w:val="23"/>
        </w:rPr>
        <w:t>Source:</w:t>
      </w:r>
      <w:r>
        <w:rPr>
          <w:b/>
          <w:spacing w:val="-6"/>
          <w:w w:val="105"/>
          <w:sz w:val="23"/>
        </w:rPr>
        <w:t xml:space="preserve"> </w:t>
      </w:r>
      <w:r>
        <w:rPr>
          <w:w w:val="105"/>
          <w:sz w:val="23"/>
        </w:rPr>
        <w:t>Hair</w:t>
      </w:r>
      <w:r>
        <w:rPr>
          <w:spacing w:val="-7"/>
          <w:w w:val="105"/>
          <w:sz w:val="23"/>
        </w:rPr>
        <w:t xml:space="preserve"> </w:t>
      </w:r>
      <w:r>
        <w:rPr>
          <w:i/>
          <w:w w:val="105"/>
          <w:sz w:val="23"/>
        </w:rPr>
        <w:t>et</w:t>
      </w:r>
      <w:r>
        <w:rPr>
          <w:i/>
          <w:spacing w:val="-8"/>
          <w:w w:val="105"/>
          <w:sz w:val="23"/>
        </w:rPr>
        <w:t xml:space="preserve"> </w:t>
      </w:r>
      <w:r>
        <w:rPr>
          <w:i/>
          <w:w w:val="105"/>
          <w:sz w:val="23"/>
        </w:rPr>
        <w:t>al.,</w:t>
      </w:r>
      <w:r>
        <w:rPr>
          <w:i/>
          <w:spacing w:val="-7"/>
          <w:w w:val="105"/>
          <w:sz w:val="23"/>
        </w:rPr>
        <w:t xml:space="preserve"> </w:t>
      </w:r>
      <w:r>
        <w:rPr>
          <w:w w:val="105"/>
          <w:sz w:val="23"/>
        </w:rPr>
        <w:t>(2019)</w:t>
      </w:r>
      <w:r>
        <w:rPr>
          <w:spacing w:val="-7"/>
          <w:w w:val="105"/>
          <w:sz w:val="23"/>
        </w:rPr>
        <w:t xml:space="preserve"> </w:t>
      </w:r>
      <w:r>
        <w:rPr>
          <w:w w:val="105"/>
          <w:sz w:val="23"/>
        </w:rPr>
        <w:t>and</w:t>
      </w:r>
      <w:r>
        <w:rPr>
          <w:spacing w:val="-10"/>
          <w:w w:val="105"/>
          <w:sz w:val="23"/>
        </w:rPr>
        <w:t xml:space="preserve"> </w:t>
      </w:r>
      <w:r>
        <w:rPr>
          <w:w w:val="105"/>
          <w:sz w:val="23"/>
        </w:rPr>
        <w:t>Hair</w:t>
      </w:r>
      <w:r>
        <w:rPr>
          <w:spacing w:val="3"/>
          <w:w w:val="105"/>
          <w:sz w:val="23"/>
        </w:rPr>
        <w:t xml:space="preserve"> </w:t>
      </w:r>
      <w:r>
        <w:rPr>
          <w:i/>
          <w:w w:val="105"/>
          <w:sz w:val="23"/>
        </w:rPr>
        <w:t>et</w:t>
      </w:r>
      <w:r>
        <w:rPr>
          <w:i/>
          <w:spacing w:val="-9"/>
          <w:w w:val="105"/>
          <w:sz w:val="23"/>
        </w:rPr>
        <w:t xml:space="preserve"> </w:t>
      </w:r>
      <w:r>
        <w:rPr>
          <w:i/>
          <w:w w:val="105"/>
          <w:sz w:val="23"/>
        </w:rPr>
        <w:t>al.,</w:t>
      </w:r>
      <w:r>
        <w:rPr>
          <w:i/>
          <w:spacing w:val="-7"/>
          <w:w w:val="105"/>
          <w:sz w:val="23"/>
        </w:rPr>
        <w:t xml:space="preserve"> </w:t>
      </w:r>
      <w:r>
        <w:rPr>
          <w:spacing w:val="-2"/>
          <w:w w:val="105"/>
          <w:sz w:val="23"/>
        </w:rPr>
        <w:t>(2017)</w:t>
      </w:r>
    </w:p>
    <w:p w:rsidR="00487D64" w:rsidRDefault="00487D64">
      <w:pPr>
        <w:pStyle w:val="BodyText"/>
      </w:pPr>
    </w:p>
    <w:p w:rsidR="00487D64" w:rsidRDefault="00487D64">
      <w:pPr>
        <w:pStyle w:val="BodyText"/>
      </w:pPr>
    </w:p>
    <w:p w:rsidR="00487D64" w:rsidRDefault="00487D64">
      <w:pPr>
        <w:pStyle w:val="BodyText"/>
        <w:spacing w:before="52"/>
      </w:pPr>
    </w:p>
    <w:p w:rsidR="00487D64" w:rsidRDefault="006F0D93">
      <w:pPr>
        <w:pStyle w:val="Heading1"/>
        <w:numPr>
          <w:ilvl w:val="2"/>
          <w:numId w:val="10"/>
        </w:numPr>
        <w:tabs>
          <w:tab w:val="left" w:pos="2860"/>
        </w:tabs>
      </w:pPr>
      <w:bookmarkStart w:id="111" w:name="3.12.1____Collinearity_Assessment_(VIF)"/>
      <w:bookmarkStart w:id="112" w:name="_bookmark55"/>
      <w:bookmarkEnd w:id="111"/>
      <w:bookmarkEnd w:id="112"/>
      <w:r>
        <w:t>Collinearity</w:t>
      </w:r>
      <w:r>
        <w:rPr>
          <w:spacing w:val="43"/>
        </w:rPr>
        <w:t xml:space="preserve"> </w:t>
      </w:r>
      <w:r>
        <w:t>Assessment</w:t>
      </w:r>
      <w:r>
        <w:rPr>
          <w:spacing w:val="31"/>
        </w:rPr>
        <w:t xml:space="preserve"> </w:t>
      </w:r>
      <w:r>
        <w:rPr>
          <w:spacing w:val="-4"/>
        </w:rPr>
        <w:t>(VIF)</w:t>
      </w:r>
    </w:p>
    <w:p w:rsidR="00487D64" w:rsidRDefault="00487D64">
      <w:pPr>
        <w:pStyle w:val="BodyText"/>
        <w:spacing w:before="18"/>
        <w:rPr>
          <w:b/>
        </w:rPr>
      </w:pPr>
    </w:p>
    <w:p w:rsidR="00487D64" w:rsidRDefault="006F0D93">
      <w:pPr>
        <w:pStyle w:val="BodyText"/>
        <w:spacing w:before="1" w:line="499" w:lineRule="auto"/>
        <w:ind w:left="1419" w:right="858"/>
        <w:jc w:val="both"/>
      </w:pPr>
      <w:r>
        <w:rPr>
          <w:w w:val="105"/>
        </w:rPr>
        <w:t>The Variance Inflation Factor (VIF) was</w:t>
      </w:r>
      <w:r>
        <w:rPr>
          <w:spacing w:val="-1"/>
          <w:w w:val="105"/>
        </w:rPr>
        <w:t xml:space="preserve"> </w:t>
      </w:r>
      <w:r>
        <w:rPr>
          <w:w w:val="105"/>
        </w:rPr>
        <w:t>assessed to examine the potential presence of multicollinearity among the constructs in the inner structural model,</w:t>
      </w:r>
      <w:r>
        <w:rPr>
          <w:w w:val="105"/>
        </w:rPr>
        <w:t xml:space="preserve"> including both main</w:t>
      </w:r>
      <w:r>
        <w:rPr>
          <w:spacing w:val="-6"/>
          <w:w w:val="105"/>
        </w:rPr>
        <w:t xml:space="preserve"> </w:t>
      </w:r>
      <w:r>
        <w:rPr>
          <w:w w:val="105"/>
        </w:rPr>
        <w:t>effects</w:t>
      </w:r>
      <w:r>
        <w:rPr>
          <w:spacing w:val="-8"/>
          <w:w w:val="105"/>
        </w:rPr>
        <w:t xml:space="preserve"> </w:t>
      </w:r>
      <w:r>
        <w:rPr>
          <w:w w:val="105"/>
        </w:rPr>
        <w:t>and</w:t>
      </w:r>
      <w:r>
        <w:rPr>
          <w:spacing w:val="-6"/>
          <w:w w:val="105"/>
        </w:rPr>
        <w:t xml:space="preserve"> </w:t>
      </w:r>
      <w:r>
        <w:rPr>
          <w:w w:val="105"/>
        </w:rPr>
        <w:t>interaction</w:t>
      </w:r>
      <w:r>
        <w:rPr>
          <w:spacing w:val="-12"/>
          <w:w w:val="105"/>
        </w:rPr>
        <w:t xml:space="preserve"> </w:t>
      </w:r>
      <w:r>
        <w:rPr>
          <w:w w:val="105"/>
        </w:rPr>
        <w:t>terms.</w:t>
      </w:r>
      <w:r>
        <w:rPr>
          <w:spacing w:val="-4"/>
          <w:w w:val="105"/>
        </w:rPr>
        <w:t xml:space="preserve"> </w:t>
      </w:r>
      <w:r>
        <w:rPr>
          <w:w w:val="105"/>
        </w:rPr>
        <w:t>VIF</w:t>
      </w:r>
      <w:r>
        <w:rPr>
          <w:spacing w:val="-5"/>
          <w:w w:val="105"/>
        </w:rPr>
        <w:t xml:space="preserve"> </w:t>
      </w:r>
      <w:r>
        <w:rPr>
          <w:w w:val="105"/>
        </w:rPr>
        <w:t>values</w:t>
      </w:r>
      <w:r>
        <w:rPr>
          <w:spacing w:val="-8"/>
          <w:w w:val="105"/>
        </w:rPr>
        <w:t xml:space="preserve"> </w:t>
      </w:r>
      <w:r>
        <w:rPr>
          <w:w w:val="105"/>
        </w:rPr>
        <w:t>serve</w:t>
      </w:r>
      <w:r>
        <w:rPr>
          <w:spacing w:val="-13"/>
          <w:w w:val="105"/>
        </w:rPr>
        <w:t xml:space="preserve"> </w:t>
      </w:r>
      <w:r>
        <w:rPr>
          <w:w w:val="105"/>
        </w:rPr>
        <w:t>as</w:t>
      </w:r>
      <w:r>
        <w:rPr>
          <w:spacing w:val="-14"/>
          <w:w w:val="105"/>
        </w:rPr>
        <w:t xml:space="preserve"> </w:t>
      </w:r>
      <w:r>
        <w:rPr>
          <w:w w:val="105"/>
        </w:rPr>
        <w:t>an</w:t>
      </w:r>
      <w:r>
        <w:rPr>
          <w:spacing w:val="-12"/>
          <w:w w:val="105"/>
        </w:rPr>
        <w:t xml:space="preserve"> </w:t>
      </w:r>
      <w:r>
        <w:rPr>
          <w:w w:val="105"/>
        </w:rPr>
        <w:t>indicator of</w:t>
      </w:r>
      <w:r>
        <w:rPr>
          <w:spacing w:val="-16"/>
          <w:w w:val="105"/>
        </w:rPr>
        <w:t xml:space="preserve"> </w:t>
      </w:r>
      <w:r>
        <w:rPr>
          <w:w w:val="105"/>
        </w:rPr>
        <w:t>the extent</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3"/>
        <w:jc w:val="both"/>
      </w:pPr>
      <w:r>
        <w:rPr>
          <w:w w:val="105"/>
        </w:rPr>
        <w:t>to which the variance of estimated regression coefficients is inflated due</w:t>
      </w:r>
      <w:r>
        <w:rPr>
          <w:w w:val="105"/>
        </w:rPr>
        <w:t xml:space="preserve"> to correlations among predictor variables. According to established guidelines (Hair et al.,</w:t>
      </w:r>
      <w:r>
        <w:rPr>
          <w:spacing w:val="-4"/>
          <w:w w:val="105"/>
        </w:rPr>
        <w:t xml:space="preserve"> </w:t>
      </w:r>
      <w:r>
        <w:rPr>
          <w:w w:val="105"/>
        </w:rPr>
        <w:t>2017),</w:t>
      </w:r>
      <w:r>
        <w:rPr>
          <w:spacing w:val="-4"/>
          <w:w w:val="105"/>
        </w:rPr>
        <w:t xml:space="preserve"> </w:t>
      </w:r>
      <w:r>
        <w:rPr>
          <w:w w:val="105"/>
        </w:rPr>
        <w:t>VIF values</w:t>
      </w:r>
      <w:r>
        <w:rPr>
          <w:spacing w:val="-1"/>
          <w:w w:val="105"/>
        </w:rPr>
        <w:t xml:space="preserve"> </w:t>
      </w:r>
      <w:r>
        <w:rPr>
          <w:w w:val="105"/>
        </w:rPr>
        <w:t>below</w:t>
      </w:r>
      <w:r>
        <w:rPr>
          <w:spacing w:val="-7"/>
          <w:w w:val="105"/>
        </w:rPr>
        <w:t xml:space="preserve"> </w:t>
      </w:r>
      <w:r>
        <w:rPr>
          <w:w w:val="105"/>
        </w:rPr>
        <w:t>5 indicate that multicollinearity</w:t>
      </w:r>
      <w:r>
        <w:rPr>
          <w:spacing w:val="-6"/>
          <w:w w:val="105"/>
        </w:rPr>
        <w:t xml:space="preserve"> </w:t>
      </w:r>
      <w:r>
        <w:rPr>
          <w:w w:val="105"/>
        </w:rPr>
        <w:t>is</w:t>
      </w:r>
      <w:r>
        <w:rPr>
          <w:spacing w:val="-1"/>
          <w:w w:val="105"/>
        </w:rPr>
        <w:t xml:space="preserve"> </w:t>
      </w:r>
      <w:r>
        <w:rPr>
          <w:w w:val="105"/>
        </w:rPr>
        <w:t>not of</w:t>
      </w:r>
      <w:r>
        <w:rPr>
          <w:spacing w:val="-2"/>
          <w:w w:val="105"/>
        </w:rPr>
        <w:t xml:space="preserve"> </w:t>
      </w:r>
      <w:r>
        <w:rPr>
          <w:w w:val="105"/>
        </w:rPr>
        <w:t>concern, while values exceeding this threshold may compromise the reliability of path</w:t>
      </w:r>
      <w:r>
        <w:rPr>
          <w:w w:val="105"/>
        </w:rPr>
        <w:t xml:space="preserve"> coefficient </w:t>
      </w:r>
      <w:r>
        <w:rPr>
          <w:spacing w:val="-2"/>
          <w:w w:val="105"/>
        </w:rPr>
        <w:t>estimates.</w:t>
      </w:r>
    </w:p>
    <w:p w:rsidR="00487D64" w:rsidRDefault="00487D64">
      <w:pPr>
        <w:pStyle w:val="BodyText"/>
        <w:spacing w:before="257"/>
      </w:pPr>
    </w:p>
    <w:p w:rsidR="00487D64" w:rsidRDefault="006F0D93">
      <w:pPr>
        <w:pStyle w:val="Heading1"/>
        <w:numPr>
          <w:ilvl w:val="2"/>
          <w:numId w:val="10"/>
        </w:numPr>
        <w:tabs>
          <w:tab w:val="left" w:pos="2860"/>
        </w:tabs>
      </w:pPr>
      <w:bookmarkStart w:id="113" w:name="3.12.2____Coefficient_of_determination_("/>
      <w:bookmarkStart w:id="114" w:name="_bookmark56"/>
      <w:bookmarkEnd w:id="113"/>
      <w:bookmarkEnd w:id="114"/>
      <w:r>
        <w:t>Coefficient</w:t>
      </w:r>
      <w:r>
        <w:rPr>
          <w:spacing w:val="32"/>
        </w:rPr>
        <w:t xml:space="preserve"> </w:t>
      </w:r>
      <w:r>
        <w:t>of</w:t>
      </w:r>
      <w:r>
        <w:rPr>
          <w:spacing w:val="33"/>
        </w:rPr>
        <w:t xml:space="preserve"> </w:t>
      </w:r>
      <w:r>
        <w:t>determination</w:t>
      </w:r>
      <w:r>
        <w:rPr>
          <w:spacing w:val="28"/>
        </w:rPr>
        <w:t xml:space="preserve"> </w:t>
      </w:r>
      <w:r>
        <w:rPr>
          <w:spacing w:val="-4"/>
        </w:rPr>
        <w:t>(R²)</w:t>
      </w:r>
    </w:p>
    <w:p w:rsidR="00487D64" w:rsidRDefault="00487D64">
      <w:pPr>
        <w:pStyle w:val="BodyText"/>
        <w:spacing w:before="18"/>
        <w:rPr>
          <w:b/>
        </w:rPr>
      </w:pPr>
    </w:p>
    <w:p w:rsidR="00487D64" w:rsidRDefault="006F0D93">
      <w:pPr>
        <w:pStyle w:val="BodyText"/>
        <w:spacing w:line="501" w:lineRule="auto"/>
        <w:ind w:left="1419" w:right="861"/>
        <w:jc w:val="both"/>
      </w:pPr>
      <w:r>
        <w:rPr>
          <w:w w:val="105"/>
        </w:rPr>
        <w:t xml:space="preserve">To evaluate the structural path model, the coefficient of determination (R²) is a fundamental criterion for assessing the explanatory power of all endogenous latent constructs (Hair et al., 2017; </w:t>
      </w:r>
      <w:r>
        <w:rPr>
          <w:w w:val="105"/>
        </w:rPr>
        <w:t>Henseler et al., 2018). The R² value indicates the proportion of</w:t>
      </w:r>
      <w:r>
        <w:rPr>
          <w:spacing w:val="-2"/>
          <w:w w:val="105"/>
        </w:rPr>
        <w:t xml:space="preserve"> </w:t>
      </w:r>
      <w:r>
        <w:rPr>
          <w:w w:val="105"/>
        </w:rPr>
        <w:t>variance in</w:t>
      </w:r>
      <w:r>
        <w:rPr>
          <w:spacing w:val="-6"/>
          <w:w w:val="105"/>
        </w:rPr>
        <w:t xml:space="preserve"> </w:t>
      </w:r>
      <w:r>
        <w:rPr>
          <w:w w:val="105"/>
        </w:rPr>
        <w:t>an endogenous variable that is</w:t>
      </w:r>
      <w:r>
        <w:rPr>
          <w:spacing w:val="-1"/>
          <w:w w:val="105"/>
        </w:rPr>
        <w:t xml:space="preserve"> </w:t>
      </w:r>
      <w:r>
        <w:rPr>
          <w:w w:val="105"/>
        </w:rPr>
        <w:t>collectively explained by its associated exogenous variables (Cohen, 1988; Hair et al., 2017). Although no universal benchmark exists for an optimal</w:t>
      </w:r>
      <w:r>
        <w:rPr>
          <w:w w:val="105"/>
        </w:rPr>
        <w:t xml:space="preserve"> R² value, it is generally accepted that higher R² values reflect a greater explanatory capacity of the model (Hair et al., </w:t>
      </w:r>
      <w:r>
        <w:rPr>
          <w:spacing w:val="-2"/>
          <w:w w:val="105"/>
        </w:rPr>
        <w:t>2017).</w:t>
      </w:r>
    </w:p>
    <w:p w:rsidR="00487D64" w:rsidRDefault="006F0D93">
      <w:pPr>
        <w:pStyle w:val="BodyText"/>
        <w:spacing w:before="232" w:line="501" w:lineRule="auto"/>
        <w:ind w:left="1419" w:right="860"/>
        <w:jc w:val="both"/>
      </w:pPr>
      <w:r>
        <w:rPr>
          <w:w w:val="105"/>
        </w:rPr>
        <w:t>Falk</w:t>
      </w:r>
      <w:r>
        <w:rPr>
          <w:spacing w:val="-1"/>
          <w:w w:val="105"/>
        </w:rPr>
        <w:t xml:space="preserve"> </w:t>
      </w:r>
      <w:r>
        <w:rPr>
          <w:w w:val="105"/>
        </w:rPr>
        <w:t>and</w:t>
      </w:r>
      <w:r>
        <w:rPr>
          <w:spacing w:val="-1"/>
          <w:w w:val="105"/>
        </w:rPr>
        <w:t xml:space="preserve"> </w:t>
      </w:r>
      <w:r>
        <w:rPr>
          <w:w w:val="105"/>
        </w:rPr>
        <w:t>Miller</w:t>
      </w:r>
      <w:r>
        <w:rPr>
          <w:spacing w:val="-3"/>
          <w:w w:val="105"/>
        </w:rPr>
        <w:t xml:space="preserve"> </w:t>
      </w:r>
      <w:r>
        <w:rPr>
          <w:w w:val="105"/>
        </w:rPr>
        <w:t>(1992)</w:t>
      </w:r>
      <w:r>
        <w:rPr>
          <w:spacing w:val="-3"/>
          <w:w w:val="105"/>
        </w:rPr>
        <w:t xml:space="preserve"> </w:t>
      </w:r>
      <w:r>
        <w:rPr>
          <w:w w:val="105"/>
        </w:rPr>
        <w:t>suggested</w:t>
      </w:r>
      <w:r>
        <w:rPr>
          <w:spacing w:val="-7"/>
          <w:w w:val="105"/>
        </w:rPr>
        <w:t xml:space="preserve"> </w:t>
      </w:r>
      <w:r>
        <w:rPr>
          <w:w w:val="105"/>
        </w:rPr>
        <w:t>a minimum</w:t>
      </w:r>
      <w:r>
        <w:rPr>
          <w:spacing w:val="-8"/>
          <w:w w:val="105"/>
        </w:rPr>
        <w:t xml:space="preserve"> </w:t>
      </w:r>
      <w:r>
        <w:rPr>
          <w:w w:val="105"/>
        </w:rPr>
        <w:t>acceptable</w:t>
      </w:r>
      <w:r>
        <w:rPr>
          <w:spacing w:val="-8"/>
          <w:w w:val="105"/>
        </w:rPr>
        <w:t xml:space="preserve"> </w:t>
      </w:r>
      <w:r>
        <w:rPr>
          <w:w w:val="105"/>
        </w:rPr>
        <w:t>R²</w:t>
      </w:r>
      <w:r>
        <w:rPr>
          <w:spacing w:val="-3"/>
          <w:w w:val="105"/>
        </w:rPr>
        <w:t xml:space="preserve"> </w:t>
      </w:r>
      <w:r>
        <w:rPr>
          <w:w w:val="105"/>
        </w:rPr>
        <w:t>threshold</w:t>
      </w:r>
      <w:r>
        <w:rPr>
          <w:spacing w:val="-1"/>
          <w:w w:val="105"/>
        </w:rPr>
        <w:t xml:space="preserve"> </w:t>
      </w:r>
      <w:r>
        <w:rPr>
          <w:w w:val="105"/>
        </w:rPr>
        <w:t>of</w:t>
      </w:r>
      <w:r>
        <w:rPr>
          <w:spacing w:val="-10"/>
          <w:w w:val="105"/>
        </w:rPr>
        <w:t xml:space="preserve"> </w:t>
      </w:r>
      <w:r>
        <w:rPr>
          <w:w w:val="105"/>
        </w:rPr>
        <w:t>0.10.</w:t>
      </w:r>
      <w:r>
        <w:rPr>
          <w:spacing w:val="-5"/>
          <w:w w:val="105"/>
        </w:rPr>
        <w:t xml:space="preserve"> </w:t>
      </w:r>
      <w:r>
        <w:rPr>
          <w:w w:val="105"/>
        </w:rPr>
        <w:t>Cohen (1988) further categorized R² values into t</w:t>
      </w:r>
      <w:r>
        <w:rPr>
          <w:w w:val="105"/>
        </w:rPr>
        <w:t>hree levels: 0.02 as weak, 0.13 as moderate, and 0.26 as substantial. In contrast, Chin et al. (2017), specifically in the context of</w:t>
      </w:r>
      <w:r>
        <w:rPr>
          <w:spacing w:val="-10"/>
          <w:w w:val="105"/>
        </w:rPr>
        <w:t xml:space="preserve"> </w:t>
      </w:r>
      <w:r>
        <w:rPr>
          <w:w w:val="105"/>
        </w:rPr>
        <w:t>PLS-SEM,</w:t>
      </w:r>
      <w:r>
        <w:rPr>
          <w:spacing w:val="-6"/>
          <w:w w:val="105"/>
        </w:rPr>
        <w:t xml:space="preserve"> </w:t>
      </w:r>
      <w:r>
        <w:rPr>
          <w:w w:val="105"/>
        </w:rPr>
        <w:t>proposed</w:t>
      </w:r>
      <w:r>
        <w:rPr>
          <w:spacing w:val="-7"/>
          <w:w w:val="105"/>
        </w:rPr>
        <w:t xml:space="preserve"> </w:t>
      </w:r>
      <w:r>
        <w:rPr>
          <w:w w:val="105"/>
        </w:rPr>
        <w:t>different criteria,</w:t>
      </w:r>
      <w:r>
        <w:rPr>
          <w:spacing w:val="-6"/>
          <w:w w:val="105"/>
        </w:rPr>
        <w:t xml:space="preserve"> </w:t>
      </w:r>
      <w:r>
        <w:rPr>
          <w:w w:val="105"/>
        </w:rPr>
        <w:t>considering</w:t>
      </w:r>
      <w:r>
        <w:rPr>
          <w:spacing w:val="-7"/>
          <w:w w:val="105"/>
        </w:rPr>
        <w:t xml:space="preserve"> </w:t>
      </w:r>
      <w:r>
        <w:rPr>
          <w:w w:val="105"/>
        </w:rPr>
        <w:t>R² values</w:t>
      </w:r>
      <w:r>
        <w:rPr>
          <w:spacing w:val="-10"/>
          <w:w w:val="105"/>
        </w:rPr>
        <w:t xml:space="preserve"> </w:t>
      </w:r>
      <w:r>
        <w:rPr>
          <w:w w:val="105"/>
        </w:rPr>
        <w:t>of</w:t>
      </w:r>
      <w:r>
        <w:rPr>
          <w:spacing w:val="-10"/>
          <w:w w:val="105"/>
        </w:rPr>
        <w:t xml:space="preserve"> </w:t>
      </w:r>
      <w:r>
        <w:rPr>
          <w:w w:val="105"/>
        </w:rPr>
        <w:t>0.19,</w:t>
      </w:r>
      <w:r>
        <w:rPr>
          <w:spacing w:val="-12"/>
          <w:w w:val="105"/>
        </w:rPr>
        <w:t xml:space="preserve"> </w:t>
      </w:r>
      <w:r>
        <w:rPr>
          <w:w w:val="105"/>
        </w:rPr>
        <w:t>0.33, and 0.67 to represent weak, moderate, and subst</w:t>
      </w:r>
      <w:r>
        <w:rPr>
          <w:w w:val="105"/>
        </w:rPr>
        <w:t>antial explanatory power, respectively. Given that this study employs the PLS-SEM approach, Chin et al. (2017) classification is deemed more applicable.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Heading1"/>
        <w:numPr>
          <w:ilvl w:val="2"/>
          <w:numId w:val="10"/>
        </w:numPr>
        <w:tabs>
          <w:tab w:val="left" w:pos="2860"/>
        </w:tabs>
        <w:spacing w:before="1"/>
        <w:jc w:val="both"/>
      </w:pPr>
      <w:bookmarkStart w:id="115" w:name="3.12.3___Effect_Size_of_Coefficient_of_D"/>
      <w:bookmarkStart w:id="116" w:name="_bookmark57"/>
      <w:bookmarkEnd w:id="115"/>
      <w:bookmarkEnd w:id="116"/>
      <w:r>
        <w:rPr>
          <w:w w:val="105"/>
        </w:rPr>
        <w:t>Effect</w:t>
      </w:r>
      <w:r>
        <w:rPr>
          <w:spacing w:val="-12"/>
          <w:w w:val="105"/>
        </w:rPr>
        <w:t xml:space="preserve"> </w:t>
      </w:r>
      <w:r>
        <w:rPr>
          <w:w w:val="105"/>
        </w:rPr>
        <w:t>Size</w:t>
      </w:r>
      <w:r>
        <w:rPr>
          <w:spacing w:val="-10"/>
          <w:w w:val="105"/>
        </w:rPr>
        <w:t xml:space="preserve"> </w:t>
      </w:r>
      <w:r>
        <w:rPr>
          <w:w w:val="105"/>
        </w:rPr>
        <w:t>of</w:t>
      </w:r>
      <w:r>
        <w:rPr>
          <w:spacing w:val="-12"/>
          <w:w w:val="105"/>
        </w:rPr>
        <w:t xml:space="preserve"> </w:t>
      </w:r>
      <w:r>
        <w:rPr>
          <w:w w:val="105"/>
        </w:rPr>
        <w:t>Coefficient</w:t>
      </w:r>
      <w:r>
        <w:rPr>
          <w:spacing w:val="-11"/>
          <w:w w:val="105"/>
        </w:rPr>
        <w:t xml:space="preserve"> </w:t>
      </w:r>
      <w:r>
        <w:rPr>
          <w:w w:val="105"/>
        </w:rPr>
        <w:t>of</w:t>
      </w:r>
      <w:r>
        <w:rPr>
          <w:spacing w:val="-12"/>
          <w:w w:val="105"/>
        </w:rPr>
        <w:t xml:space="preserve"> </w:t>
      </w:r>
      <w:r>
        <w:rPr>
          <w:w w:val="105"/>
        </w:rPr>
        <w:t>Determination</w:t>
      </w:r>
      <w:r>
        <w:rPr>
          <w:spacing w:val="-8"/>
          <w:w w:val="105"/>
        </w:rPr>
        <w:t xml:space="preserve"> </w:t>
      </w:r>
      <w:r>
        <w:rPr>
          <w:spacing w:val="-4"/>
          <w:w w:val="105"/>
        </w:rPr>
        <w:t>(f2)</w:t>
      </w:r>
    </w:p>
    <w:p w:rsidR="00487D64" w:rsidRDefault="00487D64">
      <w:pPr>
        <w:pStyle w:val="BodyText"/>
        <w:spacing w:before="18"/>
        <w:rPr>
          <w:b/>
        </w:rPr>
      </w:pPr>
    </w:p>
    <w:p w:rsidR="00487D64" w:rsidRDefault="006F0D93">
      <w:pPr>
        <w:pStyle w:val="BodyText"/>
        <w:spacing w:line="501" w:lineRule="auto"/>
        <w:ind w:left="1419" w:right="856"/>
        <w:jc w:val="both"/>
      </w:pPr>
      <w:r>
        <w:rPr>
          <w:w w:val="105"/>
        </w:rPr>
        <w:t>Following the assessment of the</w:t>
      </w:r>
      <w:r>
        <w:rPr>
          <w:w w:val="105"/>
        </w:rPr>
        <w:t xml:space="preserve"> coefficient of determination (R²), an essential subsequent step in evaluating the structural model is the analysis of effect size, denoted as f² (Hair et al., 2017). Effect size provides insight into the relative impact of a specific exogenous latent vari</w:t>
      </w:r>
      <w:r>
        <w:rPr>
          <w:w w:val="105"/>
        </w:rPr>
        <w:t>able on an endogenous construct by quantifying the change in R² when the exogenous variable is included versus excluded from the model (Chin, et al. 2017). This assessment is critical for determining whether the omission</w:t>
      </w:r>
      <w:r>
        <w:rPr>
          <w:spacing w:val="-4"/>
          <w:w w:val="105"/>
        </w:rPr>
        <w:t xml:space="preserve"> </w:t>
      </w:r>
      <w:r>
        <w:rPr>
          <w:w w:val="105"/>
        </w:rPr>
        <w:t>of</w:t>
      </w:r>
      <w:r>
        <w:rPr>
          <w:spacing w:val="-12"/>
          <w:w w:val="105"/>
        </w:rPr>
        <w:t xml:space="preserve"> </w:t>
      </w:r>
      <w:r>
        <w:rPr>
          <w:w w:val="105"/>
        </w:rPr>
        <w:t>a particular</w:t>
      </w:r>
      <w:r>
        <w:rPr>
          <w:spacing w:val="-1"/>
          <w:w w:val="105"/>
        </w:rPr>
        <w:t xml:space="preserve"> </w:t>
      </w:r>
      <w:r>
        <w:rPr>
          <w:w w:val="105"/>
        </w:rPr>
        <w:t>construct</w:t>
      </w:r>
      <w:r>
        <w:rPr>
          <w:spacing w:val="-2"/>
          <w:w w:val="105"/>
        </w:rPr>
        <w:t xml:space="preserve"> </w:t>
      </w:r>
      <w:r>
        <w:rPr>
          <w:w w:val="105"/>
        </w:rPr>
        <w:t>would</w:t>
      </w:r>
      <w:r>
        <w:rPr>
          <w:spacing w:val="-4"/>
          <w:w w:val="105"/>
        </w:rPr>
        <w:t xml:space="preserve"> </w:t>
      </w:r>
      <w:r>
        <w:rPr>
          <w:w w:val="105"/>
        </w:rPr>
        <w:t>mea</w:t>
      </w:r>
      <w:r>
        <w:rPr>
          <w:w w:val="105"/>
        </w:rPr>
        <w:t>ningfully</w:t>
      </w:r>
      <w:r>
        <w:rPr>
          <w:spacing w:val="-10"/>
          <w:w w:val="105"/>
        </w:rPr>
        <w:t xml:space="preserve"> </w:t>
      </w:r>
      <w:r>
        <w:rPr>
          <w:w w:val="105"/>
        </w:rPr>
        <w:t>alter</w:t>
      </w:r>
      <w:r>
        <w:rPr>
          <w:spacing w:val="-1"/>
          <w:w w:val="105"/>
        </w:rPr>
        <w:t xml:space="preserve"> </w:t>
      </w:r>
      <w:r>
        <w:rPr>
          <w:w w:val="105"/>
        </w:rPr>
        <w:t>the</w:t>
      </w:r>
      <w:r>
        <w:rPr>
          <w:spacing w:val="-5"/>
          <w:w w:val="105"/>
        </w:rPr>
        <w:t xml:space="preserve"> </w:t>
      </w:r>
      <w:r>
        <w:rPr>
          <w:w w:val="105"/>
        </w:rPr>
        <w:t>explanatory</w:t>
      </w:r>
      <w:r>
        <w:rPr>
          <w:spacing w:val="-4"/>
          <w:w w:val="105"/>
        </w:rPr>
        <w:t xml:space="preserve"> </w:t>
      </w:r>
      <w:r>
        <w:rPr>
          <w:w w:val="105"/>
        </w:rPr>
        <w:t>power</w:t>
      </w:r>
      <w:r>
        <w:rPr>
          <w:spacing w:val="-1"/>
          <w:w w:val="105"/>
        </w:rPr>
        <w:t xml:space="preserve"> </w:t>
      </w:r>
      <w:r>
        <w:rPr>
          <w:w w:val="105"/>
        </w:rPr>
        <w:t>of the model for its dependent variable(s) (Hair et al., 2013). To quantify this, Cohen (1988)</w:t>
      </w:r>
      <w:r>
        <w:rPr>
          <w:spacing w:val="1"/>
          <w:w w:val="105"/>
        </w:rPr>
        <w:t xml:space="preserve"> </w:t>
      </w:r>
      <w:r>
        <w:rPr>
          <w:w w:val="105"/>
        </w:rPr>
        <w:t>proposed</w:t>
      </w:r>
      <w:r>
        <w:rPr>
          <w:spacing w:val="5"/>
          <w:w w:val="105"/>
        </w:rPr>
        <w:t xml:space="preserve"> </w:t>
      </w:r>
      <w:r>
        <w:rPr>
          <w:w w:val="105"/>
        </w:rPr>
        <w:t>interpretive</w:t>
      </w:r>
      <w:r>
        <w:rPr>
          <w:spacing w:val="4"/>
          <w:w w:val="105"/>
        </w:rPr>
        <w:t xml:space="preserve"> </w:t>
      </w:r>
      <w:r>
        <w:rPr>
          <w:w w:val="105"/>
        </w:rPr>
        <w:t>benchmarks</w:t>
      </w:r>
      <w:r>
        <w:rPr>
          <w:spacing w:val="2"/>
          <w:w w:val="105"/>
        </w:rPr>
        <w:t xml:space="preserve"> </w:t>
      </w:r>
      <w:r>
        <w:rPr>
          <w:w w:val="105"/>
        </w:rPr>
        <w:t>for</w:t>
      </w:r>
      <w:r>
        <w:rPr>
          <w:spacing w:val="8"/>
          <w:w w:val="105"/>
        </w:rPr>
        <w:t xml:space="preserve"> </w:t>
      </w:r>
      <w:r>
        <w:rPr>
          <w:w w:val="105"/>
        </w:rPr>
        <w:t>f²</w:t>
      </w:r>
      <w:r>
        <w:rPr>
          <w:spacing w:val="8"/>
          <w:w w:val="105"/>
        </w:rPr>
        <w:t xml:space="preserve"> </w:t>
      </w:r>
      <w:r>
        <w:rPr>
          <w:w w:val="105"/>
        </w:rPr>
        <w:t>values:</w:t>
      </w:r>
      <w:r>
        <w:rPr>
          <w:spacing w:val="1"/>
          <w:w w:val="105"/>
        </w:rPr>
        <w:t xml:space="preserve"> </w:t>
      </w:r>
      <w:r>
        <w:rPr>
          <w:w w:val="105"/>
        </w:rPr>
        <w:t>0.02</w:t>
      </w:r>
      <w:r>
        <w:rPr>
          <w:spacing w:val="5"/>
          <w:w w:val="105"/>
        </w:rPr>
        <w:t xml:space="preserve"> </w:t>
      </w:r>
      <w:r>
        <w:rPr>
          <w:w w:val="105"/>
        </w:rPr>
        <w:t>indicates</w:t>
      </w:r>
      <w:r>
        <w:rPr>
          <w:spacing w:val="3"/>
          <w:w w:val="105"/>
        </w:rPr>
        <w:t xml:space="preserve"> </w:t>
      </w:r>
      <w:r>
        <w:rPr>
          <w:w w:val="105"/>
        </w:rPr>
        <w:t>a</w:t>
      </w:r>
      <w:r>
        <w:rPr>
          <w:spacing w:val="10"/>
          <w:w w:val="105"/>
        </w:rPr>
        <w:t xml:space="preserve"> </w:t>
      </w:r>
      <w:r>
        <w:rPr>
          <w:w w:val="105"/>
        </w:rPr>
        <w:t>small</w:t>
      </w:r>
      <w:r>
        <w:rPr>
          <w:spacing w:val="1"/>
          <w:w w:val="105"/>
        </w:rPr>
        <w:t xml:space="preserve"> </w:t>
      </w:r>
      <w:r>
        <w:rPr>
          <w:spacing w:val="-2"/>
          <w:w w:val="105"/>
        </w:rPr>
        <w:t>effect,</w:t>
      </w:r>
    </w:p>
    <w:p w:rsidR="00487D64" w:rsidRDefault="006F0D93">
      <w:pPr>
        <w:pStyle w:val="BodyText"/>
        <w:spacing w:line="496" w:lineRule="auto"/>
        <w:ind w:left="1419" w:right="864"/>
        <w:jc w:val="both"/>
      </w:pPr>
      <w:r>
        <w:rPr>
          <w:w w:val="105"/>
        </w:rPr>
        <w:t>0.15 a medium effect, and 0.35 or higher a l</w:t>
      </w:r>
      <w:r>
        <w:rPr>
          <w:w w:val="105"/>
        </w:rPr>
        <w:t>arge effect, while values below 0.02 suggest no meaningful effect.</w:t>
      </w:r>
    </w:p>
    <w:p w:rsidR="00487D64" w:rsidRDefault="00487D64">
      <w:pPr>
        <w:pStyle w:val="BodyText"/>
        <w:spacing w:before="257"/>
      </w:pPr>
    </w:p>
    <w:p w:rsidR="00487D64" w:rsidRDefault="006F0D93">
      <w:pPr>
        <w:pStyle w:val="Heading1"/>
        <w:numPr>
          <w:ilvl w:val="2"/>
          <w:numId w:val="10"/>
        </w:numPr>
        <w:tabs>
          <w:tab w:val="left" w:pos="2860"/>
        </w:tabs>
        <w:jc w:val="both"/>
      </w:pPr>
      <w:bookmarkStart w:id="117" w:name="3.12.4____Predictive_Relevance_(Q2)"/>
      <w:bookmarkStart w:id="118" w:name="_bookmark58"/>
      <w:bookmarkEnd w:id="117"/>
      <w:bookmarkEnd w:id="118"/>
      <w:r>
        <w:t>Predictive</w:t>
      </w:r>
      <w:r>
        <w:rPr>
          <w:spacing w:val="32"/>
        </w:rPr>
        <w:t xml:space="preserve"> </w:t>
      </w:r>
      <w:r>
        <w:t>Relevance</w:t>
      </w:r>
      <w:r>
        <w:rPr>
          <w:spacing w:val="32"/>
        </w:rPr>
        <w:t xml:space="preserve"> </w:t>
      </w:r>
      <w:r>
        <w:rPr>
          <w:spacing w:val="-4"/>
        </w:rPr>
        <w:t>(Q2)</w:t>
      </w:r>
    </w:p>
    <w:p w:rsidR="00487D64" w:rsidRDefault="00487D64">
      <w:pPr>
        <w:pStyle w:val="BodyText"/>
        <w:spacing w:before="18"/>
        <w:rPr>
          <w:b/>
        </w:rPr>
      </w:pPr>
    </w:p>
    <w:p w:rsidR="00487D64" w:rsidRDefault="006F0D93">
      <w:pPr>
        <w:pStyle w:val="BodyText"/>
        <w:spacing w:line="501" w:lineRule="auto"/>
        <w:ind w:left="1419" w:right="847"/>
        <w:jc w:val="both"/>
      </w:pPr>
      <w:r>
        <w:rPr>
          <w:w w:val="105"/>
        </w:rPr>
        <w:t xml:space="preserve">The predictive relevance of a PLS-SEM model is assessed through Stone-Geisser’s Q² statistic, which is derived via the blindfolding procedure. This technique is </w:t>
      </w:r>
      <w:r>
        <w:rPr>
          <w:w w:val="105"/>
        </w:rPr>
        <w:t>a widely</w:t>
      </w:r>
      <w:r>
        <w:rPr>
          <w:spacing w:val="-7"/>
          <w:w w:val="105"/>
        </w:rPr>
        <w:t xml:space="preserve"> </w:t>
      </w:r>
      <w:r>
        <w:rPr>
          <w:w w:val="105"/>
        </w:rPr>
        <w:t>acknowledged</w:t>
      </w:r>
      <w:r>
        <w:rPr>
          <w:spacing w:val="-1"/>
          <w:w w:val="105"/>
        </w:rPr>
        <w:t xml:space="preserve"> </w:t>
      </w:r>
      <w:r>
        <w:rPr>
          <w:w w:val="105"/>
        </w:rPr>
        <w:t>method</w:t>
      </w:r>
      <w:r>
        <w:rPr>
          <w:spacing w:val="-1"/>
          <w:w w:val="105"/>
        </w:rPr>
        <w:t xml:space="preserve"> </w:t>
      </w:r>
      <w:r>
        <w:rPr>
          <w:w w:val="105"/>
        </w:rPr>
        <w:t>for</w:t>
      </w:r>
      <w:r>
        <w:rPr>
          <w:spacing w:val="-3"/>
          <w:w w:val="105"/>
        </w:rPr>
        <w:t xml:space="preserve"> </w:t>
      </w:r>
      <w:r>
        <w:rPr>
          <w:w w:val="105"/>
        </w:rPr>
        <w:t>evaluating</w:t>
      </w:r>
      <w:r>
        <w:rPr>
          <w:spacing w:val="-1"/>
          <w:w w:val="105"/>
        </w:rPr>
        <w:t xml:space="preserve"> </w:t>
      </w:r>
      <w:r>
        <w:rPr>
          <w:w w:val="105"/>
        </w:rPr>
        <w:t>how</w:t>
      </w:r>
      <w:r>
        <w:rPr>
          <w:spacing w:val="-2"/>
          <w:w w:val="105"/>
        </w:rPr>
        <w:t xml:space="preserve"> </w:t>
      </w:r>
      <w:r>
        <w:rPr>
          <w:w w:val="105"/>
        </w:rPr>
        <w:t>well</w:t>
      </w:r>
      <w:r>
        <w:rPr>
          <w:spacing w:val="-5"/>
          <w:w w:val="105"/>
        </w:rPr>
        <w:t xml:space="preserve"> </w:t>
      </w:r>
      <w:r>
        <w:rPr>
          <w:w w:val="105"/>
        </w:rPr>
        <w:t>the</w:t>
      </w:r>
      <w:r>
        <w:rPr>
          <w:spacing w:val="-8"/>
          <w:w w:val="105"/>
        </w:rPr>
        <w:t xml:space="preserve"> </w:t>
      </w:r>
      <w:r>
        <w:rPr>
          <w:w w:val="105"/>
        </w:rPr>
        <w:t>model can</w:t>
      </w:r>
      <w:r>
        <w:rPr>
          <w:spacing w:val="-1"/>
          <w:w w:val="105"/>
        </w:rPr>
        <w:t xml:space="preserve"> </w:t>
      </w:r>
      <w:r>
        <w:rPr>
          <w:w w:val="105"/>
        </w:rPr>
        <w:t>predict</w:t>
      </w:r>
      <w:r>
        <w:rPr>
          <w:spacing w:val="-5"/>
          <w:w w:val="105"/>
        </w:rPr>
        <w:t xml:space="preserve"> </w:t>
      </w:r>
      <w:r>
        <w:rPr>
          <w:w w:val="105"/>
        </w:rPr>
        <w:t>the</w:t>
      </w:r>
      <w:r>
        <w:rPr>
          <w:spacing w:val="-8"/>
          <w:w w:val="105"/>
        </w:rPr>
        <w:t xml:space="preserve"> </w:t>
      </w:r>
      <w:r>
        <w:rPr>
          <w:w w:val="105"/>
        </w:rPr>
        <w:t>data points of endogenous constructs (Geisser, 1974; Stone, 1974). According to Hair et al. (2019), the blindfolding-based Q² value is an essential metric that</w:t>
      </w:r>
      <w:r>
        <w:rPr>
          <w:w w:val="105"/>
        </w:rPr>
        <w:t xml:space="preserve"> indicates the extent to which a structural model demonstrates predictive accuracy for its endogenous latent variables.</w:t>
      </w:r>
    </w:p>
    <w:p w:rsidR="00487D64" w:rsidRDefault="006F0D93">
      <w:pPr>
        <w:pStyle w:val="BodyText"/>
        <w:spacing w:before="237" w:line="504" w:lineRule="auto"/>
        <w:ind w:left="1419" w:right="869"/>
        <w:jc w:val="both"/>
      </w:pPr>
      <w:r>
        <w:rPr>
          <w:w w:val="105"/>
        </w:rPr>
        <w:t>The blindfolding approach operates by systematically omitting and predicting data points</w:t>
      </w:r>
      <w:r>
        <w:rPr>
          <w:spacing w:val="2"/>
          <w:w w:val="105"/>
        </w:rPr>
        <w:t xml:space="preserve"> </w:t>
      </w:r>
      <w:r>
        <w:rPr>
          <w:w w:val="105"/>
        </w:rPr>
        <w:t>within</w:t>
      </w:r>
      <w:r>
        <w:rPr>
          <w:spacing w:val="-2"/>
          <w:w w:val="105"/>
        </w:rPr>
        <w:t xml:space="preserve"> </w:t>
      </w:r>
      <w:r>
        <w:rPr>
          <w:w w:val="105"/>
        </w:rPr>
        <w:t>the</w:t>
      </w:r>
      <w:r>
        <w:rPr>
          <w:spacing w:val="4"/>
          <w:w w:val="105"/>
        </w:rPr>
        <w:t xml:space="preserve"> </w:t>
      </w:r>
      <w:r>
        <w:rPr>
          <w:w w:val="105"/>
        </w:rPr>
        <w:t>endogenous</w:t>
      </w:r>
      <w:r>
        <w:rPr>
          <w:spacing w:val="2"/>
          <w:w w:val="105"/>
        </w:rPr>
        <w:t xml:space="preserve"> </w:t>
      </w:r>
      <w:r>
        <w:rPr>
          <w:w w:val="105"/>
        </w:rPr>
        <w:t>constructs. Specifically,</w:t>
      </w:r>
      <w:r>
        <w:rPr>
          <w:w w:val="105"/>
        </w:rPr>
        <w:t xml:space="preserve"> a</w:t>
      </w:r>
      <w:r>
        <w:rPr>
          <w:spacing w:val="9"/>
          <w:w w:val="105"/>
        </w:rPr>
        <w:t xml:space="preserve"> </w:t>
      </w:r>
      <w:r>
        <w:rPr>
          <w:w w:val="105"/>
        </w:rPr>
        <w:t>portion</w:t>
      </w:r>
      <w:r>
        <w:rPr>
          <w:spacing w:val="5"/>
          <w:w w:val="105"/>
        </w:rPr>
        <w:t xml:space="preserve"> </w:t>
      </w:r>
      <w:r>
        <w:rPr>
          <w:w w:val="105"/>
        </w:rPr>
        <w:t>of</w:t>
      </w:r>
      <w:r>
        <w:rPr>
          <w:spacing w:val="-5"/>
          <w:w w:val="105"/>
        </w:rPr>
        <w:t xml:space="preserve"> </w:t>
      </w:r>
      <w:r>
        <w:rPr>
          <w:w w:val="105"/>
        </w:rPr>
        <w:t>the</w:t>
      </w:r>
      <w:r>
        <w:rPr>
          <w:spacing w:val="-3"/>
          <w:w w:val="105"/>
        </w:rPr>
        <w:t xml:space="preserve"> </w:t>
      </w:r>
      <w:r>
        <w:rPr>
          <w:w w:val="105"/>
        </w:rPr>
        <w:t>data</w:t>
      </w:r>
      <w:r>
        <w:rPr>
          <w:spacing w:val="4"/>
          <w:w w:val="105"/>
        </w:rPr>
        <w:t xml:space="preserve"> </w:t>
      </w:r>
      <w:r>
        <w:rPr>
          <w:w w:val="105"/>
        </w:rPr>
        <w:t>matrix</w:t>
      </w:r>
      <w:r>
        <w:rPr>
          <w:spacing w:val="-2"/>
          <w:w w:val="105"/>
        </w:rPr>
        <w:t xml:space="preserve"> </w:t>
      </w:r>
      <w:r>
        <w:rPr>
          <w:spacing w:val="-5"/>
          <w:w w:val="105"/>
        </w:rPr>
        <w:t>is</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9"/>
        <w:jc w:val="both"/>
      </w:pPr>
      <w:r>
        <w:rPr>
          <w:w w:val="105"/>
        </w:rPr>
        <w:t>removed and treated as missing; these points are then predicted using the model’s estimates based on the remaining data. The predicted values are compared with the actual values to compute the cross-va</w:t>
      </w:r>
      <w:r>
        <w:rPr>
          <w:w w:val="105"/>
        </w:rPr>
        <w:t>lidated redundancy measur</w:t>
      </w:r>
      <w:r>
        <w:rPr>
          <w:b/>
          <w:w w:val="105"/>
        </w:rPr>
        <w:t xml:space="preserve">e </w:t>
      </w:r>
      <w:r>
        <w:rPr>
          <w:w w:val="105"/>
        </w:rPr>
        <w:t>(Q²), which represents the model’s ability to reconstruct the omitted data (Chin, 2017; Rigdon, 2012; Sarstedt et al., 2014, 2020).</w:t>
      </w:r>
    </w:p>
    <w:p w:rsidR="00487D64" w:rsidRDefault="006F0D93">
      <w:pPr>
        <w:pStyle w:val="BodyText"/>
        <w:spacing w:before="240" w:line="501" w:lineRule="auto"/>
        <w:ind w:left="1419" w:right="843"/>
        <w:jc w:val="both"/>
      </w:pPr>
      <w:r>
        <w:rPr>
          <w:w w:val="105"/>
        </w:rPr>
        <w:t>Scholars generally agree that Q² values greater than zero (Q² &gt; 0) indicate that the model has pr</w:t>
      </w:r>
      <w:r>
        <w:rPr>
          <w:w w:val="105"/>
        </w:rPr>
        <w:t>edictive relevance for the targeted endogenous construct (Chin, 2017; Hair et al., 2017). Specifically, Hair et al. (2019) recommend the following interpretive guidelines:</w:t>
      </w:r>
    </w:p>
    <w:p w:rsidR="00487D64" w:rsidRDefault="00487D64">
      <w:pPr>
        <w:pStyle w:val="BodyText"/>
        <w:spacing w:before="17"/>
      </w:pPr>
    </w:p>
    <w:p w:rsidR="00487D64" w:rsidRDefault="006F0D93">
      <w:pPr>
        <w:pStyle w:val="Heading1"/>
        <w:ind w:left="1419" w:firstLine="0"/>
        <w:jc w:val="both"/>
      </w:pPr>
      <w:r>
        <w:rPr>
          <w:w w:val="105"/>
        </w:rPr>
        <w:t>Table</w:t>
      </w:r>
      <w:r>
        <w:rPr>
          <w:spacing w:val="-11"/>
          <w:w w:val="105"/>
        </w:rPr>
        <w:t xml:space="preserve"> </w:t>
      </w:r>
      <w:r>
        <w:rPr>
          <w:w w:val="105"/>
        </w:rPr>
        <w:t>3.6:</w:t>
      </w:r>
      <w:r>
        <w:rPr>
          <w:spacing w:val="-6"/>
          <w:w w:val="105"/>
        </w:rPr>
        <w:t xml:space="preserve"> </w:t>
      </w:r>
      <w:r>
        <w:rPr>
          <w:w w:val="105"/>
        </w:rPr>
        <w:t>Guidelines</w:t>
      </w:r>
      <w:r>
        <w:rPr>
          <w:spacing w:val="-13"/>
          <w:w w:val="105"/>
        </w:rPr>
        <w:t xml:space="preserve"> </w:t>
      </w:r>
      <w:r>
        <w:rPr>
          <w:w w:val="105"/>
        </w:rPr>
        <w:t>for</w:t>
      </w:r>
      <w:r>
        <w:rPr>
          <w:spacing w:val="-8"/>
          <w:w w:val="105"/>
        </w:rPr>
        <w:t xml:space="preserve"> </w:t>
      </w:r>
      <w:r>
        <w:rPr>
          <w:w w:val="105"/>
        </w:rPr>
        <w:t>Evaluating</w:t>
      </w:r>
      <w:r>
        <w:rPr>
          <w:spacing w:val="-10"/>
          <w:w w:val="105"/>
        </w:rPr>
        <w:t xml:space="preserve"> </w:t>
      </w:r>
      <w:r>
        <w:rPr>
          <w:w w:val="105"/>
        </w:rPr>
        <w:t>the</w:t>
      </w:r>
      <w:r>
        <w:rPr>
          <w:spacing w:val="-8"/>
          <w:w w:val="105"/>
        </w:rPr>
        <w:t xml:space="preserve"> </w:t>
      </w:r>
      <w:r>
        <w:rPr>
          <w:w w:val="105"/>
        </w:rPr>
        <w:t>Magnitude</w:t>
      </w:r>
      <w:r>
        <w:rPr>
          <w:spacing w:val="-4"/>
          <w:w w:val="105"/>
        </w:rPr>
        <w:t xml:space="preserve"> </w:t>
      </w:r>
      <w:r>
        <w:rPr>
          <w:w w:val="105"/>
        </w:rPr>
        <w:t>of</w:t>
      </w:r>
      <w:r>
        <w:rPr>
          <w:spacing w:val="-7"/>
          <w:w w:val="105"/>
        </w:rPr>
        <w:t xml:space="preserve"> </w:t>
      </w:r>
      <w:r>
        <w:rPr>
          <w:spacing w:val="-5"/>
          <w:w w:val="105"/>
        </w:rPr>
        <w:t>Q²</w:t>
      </w:r>
    </w:p>
    <w:p w:rsidR="00487D64" w:rsidRDefault="00487D64">
      <w:pPr>
        <w:pStyle w:val="BodyText"/>
        <w:spacing w:before="37"/>
        <w:rPr>
          <w:b/>
          <w:sz w:val="20"/>
        </w:rPr>
      </w:pPr>
    </w:p>
    <w:tbl>
      <w:tblPr>
        <w:tblW w:w="0" w:type="auto"/>
        <w:tblInd w:w="1297" w:type="dxa"/>
        <w:tblLayout w:type="fixed"/>
        <w:tblCellMar>
          <w:left w:w="0" w:type="dxa"/>
          <w:right w:w="0" w:type="dxa"/>
        </w:tblCellMar>
        <w:tblLook w:val="01E0" w:firstRow="1" w:lastRow="1" w:firstColumn="1" w:lastColumn="1" w:noHBand="0" w:noVBand="0"/>
      </w:tblPr>
      <w:tblGrid>
        <w:gridCol w:w="1881"/>
        <w:gridCol w:w="6591"/>
      </w:tblGrid>
      <w:tr w:rsidR="00487D64">
        <w:trPr>
          <w:trHeight w:val="551"/>
        </w:trPr>
        <w:tc>
          <w:tcPr>
            <w:tcW w:w="1881" w:type="dxa"/>
            <w:tcBorders>
              <w:top w:val="single" w:sz="4" w:space="0" w:color="000000"/>
              <w:bottom w:val="single" w:sz="4" w:space="0" w:color="000000"/>
            </w:tcBorders>
          </w:tcPr>
          <w:p w:rsidR="00487D64" w:rsidRDefault="006F0D93">
            <w:pPr>
              <w:pStyle w:val="TableParagraph"/>
              <w:spacing w:before="22"/>
              <w:ind w:left="129"/>
              <w:rPr>
                <w:b/>
                <w:sz w:val="23"/>
              </w:rPr>
            </w:pPr>
            <w:r>
              <w:rPr>
                <w:b/>
                <w:spacing w:val="-2"/>
                <w:w w:val="105"/>
                <w:sz w:val="23"/>
              </w:rPr>
              <w:t>Threshold</w:t>
            </w:r>
          </w:p>
        </w:tc>
        <w:tc>
          <w:tcPr>
            <w:tcW w:w="6591" w:type="dxa"/>
            <w:tcBorders>
              <w:top w:val="single" w:sz="4" w:space="0" w:color="000000"/>
              <w:bottom w:val="single" w:sz="4" w:space="0" w:color="000000"/>
            </w:tcBorders>
          </w:tcPr>
          <w:p w:rsidR="00487D64" w:rsidRDefault="006F0D93">
            <w:pPr>
              <w:pStyle w:val="TableParagraph"/>
              <w:spacing w:before="22"/>
              <w:ind w:left="705"/>
              <w:rPr>
                <w:b/>
                <w:sz w:val="23"/>
              </w:rPr>
            </w:pPr>
            <w:r>
              <w:rPr>
                <w:b/>
                <w:spacing w:val="-2"/>
                <w:w w:val="105"/>
                <w:sz w:val="23"/>
              </w:rPr>
              <w:t>Interpretation</w:t>
            </w:r>
          </w:p>
        </w:tc>
      </w:tr>
      <w:tr w:rsidR="00487D64">
        <w:trPr>
          <w:trHeight w:val="426"/>
        </w:trPr>
        <w:tc>
          <w:tcPr>
            <w:tcW w:w="1881" w:type="dxa"/>
            <w:tcBorders>
              <w:top w:val="single" w:sz="4" w:space="0" w:color="000000"/>
            </w:tcBorders>
          </w:tcPr>
          <w:p w:rsidR="00487D64" w:rsidRDefault="006F0D93">
            <w:pPr>
              <w:pStyle w:val="TableParagraph"/>
              <w:spacing w:before="21"/>
              <w:ind w:left="129"/>
              <w:rPr>
                <w:b/>
                <w:sz w:val="23"/>
              </w:rPr>
            </w:pPr>
            <w:r>
              <w:rPr>
                <w:b/>
                <w:w w:val="105"/>
                <w:sz w:val="23"/>
              </w:rPr>
              <w:t>Q²</w:t>
            </w:r>
            <w:r>
              <w:rPr>
                <w:b/>
                <w:spacing w:val="-9"/>
                <w:w w:val="105"/>
                <w:sz w:val="23"/>
              </w:rPr>
              <w:t xml:space="preserve"> </w:t>
            </w:r>
            <w:r>
              <w:rPr>
                <w:b/>
                <w:w w:val="105"/>
                <w:sz w:val="23"/>
              </w:rPr>
              <w:t>&gt;</w:t>
            </w:r>
            <w:r>
              <w:rPr>
                <w:b/>
                <w:spacing w:val="-2"/>
                <w:w w:val="105"/>
                <w:sz w:val="23"/>
              </w:rPr>
              <w:t xml:space="preserve"> </w:t>
            </w:r>
            <w:r>
              <w:rPr>
                <w:b/>
                <w:spacing w:val="-4"/>
                <w:w w:val="105"/>
                <w:sz w:val="23"/>
              </w:rPr>
              <w:t>0.00</w:t>
            </w:r>
          </w:p>
        </w:tc>
        <w:tc>
          <w:tcPr>
            <w:tcW w:w="6591" w:type="dxa"/>
            <w:tcBorders>
              <w:top w:val="single" w:sz="4" w:space="0" w:color="000000"/>
            </w:tcBorders>
          </w:tcPr>
          <w:p w:rsidR="00487D64" w:rsidRDefault="006F0D93">
            <w:pPr>
              <w:pStyle w:val="TableParagraph"/>
              <w:spacing w:before="14"/>
              <w:ind w:left="705"/>
              <w:rPr>
                <w:sz w:val="23"/>
              </w:rPr>
            </w:pPr>
            <w:r>
              <w:rPr>
                <w:w w:val="105"/>
                <w:sz w:val="23"/>
              </w:rPr>
              <w:t>Small</w:t>
            </w:r>
            <w:r>
              <w:rPr>
                <w:spacing w:val="-14"/>
                <w:w w:val="105"/>
                <w:sz w:val="23"/>
              </w:rPr>
              <w:t xml:space="preserve"> </w:t>
            </w:r>
            <w:r>
              <w:rPr>
                <w:w w:val="105"/>
                <w:sz w:val="23"/>
              </w:rPr>
              <w:t>predictive</w:t>
            </w:r>
            <w:r>
              <w:rPr>
                <w:spacing w:val="-15"/>
                <w:w w:val="105"/>
                <w:sz w:val="23"/>
              </w:rPr>
              <w:t xml:space="preserve"> </w:t>
            </w:r>
            <w:r>
              <w:rPr>
                <w:spacing w:val="-2"/>
                <w:w w:val="105"/>
                <w:sz w:val="23"/>
              </w:rPr>
              <w:t>relevance</w:t>
            </w:r>
          </w:p>
        </w:tc>
      </w:tr>
      <w:tr w:rsidR="00487D64">
        <w:trPr>
          <w:trHeight w:val="551"/>
        </w:trPr>
        <w:tc>
          <w:tcPr>
            <w:tcW w:w="1881" w:type="dxa"/>
          </w:tcPr>
          <w:p w:rsidR="00487D64" w:rsidRDefault="006F0D93">
            <w:pPr>
              <w:pStyle w:val="TableParagraph"/>
              <w:spacing w:before="143"/>
              <w:ind w:left="129"/>
              <w:rPr>
                <w:b/>
                <w:sz w:val="23"/>
              </w:rPr>
            </w:pPr>
            <w:r>
              <w:rPr>
                <w:b/>
                <w:w w:val="105"/>
                <w:sz w:val="23"/>
              </w:rPr>
              <w:t>Q²</w:t>
            </w:r>
            <w:r>
              <w:rPr>
                <w:b/>
                <w:spacing w:val="-3"/>
                <w:w w:val="105"/>
                <w:sz w:val="23"/>
              </w:rPr>
              <w:t xml:space="preserve"> </w:t>
            </w:r>
            <w:r>
              <w:rPr>
                <w:b/>
                <w:w w:val="105"/>
                <w:sz w:val="23"/>
              </w:rPr>
              <w:t>≥</w:t>
            </w:r>
            <w:r>
              <w:rPr>
                <w:b/>
                <w:spacing w:val="-10"/>
                <w:w w:val="105"/>
                <w:sz w:val="23"/>
              </w:rPr>
              <w:t xml:space="preserve"> </w:t>
            </w:r>
            <w:r>
              <w:rPr>
                <w:b/>
                <w:spacing w:val="-4"/>
                <w:w w:val="105"/>
                <w:sz w:val="23"/>
              </w:rPr>
              <w:t>0.25</w:t>
            </w:r>
          </w:p>
        </w:tc>
        <w:tc>
          <w:tcPr>
            <w:tcW w:w="6591" w:type="dxa"/>
          </w:tcPr>
          <w:p w:rsidR="00487D64" w:rsidRDefault="006F0D93">
            <w:pPr>
              <w:pStyle w:val="TableParagraph"/>
              <w:spacing w:before="135"/>
              <w:ind w:left="705"/>
              <w:rPr>
                <w:sz w:val="23"/>
              </w:rPr>
            </w:pPr>
            <w:r>
              <w:rPr>
                <w:sz w:val="23"/>
              </w:rPr>
              <w:t>Moderate</w:t>
            </w:r>
            <w:r>
              <w:rPr>
                <w:spacing w:val="31"/>
                <w:sz w:val="23"/>
              </w:rPr>
              <w:t xml:space="preserve"> </w:t>
            </w:r>
            <w:r>
              <w:rPr>
                <w:sz w:val="23"/>
              </w:rPr>
              <w:t>predictive</w:t>
            </w:r>
            <w:r>
              <w:rPr>
                <w:spacing w:val="32"/>
                <w:sz w:val="23"/>
              </w:rPr>
              <w:t xml:space="preserve"> </w:t>
            </w:r>
            <w:r>
              <w:rPr>
                <w:spacing w:val="-2"/>
                <w:sz w:val="23"/>
              </w:rPr>
              <w:t>relevance</w:t>
            </w:r>
          </w:p>
        </w:tc>
      </w:tr>
      <w:tr w:rsidR="00487D64">
        <w:trPr>
          <w:trHeight w:val="683"/>
        </w:trPr>
        <w:tc>
          <w:tcPr>
            <w:tcW w:w="1881" w:type="dxa"/>
            <w:tcBorders>
              <w:bottom w:val="single" w:sz="4" w:space="0" w:color="000000"/>
            </w:tcBorders>
          </w:tcPr>
          <w:p w:rsidR="00487D64" w:rsidRDefault="006F0D93">
            <w:pPr>
              <w:pStyle w:val="TableParagraph"/>
              <w:spacing w:before="146"/>
              <w:ind w:left="129"/>
              <w:rPr>
                <w:b/>
                <w:sz w:val="23"/>
              </w:rPr>
            </w:pPr>
            <w:r>
              <w:rPr>
                <w:b/>
                <w:w w:val="105"/>
                <w:sz w:val="23"/>
              </w:rPr>
              <w:t>Q²</w:t>
            </w:r>
            <w:r>
              <w:rPr>
                <w:b/>
                <w:spacing w:val="-3"/>
                <w:w w:val="105"/>
                <w:sz w:val="23"/>
              </w:rPr>
              <w:t xml:space="preserve"> </w:t>
            </w:r>
            <w:r>
              <w:rPr>
                <w:b/>
                <w:w w:val="105"/>
                <w:sz w:val="23"/>
              </w:rPr>
              <w:t>≥</w:t>
            </w:r>
            <w:r>
              <w:rPr>
                <w:b/>
                <w:spacing w:val="-10"/>
                <w:w w:val="105"/>
                <w:sz w:val="23"/>
              </w:rPr>
              <w:t xml:space="preserve"> </w:t>
            </w:r>
            <w:r>
              <w:rPr>
                <w:b/>
                <w:spacing w:val="-4"/>
                <w:w w:val="105"/>
                <w:sz w:val="23"/>
              </w:rPr>
              <w:t>0.50</w:t>
            </w:r>
          </w:p>
        </w:tc>
        <w:tc>
          <w:tcPr>
            <w:tcW w:w="6591" w:type="dxa"/>
            <w:tcBorders>
              <w:bottom w:val="single" w:sz="4" w:space="0" w:color="000000"/>
            </w:tcBorders>
          </w:tcPr>
          <w:p w:rsidR="00487D64" w:rsidRDefault="006F0D93">
            <w:pPr>
              <w:pStyle w:val="TableParagraph"/>
              <w:spacing w:before="139"/>
              <w:ind w:left="705"/>
              <w:rPr>
                <w:sz w:val="23"/>
              </w:rPr>
            </w:pPr>
            <w:r>
              <w:rPr>
                <w:sz w:val="23"/>
              </w:rPr>
              <w:t>Strong</w:t>
            </w:r>
            <w:r>
              <w:rPr>
                <w:spacing w:val="26"/>
                <w:sz w:val="23"/>
              </w:rPr>
              <w:t xml:space="preserve"> </w:t>
            </w:r>
            <w:r>
              <w:rPr>
                <w:sz w:val="23"/>
              </w:rPr>
              <w:t>predictive</w:t>
            </w:r>
            <w:r>
              <w:rPr>
                <w:spacing w:val="25"/>
                <w:sz w:val="23"/>
              </w:rPr>
              <w:t xml:space="preserve"> </w:t>
            </w:r>
            <w:r>
              <w:rPr>
                <w:spacing w:val="-2"/>
                <w:sz w:val="23"/>
              </w:rPr>
              <w:t>relevance</w:t>
            </w:r>
          </w:p>
        </w:tc>
      </w:tr>
    </w:tbl>
    <w:p w:rsidR="00487D64" w:rsidRDefault="006F0D93">
      <w:pPr>
        <w:spacing w:before="8"/>
        <w:ind w:left="1419"/>
        <w:jc w:val="both"/>
        <w:rPr>
          <w:sz w:val="23"/>
        </w:rPr>
      </w:pPr>
      <w:r>
        <w:rPr>
          <w:b/>
          <w:w w:val="105"/>
          <w:sz w:val="23"/>
        </w:rPr>
        <w:t>Source:</w:t>
      </w:r>
      <w:r>
        <w:rPr>
          <w:b/>
          <w:spacing w:val="-9"/>
          <w:w w:val="105"/>
          <w:sz w:val="23"/>
        </w:rPr>
        <w:t xml:space="preserve"> </w:t>
      </w:r>
      <w:r>
        <w:rPr>
          <w:w w:val="105"/>
          <w:sz w:val="23"/>
        </w:rPr>
        <w:t>Hair</w:t>
      </w:r>
      <w:r>
        <w:rPr>
          <w:spacing w:val="-3"/>
          <w:w w:val="105"/>
          <w:sz w:val="23"/>
        </w:rPr>
        <w:t xml:space="preserve"> </w:t>
      </w:r>
      <w:r>
        <w:rPr>
          <w:w w:val="105"/>
          <w:sz w:val="23"/>
        </w:rPr>
        <w:t>et</w:t>
      </w:r>
      <w:r>
        <w:rPr>
          <w:spacing w:val="-11"/>
          <w:w w:val="105"/>
          <w:sz w:val="23"/>
        </w:rPr>
        <w:t xml:space="preserve"> </w:t>
      </w:r>
      <w:r>
        <w:rPr>
          <w:w w:val="105"/>
          <w:sz w:val="23"/>
        </w:rPr>
        <w:t>al.</w:t>
      </w:r>
      <w:r>
        <w:rPr>
          <w:spacing w:val="-11"/>
          <w:w w:val="105"/>
          <w:sz w:val="23"/>
        </w:rPr>
        <w:t xml:space="preserve"> </w:t>
      </w:r>
      <w:r>
        <w:rPr>
          <w:spacing w:val="-2"/>
          <w:w w:val="105"/>
          <w:sz w:val="23"/>
        </w:rPr>
        <w:t>(2019)</w:t>
      </w:r>
    </w:p>
    <w:p w:rsidR="00487D64" w:rsidRDefault="00487D64">
      <w:pPr>
        <w:pStyle w:val="BodyText"/>
        <w:spacing w:before="263"/>
      </w:pPr>
    </w:p>
    <w:p w:rsidR="00487D64" w:rsidRDefault="006F0D93">
      <w:pPr>
        <w:pStyle w:val="BodyText"/>
        <w:spacing w:line="501" w:lineRule="auto"/>
        <w:ind w:left="1419" w:right="844"/>
        <w:jc w:val="both"/>
      </w:pPr>
      <w:r>
        <w:rPr>
          <w:w w:val="105"/>
        </w:rPr>
        <w:t>It is important to note that Q² does not directly measure out-of-sample predictive power, such as</w:t>
      </w:r>
      <w:r>
        <w:rPr>
          <w:w w:val="105"/>
        </w:rPr>
        <w:t xml:space="preserve"> what is typically achieved through holdout samples or k-fold cross- validation. Instead, Q² combines both in-sample explanatory power and elements of predictive</w:t>
      </w:r>
      <w:r>
        <w:rPr>
          <w:spacing w:val="-1"/>
          <w:w w:val="105"/>
        </w:rPr>
        <w:t xml:space="preserve"> </w:t>
      </w:r>
      <w:r>
        <w:rPr>
          <w:w w:val="105"/>
        </w:rPr>
        <w:t>validity,</w:t>
      </w:r>
      <w:r>
        <w:rPr>
          <w:spacing w:val="-5"/>
          <w:w w:val="105"/>
        </w:rPr>
        <w:t xml:space="preserve"> </w:t>
      </w:r>
      <w:r>
        <w:rPr>
          <w:w w:val="105"/>
        </w:rPr>
        <w:t>offering</w:t>
      </w:r>
      <w:r>
        <w:rPr>
          <w:spacing w:val="-6"/>
          <w:w w:val="105"/>
        </w:rPr>
        <w:t xml:space="preserve"> </w:t>
      </w:r>
      <w:r>
        <w:rPr>
          <w:w w:val="105"/>
        </w:rPr>
        <w:t>a</w:t>
      </w:r>
      <w:r>
        <w:rPr>
          <w:spacing w:val="-1"/>
          <w:w w:val="105"/>
        </w:rPr>
        <w:t xml:space="preserve"> </w:t>
      </w:r>
      <w:r>
        <w:rPr>
          <w:w w:val="105"/>
        </w:rPr>
        <w:t>nuanced</w:t>
      </w:r>
      <w:r>
        <w:rPr>
          <w:spacing w:val="-6"/>
          <w:w w:val="105"/>
        </w:rPr>
        <w:t xml:space="preserve"> </w:t>
      </w:r>
      <w:r>
        <w:rPr>
          <w:w w:val="105"/>
        </w:rPr>
        <w:t>insight</w:t>
      </w:r>
      <w:r>
        <w:rPr>
          <w:spacing w:val="-5"/>
          <w:w w:val="105"/>
        </w:rPr>
        <w:t xml:space="preserve"> </w:t>
      </w:r>
      <w:r>
        <w:rPr>
          <w:w w:val="105"/>
        </w:rPr>
        <w:t>into</w:t>
      </w:r>
      <w:r>
        <w:rPr>
          <w:spacing w:val="-6"/>
          <w:w w:val="105"/>
        </w:rPr>
        <w:t xml:space="preserve"> </w:t>
      </w:r>
      <w:r>
        <w:rPr>
          <w:w w:val="105"/>
        </w:rPr>
        <w:t>how</w:t>
      </w:r>
      <w:r>
        <w:rPr>
          <w:spacing w:val="-2"/>
          <w:w w:val="105"/>
        </w:rPr>
        <w:t xml:space="preserve"> </w:t>
      </w:r>
      <w:r>
        <w:rPr>
          <w:w w:val="105"/>
        </w:rPr>
        <w:t>well</w:t>
      </w:r>
      <w:r>
        <w:rPr>
          <w:spacing w:val="-5"/>
          <w:w w:val="105"/>
        </w:rPr>
        <w:t xml:space="preserve"> </w:t>
      </w:r>
      <w:r>
        <w:rPr>
          <w:w w:val="105"/>
        </w:rPr>
        <w:t>the</w:t>
      </w:r>
      <w:r>
        <w:rPr>
          <w:spacing w:val="-7"/>
          <w:w w:val="105"/>
        </w:rPr>
        <w:t xml:space="preserve"> </w:t>
      </w:r>
      <w:r>
        <w:rPr>
          <w:w w:val="105"/>
        </w:rPr>
        <w:t>model</w:t>
      </w:r>
      <w:r>
        <w:rPr>
          <w:spacing w:val="-5"/>
          <w:w w:val="105"/>
        </w:rPr>
        <w:t xml:space="preserve"> </w:t>
      </w:r>
      <w:r>
        <w:rPr>
          <w:w w:val="105"/>
        </w:rPr>
        <w:t>performs</w:t>
      </w:r>
      <w:r>
        <w:rPr>
          <w:spacing w:val="-8"/>
          <w:w w:val="105"/>
        </w:rPr>
        <w:t xml:space="preserve"> </w:t>
      </w:r>
      <w:r>
        <w:rPr>
          <w:w w:val="105"/>
        </w:rPr>
        <w:t>with new or missing data</w:t>
      </w:r>
      <w:r>
        <w:rPr>
          <w:w w:val="105"/>
        </w:rPr>
        <w:t xml:space="preserve"> (Sarstedt et al., 2017). As such, it serves as a hybrid indicator that informs both</w:t>
      </w:r>
      <w:r>
        <w:rPr>
          <w:spacing w:val="-1"/>
          <w:w w:val="105"/>
        </w:rPr>
        <w:t xml:space="preserve"> </w:t>
      </w:r>
      <w:r>
        <w:rPr>
          <w:w w:val="105"/>
        </w:rPr>
        <w:t>the</w:t>
      </w:r>
      <w:r>
        <w:rPr>
          <w:spacing w:val="-2"/>
          <w:w w:val="105"/>
        </w:rPr>
        <w:t xml:space="preserve"> </w:t>
      </w:r>
      <w:r>
        <w:rPr>
          <w:w w:val="105"/>
        </w:rPr>
        <w:t>theoretical and practical robustness of a model's predictions.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2"/>
          <w:numId w:val="10"/>
        </w:numPr>
        <w:tabs>
          <w:tab w:val="left" w:pos="2917"/>
        </w:tabs>
        <w:spacing w:before="1"/>
        <w:ind w:left="2917" w:hanging="1498"/>
        <w:rPr>
          <w:b/>
          <w:sz w:val="23"/>
        </w:rPr>
      </w:pPr>
      <w:bookmarkStart w:id="119" w:name="3.12.5____Model_fit"/>
      <w:bookmarkStart w:id="120" w:name="_bookmark59"/>
      <w:bookmarkEnd w:id="119"/>
      <w:bookmarkEnd w:id="120"/>
      <w:r>
        <w:rPr>
          <w:b/>
          <w:sz w:val="23"/>
        </w:rPr>
        <w:t>Model</w:t>
      </w:r>
      <w:r>
        <w:rPr>
          <w:b/>
          <w:spacing w:val="23"/>
          <w:sz w:val="23"/>
        </w:rPr>
        <w:t xml:space="preserve"> </w:t>
      </w:r>
      <w:r>
        <w:rPr>
          <w:b/>
          <w:spacing w:val="-5"/>
          <w:sz w:val="23"/>
        </w:rPr>
        <w:t>fit</w:t>
      </w:r>
    </w:p>
    <w:p w:rsidR="00487D64" w:rsidRDefault="00487D64">
      <w:pPr>
        <w:pStyle w:val="BodyText"/>
        <w:spacing w:before="18"/>
        <w:rPr>
          <w:b/>
        </w:rPr>
      </w:pPr>
    </w:p>
    <w:p w:rsidR="00487D64" w:rsidRDefault="006F0D93">
      <w:pPr>
        <w:pStyle w:val="BodyText"/>
        <w:spacing w:line="501" w:lineRule="auto"/>
        <w:ind w:left="1419" w:right="852"/>
        <w:jc w:val="both"/>
      </w:pPr>
      <w:r>
        <w:rPr>
          <w:w w:val="105"/>
        </w:rPr>
        <w:t>In order to assess the overall quality of the structural model, model f</w:t>
      </w:r>
      <w:r>
        <w:rPr>
          <w:w w:val="105"/>
        </w:rPr>
        <w:t>it indices were examined using the procedures available in SmartPLS. Although the evaluation of model fit is more established in covariance-based SEM, recent developments have introduced appropriate fit measures for partial least squares structural equatio</w:t>
      </w:r>
      <w:r>
        <w:rPr>
          <w:w w:val="105"/>
        </w:rPr>
        <w:t>n modeling (PLS-SEM), which allow researchers to evaluate how well the proposed model reproduces the empirical data (Henseler et al., 2014; Sarstedt et al., 2017; Schuberth et al., 2023). SmartPLS provides both approximate and exact fit criteria, including</w:t>
      </w:r>
      <w:r>
        <w:rPr>
          <w:w w:val="105"/>
        </w:rPr>
        <w:t xml:space="preserve"> the standardized root mean square residual (SRMR), the normed fit index (NFI), the Chi-square (χ²), and two bootstrap-based discrepancy measures: the squared Euclidean distance (d_ULS) and the geodesic distance (d_G).</w:t>
      </w:r>
    </w:p>
    <w:p w:rsidR="00487D64" w:rsidRDefault="006F0D93">
      <w:pPr>
        <w:pStyle w:val="BodyText"/>
        <w:spacing w:before="235" w:line="501" w:lineRule="auto"/>
        <w:ind w:left="1419" w:right="851"/>
        <w:jc w:val="both"/>
      </w:pPr>
      <w:r>
        <w:rPr>
          <w:w w:val="105"/>
        </w:rPr>
        <w:t>The SRMR is an absolute fit index</w:t>
      </w:r>
      <w:r>
        <w:rPr>
          <w:w w:val="105"/>
        </w:rPr>
        <w:t xml:space="preserve"> that assesses the average magnitude of discrepancies between the observed and model-implied correlations. Values below 0.10, and more conservatively below 0.08, indicate good model fit (Hu &amp; Bentler, 1999). In PLS-SEM, SRMR is considered particularly usef</w:t>
      </w:r>
      <w:r>
        <w:rPr>
          <w:w w:val="105"/>
        </w:rPr>
        <w:t>ul to detect potential model</w:t>
      </w:r>
      <w:r>
        <w:rPr>
          <w:spacing w:val="-1"/>
          <w:w w:val="105"/>
        </w:rPr>
        <w:t xml:space="preserve"> </w:t>
      </w:r>
      <w:r>
        <w:rPr>
          <w:w w:val="105"/>
        </w:rPr>
        <w:t>misspecification</w:t>
      </w:r>
      <w:r>
        <w:rPr>
          <w:spacing w:val="-10"/>
          <w:w w:val="105"/>
        </w:rPr>
        <w:t xml:space="preserve"> </w:t>
      </w:r>
      <w:r>
        <w:rPr>
          <w:w w:val="105"/>
        </w:rPr>
        <w:t>(Henseler et</w:t>
      </w:r>
      <w:r>
        <w:rPr>
          <w:spacing w:val="-8"/>
          <w:w w:val="105"/>
        </w:rPr>
        <w:t xml:space="preserve"> </w:t>
      </w:r>
      <w:r>
        <w:rPr>
          <w:w w:val="105"/>
        </w:rPr>
        <w:t>al.,</w:t>
      </w:r>
      <w:r>
        <w:rPr>
          <w:spacing w:val="-8"/>
          <w:w w:val="105"/>
        </w:rPr>
        <w:t xml:space="preserve"> </w:t>
      </w:r>
      <w:r>
        <w:rPr>
          <w:w w:val="105"/>
        </w:rPr>
        <w:t>2014).</w:t>
      </w:r>
      <w:r>
        <w:rPr>
          <w:spacing w:val="-8"/>
          <w:w w:val="105"/>
        </w:rPr>
        <w:t xml:space="preserve"> </w:t>
      </w:r>
      <w:r>
        <w:rPr>
          <w:w w:val="105"/>
        </w:rPr>
        <w:t>SmartPLS</w:t>
      </w:r>
      <w:r>
        <w:rPr>
          <w:spacing w:val="-3"/>
          <w:w w:val="105"/>
        </w:rPr>
        <w:t xml:space="preserve"> </w:t>
      </w:r>
      <w:r>
        <w:rPr>
          <w:w w:val="105"/>
        </w:rPr>
        <w:t>further provides</w:t>
      </w:r>
      <w:r>
        <w:rPr>
          <w:spacing w:val="-5"/>
          <w:w w:val="105"/>
        </w:rPr>
        <w:t xml:space="preserve"> </w:t>
      </w:r>
      <w:r>
        <w:rPr>
          <w:w w:val="105"/>
        </w:rPr>
        <w:t>bootstrap- based inference for the SRMR criterion, which allows evaluating whether discrepancies can be attributed to sampling error.</w:t>
      </w:r>
    </w:p>
    <w:p w:rsidR="00487D64" w:rsidRDefault="006F0D93">
      <w:pPr>
        <w:pStyle w:val="BodyText"/>
        <w:spacing w:before="237" w:line="499" w:lineRule="auto"/>
        <w:ind w:left="1419" w:right="849"/>
        <w:jc w:val="both"/>
      </w:pPr>
      <w:r>
        <w:rPr>
          <w:w w:val="105"/>
        </w:rPr>
        <w:t>The d_ULS</w:t>
      </w:r>
      <w:r>
        <w:rPr>
          <w:spacing w:val="-5"/>
          <w:w w:val="105"/>
        </w:rPr>
        <w:t xml:space="preserve"> </w:t>
      </w:r>
      <w:r>
        <w:rPr>
          <w:w w:val="105"/>
        </w:rPr>
        <w:t>and d_G represent exact fit criteria</w:t>
      </w:r>
      <w:r>
        <w:rPr>
          <w:spacing w:val="-1"/>
          <w:w w:val="105"/>
        </w:rPr>
        <w:t xml:space="preserve"> </w:t>
      </w:r>
      <w:r>
        <w:rPr>
          <w:w w:val="105"/>
        </w:rPr>
        <w:t>that test the discrepancy between the empirical and model-implied correlation matrices. Their interpretation relies on bootstrap-based inference statistics using the adapted Bollen-Stine bootstrapping procedure</w:t>
      </w:r>
      <w:r>
        <w:rPr>
          <w:spacing w:val="-7"/>
          <w:w w:val="105"/>
        </w:rPr>
        <w:t xml:space="preserve"> </w:t>
      </w:r>
      <w:r>
        <w:rPr>
          <w:w w:val="105"/>
        </w:rPr>
        <w:t xml:space="preserve">(Bollen </w:t>
      </w:r>
      <w:r>
        <w:rPr>
          <w:w w:val="105"/>
        </w:rPr>
        <w:t>&amp;</w:t>
      </w:r>
      <w:r>
        <w:rPr>
          <w:spacing w:val="-1"/>
          <w:w w:val="105"/>
        </w:rPr>
        <w:t xml:space="preserve"> </w:t>
      </w:r>
      <w:r>
        <w:rPr>
          <w:w w:val="105"/>
        </w:rPr>
        <w:t>Stine,</w:t>
      </w:r>
      <w:r>
        <w:rPr>
          <w:spacing w:val="-4"/>
          <w:w w:val="105"/>
        </w:rPr>
        <w:t xml:space="preserve"> </w:t>
      </w:r>
      <w:r>
        <w:rPr>
          <w:w w:val="105"/>
        </w:rPr>
        <w:t>1992;</w:t>
      </w:r>
      <w:r>
        <w:rPr>
          <w:spacing w:val="-4"/>
          <w:w w:val="105"/>
        </w:rPr>
        <w:t xml:space="preserve"> </w:t>
      </w:r>
      <w:r>
        <w:rPr>
          <w:w w:val="105"/>
        </w:rPr>
        <w:t>Dijkstra &amp;</w:t>
      </w:r>
      <w:r>
        <w:rPr>
          <w:spacing w:val="-7"/>
          <w:w w:val="105"/>
        </w:rPr>
        <w:t xml:space="preserve"> </w:t>
      </w:r>
      <w:r>
        <w:rPr>
          <w:w w:val="105"/>
        </w:rPr>
        <w:t>Henseler,</w:t>
      </w:r>
      <w:r>
        <w:rPr>
          <w:spacing w:val="-4"/>
          <w:w w:val="105"/>
        </w:rPr>
        <w:t xml:space="preserve"> </w:t>
      </w:r>
      <w:r>
        <w:rPr>
          <w:w w:val="105"/>
        </w:rPr>
        <w:t>2015).</w:t>
      </w:r>
      <w:r>
        <w:rPr>
          <w:spacing w:val="-4"/>
          <w:w w:val="105"/>
        </w:rPr>
        <w:t xml:space="preserve"> </w:t>
      </w:r>
      <w:r>
        <w:rPr>
          <w:w w:val="105"/>
        </w:rPr>
        <w:t>A</w:t>
      </w:r>
      <w:r>
        <w:rPr>
          <w:spacing w:val="-2"/>
          <w:w w:val="105"/>
        </w:rPr>
        <w:t xml:space="preserve"> </w:t>
      </w:r>
      <w:r>
        <w:rPr>
          <w:w w:val="105"/>
        </w:rPr>
        <w:t>model is</w:t>
      </w:r>
      <w:r>
        <w:rPr>
          <w:spacing w:val="-2"/>
          <w:w w:val="105"/>
        </w:rPr>
        <w:t xml:space="preserve"> </w:t>
      </w:r>
      <w:r>
        <w:rPr>
          <w:w w:val="105"/>
        </w:rPr>
        <w:t>considered to</w:t>
      </w:r>
      <w:r>
        <w:rPr>
          <w:spacing w:val="22"/>
          <w:w w:val="105"/>
        </w:rPr>
        <w:t xml:space="preserve"> </w:t>
      </w:r>
      <w:r>
        <w:rPr>
          <w:w w:val="105"/>
        </w:rPr>
        <w:t>fit</w:t>
      </w:r>
      <w:r>
        <w:rPr>
          <w:spacing w:val="25"/>
          <w:w w:val="105"/>
        </w:rPr>
        <w:t xml:space="preserve"> </w:t>
      </w:r>
      <w:r>
        <w:rPr>
          <w:w w:val="105"/>
        </w:rPr>
        <w:t>well</w:t>
      </w:r>
      <w:r>
        <w:rPr>
          <w:spacing w:val="18"/>
          <w:w w:val="105"/>
        </w:rPr>
        <w:t xml:space="preserve"> </w:t>
      </w:r>
      <w:r>
        <w:rPr>
          <w:w w:val="105"/>
        </w:rPr>
        <w:t>if the</w:t>
      </w:r>
      <w:r>
        <w:rPr>
          <w:spacing w:val="21"/>
          <w:w w:val="105"/>
        </w:rPr>
        <w:t xml:space="preserve"> </w:t>
      </w:r>
      <w:r>
        <w:rPr>
          <w:w w:val="105"/>
        </w:rPr>
        <w:t>original</w:t>
      </w:r>
      <w:r>
        <w:rPr>
          <w:spacing w:val="18"/>
          <w:w w:val="105"/>
        </w:rPr>
        <w:t xml:space="preserve"> </w:t>
      </w:r>
      <w:r>
        <w:rPr>
          <w:w w:val="105"/>
        </w:rPr>
        <w:t>values of</w:t>
      </w:r>
      <w:r>
        <w:rPr>
          <w:spacing w:val="19"/>
          <w:w w:val="105"/>
        </w:rPr>
        <w:t xml:space="preserve"> </w:t>
      </w:r>
      <w:r>
        <w:rPr>
          <w:w w:val="105"/>
        </w:rPr>
        <w:t>d_ULS</w:t>
      </w:r>
      <w:r>
        <w:rPr>
          <w:spacing w:val="17"/>
          <w:w w:val="105"/>
        </w:rPr>
        <w:t xml:space="preserve"> </w:t>
      </w:r>
      <w:r>
        <w:rPr>
          <w:w w:val="105"/>
        </w:rPr>
        <w:t>and</w:t>
      </w:r>
      <w:r>
        <w:rPr>
          <w:spacing w:val="16"/>
          <w:w w:val="105"/>
        </w:rPr>
        <w:t xml:space="preserve"> </w:t>
      </w:r>
      <w:r>
        <w:rPr>
          <w:w w:val="105"/>
        </w:rPr>
        <w:t>d_G</w:t>
      </w:r>
      <w:r>
        <w:rPr>
          <w:spacing w:val="27"/>
          <w:w w:val="105"/>
        </w:rPr>
        <w:t xml:space="preserve"> </w:t>
      </w:r>
      <w:r>
        <w:rPr>
          <w:w w:val="105"/>
        </w:rPr>
        <w:t>fall</w:t>
      </w:r>
      <w:r>
        <w:rPr>
          <w:spacing w:val="25"/>
          <w:w w:val="105"/>
        </w:rPr>
        <w:t xml:space="preserve"> </w:t>
      </w:r>
      <w:r>
        <w:rPr>
          <w:w w:val="105"/>
        </w:rPr>
        <w:t>within</w:t>
      </w:r>
      <w:r>
        <w:rPr>
          <w:spacing w:val="16"/>
          <w:w w:val="105"/>
        </w:rPr>
        <w:t xml:space="preserve"> </w:t>
      </w:r>
      <w:r>
        <w:rPr>
          <w:w w:val="105"/>
        </w:rPr>
        <w:t>their</w:t>
      </w:r>
      <w:r>
        <w:rPr>
          <w:spacing w:val="26"/>
          <w:w w:val="105"/>
        </w:rPr>
        <w:t xml:space="preserve"> </w:t>
      </w:r>
      <w:r>
        <w:rPr>
          <w:w w:val="105"/>
        </w:rPr>
        <w:t>corresponding</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1"/>
        <w:jc w:val="both"/>
      </w:pPr>
      <w:r>
        <w:rPr>
          <w:w w:val="105"/>
        </w:rPr>
        <w:t>confidence intervals, indicating that any discrepancy is non-significant and attribut</w:t>
      </w:r>
      <w:r>
        <w:rPr>
          <w:w w:val="105"/>
        </w:rPr>
        <w:t>able to sampling error.</w:t>
      </w:r>
    </w:p>
    <w:p w:rsidR="00487D64" w:rsidRDefault="006F0D93">
      <w:pPr>
        <w:pStyle w:val="BodyText"/>
        <w:spacing w:before="236" w:line="501" w:lineRule="auto"/>
        <w:ind w:left="1419" w:right="849"/>
        <w:jc w:val="both"/>
      </w:pPr>
      <w:r>
        <w:rPr>
          <w:w w:val="105"/>
        </w:rPr>
        <w:t>The NFI, originally proposed by Bentler and Bonett (1980), is an incremental fit index</w:t>
      </w:r>
      <w:r>
        <w:rPr>
          <w:spacing w:val="-5"/>
          <w:w w:val="105"/>
        </w:rPr>
        <w:t xml:space="preserve"> </w:t>
      </w:r>
      <w:r>
        <w:rPr>
          <w:w w:val="105"/>
        </w:rPr>
        <w:t>that compares</w:t>
      </w:r>
      <w:r>
        <w:rPr>
          <w:spacing w:val="-6"/>
          <w:w w:val="105"/>
        </w:rPr>
        <w:t xml:space="preserve"> </w:t>
      </w:r>
      <w:r>
        <w:rPr>
          <w:w w:val="105"/>
        </w:rPr>
        <w:t>the</w:t>
      </w:r>
      <w:r>
        <w:rPr>
          <w:spacing w:val="-6"/>
          <w:w w:val="105"/>
        </w:rPr>
        <w:t xml:space="preserve"> </w:t>
      </w:r>
      <w:r>
        <w:rPr>
          <w:w w:val="105"/>
        </w:rPr>
        <w:t>Chi-square value of</w:t>
      </w:r>
      <w:r>
        <w:rPr>
          <w:spacing w:val="-7"/>
          <w:w w:val="105"/>
        </w:rPr>
        <w:t xml:space="preserve"> </w:t>
      </w:r>
      <w:r>
        <w:rPr>
          <w:w w:val="105"/>
        </w:rPr>
        <w:t>the proposed model with</w:t>
      </w:r>
      <w:r>
        <w:rPr>
          <w:spacing w:val="-5"/>
          <w:w w:val="105"/>
        </w:rPr>
        <w:t xml:space="preserve"> </w:t>
      </w:r>
      <w:r>
        <w:rPr>
          <w:w w:val="105"/>
        </w:rPr>
        <w:t>that of</w:t>
      </w:r>
      <w:r>
        <w:rPr>
          <w:spacing w:val="-7"/>
          <w:w w:val="105"/>
        </w:rPr>
        <w:t xml:space="preserve"> </w:t>
      </w:r>
      <w:r>
        <w:rPr>
          <w:w w:val="105"/>
        </w:rPr>
        <w:t>the null model.</w:t>
      </w:r>
      <w:r>
        <w:rPr>
          <w:spacing w:val="-4"/>
          <w:w w:val="105"/>
        </w:rPr>
        <w:t xml:space="preserve"> </w:t>
      </w:r>
      <w:r>
        <w:rPr>
          <w:w w:val="105"/>
        </w:rPr>
        <w:t>While</w:t>
      </w:r>
      <w:r>
        <w:rPr>
          <w:spacing w:val="-13"/>
          <w:w w:val="105"/>
        </w:rPr>
        <w:t xml:space="preserve"> </w:t>
      </w:r>
      <w:r>
        <w:rPr>
          <w:w w:val="105"/>
        </w:rPr>
        <w:t>NFI</w:t>
      </w:r>
      <w:r>
        <w:rPr>
          <w:spacing w:val="-2"/>
          <w:w w:val="105"/>
        </w:rPr>
        <w:t xml:space="preserve"> </w:t>
      </w:r>
      <w:r>
        <w:rPr>
          <w:w w:val="105"/>
        </w:rPr>
        <w:t>values</w:t>
      </w:r>
      <w:r>
        <w:rPr>
          <w:spacing w:val="-8"/>
          <w:w w:val="105"/>
        </w:rPr>
        <w:t xml:space="preserve"> </w:t>
      </w:r>
      <w:r>
        <w:rPr>
          <w:w w:val="105"/>
        </w:rPr>
        <w:t>above</w:t>
      </w:r>
      <w:r>
        <w:rPr>
          <w:spacing w:val="-13"/>
          <w:w w:val="105"/>
        </w:rPr>
        <w:t xml:space="preserve"> </w:t>
      </w:r>
      <w:r>
        <w:rPr>
          <w:w w:val="105"/>
        </w:rPr>
        <w:t>0.90 generally</w:t>
      </w:r>
      <w:r>
        <w:rPr>
          <w:spacing w:val="-6"/>
          <w:w w:val="105"/>
        </w:rPr>
        <w:t xml:space="preserve"> </w:t>
      </w:r>
      <w:r>
        <w:rPr>
          <w:w w:val="105"/>
        </w:rPr>
        <w:t>indicate</w:t>
      </w:r>
      <w:r>
        <w:rPr>
          <w:spacing w:val="-13"/>
          <w:w w:val="105"/>
        </w:rPr>
        <w:t xml:space="preserve"> </w:t>
      </w:r>
      <w:r>
        <w:rPr>
          <w:w w:val="105"/>
        </w:rPr>
        <w:t>acceptable fit,</w:t>
      </w:r>
      <w:r>
        <w:rPr>
          <w:spacing w:val="-10"/>
          <w:w w:val="105"/>
        </w:rPr>
        <w:t xml:space="preserve"> </w:t>
      </w:r>
      <w:r>
        <w:rPr>
          <w:w w:val="105"/>
        </w:rPr>
        <w:t>this</w:t>
      </w:r>
      <w:r>
        <w:rPr>
          <w:spacing w:val="-1"/>
          <w:w w:val="105"/>
        </w:rPr>
        <w:t xml:space="preserve"> </w:t>
      </w:r>
      <w:r>
        <w:rPr>
          <w:w w:val="105"/>
        </w:rPr>
        <w:t>measure</w:t>
      </w:r>
      <w:r>
        <w:rPr>
          <w:spacing w:val="-6"/>
          <w:w w:val="105"/>
        </w:rPr>
        <w:t xml:space="preserve"> </w:t>
      </w:r>
      <w:r>
        <w:rPr>
          <w:w w:val="105"/>
        </w:rPr>
        <w:t>is sensitive to model complexity and does not penalize for additional parameters (Lohmöller, 1989). Therefore, NFI should be interpreted with caution in PLS-SEM applications and always alongside other indices.</w:t>
      </w:r>
    </w:p>
    <w:p w:rsidR="00487D64" w:rsidRDefault="006F0D93">
      <w:pPr>
        <w:pStyle w:val="BodyText"/>
        <w:spacing w:before="236" w:line="501" w:lineRule="auto"/>
        <w:ind w:left="1419" w:right="863"/>
        <w:jc w:val="both"/>
      </w:pPr>
      <w:r>
        <w:rPr>
          <w:w w:val="105"/>
        </w:rPr>
        <w:t>Finally, the Chi-</w:t>
      </w:r>
      <w:r>
        <w:rPr>
          <w:w w:val="105"/>
        </w:rPr>
        <w:t>square statistic (χ²) provides an assessment of the discrepancy between the empirical covariance matrix and the one implied by the model. However, this measure is sensitive to large sample sizes and should not be considered in isolation (Sarstedt et al., 2</w:t>
      </w:r>
      <w:r>
        <w:rPr>
          <w:w w:val="105"/>
        </w:rPr>
        <w:t>021).</w:t>
      </w:r>
    </w:p>
    <w:p w:rsidR="00487D64" w:rsidRDefault="006F0D93">
      <w:pPr>
        <w:pStyle w:val="BodyText"/>
        <w:spacing w:before="237" w:line="501" w:lineRule="auto"/>
        <w:ind w:left="1419" w:right="848"/>
        <w:jc w:val="both"/>
      </w:pPr>
      <w:r>
        <w:rPr>
          <w:w w:val="105"/>
        </w:rPr>
        <w:t>In SmartPLS, model fit can be evaluated for both the saturated model, which assumes correlations</w:t>
      </w:r>
      <w:r>
        <w:rPr>
          <w:spacing w:val="-4"/>
          <w:w w:val="105"/>
        </w:rPr>
        <w:t xml:space="preserve"> </w:t>
      </w:r>
      <w:r>
        <w:rPr>
          <w:w w:val="105"/>
        </w:rPr>
        <w:t>among</w:t>
      </w:r>
      <w:r>
        <w:rPr>
          <w:spacing w:val="-2"/>
          <w:w w:val="105"/>
        </w:rPr>
        <w:t xml:space="preserve"> </w:t>
      </w:r>
      <w:r>
        <w:rPr>
          <w:w w:val="105"/>
        </w:rPr>
        <w:t>all constructs, and</w:t>
      </w:r>
      <w:r>
        <w:rPr>
          <w:spacing w:val="-2"/>
          <w:w w:val="105"/>
        </w:rPr>
        <w:t xml:space="preserve"> </w:t>
      </w:r>
      <w:r>
        <w:rPr>
          <w:w w:val="105"/>
        </w:rPr>
        <w:t>the estimated model, which accounts for the hypothesized structural relationships. The estimated model is generally reported as</w:t>
      </w:r>
      <w:r>
        <w:rPr>
          <w:w w:val="105"/>
        </w:rPr>
        <w:t xml:space="preserve"> it reflects the theoretical framework under investigation, while the saturated model serves</w:t>
      </w:r>
      <w:r>
        <w:rPr>
          <w:spacing w:val="-4"/>
          <w:w w:val="105"/>
        </w:rPr>
        <w:t xml:space="preserve"> </w:t>
      </w:r>
      <w:r>
        <w:rPr>
          <w:w w:val="105"/>
        </w:rPr>
        <w:t>as</w:t>
      </w:r>
      <w:r>
        <w:rPr>
          <w:spacing w:val="-4"/>
          <w:w w:val="105"/>
        </w:rPr>
        <w:t xml:space="preserve"> </w:t>
      </w:r>
      <w:r>
        <w:rPr>
          <w:w w:val="105"/>
        </w:rPr>
        <w:t>a benchmark for comparison (Schuberth et al., 2022).</w:t>
      </w:r>
    </w:p>
    <w:p w:rsidR="00487D64" w:rsidRDefault="00487D64">
      <w:pPr>
        <w:pStyle w:val="BodyText"/>
      </w:pPr>
    </w:p>
    <w:p w:rsidR="00487D64" w:rsidRDefault="00487D64">
      <w:pPr>
        <w:pStyle w:val="BodyText"/>
        <w:spacing w:before="14"/>
      </w:pPr>
    </w:p>
    <w:p w:rsidR="00487D64" w:rsidRDefault="006F0D93">
      <w:pPr>
        <w:pStyle w:val="ListParagraph"/>
        <w:numPr>
          <w:ilvl w:val="2"/>
          <w:numId w:val="10"/>
        </w:numPr>
        <w:tabs>
          <w:tab w:val="left" w:pos="2917"/>
        </w:tabs>
        <w:ind w:left="2917" w:hanging="1498"/>
        <w:rPr>
          <w:b/>
          <w:sz w:val="23"/>
        </w:rPr>
      </w:pPr>
      <w:bookmarkStart w:id="121" w:name="3.12.6____Path_Coefficient"/>
      <w:bookmarkStart w:id="122" w:name="_bookmark60"/>
      <w:bookmarkEnd w:id="121"/>
      <w:bookmarkEnd w:id="122"/>
      <w:r>
        <w:rPr>
          <w:b/>
          <w:w w:val="105"/>
          <w:sz w:val="23"/>
        </w:rPr>
        <w:t>Path</w:t>
      </w:r>
      <w:r>
        <w:rPr>
          <w:b/>
          <w:spacing w:val="-15"/>
          <w:w w:val="105"/>
          <w:sz w:val="23"/>
        </w:rPr>
        <w:t xml:space="preserve"> </w:t>
      </w:r>
      <w:r>
        <w:rPr>
          <w:b/>
          <w:spacing w:val="-2"/>
          <w:w w:val="105"/>
          <w:sz w:val="23"/>
        </w:rPr>
        <w:t>Coefficient</w:t>
      </w:r>
    </w:p>
    <w:p w:rsidR="00487D64" w:rsidRDefault="00487D64">
      <w:pPr>
        <w:pStyle w:val="BodyText"/>
        <w:spacing w:before="18"/>
        <w:rPr>
          <w:b/>
        </w:rPr>
      </w:pPr>
    </w:p>
    <w:p w:rsidR="00487D64" w:rsidRDefault="006F0D93">
      <w:pPr>
        <w:pStyle w:val="BodyText"/>
        <w:spacing w:line="501" w:lineRule="auto"/>
        <w:ind w:left="1419" w:right="855"/>
        <w:jc w:val="both"/>
      </w:pPr>
      <w:r>
        <w:rPr>
          <w:w w:val="105"/>
        </w:rPr>
        <w:t>The final phase in the assessment of the structural model entailed examining the causal</w:t>
      </w:r>
      <w:r>
        <w:rPr>
          <w:w w:val="105"/>
        </w:rPr>
        <w:t xml:space="preserve"> relationships among the latent constructs by analyzing the significance and magnitude of the path coefficients. In Partial Least Squares Structural Equation Modeling</w:t>
      </w:r>
      <w:r>
        <w:rPr>
          <w:spacing w:val="1"/>
          <w:w w:val="105"/>
        </w:rPr>
        <w:t xml:space="preserve"> </w:t>
      </w:r>
      <w:r>
        <w:rPr>
          <w:w w:val="105"/>
        </w:rPr>
        <w:t>(PLS-SEM),</w:t>
      </w:r>
      <w:r>
        <w:rPr>
          <w:spacing w:val="10"/>
          <w:w w:val="105"/>
        </w:rPr>
        <w:t xml:space="preserve"> </w:t>
      </w:r>
      <w:r>
        <w:rPr>
          <w:w w:val="105"/>
        </w:rPr>
        <w:t>path</w:t>
      </w:r>
      <w:r>
        <w:rPr>
          <w:spacing w:val="15"/>
          <w:w w:val="105"/>
        </w:rPr>
        <w:t xml:space="preserve"> </w:t>
      </w:r>
      <w:r>
        <w:rPr>
          <w:w w:val="105"/>
        </w:rPr>
        <w:t>coefficients</w:t>
      </w:r>
      <w:r>
        <w:rPr>
          <w:spacing w:val="6"/>
          <w:w w:val="105"/>
        </w:rPr>
        <w:t xml:space="preserve"> </w:t>
      </w:r>
      <w:r>
        <w:rPr>
          <w:w w:val="105"/>
        </w:rPr>
        <w:t>are</w:t>
      </w:r>
      <w:r>
        <w:rPr>
          <w:spacing w:val="8"/>
          <w:w w:val="105"/>
        </w:rPr>
        <w:t xml:space="preserve"> </w:t>
      </w:r>
      <w:r>
        <w:rPr>
          <w:w w:val="105"/>
        </w:rPr>
        <w:t>vital</w:t>
      </w:r>
      <w:r>
        <w:rPr>
          <w:spacing w:val="10"/>
          <w:w w:val="105"/>
        </w:rPr>
        <w:t xml:space="preserve"> </w:t>
      </w:r>
      <w:r>
        <w:rPr>
          <w:w w:val="105"/>
        </w:rPr>
        <w:t>as</w:t>
      </w:r>
      <w:r>
        <w:rPr>
          <w:spacing w:val="6"/>
          <w:w w:val="105"/>
        </w:rPr>
        <w:t xml:space="preserve"> </w:t>
      </w:r>
      <w:r>
        <w:rPr>
          <w:w w:val="105"/>
        </w:rPr>
        <w:t>they</w:t>
      </w:r>
      <w:r>
        <w:rPr>
          <w:spacing w:val="8"/>
          <w:w w:val="105"/>
        </w:rPr>
        <w:t xml:space="preserve"> </w:t>
      </w:r>
      <w:r>
        <w:rPr>
          <w:w w:val="105"/>
        </w:rPr>
        <w:t>represent</w:t>
      </w:r>
      <w:r>
        <w:rPr>
          <w:spacing w:val="10"/>
          <w:w w:val="105"/>
        </w:rPr>
        <w:t xml:space="preserve"> </w:t>
      </w:r>
      <w:r>
        <w:rPr>
          <w:w w:val="105"/>
        </w:rPr>
        <w:t>the</w:t>
      </w:r>
      <w:r>
        <w:rPr>
          <w:spacing w:val="7"/>
          <w:w w:val="105"/>
        </w:rPr>
        <w:t xml:space="preserve"> </w:t>
      </w:r>
      <w:r>
        <w:rPr>
          <w:spacing w:val="-2"/>
          <w:w w:val="105"/>
        </w:rPr>
        <w:t>hypothesized</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0"/>
        <w:jc w:val="both"/>
      </w:pPr>
      <w:r>
        <w:rPr>
          <w:w w:val="105"/>
        </w:rPr>
        <w:t>linear relationships between exogenous (independent) and endogenous (dependent) variables within the theoretical framework (Hair et</w:t>
      </w:r>
      <w:r>
        <w:rPr>
          <w:spacing w:val="-3"/>
          <w:w w:val="105"/>
        </w:rPr>
        <w:t xml:space="preserve"> </w:t>
      </w:r>
      <w:r>
        <w:rPr>
          <w:w w:val="105"/>
        </w:rPr>
        <w:t>al.,</w:t>
      </w:r>
      <w:r>
        <w:rPr>
          <w:spacing w:val="-3"/>
          <w:w w:val="105"/>
        </w:rPr>
        <w:t xml:space="preserve"> </w:t>
      </w:r>
      <w:r>
        <w:rPr>
          <w:w w:val="105"/>
        </w:rPr>
        <w:t>2017;</w:t>
      </w:r>
      <w:r>
        <w:rPr>
          <w:spacing w:val="-3"/>
          <w:w w:val="105"/>
        </w:rPr>
        <w:t xml:space="preserve"> </w:t>
      </w:r>
      <w:r>
        <w:rPr>
          <w:w w:val="105"/>
        </w:rPr>
        <w:t>Henseler,</w:t>
      </w:r>
      <w:r>
        <w:rPr>
          <w:spacing w:val="-3"/>
          <w:w w:val="105"/>
        </w:rPr>
        <w:t xml:space="preserve"> </w:t>
      </w:r>
      <w:r>
        <w:rPr>
          <w:w w:val="105"/>
        </w:rPr>
        <w:t>2018).</w:t>
      </w:r>
      <w:r>
        <w:rPr>
          <w:spacing w:val="-3"/>
          <w:w w:val="105"/>
        </w:rPr>
        <w:t xml:space="preserve"> </w:t>
      </w:r>
      <w:r>
        <w:rPr>
          <w:w w:val="105"/>
        </w:rPr>
        <w:t>These coefficients provide essential empirical insights into the degree</w:t>
      </w:r>
      <w:r>
        <w:rPr>
          <w:w w:val="105"/>
        </w:rPr>
        <w:t xml:space="preserve"> and direction of influence that one construct exerts over another, and thus serve as a key metric for validating the theoretical propositions underlying the structural model.</w:t>
      </w:r>
    </w:p>
    <w:p w:rsidR="00487D64" w:rsidRDefault="006F0D93">
      <w:pPr>
        <w:pStyle w:val="BodyText"/>
        <w:spacing w:before="240" w:line="501" w:lineRule="auto"/>
        <w:ind w:left="1419" w:right="844"/>
        <w:jc w:val="both"/>
      </w:pPr>
      <w:r>
        <w:rPr>
          <w:w w:val="105"/>
        </w:rPr>
        <w:t>To</w:t>
      </w:r>
      <w:r>
        <w:rPr>
          <w:spacing w:val="-7"/>
          <w:w w:val="105"/>
        </w:rPr>
        <w:t xml:space="preserve"> </w:t>
      </w:r>
      <w:r>
        <w:rPr>
          <w:w w:val="105"/>
        </w:rPr>
        <w:t>statistically</w:t>
      </w:r>
      <w:r>
        <w:rPr>
          <w:spacing w:val="-1"/>
          <w:w w:val="105"/>
        </w:rPr>
        <w:t xml:space="preserve"> </w:t>
      </w:r>
      <w:r>
        <w:rPr>
          <w:w w:val="105"/>
        </w:rPr>
        <w:t>verify</w:t>
      </w:r>
      <w:r>
        <w:rPr>
          <w:spacing w:val="-14"/>
          <w:w w:val="105"/>
        </w:rPr>
        <w:t xml:space="preserve"> </w:t>
      </w:r>
      <w:r>
        <w:rPr>
          <w:w w:val="105"/>
        </w:rPr>
        <w:t>these</w:t>
      </w:r>
      <w:r>
        <w:rPr>
          <w:spacing w:val="-14"/>
          <w:w w:val="105"/>
        </w:rPr>
        <w:t xml:space="preserve"> </w:t>
      </w:r>
      <w:r>
        <w:rPr>
          <w:w w:val="105"/>
        </w:rPr>
        <w:t>relationships,</w:t>
      </w:r>
      <w:r>
        <w:rPr>
          <w:spacing w:val="-6"/>
          <w:w w:val="105"/>
        </w:rPr>
        <w:t xml:space="preserve"> </w:t>
      </w:r>
      <w:r>
        <w:rPr>
          <w:w w:val="105"/>
        </w:rPr>
        <w:t>the</w:t>
      </w:r>
      <w:r>
        <w:rPr>
          <w:spacing w:val="-8"/>
          <w:w w:val="105"/>
        </w:rPr>
        <w:t xml:space="preserve"> </w:t>
      </w:r>
      <w:r>
        <w:rPr>
          <w:w w:val="105"/>
        </w:rPr>
        <w:t>bootstrapping</w:t>
      </w:r>
      <w:r>
        <w:rPr>
          <w:spacing w:val="-7"/>
          <w:w w:val="105"/>
        </w:rPr>
        <w:t xml:space="preserve"> </w:t>
      </w:r>
      <w:r>
        <w:rPr>
          <w:w w:val="105"/>
        </w:rPr>
        <w:t>procedure</w:t>
      </w:r>
      <w:r>
        <w:rPr>
          <w:spacing w:val="-8"/>
          <w:w w:val="105"/>
        </w:rPr>
        <w:t xml:space="preserve"> </w:t>
      </w:r>
      <w:r>
        <w:rPr>
          <w:w w:val="105"/>
        </w:rPr>
        <w:t>was</w:t>
      </w:r>
      <w:r>
        <w:rPr>
          <w:spacing w:val="-3"/>
          <w:w w:val="105"/>
        </w:rPr>
        <w:t xml:space="preserve"> </w:t>
      </w:r>
      <w:r>
        <w:rPr>
          <w:w w:val="105"/>
        </w:rPr>
        <w:t>emp</w:t>
      </w:r>
      <w:r>
        <w:rPr>
          <w:w w:val="105"/>
        </w:rPr>
        <w:t xml:space="preserve">loyed. Bootstrapping is a robust, non-parametric resampling technique that estimates the precision of model parameters by repeatedly drawing random samples with replacement from the original data. In PLS-SEM, this approach is widely recommended because it </w:t>
      </w:r>
      <w:r>
        <w:rPr>
          <w:w w:val="105"/>
        </w:rPr>
        <w:t>does not assume multivariate normality and is effective even with small</w:t>
      </w:r>
      <w:r>
        <w:rPr>
          <w:spacing w:val="-5"/>
          <w:w w:val="105"/>
        </w:rPr>
        <w:t xml:space="preserve"> </w:t>
      </w:r>
      <w:r>
        <w:rPr>
          <w:w w:val="105"/>
        </w:rPr>
        <w:t>to medium</w:t>
      </w:r>
      <w:r>
        <w:rPr>
          <w:spacing w:val="-1"/>
          <w:w w:val="105"/>
        </w:rPr>
        <w:t xml:space="preserve"> </w:t>
      </w:r>
      <w:r>
        <w:rPr>
          <w:w w:val="105"/>
        </w:rPr>
        <w:t>sample</w:t>
      </w:r>
      <w:r>
        <w:rPr>
          <w:spacing w:val="-1"/>
          <w:w w:val="105"/>
        </w:rPr>
        <w:t xml:space="preserve"> </w:t>
      </w:r>
      <w:r>
        <w:rPr>
          <w:w w:val="105"/>
        </w:rPr>
        <w:t>sizes</w:t>
      </w:r>
      <w:r>
        <w:rPr>
          <w:spacing w:val="-8"/>
          <w:w w:val="105"/>
        </w:rPr>
        <w:t xml:space="preserve"> </w:t>
      </w:r>
      <w:r>
        <w:rPr>
          <w:w w:val="105"/>
        </w:rPr>
        <w:t>(Hair et</w:t>
      </w:r>
      <w:r>
        <w:rPr>
          <w:spacing w:val="-5"/>
          <w:w w:val="105"/>
        </w:rPr>
        <w:t xml:space="preserve"> </w:t>
      </w:r>
      <w:r>
        <w:rPr>
          <w:w w:val="105"/>
        </w:rPr>
        <w:t>al.,</w:t>
      </w:r>
      <w:r>
        <w:rPr>
          <w:spacing w:val="-5"/>
          <w:w w:val="105"/>
        </w:rPr>
        <w:t xml:space="preserve"> </w:t>
      </w:r>
      <w:r>
        <w:rPr>
          <w:w w:val="105"/>
        </w:rPr>
        <w:t>2019).</w:t>
      </w:r>
      <w:r>
        <w:rPr>
          <w:spacing w:val="-5"/>
          <w:w w:val="105"/>
        </w:rPr>
        <w:t xml:space="preserve"> </w:t>
      </w:r>
      <w:r>
        <w:rPr>
          <w:w w:val="105"/>
        </w:rPr>
        <w:t>Typically,</w:t>
      </w:r>
      <w:r>
        <w:rPr>
          <w:spacing w:val="-5"/>
          <w:w w:val="105"/>
        </w:rPr>
        <w:t xml:space="preserve"> </w:t>
      </w:r>
      <w:r>
        <w:rPr>
          <w:w w:val="105"/>
        </w:rPr>
        <w:t>5,000 or</w:t>
      </w:r>
      <w:r>
        <w:rPr>
          <w:spacing w:val="-3"/>
          <w:w w:val="105"/>
        </w:rPr>
        <w:t xml:space="preserve"> </w:t>
      </w:r>
      <w:r>
        <w:rPr>
          <w:w w:val="105"/>
        </w:rPr>
        <w:t xml:space="preserve">more bootstrap resamples are generated to obtain stable estimates of standard errors, </w:t>
      </w:r>
      <w:r>
        <w:rPr>
          <w:spacing w:val="13"/>
          <w:w w:val="105"/>
        </w:rPr>
        <w:t xml:space="preserve">T- </w:t>
      </w:r>
      <w:r>
        <w:rPr>
          <w:w w:val="105"/>
        </w:rPr>
        <w:t>statistics, and confidence inte</w:t>
      </w:r>
      <w:r>
        <w:rPr>
          <w:w w:val="105"/>
        </w:rPr>
        <w:t>rvals for path coefficients, outer weights, and outer loadings (Hair et al., 2017). This resampling technique enhances the statistical rigor of the model evaluation by enabling inference about the significance of each structural relationship.</w:t>
      </w:r>
    </w:p>
    <w:p w:rsidR="00487D64" w:rsidRDefault="006F0D93">
      <w:pPr>
        <w:pStyle w:val="BodyText"/>
        <w:spacing w:before="230" w:line="504" w:lineRule="auto"/>
        <w:ind w:left="1419" w:right="856"/>
        <w:jc w:val="both"/>
      </w:pPr>
      <w:r>
        <w:rPr>
          <w:w w:val="105"/>
        </w:rPr>
        <w:t>The interpret</w:t>
      </w:r>
      <w:r>
        <w:rPr>
          <w:w w:val="105"/>
        </w:rPr>
        <w:t>ation of path coefficients further contributes to understanding the model’s</w:t>
      </w:r>
      <w:r>
        <w:rPr>
          <w:spacing w:val="-1"/>
          <w:w w:val="105"/>
        </w:rPr>
        <w:t xml:space="preserve"> </w:t>
      </w:r>
      <w:r>
        <w:rPr>
          <w:w w:val="105"/>
        </w:rPr>
        <w:t>explanatory</w:t>
      </w:r>
      <w:r>
        <w:rPr>
          <w:spacing w:val="-4"/>
          <w:w w:val="105"/>
        </w:rPr>
        <w:t xml:space="preserve"> </w:t>
      </w:r>
      <w:r>
        <w:rPr>
          <w:w w:val="105"/>
        </w:rPr>
        <w:t>power.</w:t>
      </w:r>
      <w:r>
        <w:rPr>
          <w:spacing w:val="-3"/>
          <w:w w:val="105"/>
        </w:rPr>
        <w:t xml:space="preserve"> </w:t>
      </w:r>
      <w:r>
        <w:rPr>
          <w:w w:val="105"/>
        </w:rPr>
        <w:t>Theoretically,</w:t>
      </w:r>
      <w:r>
        <w:rPr>
          <w:spacing w:val="3"/>
          <w:w w:val="105"/>
        </w:rPr>
        <w:t xml:space="preserve"> </w:t>
      </w:r>
      <w:r>
        <w:rPr>
          <w:w w:val="105"/>
        </w:rPr>
        <w:t>path</w:t>
      </w:r>
      <w:r>
        <w:rPr>
          <w:spacing w:val="-4"/>
          <w:w w:val="105"/>
        </w:rPr>
        <w:t xml:space="preserve"> </w:t>
      </w:r>
      <w:r>
        <w:rPr>
          <w:w w:val="105"/>
        </w:rPr>
        <w:t>coefficients</w:t>
      </w:r>
      <w:r>
        <w:rPr>
          <w:spacing w:val="-6"/>
          <w:w w:val="105"/>
        </w:rPr>
        <w:t xml:space="preserve"> </w:t>
      </w:r>
      <w:r>
        <w:rPr>
          <w:w w:val="105"/>
        </w:rPr>
        <w:t>in</w:t>
      </w:r>
      <w:r>
        <w:rPr>
          <w:spacing w:val="-5"/>
          <w:w w:val="105"/>
        </w:rPr>
        <w:t xml:space="preserve"> </w:t>
      </w:r>
      <w:r>
        <w:rPr>
          <w:w w:val="105"/>
        </w:rPr>
        <w:t>PLS-SEM</w:t>
      </w:r>
      <w:r>
        <w:rPr>
          <w:spacing w:val="-9"/>
          <w:w w:val="105"/>
        </w:rPr>
        <w:t xml:space="preserve"> </w:t>
      </w:r>
      <w:r>
        <w:rPr>
          <w:w w:val="105"/>
        </w:rPr>
        <w:t>range</w:t>
      </w:r>
      <w:r>
        <w:rPr>
          <w:spacing w:val="1"/>
          <w:w w:val="105"/>
        </w:rPr>
        <w:t xml:space="preserve"> </w:t>
      </w:r>
      <w:r>
        <w:rPr>
          <w:spacing w:val="-4"/>
          <w:w w:val="105"/>
        </w:rPr>
        <w:t>from</w:t>
      </w:r>
    </w:p>
    <w:p w:rsidR="00487D64" w:rsidRDefault="006F0D93">
      <w:pPr>
        <w:pStyle w:val="BodyText"/>
        <w:spacing w:line="499" w:lineRule="auto"/>
        <w:ind w:left="1419" w:right="861"/>
        <w:jc w:val="both"/>
      </w:pPr>
      <w:r>
        <w:rPr>
          <w:w w:val="105"/>
        </w:rPr>
        <w:t>-1 to +1, where values approaching +1 indicate a strong positive association and values nearing -1 signify</w:t>
      </w:r>
      <w:r>
        <w:rPr>
          <w:w w:val="105"/>
        </w:rPr>
        <w:t xml:space="preserve"> a strong negative association. Coefficients close to zero suggest weak or negligible relationships (Hair et al., 2022). It is important to note that in evaluating the practical significance of these coefficients, the magnitude rather</w:t>
      </w:r>
      <w:r>
        <w:rPr>
          <w:spacing w:val="51"/>
          <w:w w:val="105"/>
        </w:rPr>
        <w:t xml:space="preserve"> </w:t>
      </w:r>
      <w:r>
        <w:rPr>
          <w:w w:val="105"/>
        </w:rPr>
        <w:t>than</w:t>
      </w:r>
      <w:r>
        <w:rPr>
          <w:spacing w:val="53"/>
          <w:w w:val="105"/>
        </w:rPr>
        <w:t xml:space="preserve"> </w:t>
      </w:r>
      <w:r>
        <w:rPr>
          <w:w w:val="105"/>
        </w:rPr>
        <w:t>the</w:t>
      </w:r>
      <w:r>
        <w:rPr>
          <w:spacing w:val="57"/>
          <w:w w:val="105"/>
        </w:rPr>
        <w:t xml:space="preserve"> </w:t>
      </w:r>
      <w:r>
        <w:rPr>
          <w:w w:val="105"/>
        </w:rPr>
        <w:t>direction</w:t>
      </w:r>
      <w:r>
        <w:rPr>
          <w:spacing w:val="54"/>
          <w:w w:val="105"/>
        </w:rPr>
        <w:t xml:space="preserve"> </w:t>
      </w:r>
      <w:r>
        <w:rPr>
          <w:w w:val="105"/>
        </w:rPr>
        <w:t>is</w:t>
      </w:r>
      <w:r>
        <w:rPr>
          <w:spacing w:val="45"/>
          <w:w w:val="105"/>
        </w:rPr>
        <w:t xml:space="preserve"> </w:t>
      </w:r>
      <w:r>
        <w:rPr>
          <w:w w:val="105"/>
        </w:rPr>
        <w:t>often</w:t>
      </w:r>
      <w:r>
        <w:rPr>
          <w:spacing w:val="54"/>
          <w:w w:val="105"/>
        </w:rPr>
        <w:t xml:space="preserve"> </w:t>
      </w:r>
      <w:r>
        <w:rPr>
          <w:w w:val="105"/>
        </w:rPr>
        <w:t>emphasized.</w:t>
      </w:r>
      <w:r>
        <w:rPr>
          <w:spacing w:val="56"/>
          <w:w w:val="105"/>
        </w:rPr>
        <w:t xml:space="preserve"> </w:t>
      </w:r>
      <w:r>
        <w:rPr>
          <w:w w:val="105"/>
        </w:rPr>
        <w:t>Coefficients</w:t>
      </w:r>
      <w:r>
        <w:rPr>
          <w:spacing w:val="58"/>
          <w:w w:val="105"/>
        </w:rPr>
        <w:t xml:space="preserve"> </w:t>
      </w:r>
      <w:r>
        <w:rPr>
          <w:w w:val="105"/>
        </w:rPr>
        <w:t>with</w:t>
      </w:r>
      <w:r>
        <w:rPr>
          <w:spacing w:val="54"/>
          <w:w w:val="105"/>
        </w:rPr>
        <w:t xml:space="preserve"> </w:t>
      </w:r>
      <w:r>
        <w:rPr>
          <w:w w:val="105"/>
        </w:rPr>
        <w:t>higher</w:t>
      </w:r>
      <w:r>
        <w:rPr>
          <w:spacing w:val="57"/>
          <w:w w:val="105"/>
        </w:rPr>
        <w:t xml:space="preserve"> </w:t>
      </w:r>
      <w:r>
        <w:rPr>
          <w:spacing w:val="-2"/>
          <w:w w:val="105"/>
        </w:rPr>
        <w:t>absolute</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62"/>
        <w:jc w:val="both"/>
      </w:pPr>
      <w:r>
        <w:rPr>
          <w:w w:val="105"/>
        </w:rPr>
        <w:t>values indicate stronger effects, thereby reflecting the substantive relevance of the underlying constructs in the model. Hence, the hypothesis was supported and accepted</w:t>
      </w:r>
      <w:r>
        <w:rPr>
          <w:spacing w:val="-4"/>
          <w:w w:val="105"/>
        </w:rPr>
        <w:t xml:space="preserve"> </w:t>
      </w:r>
      <w:r>
        <w:rPr>
          <w:w w:val="105"/>
        </w:rPr>
        <w:t>when</w:t>
      </w:r>
      <w:r>
        <w:rPr>
          <w:spacing w:val="-4"/>
          <w:w w:val="105"/>
        </w:rPr>
        <w:t xml:space="preserve"> </w:t>
      </w:r>
      <w:r>
        <w:rPr>
          <w:w w:val="105"/>
        </w:rPr>
        <w:t>the</w:t>
      </w:r>
      <w:r>
        <w:rPr>
          <w:spacing w:val="-5"/>
          <w:w w:val="105"/>
        </w:rPr>
        <w:t xml:space="preserve"> </w:t>
      </w:r>
      <w:r>
        <w:rPr>
          <w:w w:val="105"/>
        </w:rPr>
        <w:t>P-value was</w:t>
      </w:r>
      <w:r>
        <w:rPr>
          <w:spacing w:val="-7"/>
          <w:w w:val="105"/>
        </w:rPr>
        <w:t xml:space="preserve"> </w:t>
      </w:r>
      <w:r>
        <w:rPr>
          <w:w w:val="105"/>
        </w:rPr>
        <w:t>less</w:t>
      </w:r>
      <w:r>
        <w:rPr>
          <w:spacing w:val="-12"/>
          <w:w w:val="105"/>
        </w:rPr>
        <w:t xml:space="preserve"> </w:t>
      </w:r>
      <w:r>
        <w:rPr>
          <w:w w:val="105"/>
        </w:rPr>
        <w:t>than</w:t>
      </w:r>
      <w:r>
        <w:rPr>
          <w:spacing w:val="-4"/>
          <w:w w:val="105"/>
        </w:rPr>
        <w:t xml:space="preserve"> </w:t>
      </w:r>
      <w:r>
        <w:rPr>
          <w:w w:val="105"/>
        </w:rPr>
        <w:t>0.05</w:t>
      </w:r>
      <w:r>
        <w:rPr>
          <w:spacing w:val="-4"/>
          <w:w w:val="105"/>
        </w:rPr>
        <w:t xml:space="preserve"> </w:t>
      </w:r>
      <w:r>
        <w:rPr>
          <w:w w:val="105"/>
        </w:rPr>
        <w:t>and</w:t>
      </w:r>
      <w:r>
        <w:rPr>
          <w:spacing w:val="-4"/>
          <w:w w:val="105"/>
        </w:rPr>
        <w:t xml:space="preserve"> </w:t>
      </w:r>
      <w:r>
        <w:rPr>
          <w:w w:val="105"/>
        </w:rPr>
        <w:t>when</w:t>
      </w:r>
      <w:r>
        <w:rPr>
          <w:spacing w:val="-4"/>
          <w:w w:val="105"/>
        </w:rPr>
        <w:t xml:space="preserve"> </w:t>
      </w:r>
      <w:r>
        <w:rPr>
          <w:w w:val="105"/>
        </w:rPr>
        <w:t>the</w:t>
      </w:r>
      <w:r>
        <w:rPr>
          <w:spacing w:val="-12"/>
          <w:w w:val="105"/>
        </w:rPr>
        <w:t xml:space="preserve"> </w:t>
      </w:r>
      <w:r>
        <w:rPr>
          <w:w w:val="105"/>
        </w:rPr>
        <w:t>T-value</w:t>
      </w:r>
      <w:r>
        <w:rPr>
          <w:spacing w:val="-12"/>
          <w:w w:val="105"/>
        </w:rPr>
        <w:t xml:space="preserve"> </w:t>
      </w:r>
      <w:r>
        <w:rPr>
          <w:w w:val="105"/>
        </w:rPr>
        <w:t>&gt;1.645 or</w:t>
      </w:r>
      <w:r>
        <w:rPr>
          <w:spacing w:val="-7"/>
          <w:w w:val="105"/>
        </w:rPr>
        <w:t xml:space="preserve"> </w:t>
      </w:r>
      <w:r>
        <w:rPr>
          <w:w w:val="105"/>
        </w:rPr>
        <w:t>&gt;1.96.</w:t>
      </w:r>
    </w:p>
    <w:p w:rsidR="00487D64" w:rsidRDefault="00487D64">
      <w:pPr>
        <w:pStyle w:val="BodyText"/>
      </w:pPr>
    </w:p>
    <w:p w:rsidR="00487D64" w:rsidRDefault="00487D64">
      <w:pPr>
        <w:pStyle w:val="BodyText"/>
        <w:spacing w:before="40"/>
      </w:pPr>
    </w:p>
    <w:p w:rsidR="00487D64" w:rsidRDefault="006F0D93">
      <w:pPr>
        <w:pStyle w:val="ListParagraph"/>
        <w:numPr>
          <w:ilvl w:val="1"/>
          <w:numId w:val="10"/>
        </w:numPr>
        <w:tabs>
          <w:tab w:val="left" w:pos="2860"/>
        </w:tabs>
        <w:ind w:left="2860" w:hanging="1441"/>
        <w:rPr>
          <w:b/>
          <w:sz w:val="23"/>
        </w:rPr>
      </w:pPr>
      <w:r>
        <w:rPr>
          <w:b/>
          <w:sz w:val="23"/>
        </w:rPr>
        <w:t>Interaction</w:t>
      </w:r>
      <w:r>
        <w:rPr>
          <w:b/>
          <w:spacing w:val="36"/>
          <w:sz w:val="23"/>
        </w:rPr>
        <w:t xml:space="preserve"> </w:t>
      </w:r>
      <w:r>
        <w:rPr>
          <w:b/>
          <w:spacing w:val="-2"/>
          <w:sz w:val="23"/>
        </w:rPr>
        <w:t>Modelling</w:t>
      </w:r>
    </w:p>
    <w:p w:rsidR="00487D64" w:rsidRDefault="00487D64">
      <w:pPr>
        <w:pStyle w:val="BodyText"/>
        <w:spacing w:before="11"/>
        <w:rPr>
          <w:b/>
        </w:rPr>
      </w:pPr>
    </w:p>
    <w:p w:rsidR="00487D64" w:rsidRDefault="006F0D93">
      <w:pPr>
        <w:pStyle w:val="BodyText"/>
        <w:spacing w:line="501" w:lineRule="auto"/>
        <w:ind w:left="1419" w:right="847"/>
        <w:jc w:val="both"/>
      </w:pPr>
      <w:r>
        <w:rPr>
          <w:w w:val="105"/>
        </w:rPr>
        <w:t>Beyond</w:t>
      </w:r>
      <w:r>
        <w:rPr>
          <w:spacing w:val="-7"/>
          <w:w w:val="105"/>
        </w:rPr>
        <w:t xml:space="preserve"> </w:t>
      </w:r>
      <w:r>
        <w:rPr>
          <w:w w:val="105"/>
        </w:rPr>
        <w:t>the</w:t>
      </w:r>
      <w:r>
        <w:rPr>
          <w:spacing w:val="-8"/>
          <w:w w:val="105"/>
        </w:rPr>
        <w:t xml:space="preserve"> </w:t>
      </w:r>
      <w:r>
        <w:rPr>
          <w:w w:val="105"/>
        </w:rPr>
        <w:t>routine</w:t>
      </w:r>
      <w:r>
        <w:rPr>
          <w:spacing w:val="-2"/>
          <w:w w:val="105"/>
        </w:rPr>
        <w:t xml:space="preserve"> </w:t>
      </w:r>
      <w:r>
        <w:rPr>
          <w:w w:val="105"/>
        </w:rPr>
        <w:t>primary</w:t>
      </w:r>
      <w:r>
        <w:rPr>
          <w:spacing w:val="-1"/>
          <w:w w:val="105"/>
        </w:rPr>
        <w:t xml:space="preserve"> </w:t>
      </w:r>
      <w:r>
        <w:rPr>
          <w:w w:val="105"/>
        </w:rPr>
        <w:t>structural assessments, interaction</w:t>
      </w:r>
      <w:r>
        <w:rPr>
          <w:spacing w:val="-1"/>
          <w:w w:val="105"/>
        </w:rPr>
        <w:t xml:space="preserve"> </w:t>
      </w:r>
      <w:r>
        <w:rPr>
          <w:w w:val="105"/>
        </w:rPr>
        <w:t>modeling</w:t>
      </w:r>
      <w:r>
        <w:rPr>
          <w:spacing w:val="-1"/>
          <w:w w:val="105"/>
        </w:rPr>
        <w:t xml:space="preserve"> </w:t>
      </w:r>
      <w:r>
        <w:rPr>
          <w:w w:val="105"/>
        </w:rPr>
        <w:t>was</w:t>
      </w:r>
      <w:r>
        <w:rPr>
          <w:spacing w:val="-9"/>
          <w:w w:val="105"/>
        </w:rPr>
        <w:t xml:space="preserve"> </w:t>
      </w:r>
      <w:r>
        <w:rPr>
          <w:w w:val="105"/>
        </w:rPr>
        <w:t>applied to capture the potential moderating influence of Strategic Flexibility on</w:t>
      </w:r>
      <w:r>
        <w:rPr>
          <w:w w:val="105"/>
        </w:rPr>
        <w:t xml:space="preserve"> the hypothesized relationships. The latent interaction modeling approaches test moderating effects using latent product constructs created by multiplying the indicators of the moderating latent factor with indicators of other exogenous constructs (Steinme</w:t>
      </w:r>
      <w:r>
        <w:rPr>
          <w:w w:val="105"/>
        </w:rPr>
        <w:t xml:space="preserve">tz et al., 2011). To incorporate a moderator variable into a PLS path model, the interaction term must be properly operationalized. Studies have proposed three principal approaches for creating interaction terms in PLS-SEM: the product indicator approach, </w:t>
      </w:r>
      <w:r>
        <w:rPr>
          <w:w w:val="105"/>
        </w:rPr>
        <w:t>the orthogonalizing approach, and the two-stage approach (Hair et</w:t>
      </w:r>
      <w:r>
        <w:rPr>
          <w:spacing w:val="-3"/>
          <w:w w:val="105"/>
        </w:rPr>
        <w:t xml:space="preserve"> </w:t>
      </w:r>
      <w:r>
        <w:rPr>
          <w:w w:val="105"/>
        </w:rPr>
        <w:t>al.,</w:t>
      </w:r>
      <w:r>
        <w:rPr>
          <w:spacing w:val="-3"/>
          <w:w w:val="105"/>
        </w:rPr>
        <w:t xml:space="preserve"> </w:t>
      </w:r>
      <w:r>
        <w:rPr>
          <w:w w:val="105"/>
        </w:rPr>
        <w:t>2022). Among these, the</w:t>
      </w:r>
      <w:r>
        <w:rPr>
          <w:spacing w:val="-6"/>
          <w:w w:val="105"/>
        </w:rPr>
        <w:t xml:space="preserve"> </w:t>
      </w:r>
      <w:r>
        <w:rPr>
          <w:w w:val="105"/>
        </w:rPr>
        <w:t>two-stage</w:t>
      </w:r>
      <w:r>
        <w:rPr>
          <w:spacing w:val="-6"/>
          <w:w w:val="105"/>
        </w:rPr>
        <w:t xml:space="preserve"> </w:t>
      </w:r>
      <w:r>
        <w:rPr>
          <w:w w:val="105"/>
        </w:rPr>
        <w:t>approach has demonstrated superior performance in terms of parameter recovery and statistical power, as supported by different studies (Chin et al., 20</w:t>
      </w:r>
      <w:r>
        <w:rPr>
          <w:w w:val="105"/>
        </w:rPr>
        <w:t>03; Becker et al., 2018; Henseler &amp; Chin, 2010).</w:t>
      </w:r>
    </w:p>
    <w:p w:rsidR="00487D64" w:rsidRDefault="006F0D93">
      <w:pPr>
        <w:pStyle w:val="BodyText"/>
        <w:spacing w:before="233" w:line="501" w:lineRule="auto"/>
        <w:ind w:left="1419" w:right="857"/>
        <w:jc w:val="both"/>
      </w:pPr>
      <w:r>
        <w:rPr>
          <w:w w:val="105"/>
        </w:rPr>
        <w:t>This method</w:t>
      </w:r>
      <w:r>
        <w:rPr>
          <w:spacing w:val="-1"/>
          <w:w w:val="105"/>
        </w:rPr>
        <w:t xml:space="preserve"> </w:t>
      </w:r>
      <w:r>
        <w:rPr>
          <w:w w:val="105"/>
        </w:rPr>
        <w:t>leverages PLS-SEM’s capacity</w:t>
      </w:r>
      <w:r>
        <w:rPr>
          <w:spacing w:val="-1"/>
          <w:w w:val="105"/>
        </w:rPr>
        <w:t xml:space="preserve"> </w:t>
      </w:r>
      <w:r>
        <w:rPr>
          <w:w w:val="105"/>
        </w:rPr>
        <w:t>to</w:t>
      </w:r>
      <w:r>
        <w:rPr>
          <w:spacing w:val="-1"/>
          <w:w w:val="105"/>
        </w:rPr>
        <w:t xml:space="preserve"> </w:t>
      </w:r>
      <w:r>
        <w:rPr>
          <w:w w:val="105"/>
        </w:rPr>
        <w:t>estimate</w:t>
      </w:r>
      <w:r>
        <w:rPr>
          <w:spacing w:val="-2"/>
          <w:w w:val="105"/>
        </w:rPr>
        <w:t xml:space="preserve"> </w:t>
      </w:r>
      <w:r>
        <w:rPr>
          <w:w w:val="105"/>
        </w:rPr>
        <w:t>latent variable scores</w:t>
      </w:r>
      <w:r>
        <w:rPr>
          <w:spacing w:val="-3"/>
          <w:w w:val="105"/>
        </w:rPr>
        <w:t xml:space="preserve"> </w:t>
      </w:r>
      <w:r>
        <w:rPr>
          <w:w w:val="105"/>
        </w:rPr>
        <w:t>in</w:t>
      </w:r>
      <w:r>
        <w:rPr>
          <w:spacing w:val="-1"/>
          <w:w w:val="105"/>
        </w:rPr>
        <w:t xml:space="preserve"> </w:t>
      </w:r>
      <w:r>
        <w:rPr>
          <w:w w:val="105"/>
        </w:rPr>
        <w:t>two sequential steps. In Stage 1, the main effects model is estimated without the interaction</w:t>
      </w:r>
      <w:r>
        <w:rPr>
          <w:spacing w:val="-5"/>
          <w:w w:val="105"/>
        </w:rPr>
        <w:t xml:space="preserve"> </w:t>
      </w:r>
      <w:r>
        <w:rPr>
          <w:w w:val="105"/>
        </w:rPr>
        <w:t>term, and the latent variable scor</w:t>
      </w:r>
      <w:r>
        <w:rPr>
          <w:w w:val="105"/>
        </w:rPr>
        <w:t>es</w:t>
      </w:r>
      <w:r>
        <w:rPr>
          <w:spacing w:val="-7"/>
          <w:w w:val="105"/>
        </w:rPr>
        <w:t xml:space="preserve"> </w:t>
      </w:r>
      <w:r>
        <w:rPr>
          <w:w w:val="105"/>
        </w:rPr>
        <w:t>are saved.</w:t>
      </w:r>
      <w:r>
        <w:rPr>
          <w:spacing w:val="-3"/>
          <w:w w:val="105"/>
        </w:rPr>
        <w:t xml:space="preserve"> </w:t>
      </w:r>
      <w:r>
        <w:rPr>
          <w:w w:val="105"/>
        </w:rPr>
        <w:t>In Stage 2,</w:t>
      </w:r>
      <w:r>
        <w:rPr>
          <w:spacing w:val="-3"/>
          <w:w w:val="105"/>
        </w:rPr>
        <w:t xml:space="preserve"> </w:t>
      </w:r>
      <w:r>
        <w:rPr>
          <w:w w:val="105"/>
        </w:rPr>
        <w:t>these scores are multiplied to form a single-item interaction construct, while all other constructs are represented</w:t>
      </w:r>
      <w:r>
        <w:rPr>
          <w:spacing w:val="28"/>
          <w:w w:val="105"/>
        </w:rPr>
        <w:t xml:space="preserve"> </w:t>
      </w:r>
      <w:r>
        <w:rPr>
          <w:w w:val="105"/>
        </w:rPr>
        <w:t>by</w:t>
      </w:r>
      <w:r>
        <w:rPr>
          <w:spacing w:val="28"/>
          <w:w w:val="105"/>
        </w:rPr>
        <w:t xml:space="preserve"> </w:t>
      </w:r>
      <w:r>
        <w:rPr>
          <w:w w:val="105"/>
        </w:rPr>
        <w:t>their</w:t>
      </w:r>
      <w:r>
        <w:rPr>
          <w:spacing w:val="32"/>
          <w:w w:val="105"/>
        </w:rPr>
        <w:t xml:space="preserve"> </w:t>
      </w:r>
      <w:r>
        <w:rPr>
          <w:w w:val="105"/>
        </w:rPr>
        <w:t>respective</w:t>
      </w:r>
      <w:r>
        <w:rPr>
          <w:spacing w:val="27"/>
          <w:w w:val="105"/>
        </w:rPr>
        <w:t xml:space="preserve"> </w:t>
      </w:r>
      <w:r>
        <w:rPr>
          <w:w w:val="105"/>
        </w:rPr>
        <w:t>latent</w:t>
      </w:r>
      <w:r>
        <w:rPr>
          <w:spacing w:val="31"/>
          <w:w w:val="105"/>
        </w:rPr>
        <w:t xml:space="preserve"> </w:t>
      </w:r>
      <w:r>
        <w:rPr>
          <w:w w:val="105"/>
        </w:rPr>
        <w:t>variable</w:t>
      </w:r>
      <w:r>
        <w:rPr>
          <w:spacing w:val="34"/>
          <w:w w:val="105"/>
        </w:rPr>
        <w:t xml:space="preserve"> </w:t>
      </w:r>
      <w:r>
        <w:rPr>
          <w:w w:val="105"/>
        </w:rPr>
        <w:t>scores</w:t>
      </w:r>
      <w:r>
        <w:rPr>
          <w:spacing w:val="33"/>
          <w:w w:val="105"/>
        </w:rPr>
        <w:t xml:space="preserve"> </w:t>
      </w:r>
      <w:r>
        <w:rPr>
          <w:w w:val="105"/>
        </w:rPr>
        <w:t>from</w:t>
      </w:r>
      <w:r>
        <w:rPr>
          <w:spacing w:val="34"/>
          <w:w w:val="105"/>
        </w:rPr>
        <w:t xml:space="preserve"> </w:t>
      </w:r>
      <w:r>
        <w:rPr>
          <w:w w:val="105"/>
        </w:rPr>
        <w:t>Stage</w:t>
      </w:r>
      <w:r>
        <w:rPr>
          <w:spacing w:val="27"/>
          <w:w w:val="105"/>
        </w:rPr>
        <w:t xml:space="preserve"> </w:t>
      </w:r>
      <w:r>
        <w:rPr>
          <w:w w:val="105"/>
        </w:rPr>
        <w:t>1</w:t>
      </w:r>
      <w:r>
        <w:rPr>
          <w:spacing w:val="28"/>
          <w:w w:val="105"/>
        </w:rPr>
        <w:t xml:space="preserve"> </w:t>
      </w:r>
      <w:r>
        <w:rPr>
          <w:w w:val="105"/>
        </w:rPr>
        <w:t>(Rigdon</w:t>
      </w:r>
      <w:r>
        <w:rPr>
          <w:spacing w:val="35"/>
          <w:w w:val="105"/>
        </w:rPr>
        <w:t xml:space="preserve"> </w:t>
      </w:r>
      <w:r>
        <w:rPr>
          <w:w w:val="105"/>
        </w:rPr>
        <w:t>et</w:t>
      </w:r>
      <w:r>
        <w:rPr>
          <w:spacing w:val="31"/>
          <w:w w:val="105"/>
        </w:rPr>
        <w:t xml:space="preserve"> </w:t>
      </w:r>
      <w:r>
        <w:rPr>
          <w:w w:val="105"/>
        </w:rPr>
        <w:t>al.,</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6"/>
        <w:jc w:val="both"/>
      </w:pPr>
      <w:r>
        <w:rPr>
          <w:w w:val="105"/>
        </w:rPr>
        <w:t>2010). Standardizati</w:t>
      </w:r>
      <w:r>
        <w:rPr>
          <w:w w:val="105"/>
        </w:rPr>
        <w:t>on of data by subtracting the mean and dividing by the standard deviation is recommended for optimal parameter recovery when forming the interaction</w:t>
      </w:r>
      <w:r>
        <w:rPr>
          <w:spacing w:val="-5"/>
          <w:w w:val="105"/>
        </w:rPr>
        <w:t xml:space="preserve"> </w:t>
      </w:r>
      <w:r>
        <w:rPr>
          <w:w w:val="105"/>
        </w:rPr>
        <w:t>term (Sarstedt &amp; Mooi,</w:t>
      </w:r>
      <w:r>
        <w:rPr>
          <w:spacing w:val="-3"/>
          <w:w w:val="105"/>
        </w:rPr>
        <w:t xml:space="preserve"> </w:t>
      </w:r>
      <w:r>
        <w:rPr>
          <w:w w:val="105"/>
        </w:rPr>
        <w:t>2019).</w:t>
      </w:r>
      <w:r>
        <w:rPr>
          <w:spacing w:val="-3"/>
          <w:w w:val="105"/>
        </w:rPr>
        <w:t xml:space="preserve"> </w:t>
      </w:r>
      <w:r>
        <w:rPr>
          <w:w w:val="105"/>
        </w:rPr>
        <w:t>Given its advantages in both</w:t>
      </w:r>
      <w:r>
        <w:rPr>
          <w:spacing w:val="-5"/>
          <w:w w:val="105"/>
        </w:rPr>
        <w:t xml:space="preserve"> </w:t>
      </w:r>
      <w:r>
        <w:rPr>
          <w:w w:val="105"/>
        </w:rPr>
        <w:t>accuracy and statistical efficiency, the</w:t>
      </w:r>
      <w:r>
        <w:rPr>
          <w:w w:val="105"/>
        </w:rPr>
        <w:t xml:space="preserve"> two-stage approach with standardized data is generally recommended for conducting moderation analysis in Smart PLS.</w:t>
      </w:r>
    </w:p>
    <w:p w:rsidR="00487D64" w:rsidRDefault="006F0D93">
      <w:pPr>
        <w:pStyle w:val="BodyText"/>
        <w:spacing w:before="240" w:line="501" w:lineRule="auto"/>
        <w:ind w:left="1419" w:right="849"/>
        <w:jc w:val="both"/>
      </w:pPr>
      <w:r>
        <w:rPr>
          <w:w w:val="105"/>
        </w:rPr>
        <w:t>To evaluate the moderating role of strategic flexibility (SF), interaction effects were examined using the two-stage approach in Smart PLS 4</w:t>
      </w:r>
      <w:r>
        <w:rPr>
          <w:b/>
          <w:w w:val="105"/>
        </w:rPr>
        <w:t xml:space="preserve">. </w:t>
      </w:r>
      <w:r>
        <w:rPr>
          <w:w w:val="105"/>
        </w:rPr>
        <w:t xml:space="preserve">In this context, moderation occurs when the relationship between an independent variable and a dependent variable </w:t>
      </w:r>
      <w:r>
        <w:rPr>
          <w:w w:val="105"/>
        </w:rPr>
        <w:t>changes depending on the level of a third variable (l.e, strategic flexibility). The significance of the moderation effects was assessed through a bootstrapping procedure</w:t>
      </w:r>
      <w:r>
        <w:rPr>
          <w:spacing w:val="-2"/>
          <w:w w:val="105"/>
        </w:rPr>
        <w:t xml:space="preserve"> </w:t>
      </w:r>
      <w:r>
        <w:rPr>
          <w:w w:val="105"/>
        </w:rPr>
        <w:t>with</w:t>
      </w:r>
      <w:r>
        <w:rPr>
          <w:spacing w:val="-7"/>
          <w:w w:val="105"/>
        </w:rPr>
        <w:t xml:space="preserve"> </w:t>
      </w:r>
      <w:r>
        <w:rPr>
          <w:w w:val="105"/>
        </w:rPr>
        <w:t>5,000</w:t>
      </w:r>
      <w:r>
        <w:rPr>
          <w:spacing w:val="-1"/>
          <w:w w:val="105"/>
        </w:rPr>
        <w:t xml:space="preserve"> </w:t>
      </w:r>
      <w:r>
        <w:rPr>
          <w:w w:val="105"/>
        </w:rPr>
        <w:t>resamples</w:t>
      </w:r>
      <w:r>
        <w:rPr>
          <w:b/>
          <w:w w:val="105"/>
        </w:rPr>
        <w:t>,</w:t>
      </w:r>
      <w:r>
        <w:rPr>
          <w:b/>
          <w:spacing w:val="-5"/>
          <w:w w:val="105"/>
        </w:rPr>
        <w:t xml:space="preserve"> </w:t>
      </w:r>
      <w:r>
        <w:rPr>
          <w:w w:val="105"/>
        </w:rPr>
        <w:t>allowing</w:t>
      </w:r>
      <w:r>
        <w:rPr>
          <w:spacing w:val="-1"/>
          <w:w w:val="105"/>
        </w:rPr>
        <w:t xml:space="preserve"> </w:t>
      </w:r>
      <w:r>
        <w:rPr>
          <w:w w:val="105"/>
        </w:rPr>
        <w:t>for</w:t>
      </w:r>
      <w:r>
        <w:rPr>
          <w:spacing w:val="-3"/>
          <w:w w:val="105"/>
        </w:rPr>
        <w:t xml:space="preserve"> </w:t>
      </w:r>
      <w:r>
        <w:rPr>
          <w:w w:val="105"/>
        </w:rPr>
        <w:t>the</w:t>
      </w:r>
      <w:r>
        <w:rPr>
          <w:spacing w:val="-2"/>
          <w:w w:val="105"/>
        </w:rPr>
        <w:t xml:space="preserve"> </w:t>
      </w:r>
      <w:r>
        <w:rPr>
          <w:w w:val="105"/>
        </w:rPr>
        <w:t>derivation</w:t>
      </w:r>
      <w:r>
        <w:rPr>
          <w:spacing w:val="-7"/>
          <w:w w:val="105"/>
        </w:rPr>
        <w:t xml:space="preserve"> </w:t>
      </w:r>
      <w:r>
        <w:rPr>
          <w:w w:val="105"/>
        </w:rPr>
        <w:t>of</w:t>
      </w:r>
      <w:r>
        <w:rPr>
          <w:spacing w:val="-3"/>
          <w:w w:val="105"/>
        </w:rPr>
        <w:t xml:space="preserve"> </w:t>
      </w:r>
      <w:r>
        <w:rPr>
          <w:w w:val="105"/>
        </w:rPr>
        <w:t>robust standard</w:t>
      </w:r>
      <w:r>
        <w:rPr>
          <w:spacing w:val="-7"/>
          <w:w w:val="105"/>
        </w:rPr>
        <w:t xml:space="preserve"> </w:t>
      </w:r>
      <w:r>
        <w:rPr>
          <w:w w:val="105"/>
        </w:rPr>
        <w:t>errors and confi</w:t>
      </w:r>
      <w:r>
        <w:rPr>
          <w:w w:val="105"/>
        </w:rPr>
        <w:t>dence intervals (Hayes, 2015). Importantly, the inclusion of interaction terms was guided by theoretical expectations, ensuring that the hypothesized moderation effects were conceptually meaningful and aligned with the study's framework. Figure 4.5 shows t</w:t>
      </w:r>
      <w:r>
        <w:rPr>
          <w:w w:val="105"/>
        </w:rPr>
        <w:t>he model where the interaction terms (moderator effect) influence the dependent variable SF.</w:t>
      </w:r>
    </w:p>
    <w:p w:rsidR="00487D64" w:rsidRDefault="00487D64">
      <w:pPr>
        <w:pStyle w:val="BodyText"/>
        <w:spacing w:before="246"/>
      </w:pPr>
    </w:p>
    <w:p w:rsidR="00487D64" w:rsidRDefault="006F0D93">
      <w:pPr>
        <w:pStyle w:val="ListParagraph"/>
        <w:numPr>
          <w:ilvl w:val="1"/>
          <w:numId w:val="10"/>
        </w:numPr>
        <w:tabs>
          <w:tab w:val="left" w:pos="2860"/>
        </w:tabs>
        <w:ind w:left="2860" w:hanging="1441"/>
        <w:rPr>
          <w:b/>
          <w:sz w:val="23"/>
        </w:rPr>
      </w:pPr>
      <w:bookmarkStart w:id="123" w:name="3.14____Ethical_Considerations"/>
      <w:bookmarkStart w:id="124" w:name="_bookmark61"/>
      <w:bookmarkEnd w:id="123"/>
      <w:bookmarkEnd w:id="124"/>
      <w:r>
        <w:rPr>
          <w:b/>
          <w:sz w:val="23"/>
        </w:rPr>
        <w:t>Ethical</w:t>
      </w:r>
      <w:r>
        <w:rPr>
          <w:b/>
          <w:spacing w:val="19"/>
          <w:sz w:val="23"/>
        </w:rPr>
        <w:t xml:space="preserve"> </w:t>
      </w:r>
      <w:r>
        <w:rPr>
          <w:b/>
          <w:spacing w:val="-2"/>
          <w:sz w:val="23"/>
        </w:rPr>
        <w:t>Considerations</w:t>
      </w:r>
    </w:p>
    <w:p w:rsidR="00487D64" w:rsidRDefault="00487D64">
      <w:pPr>
        <w:pStyle w:val="BodyText"/>
        <w:spacing w:before="19"/>
        <w:rPr>
          <w:b/>
        </w:rPr>
      </w:pPr>
    </w:p>
    <w:p w:rsidR="00487D64" w:rsidRDefault="006F0D93">
      <w:pPr>
        <w:pStyle w:val="BodyText"/>
        <w:spacing w:line="501" w:lineRule="auto"/>
        <w:ind w:left="1419" w:right="853"/>
        <w:jc w:val="both"/>
      </w:pPr>
      <w:r>
        <w:rPr>
          <w:w w:val="105"/>
        </w:rPr>
        <w:t>Permission to conduct the research was obtained from the Directorate of Postgraduate Studies (DPGS) at the Open University of Tanzania. An</w:t>
      </w:r>
      <w:r>
        <w:rPr>
          <w:w w:val="105"/>
        </w:rPr>
        <w:t xml:space="preserve"> introduction letter was issued by the University's Postgraduate Office, and a research permit for data</w:t>
      </w:r>
      <w:r>
        <w:rPr>
          <w:spacing w:val="80"/>
          <w:w w:val="150"/>
        </w:rPr>
        <w:t xml:space="preserve"> </w:t>
      </w:r>
      <w:r>
        <w:rPr>
          <w:w w:val="105"/>
        </w:rPr>
        <w:t>collection</w:t>
      </w:r>
      <w:r>
        <w:rPr>
          <w:spacing w:val="80"/>
          <w:w w:val="150"/>
        </w:rPr>
        <w:t xml:space="preserve"> </w:t>
      </w:r>
      <w:r>
        <w:rPr>
          <w:w w:val="105"/>
        </w:rPr>
        <w:t>was</w:t>
      </w:r>
      <w:r>
        <w:rPr>
          <w:spacing w:val="80"/>
          <w:w w:val="150"/>
        </w:rPr>
        <w:t xml:space="preserve"> </w:t>
      </w:r>
      <w:r>
        <w:rPr>
          <w:w w:val="105"/>
        </w:rPr>
        <w:t>granted</w:t>
      </w:r>
      <w:r>
        <w:rPr>
          <w:spacing w:val="80"/>
          <w:w w:val="150"/>
        </w:rPr>
        <w:t xml:space="preserve"> </w:t>
      </w:r>
      <w:r>
        <w:rPr>
          <w:w w:val="105"/>
        </w:rPr>
        <w:t>by</w:t>
      </w:r>
      <w:r>
        <w:rPr>
          <w:spacing w:val="80"/>
          <w:w w:val="150"/>
        </w:rPr>
        <w:t xml:space="preserve"> </w:t>
      </w:r>
      <w:r>
        <w:rPr>
          <w:w w:val="105"/>
        </w:rPr>
        <w:t>the</w:t>
      </w:r>
      <w:r>
        <w:rPr>
          <w:spacing w:val="80"/>
          <w:w w:val="150"/>
        </w:rPr>
        <w:t xml:space="preserve"> </w:t>
      </w:r>
      <w:r>
        <w:rPr>
          <w:w w:val="105"/>
        </w:rPr>
        <w:t>Tanzania</w:t>
      </w:r>
      <w:r>
        <w:rPr>
          <w:spacing w:val="80"/>
          <w:w w:val="150"/>
        </w:rPr>
        <w:t xml:space="preserve"> </w:t>
      </w:r>
      <w:r>
        <w:rPr>
          <w:w w:val="105"/>
        </w:rPr>
        <w:t>Commission</w:t>
      </w:r>
      <w:r>
        <w:rPr>
          <w:spacing w:val="80"/>
          <w:w w:val="150"/>
        </w:rPr>
        <w:t xml:space="preserve"> </w:t>
      </w:r>
      <w:r>
        <w:rPr>
          <w:w w:val="105"/>
        </w:rPr>
        <w:t>for</w:t>
      </w:r>
      <w:r>
        <w:rPr>
          <w:spacing w:val="80"/>
          <w:w w:val="150"/>
        </w:rPr>
        <w:t xml:space="preserve"> </w:t>
      </w:r>
      <w:r>
        <w:rPr>
          <w:w w:val="105"/>
        </w:rPr>
        <w:t>Science</w:t>
      </w:r>
      <w:r>
        <w:rPr>
          <w:spacing w:val="80"/>
          <w:w w:val="150"/>
        </w:rPr>
        <w:t xml:space="preserve"> </w:t>
      </w:r>
      <w:r>
        <w:rPr>
          <w:w w:val="105"/>
        </w:rPr>
        <w:t>and</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61"/>
        <w:jc w:val="both"/>
      </w:pPr>
      <w:r>
        <w:rPr>
          <w:w w:val="105"/>
        </w:rPr>
        <w:t>Technology (COSTECH). These formalities enabled the researcher t</w:t>
      </w:r>
      <w:r>
        <w:rPr>
          <w:w w:val="105"/>
        </w:rPr>
        <w:t>o access the field and engage with participants</w:t>
      </w:r>
      <w:r>
        <w:rPr>
          <w:spacing w:val="-2"/>
          <w:w w:val="105"/>
        </w:rPr>
        <w:t xml:space="preserve"> </w:t>
      </w:r>
      <w:r>
        <w:rPr>
          <w:w w:val="105"/>
        </w:rPr>
        <w:t>in a professional and authorized manner.</w:t>
      </w:r>
    </w:p>
    <w:p w:rsidR="00487D64" w:rsidRDefault="006F0D93">
      <w:pPr>
        <w:pStyle w:val="BodyText"/>
        <w:spacing w:before="236" w:line="501" w:lineRule="auto"/>
        <w:ind w:left="1419" w:right="860"/>
        <w:jc w:val="both"/>
      </w:pPr>
      <w:r>
        <w:rPr>
          <w:w w:val="105"/>
        </w:rPr>
        <w:t>Before data collection, the purpose and objectives of the study were communicated to all participants. This disclosure allowed individuals to make informed decisions r</w:t>
      </w:r>
      <w:r>
        <w:rPr>
          <w:w w:val="105"/>
        </w:rPr>
        <w:t>egarding their involvement. Participation was entirely voluntary, and respondents were informed of their right to withdraw at any stage of the research without facing any negative consequences. To maintain confidentiality and anonymity, no identifying info</w:t>
      </w:r>
      <w:r>
        <w:rPr>
          <w:w w:val="105"/>
        </w:rPr>
        <w:t>rmation was recorded or disclosed in the final report.</w:t>
      </w:r>
    </w:p>
    <w:p w:rsidR="00487D64" w:rsidRDefault="006F0D93">
      <w:pPr>
        <w:pStyle w:val="BodyText"/>
        <w:spacing w:before="236" w:line="501" w:lineRule="auto"/>
        <w:ind w:left="1419" w:right="854"/>
        <w:jc w:val="both"/>
      </w:pPr>
      <w:r>
        <w:rPr>
          <w:w w:val="105"/>
        </w:rPr>
        <w:t>Furthermore, the researcher ensured that ethical issues related to academic integrity were observed. All sources consulted during the study were properly cited and referenced to avoid any form of plagi</w:t>
      </w:r>
      <w:r>
        <w:rPr>
          <w:w w:val="105"/>
        </w:rPr>
        <w:t>arism. No fabrication or falsification of data occurred during the research process, and the findings presented reflect the genuine responses and insights provided by the participants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line="504" w:lineRule="auto"/>
        <w:ind w:left="4027" w:right="3360" w:firstLine="547"/>
        <w:rPr>
          <w:b/>
          <w:sz w:val="23"/>
        </w:rPr>
      </w:pPr>
      <w:bookmarkStart w:id="125" w:name="CHAPTER_FOUR"/>
      <w:bookmarkEnd w:id="125"/>
      <w:r>
        <w:rPr>
          <w:b/>
          <w:w w:val="105"/>
          <w:sz w:val="23"/>
        </w:rPr>
        <w:t xml:space="preserve">CHAPTER FOUR </w:t>
      </w:r>
      <w:bookmarkStart w:id="126" w:name="FINDINGS_OF_THE_STUDY"/>
      <w:bookmarkStart w:id="127" w:name="_bookmark62"/>
      <w:bookmarkEnd w:id="126"/>
      <w:bookmarkEnd w:id="127"/>
      <w:r>
        <w:rPr>
          <w:b/>
          <w:w w:val="105"/>
          <w:sz w:val="23"/>
        </w:rPr>
        <w:t>FINDINGS</w:t>
      </w:r>
      <w:r>
        <w:rPr>
          <w:b/>
          <w:spacing w:val="-16"/>
          <w:w w:val="105"/>
          <w:sz w:val="23"/>
        </w:rPr>
        <w:t xml:space="preserve"> </w:t>
      </w:r>
      <w:r>
        <w:rPr>
          <w:b/>
          <w:w w:val="105"/>
          <w:sz w:val="23"/>
        </w:rPr>
        <w:t>OF</w:t>
      </w:r>
      <w:r>
        <w:rPr>
          <w:b/>
          <w:spacing w:val="-15"/>
          <w:w w:val="105"/>
          <w:sz w:val="23"/>
        </w:rPr>
        <w:t xml:space="preserve"> </w:t>
      </w:r>
      <w:r>
        <w:rPr>
          <w:b/>
          <w:w w:val="105"/>
          <w:sz w:val="23"/>
        </w:rPr>
        <w:t>THE</w:t>
      </w:r>
      <w:r>
        <w:rPr>
          <w:b/>
          <w:spacing w:val="-15"/>
          <w:w w:val="105"/>
          <w:sz w:val="23"/>
        </w:rPr>
        <w:t xml:space="preserve"> </w:t>
      </w:r>
      <w:r>
        <w:rPr>
          <w:b/>
          <w:w w:val="105"/>
          <w:sz w:val="23"/>
        </w:rPr>
        <w:t>STUDY</w:t>
      </w:r>
    </w:p>
    <w:p w:rsidR="00487D64" w:rsidRDefault="006F0D93">
      <w:pPr>
        <w:pStyle w:val="ListParagraph"/>
        <w:numPr>
          <w:ilvl w:val="1"/>
          <w:numId w:val="9"/>
        </w:numPr>
        <w:tabs>
          <w:tab w:val="left" w:pos="2860"/>
        </w:tabs>
        <w:spacing w:before="236"/>
        <w:rPr>
          <w:b/>
          <w:sz w:val="23"/>
        </w:rPr>
      </w:pPr>
      <w:bookmarkStart w:id="128" w:name="4.1____Overview"/>
      <w:bookmarkStart w:id="129" w:name="_bookmark63"/>
      <w:bookmarkEnd w:id="128"/>
      <w:bookmarkEnd w:id="129"/>
      <w:r>
        <w:rPr>
          <w:b/>
          <w:spacing w:val="-2"/>
          <w:w w:val="105"/>
          <w:sz w:val="23"/>
        </w:rPr>
        <w:t>Overview</w:t>
      </w:r>
    </w:p>
    <w:p w:rsidR="00487D64" w:rsidRDefault="00487D64">
      <w:pPr>
        <w:pStyle w:val="BodyText"/>
        <w:spacing w:before="18"/>
        <w:rPr>
          <w:b/>
        </w:rPr>
      </w:pPr>
    </w:p>
    <w:p w:rsidR="00487D64" w:rsidRDefault="006F0D93">
      <w:pPr>
        <w:pStyle w:val="BodyText"/>
        <w:spacing w:before="1" w:line="501" w:lineRule="auto"/>
        <w:ind w:left="1419" w:right="850"/>
        <w:jc w:val="both"/>
      </w:pPr>
      <w:r>
        <w:rPr>
          <w:w w:val="105"/>
        </w:rPr>
        <w:t>This</w:t>
      </w:r>
      <w:r>
        <w:rPr>
          <w:w w:val="105"/>
        </w:rPr>
        <w:t xml:space="preserve"> chapter presents the findings of the study. Descriptive statistics were used to analyze the demographic characteristics of the respondents using IBM SPSS Statistics version 29, and the results are presented in the form of frequency distribution tables, me</w:t>
      </w:r>
      <w:r>
        <w:rPr>
          <w:w w:val="105"/>
        </w:rPr>
        <w:t>ans, and standard deviations. For the main analysis related to the study's specific objectives, the data were analyzed using Partial Least Squares Structural</w:t>
      </w:r>
      <w:r>
        <w:rPr>
          <w:spacing w:val="-7"/>
          <w:w w:val="105"/>
        </w:rPr>
        <w:t xml:space="preserve"> </w:t>
      </w:r>
      <w:r>
        <w:rPr>
          <w:w w:val="105"/>
        </w:rPr>
        <w:t>Equation</w:t>
      </w:r>
      <w:r>
        <w:rPr>
          <w:spacing w:val="-8"/>
          <w:w w:val="105"/>
        </w:rPr>
        <w:t xml:space="preserve"> </w:t>
      </w:r>
      <w:r>
        <w:rPr>
          <w:w w:val="105"/>
        </w:rPr>
        <w:t>Modeling</w:t>
      </w:r>
      <w:r>
        <w:rPr>
          <w:spacing w:val="-8"/>
          <w:w w:val="105"/>
        </w:rPr>
        <w:t xml:space="preserve"> </w:t>
      </w:r>
      <w:r>
        <w:rPr>
          <w:w w:val="105"/>
        </w:rPr>
        <w:t>(PLS-SEM) with</w:t>
      </w:r>
      <w:r>
        <w:rPr>
          <w:spacing w:val="-8"/>
          <w:w w:val="105"/>
        </w:rPr>
        <w:t xml:space="preserve"> </w:t>
      </w:r>
      <w:r>
        <w:rPr>
          <w:w w:val="105"/>
        </w:rPr>
        <w:t>the</w:t>
      </w:r>
      <w:r>
        <w:rPr>
          <w:spacing w:val="-3"/>
          <w:w w:val="105"/>
        </w:rPr>
        <w:t xml:space="preserve"> </w:t>
      </w:r>
      <w:r>
        <w:rPr>
          <w:w w:val="105"/>
        </w:rPr>
        <w:t>support</w:t>
      </w:r>
      <w:r>
        <w:rPr>
          <w:spacing w:val="-1"/>
          <w:w w:val="105"/>
        </w:rPr>
        <w:t xml:space="preserve"> </w:t>
      </w:r>
      <w:r>
        <w:rPr>
          <w:w w:val="105"/>
        </w:rPr>
        <w:t>of</w:t>
      </w:r>
      <w:r>
        <w:rPr>
          <w:spacing w:val="-11"/>
          <w:w w:val="105"/>
        </w:rPr>
        <w:t xml:space="preserve"> </w:t>
      </w:r>
      <w:r>
        <w:rPr>
          <w:w w:val="105"/>
        </w:rPr>
        <w:t>Smart</w:t>
      </w:r>
      <w:r>
        <w:rPr>
          <w:spacing w:val="-2"/>
          <w:w w:val="105"/>
        </w:rPr>
        <w:t xml:space="preserve"> </w:t>
      </w:r>
      <w:r>
        <w:rPr>
          <w:w w:val="105"/>
        </w:rPr>
        <w:t>PLS</w:t>
      </w:r>
      <w:r>
        <w:rPr>
          <w:spacing w:val="-8"/>
          <w:w w:val="105"/>
        </w:rPr>
        <w:t xml:space="preserve"> </w:t>
      </w:r>
      <w:r>
        <w:rPr>
          <w:w w:val="105"/>
        </w:rPr>
        <w:t>4</w:t>
      </w:r>
      <w:r>
        <w:rPr>
          <w:spacing w:val="-2"/>
          <w:w w:val="105"/>
        </w:rPr>
        <w:t xml:space="preserve"> </w:t>
      </w:r>
      <w:r>
        <w:rPr>
          <w:w w:val="105"/>
        </w:rPr>
        <w:t>software. The chapter presents the res</w:t>
      </w:r>
      <w:r>
        <w:rPr>
          <w:w w:val="105"/>
        </w:rPr>
        <w:t>ults of the data analysis in accordance with the study objectives. It starts with the results of the pilot study, which helped refine the research</w:t>
      </w:r>
      <w:r>
        <w:rPr>
          <w:spacing w:val="-5"/>
          <w:w w:val="105"/>
        </w:rPr>
        <w:t xml:space="preserve"> </w:t>
      </w:r>
      <w:r>
        <w:rPr>
          <w:w w:val="105"/>
        </w:rPr>
        <w:t>instruments</w:t>
      </w:r>
      <w:r>
        <w:rPr>
          <w:spacing w:val="-8"/>
          <w:w w:val="105"/>
        </w:rPr>
        <w:t xml:space="preserve"> </w:t>
      </w:r>
      <w:r>
        <w:rPr>
          <w:w w:val="105"/>
        </w:rPr>
        <w:t>and</w:t>
      </w:r>
      <w:r>
        <w:rPr>
          <w:spacing w:val="-5"/>
          <w:w w:val="105"/>
        </w:rPr>
        <w:t xml:space="preserve"> </w:t>
      </w:r>
      <w:r>
        <w:rPr>
          <w:w w:val="105"/>
        </w:rPr>
        <w:t>ensure</w:t>
      </w:r>
      <w:r>
        <w:rPr>
          <w:spacing w:val="-6"/>
          <w:w w:val="105"/>
        </w:rPr>
        <w:t xml:space="preserve"> </w:t>
      </w:r>
      <w:r>
        <w:rPr>
          <w:w w:val="105"/>
        </w:rPr>
        <w:t>their</w:t>
      </w:r>
      <w:r>
        <w:rPr>
          <w:spacing w:val="-2"/>
          <w:w w:val="105"/>
        </w:rPr>
        <w:t xml:space="preserve"> </w:t>
      </w:r>
      <w:r>
        <w:rPr>
          <w:w w:val="105"/>
        </w:rPr>
        <w:t>reliability.</w:t>
      </w:r>
      <w:r>
        <w:rPr>
          <w:spacing w:val="-3"/>
          <w:w w:val="105"/>
        </w:rPr>
        <w:t xml:space="preserve"> </w:t>
      </w:r>
      <w:r>
        <w:rPr>
          <w:w w:val="105"/>
        </w:rPr>
        <w:t>This</w:t>
      </w:r>
      <w:r>
        <w:rPr>
          <w:spacing w:val="-8"/>
          <w:w w:val="105"/>
        </w:rPr>
        <w:t xml:space="preserve"> </w:t>
      </w:r>
      <w:r>
        <w:rPr>
          <w:w w:val="105"/>
        </w:rPr>
        <w:t>is</w:t>
      </w:r>
      <w:r>
        <w:rPr>
          <w:spacing w:val="-1"/>
          <w:w w:val="105"/>
        </w:rPr>
        <w:t xml:space="preserve"> </w:t>
      </w:r>
      <w:r>
        <w:rPr>
          <w:w w:val="105"/>
        </w:rPr>
        <w:t>followed</w:t>
      </w:r>
      <w:r>
        <w:rPr>
          <w:spacing w:val="-5"/>
          <w:w w:val="105"/>
        </w:rPr>
        <w:t xml:space="preserve"> </w:t>
      </w:r>
      <w:r>
        <w:rPr>
          <w:w w:val="105"/>
        </w:rPr>
        <w:t>by</w:t>
      </w:r>
      <w:r>
        <w:rPr>
          <w:spacing w:val="-5"/>
          <w:w w:val="105"/>
        </w:rPr>
        <w:t xml:space="preserve"> </w:t>
      </w:r>
      <w:r>
        <w:rPr>
          <w:w w:val="105"/>
        </w:rPr>
        <w:t>the</w:t>
      </w:r>
      <w:r>
        <w:rPr>
          <w:spacing w:val="-6"/>
          <w:w w:val="105"/>
        </w:rPr>
        <w:t xml:space="preserve"> </w:t>
      </w:r>
      <w:r>
        <w:rPr>
          <w:w w:val="105"/>
        </w:rPr>
        <w:t>results</w:t>
      </w:r>
      <w:r>
        <w:rPr>
          <w:spacing w:val="-8"/>
          <w:w w:val="105"/>
        </w:rPr>
        <w:t xml:space="preserve"> </w:t>
      </w:r>
      <w:r>
        <w:rPr>
          <w:w w:val="105"/>
        </w:rPr>
        <w:t>of</w:t>
      </w:r>
      <w:r>
        <w:rPr>
          <w:spacing w:val="-8"/>
          <w:w w:val="105"/>
        </w:rPr>
        <w:t xml:space="preserve"> </w:t>
      </w:r>
      <w:r>
        <w:rPr>
          <w:w w:val="105"/>
        </w:rPr>
        <w:t>the main study, beginning with t</w:t>
      </w:r>
      <w:r>
        <w:rPr>
          <w:w w:val="105"/>
        </w:rPr>
        <w:t xml:space="preserve">he assessment of the measurement model to establish construct reliability and validity. After that, the chapter examines the relationships between the constructs using path coefficients, t-values, and p-values. In addition, each hypothesis was tested with </w:t>
      </w:r>
      <w:r>
        <w:rPr>
          <w:w w:val="105"/>
        </w:rPr>
        <w:t>respect to the specific research objectives, and the chapter concludes with a summary of key results.</w:t>
      </w:r>
    </w:p>
    <w:p w:rsidR="00487D64" w:rsidRDefault="00487D64">
      <w:pPr>
        <w:pStyle w:val="BodyText"/>
        <w:spacing w:before="150"/>
      </w:pPr>
    </w:p>
    <w:p w:rsidR="00487D64" w:rsidRDefault="006F0D93">
      <w:pPr>
        <w:pStyle w:val="ListParagraph"/>
        <w:numPr>
          <w:ilvl w:val="1"/>
          <w:numId w:val="9"/>
        </w:numPr>
        <w:tabs>
          <w:tab w:val="left" w:pos="2860"/>
        </w:tabs>
        <w:rPr>
          <w:b/>
          <w:sz w:val="23"/>
        </w:rPr>
      </w:pPr>
      <w:bookmarkStart w:id="130" w:name="4.2____Findings_from_Pilot_Study"/>
      <w:bookmarkStart w:id="131" w:name="_bookmark64"/>
      <w:bookmarkEnd w:id="130"/>
      <w:bookmarkEnd w:id="131"/>
      <w:r>
        <w:rPr>
          <w:b/>
          <w:w w:val="105"/>
          <w:sz w:val="23"/>
        </w:rPr>
        <w:t>Findings</w:t>
      </w:r>
      <w:r>
        <w:rPr>
          <w:b/>
          <w:spacing w:val="-6"/>
          <w:w w:val="105"/>
          <w:sz w:val="23"/>
        </w:rPr>
        <w:t xml:space="preserve"> </w:t>
      </w:r>
      <w:r>
        <w:rPr>
          <w:b/>
          <w:w w:val="105"/>
          <w:sz w:val="23"/>
        </w:rPr>
        <w:t>from</w:t>
      </w:r>
      <w:r>
        <w:rPr>
          <w:b/>
          <w:spacing w:val="-15"/>
          <w:w w:val="105"/>
          <w:sz w:val="23"/>
        </w:rPr>
        <w:t xml:space="preserve"> </w:t>
      </w:r>
      <w:r>
        <w:rPr>
          <w:b/>
          <w:w w:val="105"/>
          <w:sz w:val="23"/>
        </w:rPr>
        <w:t>Pilot</w:t>
      </w:r>
      <w:r>
        <w:rPr>
          <w:b/>
          <w:spacing w:val="-6"/>
          <w:w w:val="105"/>
          <w:sz w:val="23"/>
        </w:rPr>
        <w:t xml:space="preserve"> </w:t>
      </w:r>
      <w:r>
        <w:rPr>
          <w:b/>
          <w:spacing w:val="-4"/>
          <w:w w:val="105"/>
          <w:sz w:val="23"/>
        </w:rPr>
        <w:t>Study</w:t>
      </w:r>
    </w:p>
    <w:p w:rsidR="00487D64" w:rsidRDefault="00487D64">
      <w:pPr>
        <w:pStyle w:val="BodyText"/>
        <w:spacing w:before="19"/>
        <w:rPr>
          <w:b/>
        </w:rPr>
      </w:pPr>
    </w:p>
    <w:p w:rsidR="00487D64" w:rsidRDefault="006F0D93">
      <w:pPr>
        <w:pStyle w:val="ListParagraph"/>
        <w:numPr>
          <w:ilvl w:val="2"/>
          <w:numId w:val="9"/>
        </w:numPr>
        <w:tabs>
          <w:tab w:val="left" w:pos="2860"/>
        </w:tabs>
        <w:rPr>
          <w:b/>
          <w:sz w:val="23"/>
        </w:rPr>
      </w:pPr>
      <w:bookmarkStart w:id="132" w:name="4.2.1____Internal_Consistency_Reliabilit"/>
      <w:bookmarkStart w:id="133" w:name="_bookmark65"/>
      <w:bookmarkEnd w:id="132"/>
      <w:bookmarkEnd w:id="133"/>
      <w:r>
        <w:rPr>
          <w:b/>
          <w:sz w:val="23"/>
        </w:rPr>
        <w:t>Internal</w:t>
      </w:r>
      <w:r>
        <w:rPr>
          <w:b/>
          <w:spacing w:val="32"/>
          <w:sz w:val="23"/>
        </w:rPr>
        <w:t xml:space="preserve"> </w:t>
      </w:r>
      <w:r>
        <w:rPr>
          <w:b/>
          <w:sz w:val="23"/>
        </w:rPr>
        <w:t>Consistency</w:t>
      </w:r>
      <w:r>
        <w:rPr>
          <w:b/>
          <w:spacing w:val="41"/>
          <w:sz w:val="23"/>
        </w:rPr>
        <w:t xml:space="preserve"> </w:t>
      </w:r>
      <w:r>
        <w:rPr>
          <w:b/>
          <w:spacing w:val="-2"/>
          <w:sz w:val="23"/>
        </w:rPr>
        <w:t>Reliability</w:t>
      </w:r>
    </w:p>
    <w:p w:rsidR="00487D64" w:rsidRDefault="00487D64">
      <w:pPr>
        <w:pStyle w:val="BodyText"/>
        <w:spacing w:before="18"/>
        <w:rPr>
          <w:b/>
        </w:rPr>
      </w:pPr>
    </w:p>
    <w:p w:rsidR="00487D64" w:rsidRDefault="006F0D93">
      <w:pPr>
        <w:pStyle w:val="BodyText"/>
        <w:spacing w:line="501" w:lineRule="auto"/>
        <w:ind w:left="1419" w:right="852"/>
        <w:jc w:val="both"/>
      </w:pPr>
      <w:r>
        <w:rPr>
          <w:w w:val="105"/>
        </w:rPr>
        <w:t>SmartPLS 4 software was used to check for internal consistency of the assessment focused on</w:t>
      </w:r>
      <w:r>
        <w:rPr>
          <w:w w:val="105"/>
        </w:rPr>
        <w:t xml:space="preserve"> key psychometric indicators: Cronbach’s Alpha, Composite Reliability (CR), and Average Variance Extracted (AVE) of which were reported as per Table </w:t>
      </w:r>
      <w:r>
        <w:rPr>
          <w:spacing w:val="-4"/>
          <w:w w:val="105"/>
        </w:rPr>
        <w:t>4.1.</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1419"/>
        <w:jc w:val="both"/>
        <w:rPr>
          <w:b/>
          <w:sz w:val="23"/>
        </w:rPr>
      </w:pPr>
      <w:r>
        <w:rPr>
          <w:b/>
          <w:sz w:val="23"/>
        </w:rPr>
        <w:t>Table</w:t>
      </w:r>
      <w:r>
        <w:rPr>
          <w:b/>
          <w:spacing w:val="28"/>
          <w:sz w:val="23"/>
        </w:rPr>
        <w:t xml:space="preserve"> </w:t>
      </w:r>
      <w:r>
        <w:rPr>
          <w:b/>
          <w:sz w:val="23"/>
        </w:rPr>
        <w:t>4.</w:t>
      </w:r>
      <w:r>
        <w:rPr>
          <w:b/>
          <w:spacing w:val="25"/>
          <w:sz w:val="23"/>
        </w:rPr>
        <w:t xml:space="preserve"> </w:t>
      </w:r>
      <w:r>
        <w:rPr>
          <w:b/>
          <w:sz w:val="23"/>
        </w:rPr>
        <w:t>1:</w:t>
      </w:r>
      <w:r>
        <w:rPr>
          <w:b/>
          <w:spacing w:val="25"/>
          <w:sz w:val="23"/>
        </w:rPr>
        <w:t xml:space="preserve"> </w:t>
      </w:r>
      <w:r>
        <w:rPr>
          <w:b/>
          <w:sz w:val="23"/>
        </w:rPr>
        <w:t>Internal</w:t>
      </w:r>
      <w:r>
        <w:rPr>
          <w:b/>
          <w:spacing w:val="23"/>
          <w:sz w:val="23"/>
        </w:rPr>
        <w:t xml:space="preserve"> </w:t>
      </w:r>
      <w:r>
        <w:rPr>
          <w:b/>
          <w:sz w:val="23"/>
        </w:rPr>
        <w:t>Consistency</w:t>
      </w:r>
      <w:r>
        <w:rPr>
          <w:b/>
          <w:spacing w:val="20"/>
          <w:sz w:val="23"/>
        </w:rPr>
        <w:t xml:space="preserve"> </w:t>
      </w:r>
      <w:r>
        <w:rPr>
          <w:b/>
          <w:sz w:val="23"/>
        </w:rPr>
        <w:t>Reliability</w:t>
      </w:r>
      <w:r>
        <w:rPr>
          <w:b/>
          <w:spacing w:val="20"/>
          <w:sz w:val="23"/>
        </w:rPr>
        <w:t xml:space="preserve"> </w:t>
      </w:r>
      <w:r>
        <w:rPr>
          <w:b/>
          <w:spacing w:val="-2"/>
          <w:sz w:val="23"/>
        </w:rPr>
        <w:t>Results</w:t>
      </w:r>
    </w:p>
    <w:p w:rsidR="00487D64" w:rsidRDefault="00487D64">
      <w:pPr>
        <w:pStyle w:val="BodyText"/>
        <w:spacing w:before="9"/>
        <w:rPr>
          <w:b/>
          <w:sz w:val="18"/>
        </w:rPr>
      </w:pPr>
    </w:p>
    <w:tbl>
      <w:tblPr>
        <w:tblW w:w="0" w:type="auto"/>
        <w:tblInd w:w="1297" w:type="dxa"/>
        <w:tblLayout w:type="fixed"/>
        <w:tblCellMar>
          <w:left w:w="0" w:type="dxa"/>
          <w:right w:w="0" w:type="dxa"/>
        </w:tblCellMar>
        <w:tblLook w:val="01E0" w:firstRow="1" w:lastRow="1" w:firstColumn="1" w:lastColumn="1" w:noHBand="0" w:noVBand="0"/>
      </w:tblPr>
      <w:tblGrid>
        <w:gridCol w:w="802"/>
        <w:gridCol w:w="1562"/>
        <w:gridCol w:w="1912"/>
        <w:gridCol w:w="1886"/>
        <w:gridCol w:w="2307"/>
      </w:tblGrid>
      <w:tr w:rsidR="00487D64">
        <w:trPr>
          <w:trHeight w:val="1661"/>
        </w:trPr>
        <w:tc>
          <w:tcPr>
            <w:tcW w:w="802" w:type="dxa"/>
            <w:tcBorders>
              <w:top w:val="single" w:sz="4" w:space="0" w:color="000000"/>
              <w:bottom w:val="single" w:sz="4" w:space="0" w:color="000000"/>
            </w:tcBorders>
          </w:tcPr>
          <w:p w:rsidR="00487D64" w:rsidRDefault="00487D64">
            <w:pPr>
              <w:pStyle w:val="TableParagraph"/>
            </w:pPr>
          </w:p>
        </w:tc>
        <w:tc>
          <w:tcPr>
            <w:tcW w:w="1562" w:type="dxa"/>
            <w:tcBorders>
              <w:top w:val="single" w:sz="4" w:space="0" w:color="000000"/>
              <w:bottom w:val="single" w:sz="4" w:space="0" w:color="000000"/>
            </w:tcBorders>
          </w:tcPr>
          <w:p w:rsidR="00487D64" w:rsidRDefault="00487D64">
            <w:pPr>
              <w:pStyle w:val="TableParagraph"/>
              <w:spacing w:before="30"/>
              <w:rPr>
                <w:b/>
                <w:sz w:val="23"/>
              </w:rPr>
            </w:pPr>
          </w:p>
          <w:p w:rsidR="00487D64" w:rsidRDefault="006F0D93">
            <w:pPr>
              <w:pStyle w:val="TableParagraph"/>
              <w:spacing w:before="1" w:line="504" w:lineRule="auto"/>
              <w:ind w:left="328" w:right="354" w:hanging="303"/>
              <w:rPr>
                <w:b/>
                <w:sz w:val="23"/>
              </w:rPr>
            </w:pPr>
            <w:r>
              <w:rPr>
                <w:b/>
                <w:spacing w:val="-2"/>
                <w:sz w:val="23"/>
              </w:rPr>
              <w:t xml:space="preserve">Cronbach's </w:t>
            </w:r>
            <w:r>
              <w:rPr>
                <w:b/>
                <w:spacing w:val="-2"/>
                <w:w w:val="105"/>
                <w:sz w:val="23"/>
              </w:rPr>
              <w:t>alpha</w:t>
            </w:r>
          </w:p>
        </w:tc>
        <w:tc>
          <w:tcPr>
            <w:tcW w:w="1912" w:type="dxa"/>
            <w:tcBorders>
              <w:top w:val="single" w:sz="4" w:space="0" w:color="000000"/>
              <w:bottom w:val="single" w:sz="4" w:space="0" w:color="000000"/>
            </w:tcBorders>
          </w:tcPr>
          <w:p w:rsidR="00487D64" w:rsidRDefault="006F0D93">
            <w:pPr>
              <w:pStyle w:val="TableParagraph"/>
              <w:spacing w:before="21" w:line="496" w:lineRule="auto"/>
              <w:ind w:left="13" w:right="120"/>
              <w:jc w:val="center"/>
              <w:rPr>
                <w:b/>
                <w:sz w:val="23"/>
              </w:rPr>
            </w:pPr>
            <w:r>
              <w:rPr>
                <w:b/>
                <w:spacing w:val="-2"/>
                <w:sz w:val="23"/>
              </w:rPr>
              <w:t xml:space="preserve">Composite </w:t>
            </w:r>
            <w:r>
              <w:rPr>
                <w:b/>
                <w:spacing w:val="-2"/>
                <w:w w:val="105"/>
                <w:sz w:val="23"/>
              </w:rPr>
              <w:t>reliability</w:t>
            </w:r>
          </w:p>
          <w:p w:rsidR="00487D64" w:rsidRDefault="006F0D93">
            <w:pPr>
              <w:pStyle w:val="TableParagraph"/>
              <w:spacing w:before="8"/>
              <w:ind w:right="120"/>
              <w:jc w:val="center"/>
              <w:rPr>
                <w:b/>
                <w:sz w:val="23"/>
              </w:rPr>
            </w:pPr>
            <w:r>
              <w:rPr>
                <w:b/>
                <w:spacing w:val="-2"/>
                <w:w w:val="105"/>
                <w:sz w:val="23"/>
              </w:rPr>
              <w:t>(rho_a)</w:t>
            </w:r>
          </w:p>
        </w:tc>
        <w:tc>
          <w:tcPr>
            <w:tcW w:w="1886" w:type="dxa"/>
            <w:tcBorders>
              <w:top w:val="single" w:sz="4" w:space="0" w:color="000000"/>
              <w:bottom w:val="single" w:sz="4" w:space="0" w:color="000000"/>
            </w:tcBorders>
          </w:tcPr>
          <w:p w:rsidR="00487D64" w:rsidRDefault="006F0D93">
            <w:pPr>
              <w:pStyle w:val="TableParagraph"/>
              <w:spacing w:before="21" w:line="496" w:lineRule="auto"/>
              <w:ind w:left="150" w:right="7"/>
              <w:jc w:val="center"/>
              <w:rPr>
                <w:b/>
                <w:sz w:val="23"/>
              </w:rPr>
            </w:pPr>
            <w:r>
              <w:rPr>
                <w:b/>
                <w:spacing w:val="-2"/>
                <w:sz w:val="23"/>
              </w:rPr>
              <w:t xml:space="preserve">Composite </w:t>
            </w:r>
            <w:r>
              <w:rPr>
                <w:b/>
                <w:spacing w:val="-2"/>
                <w:w w:val="105"/>
                <w:sz w:val="23"/>
              </w:rPr>
              <w:t>reliability</w:t>
            </w:r>
          </w:p>
          <w:p w:rsidR="00487D64" w:rsidRDefault="006F0D93">
            <w:pPr>
              <w:pStyle w:val="TableParagraph"/>
              <w:spacing w:before="8"/>
              <w:ind w:left="150"/>
              <w:jc w:val="center"/>
              <w:rPr>
                <w:b/>
                <w:sz w:val="23"/>
              </w:rPr>
            </w:pPr>
            <w:r>
              <w:rPr>
                <w:b/>
                <w:spacing w:val="-2"/>
                <w:w w:val="105"/>
                <w:sz w:val="23"/>
              </w:rPr>
              <w:t>(rho_c)</w:t>
            </w:r>
          </w:p>
        </w:tc>
        <w:tc>
          <w:tcPr>
            <w:tcW w:w="2307" w:type="dxa"/>
            <w:tcBorders>
              <w:top w:val="single" w:sz="4" w:space="0" w:color="000000"/>
              <w:bottom w:val="single" w:sz="4" w:space="0" w:color="000000"/>
            </w:tcBorders>
          </w:tcPr>
          <w:p w:rsidR="00487D64" w:rsidRDefault="00487D64">
            <w:pPr>
              <w:pStyle w:val="TableParagraph"/>
              <w:spacing w:before="30"/>
              <w:rPr>
                <w:b/>
                <w:sz w:val="23"/>
              </w:rPr>
            </w:pPr>
          </w:p>
          <w:p w:rsidR="00487D64" w:rsidRDefault="006F0D93">
            <w:pPr>
              <w:pStyle w:val="TableParagraph"/>
              <w:spacing w:before="1" w:line="504" w:lineRule="auto"/>
              <w:ind w:left="386" w:hanging="51"/>
              <w:rPr>
                <w:b/>
                <w:sz w:val="23"/>
              </w:rPr>
            </w:pPr>
            <w:r>
              <w:rPr>
                <w:b/>
                <w:spacing w:val="-2"/>
                <w:w w:val="105"/>
                <w:sz w:val="23"/>
              </w:rPr>
              <w:t>Average</w:t>
            </w:r>
            <w:r>
              <w:rPr>
                <w:b/>
                <w:spacing w:val="-14"/>
                <w:w w:val="105"/>
                <w:sz w:val="23"/>
              </w:rPr>
              <w:t xml:space="preserve"> </w:t>
            </w:r>
            <w:r>
              <w:rPr>
                <w:b/>
                <w:spacing w:val="-2"/>
                <w:w w:val="105"/>
                <w:sz w:val="23"/>
              </w:rPr>
              <w:t xml:space="preserve">variance </w:t>
            </w:r>
            <w:r>
              <w:rPr>
                <w:b/>
                <w:w w:val="105"/>
                <w:sz w:val="23"/>
              </w:rPr>
              <w:t>extracted</w:t>
            </w:r>
            <w:r>
              <w:rPr>
                <w:b/>
                <w:spacing w:val="-3"/>
                <w:w w:val="105"/>
                <w:sz w:val="23"/>
              </w:rPr>
              <w:t xml:space="preserve"> </w:t>
            </w:r>
            <w:r>
              <w:rPr>
                <w:b/>
                <w:w w:val="105"/>
                <w:sz w:val="23"/>
              </w:rPr>
              <w:t>(AVE)</w:t>
            </w:r>
          </w:p>
        </w:tc>
      </w:tr>
      <w:tr w:rsidR="00487D64">
        <w:trPr>
          <w:trHeight w:val="419"/>
        </w:trPr>
        <w:tc>
          <w:tcPr>
            <w:tcW w:w="802" w:type="dxa"/>
            <w:tcBorders>
              <w:top w:val="single" w:sz="4" w:space="0" w:color="000000"/>
            </w:tcBorders>
          </w:tcPr>
          <w:p w:rsidR="00487D64" w:rsidRDefault="006F0D93">
            <w:pPr>
              <w:pStyle w:val="TableParagraph"/>
              <w:spacing w:before="7"/>
              <w:ind w:left="129"/>
              <w:rPr>
                <w:sz w:val="23"/>
              </w:rPr>
            </w:pPr>
            <w:r>
              <w:rPr>
                <w:spacing w:val="-5"/>
                <w:w w:val="105"/>
                <w:sz w:val="23"/>
              </w:rPr>
              <w:t>CO</w:t>
            </w:r>
          </w:p>
        </w:tc>
        <w:tc>
          <w:tcPr>
            <w:tcW w:w="1562" w:type="dxa"/>
            <w:tcBorders>
              <w:top w:val="single" w:sz="4" w:space="0" w:color="000000"/>
            </w:tcBorders>
          </w:tcPr>
          <w:p w:rsidR="00487D64" w:rsidRDefault="006F0D93">
            <w:pPr>
              <w:pStyle w:val="TableParagraph"/>
              <w:spacing w:before="7"/>
              <w:ind w:left="343"/>
              <w:rPr>
                <w:sz w:val="23"/>
              </w:rPr>
            </w:pPr>
            <w:r>
              <w:rPr>
                <w:spacing w:val="-2"/>
                <w:w w:val="105"/>
                <w:sz w:val="23"/>
              </w:rPr>
              <w:t>0.852</w:t>
            </w:r>
          </w:p>
        </w:tc>
        <w:tc>
          <w:tcPr>
            <w:tcW w:w="1912" w:type="dxa"/>
            <w:tcBorders>
              <w:top w:val="single" w:sz="4" w:space="0" w:color="000000"/>
            </w:tcBorders>
          </w:tcPr>
          <w:p w:rsidR="00487D64" w:rsidRDefault="006F0D93">
            <w:pPr>
              <w:pStyle w:val="TableParagraph"/>
              <w:spacing w:before="7"/>
              <w:ind w:left="20" w:right="120"/>
              <w:jc w:val="center"/>
              <w:rPr>
                <w:sz w:val="23"/>
              </w:rPr>
            </w:pPr>
            <w:r>
              <w:rPr>
                <w:spacing w:val="-2"/>
                <w:w w:val="105"/>
                <w:sz w:val="23"/>
              </w:rPr>
              <w:t>0.887</w:t>
            </w:r>
          </w:p>
        </w:tc>
        <w:tc>
          <w:tcPr>
            <w:tcW w:w="1886" w:type="dxa"/>
            <w:tcBorders>
              <w:top w:val="single" w:sz="4" w:space="0" w:color="000000"/>
            </w:tcBorders>
          </w:tcPr>
          <w:p w:rsidR="00487D64" w:rsidRDefault="006F0D93">
            <w:pPr>
              <w:pStyle w:val="TableParagraph"/>
              <w:spacing w:before="7"/>
              <w:ind w:right="595"/>
              <w:jc w:val="right"/>
              <w:rPr>
                <w:sz w:val="23"/>
              </w:rPr>
            </w:pPr>
            <w:r>
              <w:rPr>
                <w:spacing w:val="-2"/>
                <w:w w:val="105"/>
                <w:sz w:val="23"/>
              </w:rPr>
              <w:t>0.892</w:t>
            </w:r>
          </w:p>
        </w:tc>
        <w:tc>
          <w:tcPr>
            <w:tcW w:w="2307" w:type="dxa"/>
            <w:tcBorders>
              <w:top w:val="single" w:sz="4" w:space="0" w:color="000000"/>
            </w:tcBorders>
          </w:tcPr>
          <w:p w:rsidR="00487D64" w:rsidRDefault="006F0D93">
            <w:pPr>
              <w:pStyle w:val="TableParagraph"/>
              <w:spacing w:before="7"/>
              <w:ind w:right="799"/>
              <w:jc w:val="right"/>
              <w:rPr>
                <w:sz w:val="23"/>
              </w:rPr>
            </w:pPr>
            <w:r>
              <w:rPr>
                <w:spacing w:val="-2"/>
                <w:w w:val="105"/>
                <w:sz w:val="23"/>
              </w:rPr>
              <w:t>0.585</w:t>
            </w:r>
          </w:p>
        </w:tc>
      </w:tr>
      <w:tr w:rsidR="00487D64">
        <w:trPr>
          <w:trHeight w:val="551"/>
        </w:trPr>
        <w:tc>
          <w:tcPr>
            <w:tcW w:w="802" w:type="dxa"/>
          </w:tcPr>
          <w:p w:rsidR="00487D64" w:rsidRDefault="006F0D93">
            <w:pPr>
              <w:pStyle w:val="TableParagraph"/>
              <w:spacing w:before="143"/>
              <w:ind w:left="129"/>
              <w:rPr>
                <w:sz w:val="23"/>
              </w:rPr>
            </w:pPr>
            <w:r>
              <w:rPr>
                <w:spacing w:val="-5"/>
                <w:w w:val="105"/>
                <w:sz w:val="23"/>
              </w:rPr>
              <w:t>CU</w:t>
            </w:r>
          </w:p>
        </w:tc>
        <w:tc>
          <w:tcPr>
            <w:tcW w:w="1562" w:type="dxa"/>
          </w:tcPr>
          <w:p w:rsidR="00487D64" w:rsidRDefault="006F0D93">
            <w:pPr>
              <w:pStyle w:val="TableParagraph"/>
              <w:spacing w:before="143"/>
              <w:ind w:left="343"/>
              <w:rPr>
                <w:sz w:val="23"/>
              </w:rPr>
            </w:pPr>
            <w:r>
              <w:rPr>
                <w:spacing w:val="-2"/>
                <w:w w:val="105"/>
                <w:sz w:val="23"/>
              </w:rPr>
              <w:t>0.888</w:t>
            </w:r>
          </w:p>
        </w:tc>
        <w:tc>
          <w:tcPr>
            <w:tcW w:w="1912" w:type="dxa"/>
          </w:tcPr>
          <w:p w:rsidR="00487D64" w:rsidRDefault="006F0D93">
            <w:pPr>
              <w:pStyle w:val="TableParagraph"/>
              <w:spacing w:before="143"/>
              <w:ind w:left="20" w:right="120"/>
              <w:jc w:val="center"/>
              <w:rPr>
                <w:sz w:val="23"/>
              </w:rPr>
            </w:pPr>
            <w:r>
              <w:rPr>
                <w:spacing w:val="-2"/>
                <w:w w:val="105"/>
                <w:sz w:val="23"/>
              </w:rPr>
              <w:t>0.927</w:t>
            </w:r>
          </w:p>
        </w:tc>
        <w:tc>
          <w:tcPr>
            <w:tcW w:w="1886" w:type="dxa"/>
          </w:tcPr>
          <w:p w:rsidR="00487D64" w:rsidRDefault="006F0D93">
            <w:pPr>
              <w:pStyle w:val="TableParagraph"/>
              <w:spacing w:before="143"/>
              <w:ind w:right="595"/>
              <w:jc w:val="right"/>
              <w:rPr>
                <w:sz w:val="23"/>
              </w:rPr>
            </w:pPr>
            <w:r>
              <w:rPr>
                <w:spacing w:val="-2"/>
                <w:w w:val="105"/>
                <w:sz w:val="23"/>
              </w:rPr>
              <w:t>0.918</w:t>
            </w:r>
          </w:p>
        </w:tc>
        <w:tc>
          <w:tcPr>
            <w:tcW w:w="2307" w:type="dxa"/>
          </w:tcPr>
          <w:p w:rsidR="00487D64" w:rsidRDefault="006F0D93">
            <w:pPr>
              <w:pStyle w:val="TableParagraph"/>
              <w:spacing w:before="143"/>
              <w:ind w:right="799"/>
              <w:jc w:val="right"/>
              <w:rPr>
                <w:sz w:val="23"/>
              </w:rPr>
            </w:pPr>
            <w:r>
              <w:rPr>
                <w:spacing w:val="-2"/>
                <w:w w:val="105"/>
                <w:sz w:val="23"/>
              </w:rPr>
              <w:t>0.656</w:t>
            </w:r>
          </w:p>
        </w:tc>
      </w:tr>
      <w:tr w:rsidR="00487D64">
        <w:trPr>
          <w:trHeight w:val="550"/>
        </w:trPr>
        <w:tc>
          <w:tcPr>
            <w:tcW w:w="802" w:type="dxa"/>
          </w:tcPr>
          <w:p w:rsidR="00487D64" w:rsidRDefault="006F0D93">
            <w:pPr>
              <w:pStyle w:val="TableParagraph"/>
              <w:spacing w:before="139"/>
              <w:ind w:left="129"/>
              <w:rPr>
                <w:sz w:val="23"/>
              </w:rPr>
            </w:pPr>
            <w:r>
              <w:rPr>
                <w:spacing w:val="-5"/>
                <w:w w:val="105"/>
                <w:sz w:val="23"/>
              </w:rPr>
              <w:t>FC</w:t>
            </w:r>
          </w:p>
        </w:tc>
        <w:tc>
          <w:tcPr>
            <w:tcW w:w="1562" w:type="dxa"/>
          </w:tcPr>
          <w:p w:rsidR="00487D64" w:rsidRDefault="006F0D93">
            <w:pPr>
              <w:pStyle w:val="TableParagraph"/>
              <w:spacing w:before="139"/>
              <w:ind w:left="343"/>
              <w:rPr>
                <w:sz w:val="23"/>
              </w:rPr>
            </w:pPr>
            <w:r>
              <w:rPr>
                <w:spacing w:val="-2"/>
                <w:w w:val="105"/>
                <w:sz w:val="23"/>
              </w:rPr>
              <w:t>0.874</w:t>
            </w:r>
          </w:p>
        </w:tc>
        <w:tc>
          <w:tcPr>
            <w:tcW w:w="1912" w:type="dxa"/>
          </w:tcPr>
          <w:p w:rsidR="00487D64" w:rsidRDefault="006F0D93">
            <w:pPr>
              <w:pStyle w:val="TableParagraph"/>
              <w:spacing w:before="139"/>
              <w:ind w:left="20" w:right="120"/>
              <w:jc w:val="center"/>
              <w:rPr>
                <w:sz w:val="23"/>
              </w:rPr>
            </w:pPr>
            <w:r>
              <w:rPr>
                <w:spacing w:val="-2"/>
                <w:w w:val="105"/>
                <w:sz w:val="23"/>
              </w:rPr>
              <w:t>0.870</w:t>
            </w:r>
          </w:p>
        </w:tc>
        <w:tc>
          <w:tcPr>
            <w:tcW w:w="1886" w:type="dxa"/>
          </w:tcPr>
          <w:p w:rsidR="00487D64" w:rsidRDefault="006F0D93">
            <w:pPr>
              <w:pStyle w:val="TableParagraph"/>
              <w:spacing w:before="139"/>
              <w:ind w:right="595"/>
              <w:jc w:val="right"/>
              <w:rPr>
                <w:sz w:val="23"/>
              </w:rPr>
            </w:pPr>
            <w:r>
              <w:rPr>
                <w:spacing w:val="-2"/>
                <w:w w:val="105"/>
                <w:sz w:val="23"/>
              </w:rPr>
              <w:t>0.898</w:t>
            </w:r>
          </w:p>
        </w:tc>
        <w:tc>
          <w:tcPr>
            <w:tcW w:w="2307" w:type="dxa"/>
          </w:tcPr>
          <w:p w:rsidR="00487D64" w:rsidRDefault="006F0D93">
            <w:pPr>
              <w:pStyle w:val="TableParagraph"/>
              <w:spacing w:before="139"/>
              <w:ind w:right="799"/>
              <w:jc w:val="right"/>
              <w:rPr>
                <w:sz w:val="23"/>
              </w:rPr>
            </w:pPr>
            <w:r>
              <w:rPr>
                <w:spacing w:val="-2"/>
                <w:w w:val="105"/>
                <w:sz w:val="23"/>
              </w:rPr>
              <w:t>0.643</w:t>
            </w:r>
          </w:p>
        </w:tc>
      </w:tr>
      <w:tr w:rsidR="00487D64">
        <w:trPr>
          <w:trHeight w:val="554"/>
        </w:trPr>
        <w:tc>
          <w:tcPr>
            <w:tcW w:w="802" w:type="dxa"/>
          </w:tcPr>
          <w:p w:rsidR="00487D64" w:rsidRDefault="006F0D93">
            <w:pPr>
              <w:pStyle w:val="TableParagraph"/>
              <w:spacing w:before="143"/>
              <w:ind w:left="129"/>
              <w:rPr>
                <w:sz w:val="23"/>
              </w:rPr>
            </w:pPr>
            <w:r>
              <w:rPr>
                <w:spacing w:val="-5"/>
                <w:w w:val="105"/>
                <w:sz w:val="23"/>
              </w:rPr>
              <w:t>SC</w:t>
            </w:r>
          </w:p>
        </w:tc>
        <w:tc>
          <w:tcPr>
            <w:tcW w:w="1562" w:type="dxa"/>
          </w:tcPr>
          <w:p w:rsidR="00487D64" w:rsidRDefault="006F0D93">
            <w:pPr>
              <w:pStyle w:val="TableParagraph"/>
              <w:spacing w:before="143"/>
              <w:ind w:left="343"/>
              <w:rPr>
                <w:sz w:val="23"/>
              </w:rPr>
            </w:pPr>
            <w:r>
              <w:rPr>
                <w:spacing w:val="-2"/>
                <w:w w:val="105"/>
                <w:sz w:val="23"/>
              </w:rPr>
              <w:t>0.927</w:t>
            </w:r>
          </w:p>
        </w:tc>
        <w:tc>
          <w:tcPr>
            <w:tcW w:w="1912" w:type="dxa"/>
          </w:tcPr>
          <w:p w:rsidR="00487D64" w:rsidRDefault="006F0D93">
            <w:pPr>
              <w:pStyle w:val="TableParagraph"/>
              <w:spacing w:before="143"/>
              <w:ind w:left="20" w:right="120"/>
              <w:jc w:val="center"/>
              <w:rPr>
                <w:sz w:val="23"/>
              </w:rPr>
            </w:pPr>
            <w:r>
              <w:rPr>
                <w:spacing w:val="-2"/>
                <w:w w:val="105"/>
                <w:sz w:val="23"/>
              </w:rPr>
              <w:t>0.938</w:t>
            </w:r>
          </w:p>
        </w:tc>
        <w:tc>
          <w:tcPr>
            <w:tcW w:w="1886" w:type="dxa"/>
          </w:tcPr>
          <w:p w:rsidR="00487D64" w:rsidRDefault="006F0D93">
            <w:pPr>
              <w:pStyle w:val="TableParagraph"/>
              <w:spacing w:before="143"/>
              <w:ind w:right="595"/>
              <w:jc w:val="right"/>
              <w:rPr>
                <w:sz w:val="23"/>
              </w:rPr>
            </w:pPr>
            <w:r>
              <w:rPr>
                <w:spacing w:val="-2"/>
                <w:w w:val="105"/>
                <w:sz w:val="23"/>
              </w:rPr>
              <w:t>0.946</w:t>
            </w:r>
          </w:p>
        </w:tc>
        <w:tc>
          <w:tcPr>
            <w:tcW w:w="2307" w:type="dxa"/>
          </w:tcPr>
          <w:p w:rsidR="00487D64" w:rsidRDefault="006F0D93">
            <w:pPr>
              <w:pStyle w:val="TableParagraph"/>
              <w:spacing w:before="143"/>
              <w:ind w:right="799"/>
              <w:jc w:val="right"/>
              <w:rPr>
                <w:sz w:val="23"/>
              </w:rPr>
            </w:pPr>
            <w:r>
              <w:rPr>
                <w:spacing w:val="-2"/>
                <w:w w:val="105"/>
                <w:sz w:val="23"/>
              </w:rPr>
              <w:t>0.777</w:t>
            </w:r>
          </w:p>
        </w:tc>
      </w:tr>
      <w:tr w:rsidR="00487D64">
        <w:trPr>
          <w:trHeight w:val="687"/>
        </w:trPr>
        <w:tc>
          <w:tcPr>
            <w:tcW w:w="802" w:type="dxa"/>
            <w:tcBorders>
              <w:bottom w:val="single" w:sz="4" w:space="0" w:color="000000"/>
            </w:tcBorders>
          </w:tcPr>
          <w:p w:rsidR="00487D64" w:rsidRDefault="006F0D93">
            <w:pPr>
              <w:pStyle w:val="TableParagraph"/>
              <w:spacing w:before="142"/>
              <w:ind w:left="129"/>
              <w:rPr>
                <w:sz w:val="23"/>
              </w:rPr>
            </w:pPr>
            <w:r>
              <w:rPr>
                <w:spacing w:val="-5"/>
                <w:w w:val="105"/>
                <w:sz w:val="23"/>
              </w:rPr>
              <w:t>SF</w:t>
            </w:r>
          </w:p>
        </w:tc>
        <w:tc>
          <w:tcPr>
            <w:tcW w:w="1562" w:type="dxa"/>
            <w:tcBorders>
              <w:bottom w:val="single" w:sz="4" w:space="0" w:color="000000"/>
            </w:tcBorders>
          </w:tcPr>
          <w:p w:rsidR="00487D64" w:rsidRDefault="006F0D93">
            <w:pPr>
              <w:pStyle w:val="TableParagraph"/>
              <w:spacing w:before="142"/>
              <w:ind w:left="343"/>
              <w:rPr>
                <w:sz w:val="23"/>
              </w:rPr>
            </w:pPr>
            <w:r>
              <w:rPr>
                <w:spacing w:val="-2"/>
                <w:w w:val="105"/>
                <w:sz w:val="23"/>
              </w:rPr>
              <w:t>0.768</w:t>
            </w:r>
          </w:p>
        </w:tc>
        <w:tc>
          <w:tcPr>
            <w:tcW w:w="1912" w:type="dxa"/>
            <w:tcBorders>
              <w:bottom w:val="single" w:sz="4" w:space="0" w:color="000000"/>
            </w:tcBorders>
          </w:tcPr>
          <w:p w:rsidR="00487D64" w:rsidRDefault="006F0D93">
            <w:pPr>
              <w:pStyle w:val="TableParagraph"/>
              <w:spacing w:before="142"/>
              <w:ind w:left="20" w:right="120"/>
              <w:jc w:val="center"/>
              <w:rPr>
                <w:sz w:val="23"/>
              </w:rPr>
            </w:pPr>
            <w:r>
              <w:rPr>
                <w:spacing w:val="-2"/>
                <w:w w:val="105"/>
                <w:sz w:val="23"/>
              </w:rPr>
              <w:t>0.882</w:t>
            </w:r>
          </w:p>
        </w:tc>
        <w:tc>
          <w:tcPr>
            <w:tcW w:w="1886" w:type="dxa"/>
            <w:tcBorders>
              <w:bottom w:val="single" w:sz="4" w:space="0" w:color="000000"/>
            </w:tcBorders>
          </w:tcPr>
          <w:p w:rsidR="00487D64" w:rsidRDefault="006F0D93">
            <w:pPr>
              <w:pStyle w:val="TableParagraph"/>
              <w:spacing w:before="142"/>
              <w:ind w:right="595"/>
              <w:jc w:val="right"/>
              <w:rPr>
                <w:sz w:val="23"/>
              </w:rPr>
            </w:pPr>
            <w:r>
              <w:rPr>
                <w:spacing w:val="-2"/>
                <w:w w:val="105"/>
                <w:sz w:val="23"/>
              </w:rPr>
              <w:t>0.875</w:t>
            </w:r>
          </w:p>
        </w:tc>
        <w:tc>
          <w:tcPr>
            <w:tcW w:w="2307" w:type="dxa"/>
            <w:tcBorders>
              <w:bottom w:val="single" w:sz="4" w:space="0" w:color="000000"/>
            </w:tcBorders>
          </w:tcPr>
          <w:p w:rsidR="00487D64" w:rsidRDefault="006F0D93">
            <w:pPr>
              <w:pStyle w:val="TableParagraph"/>
              <w:spacing w:before="142"/>
              <w:ind w:right="799"/>
              <w:jc w:val="right"/>
              <w:rPr>
                <w:sz w:val="23"/>
              </w:rPr>
            </w:pPr>
            <w:r>
              <w:rPr>
                <w:spacing w:val="-2"/>
                <w:w w:val="105"/>
                <w:sz w:val="23"/>
              </w:rPr>
              <w:t>0.558</w:t>
            </w:r>
          </w:p>
        </w:tc>
      </w:tr>
    </w:tbl>
    <w:p w:rsidR="00487D64" w:rsidRDefault="00487D64">
      <w:pPr>
        <w:pStyle w:val="BodyText"/>
        <w:rPr>
          <w:b/>
        </w:rPr>
      </w:pPr>
    </w:p>
    <w:p w:rsidR="00487D64" w:rsidRDefault="00487D64">
      <w:pPr>
        <w:pStyle w:val="BodyText"/>
        <w:spacing w:before="170"/>
        <w:rPr>
          <w:b/>
        </w:rPr>
      </w:pPr>
    </w:p>
    <w:p w:rsidR="00487D64" w:rsidRDefault="006F0D93">
      <w:pPr>
        <w:pStyle w:val="BodyText"/>
        <w:spacing w:line="501" w:lineRule="auto"/>
        <w:ind w:left="1419" w:right="846"/>
        <w:jc w:val="both"/>
      </w:pPr>
      <w:r>
        <w:rPr>
          <w:w w:val="105"/>
        </w:rPr>
        <w:t>As presented in</w:t>
      </w:r>
      <w:r>
        <w:rPr>
          <w:w w:val="105"/>
        </w:rPr>
        <w:t xml:space="preserve"> Table 4.1, all constructs demonstrated satisfactory levels of reliability and validity. Specifically, Cronbach’s Alpha values ranged from 0.852 to 0.927, exceeding the minimum recommended threshold of 0.70 (Hair et al., 2019), indicating strong internal c</w:t>
      </w:r>
      <w:r>
        <w:rPr>
          <w:w w:val="105"/>
        </w:rPr>
        <w:t>onsistency. Composite reliability values were also high across all constructs: Competitor Orientation (CO) = 0.892, Customer Orientation (CU) = 0.918, Functional Coordination (FC) = 0.898, Sustainable Competitiveness (SC) = 0.946, and Strategic Flexibility</w:t>
      </w:r>
      <w:r>
        <w:rPr>
          <w:w w:val="105"/>
        </w:rPr>
        <w:t xml:space="preserve"> (SF) = 0.875. These values confirm the reliability of the constructs as per the thresholds suggested by Nunnally and Bernstein (1994). In terms of convergent validity, all constructs reported Average Variance Extracted (AVE) values above the accepted mini</w:t>
      </w:r>
      <w:r>
        <w:rPr>
          <w:w w:val="105"/>
        </w:rPr>
        <w:t>mum of 0.50, further confirming construct validity. The AVE values were as follows: SC = 0.777, CU = 0.656, FC = 0.643, SF = 0.558, and CO = 0.585. These results affirm that the measurement instrument used in the study possesses acceptable psychometric pro</w:t>
      </w:r>
      <w:r>
        <w:rPr>
          <w:w w:val="105"/>
        </w:rPr>
        <w:t>perties in terms of reliability and validity.</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7"/>
        <w:jc w:val="both"/>
      </w:pPr>
      <w:r>
        <w:rPr>
          <w:w w:val="105"/>
        </w:rPr>
        <w:t>The</w:t>
      </w:r>
      <w:r>
        <w:rPr>
          <w:spacing w:val="-7"/>
          <w:w w:val="105"/>
        </w:rPr>
        <w:t xml:space="preserve"> </w:t>
      </w:r>
      <w:r>
        <w:rPr>
          <w:w w:val="105"/>
        </w:rPr>
        <w:t>improvements</w:t>
      </w:r>
      <w:r>
        <w:rPr>
          <w:spacing w:val="-2"/>
          <w:w w:val="105"/>
        </w:rPr>
        <w:t xml:space="preserve"> </w:t>
      </w:r>
      <w:r>
        <w:rPr>
          <w:w w:val="105"/>
        </w:rPr>
        <w:t>from</w:t>
      </w:r>
      <w:r>
        <w:rPr>
          <w:spacing w:val="-14"/>
          <w:w w:val="105"/>
        </w:rPr>
        <w:t xml:space="preserve"> </w:t>
      </w:r>
      <w:r>
        <w:rPr>
          <w:w w:val="105"/>
        </w:rPr>
        <w:t>the</w:t>
      </w:r>
      <w:r>
        <w:rPr>
          <w:spacing w:val="-7"/>
          <w:w w:val="105"/>
        </w:rPr>
        <w:t xml:space="preserve"> </w:t>
      </w:r>
      <w:r>
        <w:rPr>
          <w:w w:val="105"/>
        </w:rPr>
        <w:t>pre-test</w:t>
      </w:r>
      <w:r>
        <w:rPr>
          <w:spacing w:val="-4"/>
          <w:w w:val="105"/>
        </w:rPr>
        <w:t xml:space="preserve"> </w:t>
      </w:r>
      <w:r>
        <w:rPr>
          <w:w w:val="105"/>
        </w:rPr>
        <w:t>(addition of</w:t>
      </w:r>
      <w:r>
        <w:rPr>
          <w:spacing w:val="-9"/>
          <w:w w:val="105"/>
        </w:rPr>
        <w:t xml:space="preserve"> </w:t>
      </w:r>
      <w:r>
        <w:rPr>
          <w:w w:val="105"/>
        </w:rPr>
        <w:t>MO</w:t>
      </w:r>
      <w:r>
        <w:rPr>
          <w:spacing w:val="-2"/>
          <w:w w:val="105"/>
        </w:rPr>
        <w:t xml:space="preserve"> </w:t>
      </w:r>
      <w:r>
        <w:rPr>
          <w:w w:val="105"/>
        </w:rPr>
        <w:t>indicators,</w:t>
      </w:r>
      <w:r>
        <w:rPr>
          <w:spacing w:val="-5"/>
          <w:w w:val="105"/>
        </w:rPr>
        <w:t xml:space="preserve"> </w:t>
      </w:r>
      <w:r>
        <w:rPr>
          <w:w w:val="105"/>
        </w:rPr>
        <w:t>inclusion</w:t>
      </w:r>
      <w:r>
        <w:rPr>
          <w:spacing w:val="-7"/>
          <w:w w:val="105"/>
        </w:rPr>
        <w:t xml:space="preserve"> </w:t>
      </w:r>
      <w:r>
        <w:rPr>
          <w:w w:val="105"/>
        </w:rPr>
        <w:t>of</w:t>
      </w:r>
      <w:r>
        <w:rPr>
          <w:spacing w:val="-9"/>
          <w:w w:val="105"/>
        </w:rPr>
        <w:t xml:space="preserve"> </w:t>
      </w:r>
      <w:r>
        <w:rPr>
          <w:w w:val="105"/>
        </w:rPr>
        <w:t>“special group type,” and rewording of ambiguous items) were crucial for achieving acceptable measurement</w:t>
      </w:r>
      <w:r>
        <w:rPr>
          <w:w w:val="105"/>
        </w:rPr>
        <w:t xml:space="preserve"> quality in the pilot analysis. The additional indicators strengthened composite reliability</w:t>
      </w:r>
      <w:r>
        <w:rPr>
          <w:b/>
          <w:w w:val="105"/>
        </w:rPr>
        <w:t xml:space="preserve">, </w:t>
      </w:r>
      <w:r>
        <w:rPr>
          <w:w w:val="105"/>
        </w:rPr>
        <w:t>while the demographic refinement ensured the collection of policy-relevant data</w:t>
      </w:r>
      <w:r>
        <w:rPr>
          <w:b/>
          <w:w w:val="105"/>
        </w:rPr>
        <w:t xml:space="preserve">. </w:t>
      </w:r>
      <w:r>
        <w:rPr>
          <w:w w:val="105"/>
        </w:rPr>
        <w:t>Without these adjustments, the measurement model might have faced validity and in</w:t>
      </w:r>
      <w:r>
        <w:rPr>
          <w:w w:val="105"/>
        </w:rPr>
        <w:t>terpretability issues.</w:t>
      </w:r>
    </w:p>
    <w:p w:rsidR="00487D64" w:rsidRDefault="00487D64">
      <w:pPr>
        <w:pStyle w:val="BodyText"/>
        <w:spacing w:before="251"/>
      </w:pPr>
    </w:p>
    <w:p w:rsidR="00487D64" w:rsidRDefault="006F0D93">
      <w:pPr>
        <w:pStyle w:val="ListParagraph"/>
        <w:numPr>
          <w:ilvl w:val="2"/>
          <w:numId w:val="9"/>
        </w:numPr>
        <w:tabs>
          <w:tab w:val="left" w:pos="2860"/>
        </w:tabs>
        <w:spacing w:before="1"/>
        <w:rPr>
          <w:b/>
          <w:sz w:val="23"/>
        </w:rPr>
      </w:pPr>
      <w:bookmarkStart w:id="134" w:name="4.2.2____Pilot_Study_Results:_Coefficien"/>
      <w:bookmarkStart w:id="135" w:name="_bookmark66"/>
      <w:bookmarkEnd w:id="134"/>
      <w:bookmarkEnd w:id="135"/>
      <w:r>
        <w:rPr>
          <w:b/>
          <w:w w:val="105"/>
          <w:sz w:val="23"/>
        </w:rPr>
        <w:t>Pilot</w:t>
      </w:r>
      <w:r>
        <w:rPr>
          <w:b/>
          <w:spacing w:val="-16"/>
          <w:w w:val="105"/>
          <w:sz w:val="23"/>
        </w:rPr>
        <w:t xml:space="preserve"> </w:t>
      </w:r>
      <w:r>
        <w:rPr>
          <w:b/>
          <w:w w:val="105"/>
          <w:sz w:val="23"/>
        </w:rPr>
        <w:t>Study</w:t>
      </w:r>
      <w:r>
        <w:rPr>
          <w:b/>
          <w:spacing w:val="-13"/>
          <w:w w:val="105"/>
          <w:sz w:val="23"/>
        </w:rPr>
        <w:t xml:space="preserve"> </w:t>
      </w:r>
      <w:r>
        <w:rPr>
          <w:b/>
          <w:w w:val="105"/>
          <w:sz w:val="23"/>
        </w:rPr>
        <w:t>Results:</w:t>
      </w:r>
      <w:r>
        <w:rPr>
          <w:b/>
          <w:spacing w:val="-11"/>
          <w:w w:val="105"/>
          <w:sz w:val="23"/>
        </w:rPr>
        <w:t xml:space="preserve"> </w:t>
      </w:r>
      <w:r>
        <w:rPr>
          <w:b/>
          <w:w w:val="105"/>
          <w:sz w:val="23"/>
        </w:rPr>
        <w:t>Coefficient</w:t>
      </w:r>
      <w:r>
        <w:rPr>
          <w:b/>
          <w:spacing w:val="-11"/>
          <w:w w:val="105"/>
          <w:sz w:val="23"/>
        </w:rPr>
        <w:t xml:space="preserve"> </w:t>
      </w:r>
      <w:r>
        <w:rPr>
          <w:b/>
          <w:w w:val="105"/>
          <w:sz w:val="23"/>
        </w:rPr>
        <w:t>of</w:t>
      </w:r>
      <w:r>
        <w:rPr>
          <w:b/>
          <w:spacing w:val="-15"/>
          <w:w w:val="105"/>
          <w:sz w:val="23"/>
        </w:rPr>
        <w:t xml:space="preserve"> </w:t>
      </w:r>
      <w:r>
        <w:rPr>
          <w:b/>
          <w:w w:val="105"/>
          <w:sz w:val="23"/>
        </w:rPr>
        <w:t>Determination</w:t>
      </w:r>
      <w:r>
        <w:rPr>
          <w:b/>
          <w:spacing w:val="-15"/>
          <w:w w:val="105"/>
          <w:sz w:val="23"/>
        </w:rPr>
        <w:t xml:space="preserve"> </w:t>
      </w:r>
      <w:r>
        <w:rPr>
          <w:b/>
          <w:spacing w:val="-4"/>
          <w:w w:val="105"/>
          <w:sz w:val="23"/>
        </w:rPr>
        <w:t>(R²)</w:t>
      </w:r>
    </w:p>
    <w:p w:rsidR="00487D64" w:rsidRDefault="00487D64">
      <w:pPr>
        <w:pStyle w:val="BodyText"/>
        <w:spacing w:before="18"/>
        <w:rPr>
          <w:b/>
        </w:rPr>
      </w:pPr>
    </w:p>
    <w:p w:rsidR="00487D64" w:rsidRDefault="006F0D93">
      <w:pPr>
        <w:pStyle w:val="BodyText"/>
        <w:spacing w:line="501" w:lineRule="auto"/>
        <w:ind w:left="1419" w:right="854"/>
        <w:jc w:val="both"/>
      </w:pPr>
      <w:r>
        <w:rPr>
          <w:w w:val="105"/>
        </w:rPr>
        <w:t>The R</w:t>
      </w:r>
      <w:r>
        <w:rPr>
          <w:w w:val="105"/>
          <w:vertAlign w:val="superscript"/>
        </w:rPr>
        <w:t>2</w:t>
      </w:r>
      <w:r>
        <w:rPr>
          <w:w w:val="105"/>
        </w:rPr>
        <w:t xml:space="preserve"> statistic was</w:t>
      </w:r>
      <w:r>
        <w:rPr>
          <w:spacing w:val="-1"/>
          <w:w w:val="105"/>
        </w:rPr>
        <w:t xml:space="preserve"> </w:t>
      </w:r>
      <w:r>
        <w:rPr>
          <w:w w:val="105"/>
        </w:rPr>
        <w:t>evaluated as</w:t>
      </w:r>
      <w:r>
        <w:rPr>
          <w:spacing w:val="-7"/>
          <w:w w:val="105"/>
        </w:rPr>
        <w:t xml:space="preserve"> </w:t>
      </w:r>
      <w:r>
        <w:rPr>
          <w:w w:val="105"/>
        </w:rPr>
        <w:t>a component of</w:t>
      </w:r>
      <w:r>
        <w:rPr>
          <w:spacing w:val="-8"/>
          <w:w w:val="105"/>
        </w:rPr>
        <w:t xml:space="preserve"> </w:t>
      </w:r>
      <w:r>
        <w:rPr>
          <w:w w:val="105"/>
        </w:rPr>
        <w:t>the pilot study in order to ascertain the extent to which the independent factors were able to explain the variation in the dependent variable, which was Sustainable Competitiveness (SC). The findings on the coefficient of determination (R</w:t>
      </w:r>
      <w:r>
        <w:rPr>
          <w:w w:val="105"/>
          <w:vertAlign w:val="superscript"/>
        </w:rPr>
        <w:t>2</w:t>
      </w:r>
      <w:r>
        <w:rPr>
          <w:w w:val="105"/>
        </w:rPr>
        <w:t xml:space="preserve">) are presented </w:t>
      </w:r>
      <w:r>
        <w:rPr>
          <w:w w:val="105"/>
        </w:rPr>
        <w:t>in Table 4.2.</w:t>
      </w:r>
    </w:p>
    <w:p w:rsidR="00487D64" w:rsidRDefault="00487D64">
      <w:pPr>
        <w:pStyle w:val="BodyText"/>
        <w:spacing w:before="255"/>
      </w:pPr>
    </w:p>
    <w:p w:rsidR="00487D64" w:rsidRDefault="006F0D93">
      <w:pPr>
        <w:ind w:left="1419"/>
        <w:jc w:val="both"/>
        <w:rPr>
          <w:b/>
          <w:sz w:val="23"/>
        </w:rPr>
      </w:pPr>
      <w:r>
        <w:rPr>
          <w:b/>
          <w:w w:val="105"/>
          <w:sz w:val="23"/>
        </w:rPr>
        <w:t>Table</w:t>
      </w:r>
      <w:r>
        <w:rPr>
          <w:b/>
          <w:spacing w:val="-7"/>
          <w:w w:val="105"/>
          <w:sz w:val="23"/>
        </w:rPr>
        <w:t xml:space="preserve"> </w:t>
      </w:r>
      <w:r>
        <w:rPr>
          <w:b/>
          <w:w w:val="105"/>
          <w:sz w:val="23"/>
        </w:rPr>
        <w:t>4.</w:t>
      </w:r>
      <w:r>
        <w:rPr>
          <w:b/>
          <w:spacing w:val="-9"/>
          <w:w w:val="105"/>
          <w:sz w:val="23"/>
        </w:rPr>
        <w:t xml:space="preserve"> </w:t>
      </w:r>
      <w:r>
        <w:rPr>
          <w:b/>
          <w:w w:val="105"/>
          <w:sz w:val="23"/>
        </w:rPr>
        <w:t>2:</w:t>
      </w:r>
      <w:r>
        <w:rPr>
          <w:b/>
          <w:spacing w:val="-9"/>
          <w:w w:val="105"/>
          <w:sz w:val="23"/>
        </w:rPr>
        <w:t xml:space="preserve"> </w:t>
      </w:r>
      <w:r>
        <w:rPr>
          <w:b/>
          <w:w w:val="105"/>
          <w:sz w:val="23"/>
        </w:rPr>
        <w:t>Coefficient</w:t>
      </w:r>
      <w:r>
        <w:rPr>
          <w:b/>
          <w:spacing w:val="-8"/>
          <w:w w:val="105"/>
          <w:sz w:val="23"/>
        </w:rPr>
        <w:t xml:space="preserve"> </w:t>
      </w:r>
      <w:r>
        <w:rPr>
          <w:b/>
          <w:w w:val="105"/>
          <w:sz w:val="23"/>
        </w:rPr>
        <w:t>of</w:t>
      </w:r>
      <w:r>
        <w:rPr>
          <w:b/>
          <w:spacing w:val="-7"/>
          <w:w w:val="105"/>
          <w:sz w:val="23"/>
        </w:rPr>
        <w:t xml:space="preserve"> </w:t>
      </w:r>
      <w:r>
        <w:rPr>
          <w:b/>
          <w:spacing w:val="-2"/>
          <w:w w:val="105"/>
          <w:sz w:val="23"/>
        </w:rPr>
        <w:t>Determination.</w:t>
      </w:r>
    </w:p>
    <w:p w:rsidR="00487D64" w:rsidRDefault="00487D64">
      <w:pPr>
        <w:pStyle w:val="BodyText"/>
        <w:spacing w:before="11"/>
        <w:rPr>
          <w:b/>
          <w:sz w:val="11"/>
        </w:rPr>
      </w:pPr>
    </w:p>
    <w:tbl>
      <w:tblPr>
        <w:tblW w:w="0" w:type="auto"/>
        <w:tblInd w:w="1297" w:type="dxa"/>
        <w:tblLayout w:type="fixed"/>
        <w:tblCellMar>
          <w:left w:w="0" w:type="dxa"/>
          <w:right w:w="0" w:type="dxa"/>
        </w:tblCellMar>
        <w:tblLook w:val="01E0" w:firstRow="1" w:lastRow="1" w:firstColumn="1" w:lastColumn="1" w:noHBand="0" w:noVBand="0"/>
      </w:tblPr>
      <w:tblGrid>
        <w:gridCol w:w="1331"/>
        <w:gridCol w:w="2756"/>
        <w:gridCol w:w="4386"/>
      </w:tblGrid>
      <w:tr w:rsidR="00487D64">
        <w:trPr>
          <w:trHeight w:val="551"/>
        </w:trPr>
        <w:tc>
          <w:tcPr>
            <w:tcW w:w="1331" w:type="dxa"/>
            <w:tcBorders>
              <w:top w:val="single" w:sz="4" w:space="0" w:color="000000"/>
              <w:bottom w:val="single" w:sz="4" w:space="0" w:color="000000"/>
            </w:tcBorders>
          </w:tcPr>
          <w:p w:rsidR="00487D64" w:rsidRDefault="00487D64">
            <w:pPr>
              <w:pStyle w:val="TableParagraph"/>
            </w:pPr>
          </w:p>
        </w:tc>
        <w:tc>
          <w:tcPr>
            <w:tcW w:w="2756" w:type="dxa"/>
            <w:tcBorders>
              <w:top w:val="single" w:sz="4" w:space="0" w:color="000000"/>
              <w:bottom w:val="single" w:sz="4" w:space="0" w:color="000000"/>
            </w:tcBorders>
          </w:tcPr>
          <w:p w:rsidR="00487D64" w:rsidRDefault="006F0D93">
            <w:pPr>
              <w:pStyle w:val="TableParagraph"/>
              <w:spacing w:before="14"/>
              <w:ind w:right="412"/>
              <w:jc w:val="center"/>
              <w:rPr>
                <w:b/>
                <w:sz w:val="23"/>
              </w:rPr>
            </w:pPr>
            <w:r>
              <w:rPr>
                <w:b/>
                <w:sz w:val="23"/>
              </w:rPr>
              <w:t>R-</w:t>
            </w:r>
            <w:r>
              <w:rPr>
                <w:b/>
                <w:spacing w:val="-2"/>
                <w:sz w:val="23"/>
              </w:rPr>
              <w:t>square</w:t>
            </w:r>
          </w:p>
        </w:tc>
        <w:tc>
          <w:tcPr>
            <w:tcW w:w="4386" w:type="dxa"/>
            <w:tcBorders>
              <w:top w:val="single" w:sz="4" w:space="0" w:color="000000"/>
              <w:bottom w:val="single" w:sz="4" w:space="0" w:color="000000"/>
            </w:tcBorders>
          </w:tcPr>
          <w:p w:rsidR="00487D64" w:rsidRDefault="006F0D93">
            <w:pPr>
              <w:pStyle w:val="TableParagraph"/>
              <w:spacing w:before="14"/>
              <w:ind w:right="274"/>
              <w:jc w:val="center"/>
              <w:rPr>
                <w:b/>
                <w:sz w:val="23"/>
              </w:rPr>
            </w:pPr>
            <w:r>
              <w:rPr>
                <w:b/>
                <w:sz w:val="23"/>
              </w:rPr>
              <w:t>R-square</w:t>
            </w:r>
            <w:r>
              <w:rPr>
                <w:b/>
                <w:spacing w:val="29"/>
                <w:sz w:val="23"/>
              </w:rPr>
              <w:t xml:space="preserve"> </w:t>
            </w:r>
            <w:r>
              <w:rPr>
                <w:b/>
                <w:spacing w:val="-2"/>
                <w:sz w:val="23"/>
              </w:rPr>
              <w:t>adjusted</w:t>
            </w:r>
          </w:p>
        </w:tc>
      </w:tr>
      <w:tr w:rsidR="00487D64">
        <w:trPr>
          <w:trHeight w:val="559"/>
        </w:trPr>
        <w:tc>
          <w:tcPr>
            <w:tcW w:w="1331" w:type="dxa"/>
            <w:tcBorders>
              <w:top w:val="single" w:sz="4" w:space="0" w:color="000000"/>
              <w:bottom w:val="single" w:sz="4" w:space="0" w:color="000000"/>
            </w:tcBorders>
          </w:tcPr>
          <w:p w:rsidR="00487D64" w:rsidRDefault="006F0D93">
            <w:pPr>
              <w:pStyle w:val="TableParagraph"/>
              <w:spacing w:before="21"/>
              <w:ind w:left="129"/>
              <w:rPr>
                <w:b/>
                <w:sz w:val="23"/>
              </w:rPr>
            </w:pPr>
            <w:r>
              <w:rPr>
                <w:b/>
                <w:spacing w:val="-5"/>
                <w:w w:val="105"/>
                <w:sz w:val="23"/>
              </w:rPr>
              <w:t>SC</w:t>
            </w:r>
          </w:p>
        </w:tc>
        <w:tc>
          <w:tcPr>
            <w:tcW w:w="2756" w:type="dxa"/>
            <w:tcBorders>
              <w:top w:val="single" w:sz="4" w:space="0" w:color="000000"/>
              <w:bottom w:val="single" w:sz="4" w:space="0" w:color="000000"/>
            </w:tcBorders>
          </w:tcPr>
          <w:p w:rsidR="00487D64" w:rsidRDefault="006F0D93">
            <w:pPr>
              <w:pStyle w:val="TableParagraph"/>
              <w:spacing w:before="14"/>
              <w:ind w:left="6" w:right="412"/>
              <w:jc w:val="center"/>
              <w:rPr>
                <w:sz w:val="23"/>
              </w:rPr>
            </w:pPr>
            <w:r>
              <w:rPr>
                <w:spacing w:val="-2"/>
                <w:w w:val="105"/>
                <w:sz w:val="23"/>
              </w:rPr>
              <w:t>0.908</w:t>
            </w:r>
          </w:p>
        </w:tc>
        <w:tc>
          <w:tcPr>
            <w:tcW w:w="4386" w:type="dxa"/>
            <w:tcBorders>
              <w:top w:val="single" w:sz="4" w:space="0" w:color="000000"/>
              <w:bottom w:val="single" w:sz="4" w:space="0" w:color="000000"/>
            </w:tcBorders>
          </w:tcPr>
          <w:p w:rsidR="00487D64" w:rsidRDefault="006F0D93">
            <w:pPr>
              <w:pStyle w:val="TableParagraph"/>
              <w:spacing w:before="14"/>
              <w:ind w:left="2" w:right="274"/>
              <w:jc w:val="center"/>
              <w:rPr>
                <w:sz w:val="23"/>
              </w:rPr>
            </w:pPr>
            <w:r>
              <w:rPr>
                <w:spacing w:val="-2"/>
                <w:w w:val="105"/>
                <w:sz w:val="23"/>
              </w:rPr>
              <w:t>0.888</w:t>
            </w:r>
          </w:p>
        </w:tc>
      </w:tr>
    </w:tbl>
    <w:p w:rsidR="00487D64" w:rsidRDefault="006F0D93">
      <w:pPr>
        <w:ind w:left="1419"/>
        <w:jc w:val="both"/>
        <w:rPr>
          <w:sz w:val="23"/>
        </w:rPr>
      </w:pPr>
      <w:r>
        <w:rPr>
          <w:b/>
          <w:sz w:val="23"/>
        </w:rPr>
        <w:t>Source:</w:t>
      </w:r>
      <w:r>
        <w:rPr>
          <w:b/>
          <w:spacing w:val="25"/>
          <w:sz w:val="23"/>
        </w:rPr>
        <w:t xml:space="preserve"> </w:t>
      </w:r>
      <w:r>
        <w:rPr>
          <w:sz w:val="23"/>
        </w:rPr>
        <w:t>Survey</w:t>
      </w:r>
      <w:r>
        <w:rPr>
          <w:spacing w:val="27"/>
          <w:sz w:val="23"/>
        </w:rPr>
        <w:t xml:space="preserve"> </w:t>
      </w:r>
      <w:r>
        <w:rPr>
          <w:sz w:val="23"/>
        </w:rPr>
        <w:t>Results</w:t>
      </w:r>
      <w:r>
        <w:rPr>
          <w:spacing w:val="24"/>
          <w:sz w:val="23"/>
        </w:rPr>
        <w:t xml:space="preserve"> </w:t>
      </w:r>
      <w:r>
        <w:rPr>
          <w:spacing w:val="-4"/>
          <w:sz w:val="23"/>
        </w:rPr>
        <w:t>2025</w:t>
      </w:r>
    </w:p>
    <w:p w:rsidR="00487D64" w:rsidRDefault="00487D64">
      <w:pPr>
        <w:pStyle w:val="BodyText"/>
      </w:pPr>
    </w:p>
    <w:p w:rsidR="00487D64" w:rsidRDefault="00487D64">
      <w:pPr>
        <w:pStyle w:val="BodyText"/>
        <w:spacing w:before="41"/>
      </w:pPr>
    </w:p>
    <w:p w:rsidR="00487D64" w:rsidRDefault="006F0D93">
      <w:pPr>
        <w:pStyle w:val="BodyText"/>
        <w:spacing w:line="501" w:lineRule="auto"/>
        <w:ind w:left="1419" w:right="849"/>
        <w:jc w:val="both"/>
      </w:pPr>
      <w:r>
        <w:rPr>
          <w:w w:val="105"/>
        </w:rPr>
        <w:t>From Table 4.2, the R² value obtained was 0.908, indicating that approximately 90.8% of the variance in sustainable</w:t>
      </w:r>
      <w:r>
        <w:rPr>
          <w:w w:val="105"/>
        </w:rPr>
        <w:t xml:space="preserve"> competitiveness can be explained by the predictor variables included in the model. Additionally, the adjusted R² value was 0.888, which adjusts for the number of predictors in the model, providing a more conservative estimate of explanatory power. This st</w:t>
      </w:r>
      <w:r>
        <w:rPr>
          <w:w w:val="105"/>
        </w:rPr>
        <w:t>ill reflects a strong model fit, suggesting that the constructs used in the pilot (i.e., Market Orientation dimensions and</w:t>
      </w:r>
      <w:r>
        <w:rPr>
          <w:spacing w:val="40"/>
          <w:w w:val="105"/>
        </w:rPr>
        <w:t xml:space="preserve"> </w:t>
      </w:r>
      <w:r>
        <w:rPr>
          <w:w w:val="105"/>
        </w:rPr>
        <w:t>Strategic</w:t>
      </w:r>
      <w:r>
        <w:rPr>
          <w:spacing w:val="40"/>
          <w:w w:val="105"/>
        </w:rPr>
        <w:t xml:space="preserve"> </w:t>
      </w:r>
      <w:r>
        <w:rPr>
          <w:w w:val="105"/>
        </w:rPr>
        <w:t>Flexibility)</w:t>
      </w:r>
      <w:r>
        <w:rPr>
          <w:spacing w:val="40"/>
          <w:w w:val="105"/>
        </w:rPr>
        <w:t xml:space="preserve"> </w:t>
      </w:r>
      <w:r>
        <w:rPr>
          <w:w w:val="105"/>
        </w:rPr>
        <w:t>collectively</w:t>
      </w:r>
      <w:r>
        <w:rPr>
          <w:spacing w:val="40"/>
          <w:w w:val="105"/>
        </w:rPr>
        <w:t xml:space="preserve"> </w:t>
      </w:r>
      <w:r>
        <w:rPr>
          <w:w w:val="105"/>
        </w:rPr>
        <w:t>account</w:t>
      </w:r>
      <w:r>
        <w:rPr>
          <w:spacing w:val="40"/>
          <w:w w:val="105"/>
        </w:rPr>
        <w:t xml:space="preserve"> </w:t>
      </w:r>
      <w:r>
        <w:rPr>
          <w:w w:val="105"/>
        </w:rPr>
        <w:t>for</w:t>
      </w:r>
      <w:r>
        <w:rPr>
          <w:spacing w:val="40"/>
          <w:w w:val="105"/>
        </w:rPr>
        <w:t xml:space="preserve"> </w:t>
      </w:r>
      <w:r>
        <w:rPr>
          <w:w w:val="105"/>
        </w:rPr>
        <w:t>a</w:t>
      </w:r>
      <w:r>
        <w:rPr>
          <w:spacing w:val="40"/>
          <w:w w:val="105"/>
        </w:rPr>
        <w:t xml:space="preserve"> </w:t>
      </w:r>
      <w:r>
        <w:rPr>
          <w:w w:val="105"/>
        </w:rPr>
        <w:t>substantial</w:t>
      </w:r>
      <w:r>
        <w:rPr>
          <w:spacing w:val="40"/>
          <w:w w:val="105"/>
        </w:rPr>
        <w:t xml:space="preserve"> </w:t>
      </w:r>
      <w:r>
        <w:rPr>
          <w:w w:val="105"/>
        </w:rPr>
        <w:t>proportion</w:t>
      </w:r>
      <w:r>
        <w:rPr>
          <w:spacing w:val="40"/>
          <w:w w:val="105"/>
        </w:rPr>
        <w:t xml:space="preserve"> </w:t>
      </w:r>
      <w:r>
        <w:rPr>
          <w:w w:val="105"/>
        </w:rPr>
        <w:t>of</w:t>
      </w:r>
      <w:r>
        <w:rPr>
          <w:spacing w:val="39"/>
          <w:w w:val="105"/>
        </w:rPr>
        <w:t xml:space="preserve"> </w:t>
      </w:r>
      <w:r>
        <w:rPr>
          <w:w w:val="105"/>
        </w:rPr>
        <w:t>the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5"/>
        <w:jc w:val="both"/>
      </w:pPr>
      <w:r>
        <w:rPr>
          <w:w w:val="105"/>
        </w:rPr>
        <w:t>variability in sustainable</w:t>
      </w:r>
      <w:r>
        <w:rPr>
          <w:w w:val="105"/>
        </w:rPr>
        <w:t xml:space="preserve"> competitiveness among the special group SMEs. These findings support the continuation of full-scale data collection.</w:t>
      </w:r>
    </w:p>
    <w:p w:rsidR="00487D64" w:rsidRDefault="00487D64">
      <w:pPr>
        <w:pStyle w:val="BodyText"/>
        <w:spacing w:before="253"/>
      </w:pPr>
    </w:p>
    <w:p w:rsidR="00487D64" w:rsidRDefault="006F0D93">
      <w:pPr>
        <w:pStyle w:val="ListParagraph"/>
        <w:numPr>
          <w:ilvl w:val="2"/>
          <w:numId w:val="9"/>
        </w:numPr>
        <w:tabs>
          <w:tab w:val="left" w:pos="2125"/>
        </w:tabs>
        <w:ind w:left="2125" w:hanging="706"/>
        <w:rPr>
          <w:b/>
          <w:sz w:val="23"/>
        </w:rPr>
      </w:pPr>
      <w:bookmarkStart w:id="136" w:name="4.2.3_Pilot_Study_Results:_Examining_the"/>
      <w:bookmarkStart w:id="137" w:name="_bookmark67"/>
      <w:bookmarkEnd w:id="136"/>
      <w:bookmarkEnd w:id="137"/>
      <w:r>
        <w:rPr>
          <w:b/>
          <w:w w:val="105"/>
          <w:sz w:val="23"/>
        </w:rPr>
        <w:t>Pilot</w:t>
      </w:r>
      <w:r>
        <w:rPr>
          <w:b/>
          <w:spacing w:val="-10"/>
          <w:w w:val="105"/>
          <w:sz w:val="23"/>
        </w:rPr>
        <w:t xml:space="preserve"> </w:t>
      </w:r>
      <w:r>
        <w:rPr>
          <w:b/>
          <w:w w:val="105"/>
          <w:sz w:val="23"/>
        </w:rPr>
        <w:t>Study</w:t>
      </w:r>
      <w:r>
        <w:rPr>
          <w:b/>
          <w:spacing w:val="-11"/>
          <w:w w:val="105"/>
          <w:sz w:val="23"/>
        </w:rPr>
        <w:t xml:space="preserve"> </w:t>
      </w:r>
      <w:r>
        <w:rPr>
          <w:b/>
          <w:w w:val="105"/>
          <w:sz w:val="23"/>
        </w:rPr>
        <w:t>Results:</w:t>
      </w:r>
      <w:r>
        <w:rPr>
          <w:b/>
          <w:spacing w:val="-7"/>
          <w:w w:val="105"/>
          <w:sz w:val="23"/>
        </w:rPr>
        <w:t xml:space="preserve"> </w:t>
      </w:r>
      <w:r>
        <w:rPr>
          <w:b/>
          <w:w w:val="105"/>
          <w:sz w:val="23"/>
        </w:rPr>
        <w:t>Examining</w:t>
      </w:r>
      <w:r>
        <w:rPr>
          <w:b/>
          <w:spacing w:val="-11"/>
          <w:w w:val="105"/>
          <w:sz w:val="23"/>
        </w:rPr>
        <w:t xml:space="preserve"> </w:t>
      </w:r>
      <w:r>
        <w:rPr>
          <w:b/>
          <w:w w:val="105"/>
          <w:sz w:val="23"/>
        </w:rPr>
        <w:t>the</w:t>
      </w:r>
      <w:r>
        <w:rPr>
          <w:b/>
          <w:spacing w:val="-6"/>
          <w:w w:val="105"/>
          <w:sz w:val="23"/>
        </w:rPr>
        <w:t xml:space="preserve"> </w:t>
      </w:r>
      <w:r>
        <w:rPr>
          <w:b/>
          <w:w w:val="105"/>
          <w:sz w:val="23"/>
        </w:rPr>
        <w:t>Significance</w:t>
      </w:r>
      <w:r>
        <w:rPr>
          <w:b/>
          <w:spacing w:val="-13"/>
          <w:w w:val="105"/>
          <w:sz w:val="23"/>
        </w:rPr>
        <w:t xml:space="preserve"> </w:t>
      </w:r>
      <w:r>
        <w:rPr>
          <w:b/>
          <w:w w:val="105"/>
          <w:sz w:val="23"/>
        </w:rPr>
        <w:t>of</w:t>
      </w:r>
      <w:r>
        <w:rPr>
          <w:b/>
          <w:spacing w:val="-13"/>
          <w:w w:val="105"/>
          <w:sz w:val="23"/>
        </w:rPr>
        <w:t xml:space="preserve"> </w:t>
      </w:r>
      <w:r>
        <w:rPr>
          <w:b/>
          <w:w w:val="105"/>
          <w:sz w:val="23"/>
        </w:rPr>
        <w:t>Path</w:t>
      </w:r>
      <w:r>
        <w:rPr>
          <w:b/>
          <w:spacing w:val="-15"/>
          <w:w w:val="105"/>
          <w:sz w:val="23"/>
        </w:rPr>
        <w:t xml:space="preserve"> </w:t>
      </w:r>
      <w:r>
        <w:rPr>
          <w:b/>
          <w:spacing w:val="-2"/>
          <w:w w:val="105"/>
          <w:sz w:val="23"/>
        </w:rPr>
        <w:t>Coefficient</w:t>
      </w:r>
    </w:p>
    <w:p w:rsidR="00487D64" w:rsidRDefault="00487D64">
      <w:pPr>
        <w:pStyle w:val="BodyText"/>
        <w:spacing w:before="18"/>
        <w:rPr>
          <w:b/>
        </w:rPr>
      </w:pPr>
    </w:p>
    <w:p w:rsidR="00487D64" w:rsidRDefault="006F0D93">
      <w:pPr>
        <w:pStyle w:val="BodyText"/>
        <w:spacing w:before="1" w:line="499" w:lineRule="auto"/>
        <w:ind w:left="1419" w:right="844"/>
        <w:jc w:val="both"/>
      </w:pPr>
      <w:r>
        <w:rPr>
          <w:w w:val="105"/>
        </w:rPr>
        <w:t>The</w:t>
      </w:r>
      <w:r>
        <w:rPr>
          <w:spacing w:val="-2"/>
          <w:w w:val="105"/>
        </w:rPr>
        <w:t xml:space="preserve"> </w:t>
      </w:r>
      <w:r>
        <w:rPr>
          <w:w w:val="105"/>
        </w:rPr>
        <w:t>pilot study employed Partial Least Squares</w:t>
      </w:r>
      <w:r>
        <w:rPr>
          <w:spacing w:val="-3"/>
          <w:w w:val="105"/>
        </w:rPr>
        <w:t xml:space="preserve"> </w:t>
      </w:r>
      <w:r>
        <w:rPr>
          <w:w w:val="105"/>
        </w:rPr>
        <w:t>Structural Equation M</w:t>
      </w:r>
      <w:r>
        <w:rPr>
          <w:w w:val="105"/>
        </w:rPr>
        <w:t>odeling</w:t>
      </w:r>
      <w:r>
        <w:rPr>
          <w:spacing w:val="-2"/>
          <w:w w:val="105"/>
        </w:rPr>
        <w:t xml:space="preserve"> </w:t>
      </w:r>
      <w:r>
        <w:rPr>
          <w:w w:val="105"/>
        </w:rPr>
        <w:t>(PLS- SEM) to assess the hypothesized relationships among the constructs: Customer Orientation (CU)</w:t>
      </w:r>
      <w:r>
        <w:rPr>
          <w:b/>
          <w:w w:val="105"/>
        </w:rPr>
        <w:t xml:space="preserve">, </w:t>
      </w:r>
      <w:r>
        <w:rPr>
          <w:w w:val="105"/>
        </w:rPr>
        <w:t>Competitor Orientation (CO)</w:t>
      </w:r>
      <w:r>
        <w:rPr>
          <w:b/>
          <w:w w:val="105"/>
        </w:rPr>
        <w:t xml:space="preserve">, </w:t>
      </w:r>
      <w:r>
        <w:rPr>
          <w:w w:val="105"/>
        </w:rPr>
        <w:t>Functional Coordination (FC)</w:t>
      </w:r>
      <w:r>
        <w:rPr>
          <w:b/>
          <w:w w:val="105"/>
        </w:rPr>
        <w:t xml:space="preserve">, </w:t>
      </w:r>
      <w:r>
        <w:rPr>
          <w:w w:val="105"/>
        </w:rPr>
        <w:t>Strategic</w:t>
      </w:r>
      <w:r>
        <w:rPr>
          <w:spacing w:val="-8"/>
          <w:w w:val="105"/>
        </w:rPr>
        <w:t xml:space="preserve"> </w:t>
      </w:r>
      <w:r>
        <w:rPr>
          <w:w w:val="105"/>
        </w:rPr>
        <w:t>Flexibility</w:t>
      </w:r>
      <w:r>
        <w:rPr>
          <w:spacing w:val="-13"/>
          <w:w w:val="105"/>
        </w:rPr>
        <w:t xml:space="preserve"> </w:t>
      </w:r>
      <w:r>
        <w:rPr>
          <w:w w:val="105"/>
        </w:rPr>
        <w:t>(SF)</w:t>
      </w:r>
      <w:r>
        <w:rPr>
          <w:b/>
          <w:w w:val="105"/>
        </w:rPr>
        <w:t>,</w:t>
      </w:r>
      <w:r>
        <w:rPr>
          <w:b/>
          <w:spacing w:val="-12"/>
          <w:w w:val="105"/>
        </w:rPr>
        <w:t xml:space="preserve"> </w:t>
      </w:r>
      <w:r>
        <w:rPr>
          <w:w w:val="105"/>
        </w:rPr>
        <w:t>and</w:t>
      </w:r>
      <w:r>
        <w:rPr>
          <w:spacing w:val="-6"/>
          <w:w w:val="105"/>
        </w:rPr>
        <w:t xml:space="preserve"> </w:t>
      </w:r>
      <w:r>
        <w:rPr>
          <w:w w:val="105"/>
        </w:rPr>
        <w:t>Sustainable</w:t>
      </w:r>
      <w:r>
        <w:rPr>
          <w:spacing w:val="-8"/>
          <w:w w:val="105"/>
        </w:rPr>
        <w:t xml:space="preserve"> </w:t>
      </w:r>
      <w:r>
        <w:rPr>
          <w:w w:val="105"/>
        </w:rPr>
        <w:t>Competitiveness</w:t>
      </w:r>
      <w:r>
        <w:rPr>
          <w:spacing w:val="-9"/>
          <w:w w:val="105"/>
        </w:rPr>
        <w:t xml:space="preserve"> </w:t>
      </w:r>
      <w:r>
        <w:rPr>
          <w:w w:val="105"/>
        </w:rPr>
        <w:t>(SC).</w:t>
      </w:r>
      <w:r>
        <w:rPr>
          <w:spacing w:val="-5"/>
          <w:w w:val="105"/>
        </w:rPr>
        <w:t xml:space="preserve"> </w:t>
      </w:r>
      <w:r>
        <w:rPr>
          <w:w w:val="105"/>
        </w:rPr>
        <w:t>As</w:t>
      </w:r>
      <w:r>
        <w:rPr>
          <w:spacing w:val="-3"/>
          <w:w w:val="105"/>
        </w:rPr>
        <w:t xml:space="preserve"> </w:t>
      </w:r>
      <w:r>
        <w:rPr>
          <w:w w:val="105"/>
        </w:rPr>
        <w:t>shown</w:t>
      </w:r>
      <w:r>
        <w:rPr>
          <w:spacing w:val="-7"/>
          <w:w w:val="105"/>
        </w:rPr>
        <w:t xml:space="preserve"> </w:t>
      </w:r>
      <w:r>
        <w:rPr>
          <w:w w:val="105"/>
        </w:rPr>
        <w:t>in</w:t>
      </w:r>
      <w:r>
        <w:rPr>
          <w:spacing w:val="-7"/>
          <w:w w:val="105"/>
        </w:rPr>
        <w:t xml:space="preserve"> </w:t>
      </w:r>
      <w:r>
        <w:rPr>
          <w:w w:val="105"/>
        </w:rPr>
        <w:t xml:space="preserve">Figure </w:t>
      </w:r>
      <w:r>
        <w:rPr>
          <w:spacing w:val="-4"/>
          <w:w w:val="105"/>
        </w:rPr>
        <w:t>4.1.</w:t>
      </w:r>
    </w:p>
    <w:p w:rsidR="00487D64" w:rsidRDefault="006F0D93">
      <w:pPr>
        <w:pStyle w:val="BodyText"/>
        <w:spacing w:before="7"/>
        <w:rPr>
          <w:sz w:val="19"/>
        </w:rPr>
      </w:pPr>
      <w:r>
        <w:rPr>
          <w:noProof/>
          <w:sz w:val="19"/>
        </w:rPr>
        <w:drawing>
          <wp:anchor distT="0" distB="0" distL="0" distR="0" simplePos="0" relativeHeight="487589376" behindDoc="1" locked="0" layoutInCell="1" allowOverlap="1">
            <wp:simplePos x="0" y="0"/>
            <wp:positionH relativeFrom="page">
              <wp:posOffset>1446017</wp:posOffset>
            </wp:positionH>
            <wp:positionV relativeFrom="paragraph">
              <wp:posOffset>158860</wp:posOffset>
            </wp:positionV>
            <wp:extent cx="5251437" cy="3099244"/>
            <wp:effectExtent l="0" t="0" r="0" b="0"/>
            <wp:wrapTopAndBottom/>
            <wp:docPr id="40" name="Image 40" descr="Description: C:\Users\Denis\AppData\Local\Temp\image1750770466674577608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Description: C:\Users\Denis\AppData\Local\Temp\image17507704666745776084.png"/>
                    <pic:cNvPicPr/>
                  </pic:nvPicPr>
                  <pic:blipFill>
                    <a:blip r:embed="rId9" cstate="print"/>
                    <a:stretch>
                      <a:fillRect/>
                    </a:stretch>
                  </pic:blipFill>
                  <pic:spPr>
                    <a:xfrm>
                      <a:off x="0" y="0"/>
                      <a:ext cx="5251437" cy="3099244"/>
                    </a:xfrm>
                    <a:prstGeom prst="rect">
                      <a:avLst/>
                    </a:prstGeom>
                  </pic:spPr>
                </pic:pic>
              </a:graphicData>
            </a:graphic>
          </wp:anchor>
        </w:drawing>
      </w:r>
    </w:p>
    <w:p w:rsidR="00487D64" w:rsidRDefault="00487D64">
      <w:pPr>
        <w:pStyle w:val="BodyText"/>
        <w:spacing w:before="130"/>
      </w:pPr>
    </w:p>
    <w:p w:rsidR="00487D64" w:rsidRDefault="006F0D93">
      <w:pPr>
        <w:ind w:left="1419"/>
        <w:jc w:val="both"/>
        <w:rPr>
          <w:b/>
          <w:sz w:val="23"/>
        </w:rPr>
      </w:pPr>
      <w:r>
        <w:rPr>
          <w:b/>
          <w:w w:val="105"/>
          <w:sz w:val="23"/>
        </w:rPr>
        <w:t>Figure</w:t>
      </w:r>
      <w:r>
        <w:rPr>
          <w:b/>
          <w:spacing w:val="-11"/>
          <w:w w:val="105"/>
          <w:sz w:val="23"/>
        </w:rPr>
        <w:t xml:space="preserve"> </w:t>
      </w:r>
      <w:r>
        <w:rPr>
          <w:b/>
          <w:w w:val="105"/>
          <w:sz w:val="23"/>
        </w:rPr>
        <w:t>4.</w:t>
      </w:r>
      <w:r>
        <w:rPr>
          <w:b/>
          <w:spacing w:val="-13"/>
          <w:w w:val="105"/>
          <w:sz w:val="23"/>
        </w:rPr>
        <w:t xml:space="preserve"> </w:t>
      </w:r>
      <w:r>
        <w:rPr>
          <w:b/>
          <w:w w:val="105"/>
          <w:sz w:val="23"/>
        </w:rPr>
        <w:t>1:</w:t>
      </w:r>
      <w:r>
        <w:rPr>
          <w:b/>
          <w:spacing w:val="-6"/>
          <w:w w:val="105"/>
          <w:sz w:val="23"/>
        </w:rPr>
        <w:t xml:space="preserve"> </w:t>
      </w:r>
      <w:r>
        <w:rPr>
          <w:b/>
          <w:w w:val="105"/>
          <w:sz w:val="23"/>
        </w:rPr>
        <w:t>Significance</w:t>
      </w:r>
      <w:r>
        <w:rPr>
          <w:b/>
          <w:spacing w:val="-10"/>
          <w:w w:val="105"/>
          <w:sz w:val="23"/>
        </w:rPr>
        <w:t xml:space="preserve"> </w:t>
      </w:r>
      <w:r>
        <w:rPr>
          <w:b/>
          <w:w w:val="105"/>
          <w:sz w:val="23"/>
        </w:rPr>
        <w:t>of</w:t>
      </w:r>
      <w:r>
        <w:rPr>
          <w:b/>
          <w:spacing w:val="-13"/>
          <w:w w:val="105"/>
          <w:sz w:val="23"/>
        </w:rPr>
        <w:t xml:space="preserve"> </w:t>
      </w:r>
      <w:r>
        <w:rPr>
          <w:b/>
          <w:w w:val="105"/>
          <w:sz w:val="23"/>
        </w:rPr>
        <w:t>Path</w:t>
      </w:r>
      <w:r>
        <w:rPr>
          <w:b/>
          <w:spacing w:val="-8"/>
          <w:w w:val="105"/>
          <w:sz w:val="23"/>
        </w:rPr>
        <w:t xml:space="preserve"> </w:t>
      </w:r>
      <w:r>
        <w:rPr>
          <w:b/>
          <w:w w:val="105"/>
          <w:sz w:val="23"/>
        </w:rPr>
        <w:t>Coefficient</w:t>
      </w:r>
      <w:r>
        <w:rPr>
          <w:b/>
          <w:spacing w:val="-7"/>
          <w:w w:val="105"/>
          <w:sz w:val="23"/>
        </w:rPr>
        <w:t xml:space="preserve"> </w:t>
      </w:r>
      <w:r>
        <w:rPr>
          <w:b/>
          <w:w w:val="105"/>
          <w:sz w:val="23"/>
        </w:rPr>
        <w:t>after</w:t>
      </w:r>
      <w:r>
        <w:rPr>
          <w:b/>
          <w:spacing w:val="-10"/>
          <w:w w:val="105"/>
          <w:sz w:val="23"/>
        </w:rPr>
        <w:t xml:space="preserve"> </w:t>
      </w:r>
      <w:r>
        <w:rPr>
          <w:b/>
          <w:w w:val="105"/>
          <w:sz w:val="23"/>
        </w:rPr>
        <w:t>Running</w:t>
      </w:r>
      <w:r>
        <w:rPr>
          <w:b/>
          <w:spacing w:val="-10"/>
          <w:w w:val="105"/>
          <w:sz w:val="23"/>
        </w:rPr>
        <w:t xml:space="preserve"> </w:t>
      </w:r>
      <w:r>
        <w:rPr>
          <w:b/>
          <w:spacing w:val="-2"/>
          <w:w w:val="105"/>
          <w:sz w:val="23"/>
        </w:rPr>
        <w:t>Bootstrapping</w:t>
      </w:r>
    </w:p>
    <w:p w:rsidR="00487D64" w:rsidRDefault="00487D64">
      <w:pPr>
        <w:pStyle w:val="BodyText"/>
        <w:rPr>
          <w:b/>
        </w:rPr>
      </w:pPr>
    </w:p>
    <w:p w:rsidR="00487D64" w:rsidRDefault="00487D64">
      <w:pPr>
        <w:pStyle w:val="BodyText"/>
        <w:spacing w:before="164"/>
        <w:rPr>
          <w:b/>
        </w:rPr>
      </w:pPr>
    </w:p>
    <w:p w:rsidR="00487D64" w:rsidRDefault="006F0D93">
      <w:pPr>
        <w:pStyle w:val="BodyText"/>
        <w:spacing w:line="499" w:lineRule="auto"/>
        <w:ind w:left="1419" w:right="865"/>
        <w:jc w:val="both"/>
      </w:pPr>
      <w:r>
        <w:rPr>
          <w:w w:val="105"/>
        </w:rPr>
        <w:t>As illustrated in the model, the structural path analysis revealed strong predictive power for Sustainable Competitiveness, with an R² value of 0.908, indicating that 90.8%</w:t>
      </w:r>
      <w:r>
        <w:rPr>
          <w:spacing w:val="57"/>
          <w:w w:val="105"/>
        </w:rPr>
        <w:t xml:space="preserve"> </w:t>
      </w:r>
      <w:r>
        <w:rPr>
          <w:w w:val="105"/>
        </w:rPr>
        <w:t>of</w:t>
      </w:r>
      <w:r>
        <w:rPr>
          <w:spacing w:val="61"/>
          <w:w w:val="105"/>
        </w:rPr>
        <w:t xml:space="preserve"> </w:t>
      </w:r>
      <w:r>
        <w:rPr>
          <w:w w:val="105"/>
        </w:rPr>
        <w:t>the</w:t>
      </w:r>
      <w:r>
        <w:rPr>
          <w:spacing w:val="63"/>
          <w:w w:val="105"/>
        </w:rPr>
        <w:t xml:space="preserve"> </w:t>
      </w:r>
      <w:r>
        <w:rPr>
          <w:w w:val="105"/>
        </w:rPr>
        <w:t>variance</w:t>
      </w:r>
      <w:r>
        <w:rPr>
          <w:spacing w:val="63"/>
          <w:w w:val="105"/>
        </w:rPr>
        <w:t xml:space="preserve"> </w:t>
      </w:r>
      <w:r>
        <w:rPr>
          <w:w w:val="105"/>
        </w:rPr>
        <w:t>in</w:t>
      </w:r>
      <w:r>
        <w:rPr>
          <w:spacing w:val="58"/>
          <w:w w:val="105"/>
        </w:rPr>
        <w:t xml:space="preserve"> </w:t>
      </w:r>
      <w:r>
        <w:rPr>
          <w:w w:val="105"/>
        </w:rPr>
        <w:t>SC</w:t>
      </w:r>
      <w:r>
        <w:rPr>
          <w:spacing w:val="67"/>
          <w:w w:val="105"/>
        </w:rPr>
        <w:t xml:space="preserve"> </w:t>
      </w:r>
      <w:r>
        <w:rPr>
          <w:w w:val="105"/>
        </w:rPr>
        <w:t>was</w:t>
      </w:r>
      <w:r>
        <w:rPr>
          <w:spacing w:val="63"/>
          <w:w w:val="105"/>
        </w:rPr>
        <w:t xml:space="preserve"> </w:t>
      </w:r>
      <w:r>
        <w:rPr>
          <w:w w:val="105"/>
        </w:rPr>
        <w:t>explained</w:t>
      </w:r>
      <w:r>
        <w:rPr>
          <w:spacing w:val="64"/>
          <w:w w:val="105"/>
        </w:rPr>
        <w:t xml:space="preserve"> </w:t>
      </w:r>
      <w:r>
        <w:rPr>
          <w:w w:val="105"/>
        </w:rPr>
        <w:t>by</w:t>
      </w:r>
      <w:r>
        <w:rPr>
          <w:spacing w:val="65"/>
          <w:w w:val="105"/>
        </w:rPr>
        <w:t xml:space="preserve"> </w:t>
      </w:r>
      <w:r>
        <w:rPr>
          <w:w w:val="105"/>
        </w:rPr>
        <w:t>the</w:t>
      </w:r>
      <w:r>
        <w:rPr>
          <w:spacing w:val="63"/>
          <w:w w:val="105"/>
        </w:rPr>
        <w:t xml:space="preserve"> </w:t>
      </w:r>
      <w:r>
        <w:rPr>
          <w:w w:val="105"/>
        </w:rPr>
        <w:t>predictor</w:t>
      </w:r>
      <w:r>
        <w:rPr>
          <w:spacing w:val="67"/>
          <w:w w:val="105"/>
        </w:rPr>
        <w:t xml:space="preserve"> </w:t>
      </w:r>
      <w:r>
        <w:rPr>
          <w:w w:val="105"/>
        </w:rPr>
        <w:t>variables.</w:t>
      </w:r>
      <w:r>
        <w:rPr>
          <w:spacing w:val="66"/>
          <w:w w:val="105"/>
        </w:rPr>
        <w:t xml:space="preserve"> </w:t>
      </w:r>
      <w:r>
        <w:rPr>
          <w:spacing w:val="-2"/>
          <w:w w:val="105"/>
        </w:rPr>
        <w:t>Direct</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8"/>
        <w:jc w:val="both"/>
      </w:pPr>
      <w:r>
        <w:rPr>
          <w:w w:val="105"/>
        </w:rPr>
        <w:t>relationships were found to be significant between CU and SC (β = 0.436), CO and SC (β = 0.452), and FC and SC (β = 0.173), suggesting that each dimension</w:t>
      </w:r>
      <w:r>
        <w:rPr>
          <w:w w:val="105"/>
        </w:rPr>
        <w:t xml:space="preserve"> of market orientation positively contributes to sustainable competitiveness. The outer model loadings for all constructs exceeded the recommended threshold of 0.70, affirming indicator reliability and adequate convergent validity. For instance, loadings f</w:t>
      </w:r>
      <w:r>
        <w:rPr>
          <w:w w:val="105"/>
        </w:rPr>
        <w:t>or CU items ranged from 0.802 to 0.935, while SC items demonstrated particularly strong performance, with loadings between 0.823 and 0.966. Based on the</w:t>
      </w:r>
      <w:r>
        <w:rPr>
          <w:spacing w:val="-4"/>
          <w:w w:val="105"/>
        </w:rPr>
        <w:t xml:space="preserve"> </w:t>
      </w:r>
      <w:r>
        <w:rPr>
          <w:w w:val="105"/>
        </w:rPr>
        <w:t>pilot study</w:t>
      </w:r>
      <w:r>
        <w:rPr>
          <w:spacing w:val="-4"/>
          <w:w w:val="105"/>
        </w:rPr>
        <w:t xml:space="preserve"> </w:t>
      </w:r>
      <w:r>
        <w:rPr>
          <w:w w:val="105"/>
        </w:rPr>
        <w:t>data, strategic</w:t>
      </w:r>
      <w:r>
        <w:rPr>
          <w:spacing w:val="-4"/>
          <w:w w:val="105"/>
        </w:rPr>
        <w:t xml:space="preserve"> </w:t>
      </w:r>
      <w:r>
        <w:rPr>
          <w:w w:val="105"/>
        </w:rPr>
        <w:t>flexibility did not</w:t>
      </w:r>
      <w:r>
        <w:rPr>
          <w:spacing w:val="-1"/>
          <w:w w:val="105"/>
        </w:rPr>
        <w:t xml:space="preserve"> </w:t>
      </w:r>
      <w:r>
        <w:rPr>
          <w:w w:val="105"/>
        </w:rPr>
        <w:t>demonstrate</w:t>
      </w:r>
      <w:r>
        <w:rPr>
          <w:spacing w:val="-10"/>
          <w:w w:val="105"/>
        </w:rPr>
        <w:t xml:space="preserve"> </w:t>
      </w:r>
      <w:r>
        <w:rPr>
          <w:w w:val="105"/>
        </w:rPr>
        <w:t>a statistically significant moderating role</w:t>
      </w:r>
      <w:r>
        <w:rPr>
          <w:w w:val="105"/>
        </w:rPr>
        <w:t xml:space="preserve"> in the relationships tested. However, the near-threshold values of some interaction effects suggest the potential for meaningful moderation effects in the full-scale study with the complete dataset. It is important to note that the data collected during t</w:t>
      </w:r>
      <w:r>
        <w:rPr>
          <w:w w:val="105"/>
        </w:rPr>
        <w:t>he pilot study were not incorporated into the final analysis of the main study. The</w:t>
      </w:r>
      <w:r>
        <w:rPr>
          <w:spacing w:val="-1"/>
          <w:w w:val="105"/>
        </w:rPr>
        <w:t xml:space="preserve"> </w:t>
      </w:r>
      <w:r>
        <w:rPr>
          <w:w w:val="105"/>
        </w:rPr>
        <w:t>response</w:t>
      </w:r>
      <w:r>
        <w:rPr>
          <w:spacing w:val="-1"/>
          <w:w w:val="105"/>
        </w:rPr>
        <w:t xml:space="preserve"> </w:t>
      </w:r>
      <w:r>
        <w:rPr>
          <w:w w:val="105"/>
        </w:rPr>
        <w:t>rate for the</w:t>
      </w:r>
      <w:r>
        <w:rPr>
          <w:spacing w:val="-1"/>
          <w:w w:val="105"/>
        </w:rPr>
        <w:t xml:space="preserve"> </w:t>
      </w:r>
      <w:r>
        <w:rPr>
          <w:w w:val="105"/>
        </w:rPr>
        <w:t>actual data collection is presented further.</w:t>
      </w:r>
    </w:p>
    <w:p w:rsidR="00487D64" w:rsidRDefault="00487D64">
      <w:pPr>
        <w:pStyle w:val="BodyText"/>
        <w:spacing w:before="250"/>
      </w:pPr>
    </w:p>
    <w:p w:rsidR="00487D64" w:rsidRDefault="006F0D93">
      <w:pPr>
        <w:pStyle w:val="ListParagraph"/>
        <w:numPr>
          <w:ilvl w:val="1"/>
          <w:numId w:val="9"/>
        </w:numPr>
        <w:tabs>
          <w:tab w:val="left" w:pos="1988"/>
        </w:tabs>
        <w:ind w:left="1988" w:hanging="569"/>
        <w:rPr>
          <w:b/>
          <w:sz w:val="23"/>
        </w:rPr>
      </w:pPr>
      <w:bookmarkStart w:id="138" w:name="4.3_Rate"/>
      <w:bookmarkStart w:id="139" w:name="_bookmark68"/>
      <w:bookmarkEnd w:id="138"/>
      <w:bookmarkEnd w:id="139"/>
      <w:r>
        <w:rPr>
          <w:b/>
          <w:spacing w:val="-4"/>
          <w:w w:val="105"/>
          <w:sz w:val="23"/>
        </w:rPr>
        <w:t>Rate</w:t>
      </w:r>
    </w:p>
    <w:p w:rsidR="00487D64" w:rsidRDefault="00487D64">
      <w:pPr>
        <w:pStyle w:val="BodyText"/>
        <w:spacing w:before="19"/>
        <w:rPr>
          <w:b/>
        </w:rPr>
      </w:pPr>
    </w:p>
    <w:p w:rsidR="00487D64" w:rsidRDefault="006F0D93">
      <w:pPr>
        <w:pStyle w:val="BodyText"/>
        <w:spacing w:line="501" w:lineRule="auto"/>
        <w:ind w:left="1419" w:right="862"/>
        <w:jc w:val="both"/>
      </w:pPr>
      <w:r>
        <w:rPr>
          <w:w w:val="105"/>
        </w:rPr>
        <w:t>To ensure that the collected data would be useful for analysis, the response rate was carefully mo</w:t>
      </w:r>
      <w:r>
        <w:rPr>
          <w:w w:val="105"/>
        </w:rPr>
        <w:t>nitored. Monitoring the response rate allowed the researcher to gain confidence in the sufficiency of the responses, minimizing the risk of sample bias that could otherwise result in inaccurate conclusions</w:t>
      </w:r>
      <w:r>
        <w:rPr>
          <w:spacing w:val="-2"/>
          <w:w w:val="105"/>
        </w:rPr>
        <w:t xml:space="preserve"> </w:t>
      </w:r>
      <w:r>
        <w:rPr>
          <w:w w:val="105"/>
        </w:rPr>
        <w:t>about the study population.</w:t>
      </w:r>
    </w:p>
    <w:p w:rsidR="00487D64" w:rsidRDefault="006F0D93">
      <w:pPr>
        <w:pStyle w:val="BodyText"/>
        <w:spacing w:before="238" w:line="501" w:lineRule="auto"/>
        <w:ind w:left="1419" w:right="845"/>
        <w:jc w:val="both"/>
      </w:pPr>
      <w:r>
        <w:rPr>
          <w:w w:val="105"/>
        </w:rPr>
        <w:t>To meet the objectives</w:t>
      </w:r>
      <w:r>
        <w:rPr>
          <w:w w:val="105"/>
        </w:rPr>
        <w:t xml:space="preserve"> of this study, the targeted population comprised all 503 registered SMEs listed by the Public Procurement Regulatory Authority (PPRA) as suppliers, service providers, or contractors</w:t>
      </w:r>
      <w:r>
        <w:rPr>
          <w:spacing w:val="-7"/>
          <w:w w:val="105"/>
        </w:rPr>
        <w:t xml:space="preserve"> </w:t>
      </w:r>
      <w:r>
        <w:rPr>
          <w:w w:val="105"/>
        </w:rPr>
        <w:t>as of January</w:t>
      </w:r>
      <w:r>
        <w:rPr>
          <w:spacing w:val="-5"/>
          <w:w w:val="105"/>
        </w:rPr>
        <w:t xml:space="preserve"> </w:t>
      </w:r>
      <w:r>
        <w:rPr>
          <w:w w:val="105"/>
        </w:rPr>
        <w:t>2025.</w:t>
      </w:r>
      <w:r>
        <w:rPr>
          <w:spacing w:val="-3"/>
          <w:w w:val="105"/>
        </w:rPr>
        <w:t xml:space="preserve"> </w:t>
      </w:r>
      <w:r>
        <w:rPr>
          <w:w w:val="105"/>
        </w:rPr>
        <w:t>From</w:t>
      </w:r>
      <w:r>
        <w:rPr>
          <w:spacing w:val="-6"/>
          <w:w w:val="105"/>
        </w:rPr>
        <w:t xml:space="preserve"> </w:t>
      </w:r>
      <w:r>
        <w:rPr>
          <w:w w:val="105"/>
        </w:rPr>
        <w:t>this population, the</w:t>
      </w:r>
      <w:r>
        <w:rPr>
          <w:spacing w:val="40"/>
          <w:w w:val="105"/>
        </w:rPr>
        <w:t xml:space="preserve"> </w:t>
      </w:r>
      <w:r>
        <w:rPr>
          <w:w w:val="105"/>
        </w:rPr>
        <w:t>researcher</w:t>
      </w:r>
      <w:r>
        <w:rPr>
          <w:spacing w:val="40"/>
          <w:w w:val="105"/>
        </w:rPr>
        <w:t xml:space="preserve"> </w:t>
      </w:r>
      <w:r>
        <w:rPr>
          <w:w w:val="105"/>
        </w:rPr>
        <w:t>successfully</w:t>
      </w:r>
      <w:r>
        <w:rPr>
          <w:spacing w:val="40"/>
          <w:w w:val="105"/>
        </w:rPr>
        <w:t xml:space="preserve"> </w:t>
      </w:r>
      <w:r>
        <w:rPr>
          <w:w w:val="105"/>
        </w:rPr>
        <w:t>col</w:t>
      </w:r>
      <w:r>
        <w:rPr>
          <w:w w:val="105"/>
        </w:rPr>
        <w:t>lected</w:t>
      </w:r>
      <w:r>
        <w:rPr>
          <w:spacing w:val="40"/>
          <w:w w:val="105"/>
        </w:rPr>
        <w:t xml:space="preserve"> </w:t>
      </w:r>
      <w:r>
        <w:rPr>
          <w:w w:val="105"/>
        </w:rPr>
        <w:t>data</w:t>
      </w:r>
      <w:r>
        <w:rPr>
          <w:spacing w:val="40"/>
          <w:w w:val="105"/>
        </w:rPr>
        <w:t xml:space="preserve"> </w:t>
      </w:r>
      <w:r>
        <w:rPr>
          <w:w w:val="105"/>
        </w:rPr>
        <w:t>from</w:t>
      </w:r>
      <w:r>
        <w:rPr>
          <w:spacing w:val="40"/>
          <w:w w:val="105"/>
        </w:rPr>
        <w:t xml:space="preserve"> </w:t>
      </w:r>
      <w:r>
        <w:rPr>
          <w:w w:val="105"/>
        </w:rPr>
        <w:t>403</w:t>
      </w:r>
      <w:r>
        <w:rPr>
          <w:spacing w:val="40"/>
          <w:w w:val="105"/>
        </w:rPr>
        <w:t xml:space="preserve"> </w:t>
      </w:r>
      <w:r>
        <w:rPr>
          <w:w w:val="105"/>
        </w:rPr>
        <w:t>respondents</w:t>
      </w:r>
      <w:r>
        <w:rPr>
          <w:spacing w:val="40"/>
          <w:w w:val="105"/>
        </w:rPr>
        <w:t xml:space="preserve"> </w:t>
      </w:r>
      <w:r>
        <w:rPr>
          <w:w w:val="105"/>
        </w:rPr>
        <w:t>using</w:t>
      </w:r>
      <w:r>
        <w:rPr>
          <w:spacing w:val="40"/>
          <w:w w:val="105"/>
        </w:rPr>
        <w:t xml:space="preserve"> </w:t>
      </w:r>
      <w:r>
        <w:rPr>
          <w:w w:val="105"/>
        </w:rPr>
        <w:t>electronic</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7"/>
        <w:jc w:val="both"/>
      </w:pPr>
      <w:r>
        <w:rPr>
          <w:w w:val="105"/>
        </w:rPr>
        <w:t>means and the drop-and-pick method, achieving a response rate of 80.12%. This response rate is considered excellent, as it significantly exceeds the</w:t>
      </w:r>
      <w:r>
        <w:rPr>
          <w:w w:val="105"/>
        </w:rPr>
        <w:t xml:space="preserve"> benchmark established by Mugenda (2003), who stated that a response rate of 50% is adequate, 60% is good, and 70% and above is excellent for analysis. Therefore, the response rate achieved in this study not only meets but exceeds the generally accepted st</w:t>
      </w:r>
      <w:r>
        <w:rPr>
          <w:w w:val="105"/>
        </w:rPr>
        <w:t>andards, indicating that the data collected is both reliable and representative.</w:t>
      </w:r>
    </w:p>
    <w:p w:rsidR="00487D64" w:rsidRDefault="006F0D93">
      <w:pPr>
        <w:pStyle w:val="BodyText"/>
        <w:spacing w:before="235" w:line="501" w:lineRule="auto"/>
        <w:ind w:left="1419" w:right="844"/>
        <w:jc w:val="both"/>
      </w:pPr>
      <w:r>
        <w:rPr>
          <w:w w:val="105"/>
        </w:rPr>
        <w:t xml:space="preserve">Findings from this study differ from previous research. For example, Baruch and Holtom (2008) conducted a meta-analysis of response rates in organizational research and found </w:t>
      </w:r>
      <w:r>
        <w:rPr>
          <w:w w:val="105"/>
        </w:rPr>
        <w:t>that average response rates for online surveys tend to be lower, often ranging between 30% and 40%. Also, in a study conducted by Bianchi (2015) in Chile, which explored the relationship between brand satisfaction and brand loyalty</w:t>
      </w:r>
      <w:r>
        <w:rPr>
          <w:spacing w:val="-12"/>
          <w:w w:val="105"/>
        </w:rPr>
        <w:t xml:space="preserve"> </w:t>
      </w:r>
      <w:r>
        <w:rPr>
          <w:w w:val="105"/>
        </w:rPr>
        <w:t>among</w:t>
      </w:r>
      <w:r>
        <w:rPr>
          <w:spacing w:val="-12"/>
          <w:w w:val="105"/>
        </w:rPr>
        <w:t xml:space="preserve"> </w:t>
      </w:r>
      <w:r>
        <w:rPr>
          <w:w w:val="105"/>
        </w:rPr>
        <w:t>Chilean</w:t>
      </w:r>
      <w:r>
        <w:rPr>
          <w:spacing w:val="-6"/>
          <w:w w:val="105"/>
        </w:rPr>
        <w:t xml:space="preserve"> </w:t>
      </w:r>
      <w:r>
        <w:rPr>
          <w:w w:val="105"/>
        </w:rPr>
        <w:t>wine</w:t>
      </w:r>
      <w:r>
        <w:rPr>
          <w:spacing w:val="-7"/>
          <w:w w:val="105"/>
        </w:rPr>
        <w:t xml:space="preserve"> </w:t>
      </w:r>
      <w:r>
        <w:rPr>
          <w:w w:val="105"/>
        </w:rPr>
        <w:t>consu</w:t>
      </w:r>
      <w:r>
        <w:rPr>
          <w:w w:val="105"/>
        </w:rPr>
        <w:t>mers,</w:t>
      </w:r>
      <w:r>
        <w:rPr>
          <w:spacing w:val="-10"/>
          <w:w w:val="105"/>
        </w:rPr>
        <w:t xml:space="preserve"> </w:t>
      </w:r>
      <w:r>
        <w:rPr>
          <w:w w:val="105"/>
        </w:rPr>
        <w:t>an</w:t>
      </w:r>
      <w:r>
        <w:rPr>
          <w:spacing w:val="-6"/>
          <w:w w:val="105"/>
        </w:rPr>
        <w:t xml:space="preserve"> </w:t>
      </w:r>
      <w:r>
        <w:rPr>
          <w:w w:val="105"/>
        </w:rPr>
        <w:t>electronic</w:t>
      </w:r>
      <w:r>
        <w:rPr>
          <w:spacing w:val="-7"/>
          <w:w w:val="105"/>
        </w:rPr>
        <w:t xml:space="preserve"> </w:t>
      </w:r>
      <w:r>
        <w:rPr>
          <w:w w:val="105"/>
        </w:rPr>
        <w:t>questionnaire</w:t>
      </w:r>
      <w:r>
        <w:rPr>
          <w:spacing w:val="-1"/>
          <w:w w:val="105"/>
        </w:rPr>
        <w:t xml:space="preserve"> </w:t>
      </w:r>
      <w:r>
        <w:rPr>
          <w:w w:val="105"/>
        </w:rPr>
        <w:t>was</w:t>
      </w:r>
      <w:r>
        <w:rPr>
          <w:spacing w:val="-14"/>
          <w:w w:val="105"/>
        </w:rPr>
        <w:t xml:space="preserve"> </w:t>
      </w:r>
      <w:r>
        <w:rPr>
          <w:w w:val="105"/>
        </w:rPr>
        <w:t>used,</w:t>
      </w:r>
      <w:r>
        <w:rPr>
          <w:spacing w:val="-4"/>
          <w:w w:val="105"/>
        </w:rPr>
        <w:t xml:space="preserve"> </w:t>
      </w:r>
      <w:r>
        <w:rPr>
          <w:w w:val="105"/>
        </w:rPr>
        <w:t>but</w:t>
      </w:r>
      <w:r>
        <w:rPr>
          <w:spacing w:val="-4"/>
          <w:w w:val="105"/>
        </w:rPr>
        <w:t xml:space="preserve"> </w:t>
      </w:r>
      <w:r>
        <w:rPr>
          <w:w w:val="105"/>
        </w:rPr>
        <w:t>the response rate was only 30%, with 300 usable questionnaires. Despite utilizing structural equation modeling for analysis, the low response rate posed challenges to the study's generalizability. This highli</w:t>
      </w:r>
      <w:r>
        <w:rPr>
          <w:w w:val="105"/>
        </w:rPr>
        <w:t>ghts the effectiveness of the data collection strategy employed in this study. Table 4.3 shows</w:t>
      </w:r>
      <w:r>
        <w:rPr>
          <w:spacing w:val="-1"/>
          <w:w w:val="105"/>
        </w:rPr>
        <w:t xml:space="preserve"> </w:t>
      </w:r>
      <w:r>
        <w:rPr>
          <w:w w:val="105"/>
        </w:rPr>
        <w:t>the respondents' rate in this study.</w:t>
      </w:r>
    </w:p>
    <w:p w:rsidR="00487D64" w:rsidRDefault="00487D64">
      <w:pPr>
        <w:pStyle w:val="BodyText"/>
        <w:spacing w:before="251"/>
      </w:pPr>
    </w:p>
    <w:p w:rsidR="00487D64" w:rsidRDefault="006F0D93">
      <w:pPr>
        <w:ind w:left="1419"/>
        <w:jc w:val="both"/>
        <w:rPr>
          <w:b/>
          <w:sz w:val="23"/>
        </w:rPr>
      </w:pPr>
      <w:r>
        <w:rPr>
          <w:b/>
          <w:w w:val="105"/>
          <w:sz w:val="23"/>
        </w:rPr>
        <w:t>Table</w:t>
      </w:r>
      <w:r>
        <w:rPr>
          <w:b/>
          <w:spacing w:val="-5"/>
          <w:w w:val="105"/>
          <w:sz w:val="23"/>
        </w:rPr>
        <w:t xml:space="preserve"> </w:t>
      </w:r>
      <w:r>
        <w:rPr>
          <w:b/>
          <w:w w:val="105"/>
          <w:sz w:val="23"/>
        </w:rPr>
        <w:t>4.</w:t>
      </w:r>
      <w:r>
        <w:rPr>
          <w:b/>
          <w:spacing w:val="-7"/>
          <w:w w:val="105"/>
          <w:sz w:val="23"/>
        </w:rPr>
        <w:t xml:space="preserve"> </w:t>
      </w:r>
      <w:r>
        <w:rPr>
          <w:b/>
          <w:w w:val="105"/>
          <w:sz w:val="23"/>
        </w:rPr>
        <w:t>3:</w:t>
      </w:r>
      <w:r>
        <w:rPr>
          <w:b/>
          <w:spacing w:val="64"/>
          <w:w w:val="150"/>
          <w:sz w:val="23"/>
        </w:rPr>
        <w:t xml:space="preserve">   </w:t>
      </w:r>
      <w:r>
        <w:rPr>
          <w:b/>
          <w:w w:val="105"/>
          <w:sz w:val="23"/>
        </w:rPr>
        <w:t>Respondents'</w:t>
      </w:r>
      <w:r>
        <w:rPr>
          <w:b/>
          <w:spacing w:val="-6"/>
          <w:w w:val="105"/>
          <w:sz w:val="23"/>
        </w:rPr>
        <w:t xml:space="preserve"> </w:t>
      </w:r>
      <w:r>
        <w:rPr>
          <w:b/>
          <w:spacing w:val="-4"/>
          <w:w w:val="105"/>
          <w:sz w:val="23"/>
        </w:rPr>
        <w:t>Rate</w:t>
      </w:r>
    </w:p>
    <w:p w:rsidR="00487D64" w:rsidRDefault="00487D64">
      <w:pPr>
        <w:pStyle w:val="BodyText"/>
        <w:rPr>
          <w:b/>
          <w:sz w:val="12"/>
        </w:rPr>
      </w:pPr>
    </w:p>
    <w:tbl>
      <w:tblPr>
        <w:tblW w:w="0" w:type="auto"/>
        <w:tblInd w:w="1311" w:type="dxa"/>
        <w:tblLayout w:type="fixed"/>
        <w:tblCellMar>
          <w:left w:w="0" w:type="dxa"/>
          <w:right w:w="0" w:type="dxa"/>
        </w:tblCellMar>
        <w:tblLook w:val="01E0" w:firstRow="1" w:lastRow="1" w:firstColumn="1" w:lastColumn="1" w:noHBand="0" w:noVBand="0"/>
      </w:tblPr>
      <w:tblGrid>
        <w:gridCol w:w="3241"/>
        <w:gridCol w:w="3268"/>
        <w:gridCol w:w="1941"/>
      </w:tblGrid>
      <w:tr w:rsidR="00487D64">
        <w:trPr>
          <w:trHeight w:val="835"/>
        </w:trPr>
        <w:tc>
          <w:tcPr>
            <w:tcW w:w="3241" w:type="dxa"/>
            <w:tcBorders>
              <w:top w:val="single" w:sz="6" w:space="0" w:color="000000"/>
              <w:bottom w:val="single" w:sz="6" w:space="0" w:color="000000"/>
            </w:tcBorders>
          </w:tcPr>
          <w:p w:rsidR="00487D64" w:rsidRDefault="006F0D93">
            <w:pPr>
              <w:pStyle w:val="TableParagraph"/>
              <w:spacing w:before="224"/>
              <w:ind w:left="115"/>
              <w:rPr>
                <w:b/>
                <w:sz w:val="23"/>
              </w:rPr>
            </w:pPr>
            <w:r>
              <w:rPr>
                <w:b/>
                <w:w w:val="105"/>
                <w:sz w:val="23"/>
              </w:rPr>
              <w:t>Type</w:t>
            </w:r>
            <w:r>
              <w:rPr>
                <w:b/>
                <w:spacing w:val="-4"/>
                <w:w w:val="105"/>
                <w:sz w:val="23"/>
              </w:rPr>
              <w:t xml:space="preserve"> </w:t>
            </w:r>
            <w:r>
              <w:rPr>
                <w:b/>
                <w:w w:val="105"/>
                <w:sz w:val="23"/>
              </w:rPr>
              <w:t>of</w:t>
            </w:r>
            <w:r>
              <w:rPr>
                <w:b/>
                <w:spacing w:val="-11"/>
                <w:w w:val="105"/>
                <w:sz w:val="23"/>
              </w:rPr>
              <w:t xml:space="preserve"> </w:t>
            </w:r>
            <w:r>
              <w:rPr>
                <w:b/>
                <w:spacing w:val="-2"/>
                <w:w w:val="105"/>
                <w:sz w:val="23"/>
              </w:rPr>
              <w:t>Respondent</w:t>
            </w:r>
          </w:p>
        </w:tc>
        <w:tc>
          <w:tcPr>
            <w:tcW w:w="3268" w:type="dxa"/>
            <w:tcBorders>
              <w:top w:val="single" w:sz="6" w:space="0" w:color="000000"/>
              <w:bottom w:val="single" w:sz="6" w:space="0" w:color="000000"/>
            </w:tcBorders>
          </w:tcPr>
          <w:p w:rsidR="00487D64" w:rsidRDefault="006F0D93">
            <w:pPr>
              <w:pStyle w:val="TableParagraph"/>
              <w:spacing w:before="15"/>
              <w:ind w:left="8" w:right="216"/>
              <w:jc w:val="center"/>
              <w:rPr>
                <w:b/>
                <w:sz w:val="23"/>
              </w:rPr>
            </w:pPr>
            <w:r>
              <w:rPr>
                <w:b/>
                <w:spacing w:val="-2"/>
                <w:w w:val="105"/>
                <w:sz w:val="23"/>
              </w:rPr>
              <w:t>Expected</w:t>
            </w:r>
          </w:p>
          <w:p w:rsidR="00487D64" w:rsidRDefault="006F0D93">
            <w:pPr>
              <w:pStyle w:val="TableParagraph"/>
              <w:spacing w:before="147"/>
              <w:ind w:right="216"/>
              <w:jc w:val="center"/>
              <w:rPr>
                <w:b/>
                <w:sz w:val="23"/>
              </w:rPr>
            </w:pPr>
            <w:r>
              <w:rPr>
                <w:b/>
                <w:spacing w:val="-2"/>
                <w:w w:val="105"/>
                <w:sz w:val="23"/>
              </w:rPr>
              <w:t>Actual</w:t>
            </w:r>
          </w:p>
        </w:tc>
        <w:tc>
          <w:tcPr>
            <w:tcW w:w="1941" w:type="dxa"/>
            <w:tcBorders>
              <w:top w:val="single" w:sz="6" w:space="0" w:color="000000"/>
              <w:bottom w:val="single" w:sz="6" w:space="0" w:color="000000"/>
            </w:tcBorders>
          </w:tcPr>
          <w:p w:rsidR="00487D64" w:rsidRDefault="006F0D93">
            <w:pPr>
              <w:pStyle w:val="TableParagraph"/>
              <w:spacing w:before="224"/>
              <w:ind w:right="196"/>
              <w:jc w:val="center"/>
              <w:rPr>
                <w:b/>
                <w:sz w:val="23"/>
              </w:rPr>
            </w:pPr>
            <w:r>
              <w:rPr>
                <w:b/>
                <w:spacing w:val="-2"/>
                <w:w w:val="105"/>
                <w:sz w:val="23"/>
              </w:rPr>
              <w:t>Percent</w:t>
            </w:r>
          </w:p>
        </w:tc>
      </w:tr>
      <w:tr w:rsidR="00487D64">
        <w:trPr>
          <w:trHeight w:val="833"/>
        </w:trPr>
        <w:tc>
          <w:tcPr>
            <w:tcW w:w="3241" w:type="dxa"/>
            <w:tcBorders>
              <w:top w:val="single" w:sz="6" w:space="0" w:color="000000"/>
              <w:bottom w:val="single" w:sz="4" w:space="0" w:color="6FAC46"/>
            </w:tcBorders>
          </w:tcPr>
          <w:p w:rsidR="00487D64" w:rsidRDefault="006F0D93">
            <w:pPr>
              <w:pStyle w:val="TableParagraph"/>
              <w:spacing w:before="8"/>
              <w:ind w:left="115"/>
              <w:rPr>
                <w:sz w:val="23"/>
              </w:rPr>
            </w:pPr>
            <w:r>
              <w:rPr>
                <w:sz w:val="23"/>
              </w:rPr>
              <w:t>Representatives</w:t>
            </w:r>
            <w:r>
              <w:rPr>
                <w:spacing w:val="30"/>
                <w:sz w:val="23"/>
              </w:rPr>
              <w:t xml:space="preserve"> </w:t>
            </w:r>
            <w:r>
              <w:rPr>
                <w:sz w:val="23"/>
              </w:rPr>
              <w:t>of</w:t>
            </w:r>
            <w:r>
              <w:rPr>
                <w:spacing w:val="30"/>
                <w:sz w:val="23"/>
              </w:rPr>
              <w:t xml:space="preserve"> </w:t>
            </w:r>
            <w:r>
              <w:rPr>
                <w:spacing w:val="-2"/>
                <w:sz w:val="23"/>
              </w:rPr>
              <w:t>Registered</w:t>
            </w:r>
          </w:p>
          <w:p w:rsidR="00487D64" w:rsidRDefault="006F0D93">
            <w:pPr>
              <w:pStyle w:val="TableParagraph"/>
              <w:spacing w:before="146"/>
              <w:ind w:left="115"/>
              <w:rPr>
                <w:sz w:val="23"/>
              </w:rPr>
            </w:pPr>
            <w:r>
              <w:rPr>
                <w:sz w:val="23"/>
              </w:rPr>
              <w:t>Special</w:t>
            </w:r>
            <w:r>
              <w:rPr>
                <w:spacing w:val="17"/>
                <w:sz w:val="23"/>
              </w:rPr>
              <w:t xml:space="preserve"> </w:t>
            </w:r>
            <w:r>
              <w:rPr>
                <w:spacing w:val="-2"/>
                <w:sz w:val="23"/>
              </w:rPr>
              <w:t>Groups</w:t>
            </w:r>
          </w:p>
        </w:tc>
        <w:tc>
          <w:tcPr>
            <w:tcW w:w="3268" w:type="dxa"/>
            <w:tcBorders>
              <w:top w:val="single" w:sz="6" w:space="0" w:color="000000"/>
              <w:bottom w:val="single" w:sz="4" w:space="0" w:color="6FAC46"/>
            </w:tcBorders>
          </w:tcPr>
          <w:p w:rsidR="00487D64" w:rsidRDefault="006F0D93">
            <w:pPr>
              <w:pStyle w:val="TableParagraph"/>
              <w:tabs>
                <w:tab w:val="left" w:pos="2421"/>
              </w:tabs>
              <w:spacing w:before="209"/>
              <w:ind w:left="267"/>
              <w:rPr>
                <w:sz w:val="23"/>
              </w:rPr>
            </w:pPr>
            <w:r>
              <w:rPr>
                <w:spacing w:val="-5"/>
                <w:w w:val="105"/>
                <w:sz w:val="23"/>
              </w:rPr>
              <w:t>503</w:t>
            </w:r>
            <w:r>
              <w:rPr>
                <w:sz w:val="23"/>
              </w:rPr>
              <w:tab/>
            </w:r>
            <w:r>
              <w:rPr>
                <w:spacing w:val="-5"/>
                <w:w w:val="105"/>
                <w:sz w:val="23"/>
              </w:rPr>
              <w:t>403</w:t>
            </w:r>
          </w:p>
        </w:tc>
        <w:tc>
          <w:tcPr>
            <w:tcW w:w="1941" w:type="dxa"/>
            <w:tcBorders>
              <w:top w:val="single" w:sz="6" w:space="0" w:color="000000"/>
              <w:bottom w:val="single" w:sz="4" w:space="0" w:color="6FAC46"/>
            </w:tcBorders>
          </w:tcPr>
          <w:p w:rsidR="00487D64" w:rsidRDefault="006F0D93">
            <w:pPr>
              <w:pStyle w:val="TableParagraph"/>
              <w:spacing w:before="209"/>
              <w:ind w:left="4" w:right="196"/>
              <w:jc w:val="center"/>
              <w:rPr>
                <w:sz w:val="23"/>
              </w:rPr>
            </w:pPr>
            <w:r>
              <w:rPr>
                <w:spacing w:val="-2"/>
                <w:w w:val="105"/>
                <w:sz w:val="23"/>
              </w:rPr>
              <w:t>80.12</w:t>
            </w:r>
          </w:p>
        </w:tc>
      </w:tr>
    </w:tbl>
    <w:p w:rsidR="00487D64" w:rsidRDefault="00487D64">
      <w:pPr>
        <w:pStyle w:val="TableParagraph"/>
        <w:jc w:val="center"/>
        <w:rPr>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1"/>
        <w:rPr>
          <w:b/>
        </w:rPr>
      </w:pPr>
    </w:p>
    <w:p w:rsidR="00487D64" w:rsidRDefault="006F0D93">
      <w:pPr>
        <w:pStyle w:val="BodyText"/>
        <w:spacing w:line="504" w:lineRule="auto"/>
        <w:ind w:left="1419" w:right="851"/>
      </w:pPr>
      <w:r>
        <w:rPr>
          <w:w w:val="105"/>
        </w:rPr>
        <w:t>Following</w:t>
      </w:r>
      <w:r>
        <w:rPr>
          <w:spacing w:val="-14"/>
          <w:w w:val="105"/>
        </w:rPr>
        <w:t xml:space="preserve"> </w:t>
      </w:r>
      <w:r>
        <w:rPr>
          <w:w w:val="105"/>
        </w:rPr>
        <w:t>a</w:t>
      </w:r>
      <w:r>
        <w:rPr>
          <w:spacing w:val="-3"/>
          <w:w w:val="105"/>
        </w:rPr>
        <w:t xml:space="preserve"> </w:t>
      </w:r>
      <w:r>
        <w:rPr>
          <w:w w:val="105"/>
        </w:rPr>
        <w:t>list-wise</w:t>
      </w:r>
      <w:r>
        <w:rPr>
          <w:spacing w:val="-9"/>
          <w:w w:val="105"/>
        </w:rPr>
        <w:t xml:space="preserve"> </w:t>
      </w:r>
      <w:r>
        <w:rPr>
          <w:w w:val="105"/>
        </w:rPr>
        <w:t>deletion</w:t>
      </w:r>
      <w:r>
        <w:rPr>
          <w:spacing w:val="-8"/>
          <w:w w:val="105"/>
        </w:rPr>
        <w:t xml:space="preserve"> </w:t>
      </w:r>
      <w:r>
        <w:rPr>
          <w:w w:val="105"/>
        </w:rPr>
        <w:t>of</w:t>
      </w:r>
      <w:r>
        <w:rPr>
          <w:spacing w:val="-11"/>
          <w:w w:val="105"/>
        </w:rPr>
        <w:t xml:space="preserve"> </w:t>
      </w:r>
      <w:r>
        <w:rPr>
          <w:w w:val="105"/>
        </w:rPr>
        <w:t>10</w:t>
      </w:r>
      <w:r>
        <w:rPr>
          <w:spacing w:val="-8"/>
          <w:w w:val="105"/>
        </w:rPr>
        <w:t xml:space="preserve"> </w:t>
      </w:r>
      <w:r>
        <w:rPr>
          <w:w w:val="105"/>
        </w:rPr>
        <w:t>incomplete</w:t>
      </w:r>
      <w:r>
        <w:rPr>
          <w:spacing w:val="-9"/>
          <w:w w:val="105"/>
        </w:rPr>
        <w:t xml:space="preserve"> </w:t>
      </w:r>
      <w:r>
        <w:rPr>
          <w:w w:val="105"/>
        </w:rPr>
        <w:t>responses</w:t>
      </w:r>
      <w:r>
        <w:rPr>
          <w:spacing w:val="-11"/>
          <w:w w:val="105"/>
        </w:rPr>
        <w:t xml:space="preserve"> </w:t>
      </w:r>
      <w:r>
        <w:rPr>
          <w:w w:val="105"/>
        </w:rPr>
        <w:t>(2.5%),</w:t>
      </w:r>
      <w:r>
        <w:rPr>
          <w:spacing w:val="-6"/>
          <w:w w:val="105"/>
        </w:rPr>
        <w:t xml:space="preserve"> </w:t>
      </w:r>
      <w:r>
        <w:rPr>
          <w:w w:val="105"/>
        </w:rPr>
        <w:t>it</w:t>
      </w:r>
      <w:r>
        <w:rPr>
          <w:spacing w:val="-6"/>
          <w:w w:val="105"/>
        </w:rPr>
        <w:t xml:space="preserve"> </w:t>
      </w:r>
      <w:r>
        <w:rPr>
          <w:w w:val="105"/>
        </w:rPr>
        <w:t>is</w:t>
      </w:r>
      <w:r>
        <w:rPr>
          <w:spacing w:val="-16"/>
          <w:w w:val="105"/>
        </w:rPr>
        <w:t xml:space="preserve"> </w:t>
      </w:r>
      <w:r>
        <w:rPr>
          <w:w w:val="105"/>
        </w:rPr>
        <w:t>important</w:t>
      </w:r>
      <w:r>
        <w:rPr>
          <w:spacing w:val="-5"/>
          <w:w w:val="105"/>
        </w:rPr>
        <w:t xml:space="preserve"> </w:t>
      </w:r>
      <w:r>
        <w:rPr>
          <w:w w:val="105"/>
        </w:rPr>
        <w:t>to highlight that after preliminary screening, 393 valid questionnaires consisting of</w:t>
      </w:r>
    </w:p>
    <w:p w:rsidR="00487D64" w:rsidRDefault="006F0D93">
      <w:pPr>
        <w:pStyle w:val="BodyText"/>
        <w:spacing w:line="504" w:lineRule="auto"/>
        <w:ind w:left="1419" w:right="851"/>
      </w:pPr>
      <w:r>
        <w:rPr>
          <w:w w:val="105"/>
        </w:rPr>
        <w:t>78.13</w:t>
      </w:r>
      <w:r>
        <w:rPr>
          <w:spacing w:val="-5"/>
          <w:w w:val="105"/>
        </w:rPr>
        <w:t xml:space="preserve"> </w:t>
      </w:r>
      <w:r>
        <w:rPr>
          <w:w w:val="105"/>
        </w:rPr>
        <w:t>were</w:t>
      </w:r>
      <w:r>
        <w:rPr>
          <w:spacing w:val="-13"/>
          <w:w w:val="105"/>
        </w:rPr>
        <w:t xml:space="preserve"> </w:t>
      </w:r>
      <w:r>
        <w:rPr>
          <w:w w:val="105"/>
        </w:rPr>
        <w:t>kept</w:t>
      </w:r>
      <w:r>
        <w:rPr>
          <w:spacing w:val="-3"/>
          <w:w w:val="105"/>
        </w:rPr>
        <w:t xml:space="preserve"> </w:t>
      </w:r>
      <w:r>
        <w:rPr>
          <w:w w:val="105"/>
        </w:rPr>
        <w:t>for</w:t>
      </w:r>
      <w:r>
        <w:rPr>
          <w:spacing w:val="-8"/>
          <w:w w:val="105"/>
        </w:rPr>
        <w:t xml:space="preserve"> </w:t>
      </w:r>
      <w:r>
        <w:rPr>
          <w:w w:val="105"/>
        </w:rPr>
        <w:t>analysis.</w:t>
      </w:r>
      <w:r>
        <w:rPr>
          <w:spacing w:val="-10"/>
          <w:w w:val="105"/>
        </w:rPr>
        <w:t xml:space="preserve"> </w:t>
      </w:r>
      <w:r>
        <w:rPr>
          <w:w w:val="105"/>
        </w:rPr>
        <w:t>This</w:t>
      </w:r>
      <w:r>
        <w:rPr>
          <w:spacing w:val="-7"/>
          <w:w w:val="105"/>
        </w:rPr>
        <w:t xml:space="preserve"> </w:t>
      </w:r>
      <w:r>
        <w:rPr>
          <w:w w:val="105"/>
        </w:rPr>
        <w:t>was</w:t>
      </w:r>
      <w:r>
        <w:rPr>
          <w:spacing w:val="-7"/>
          <w:w w:val="105"/>
        </w:rPr>
        <w:t xml:space="preserve"> </w:t>
      </w:r>
      <w:r>
        <w:rPr>
          <w:w w:val="105"/>
        </w:rPr>
        <w:t>done</w:t>
      </w:r>
      <w:r>
        <w:rPr>
          <w:spacing w:val="-13"/>
          <w:w w:val="105"/>
        </w:rPr>
        <w:t xml:space="preserve"> </w:t>
      </w:r>
      <w:r>
        <w:rPr>
          <w:w w:val="105"/>
        </w:rPr>
        <w:t>after</w:t>
      </w:r>
      <w:r>
        <w:rPr>
          <w:spacing w:val="-2"/>
          <w:w w:val="105"/>
        </w:rPr>
        <w:t xml:space="preserve"> </w:t>
      </w:r>
      <w:r>
        <w:rPr>
          <w:w w:val="105"/>
        </w:rPr>
        <w:t>the</w:t>
      </w:r>
      <w:r>
        <w:rPr>
          <w:spacing w:val="-6"/>
          <w:w w:val="105"/>
        </w:rPr>
        <w:t xml:space="preserve"> </w:t>
      </w:r>
      <w:r>
        <w:rPr>
          <w:w w:val="105"/>
        </w:rPr>
        <w:t>list-wise</w:t>
      </w:r>
      <w:r>
        <w:rPr>
          <w:spacing w:val="-6"/>
          <w:w w:val="105"/>
        </w:rPr>
        <w:t xml:space="preserve"> </w:t>
      </w:r>
      <w:r>
        <w:rPr>
          <w:w w:val="105"/>
        </w:rPr>
        <w:t>deletion</w:t>
      </w:r>
      <w:r>
        <w:rPr>
          <w:spacing w:val="-5"/>
          <w:w w:val="105"/>
        </w:rPr>
        <w:t xml:space="preserve"> </w:t>
      </w:r>
      <w:r>
        <w:rPr>
          <w:w w:val="105"/>
        </w:rPr>
        <w:t>of</w:t>
      </w:r>
      <w:r>
        <w:rPr>
          <w:spacing w:val="-8"/>
          <w:w w:val="105"/>
        </w:rPr>
        <w:t xml:space="preserve"> </w:t>
      </w:r>
      <w:r>
        <w:rPr>
          <w:w w:val="105"/>
        </w:rPr>
        <w:t>incomplete responses. In contrast to the</w:t>
      </w:r>
      <w:r>
        <w:rPr>
          <w:spacing w:val="-1"/>
          <w:w w:val="105"/>
        </w:rPr>
        <w:t xml:space="preserve"> </w:t>
      </w:r>
      <w:r>
        <w:rPr>
          <w:w w:val="105"/>
        </w:rPr>
        <w:t>actual 403, which had a response</w:t>
      </w:r>
      <w:r>
        <w:rPr>
          <w:spacing w:val="-1"/>
          <w:w w:val="105"/>
        </w:rPr>
        <w:t xml:space="preserve"> </w:t>
      </w:r>
      <w:r>
        <w:rPr>
          <w:w w:val="105"/>
        </w:rPr>
        <w:t>rate of 80.12 percent.</w:t>
      </w:r>
    </w:p>
    <w:p w:rsidR="00487D64" w:rsidRDefault="00487D64">
      <w:pPr>
        <w:pStyle w:val="BodyText"/>
      </w:pPr>
    </w:p>
    <w:p w:rsidR="00487D64" w:rsidRDefault="00487D64">
      <w:pPr>
        <w:pStyle w:val="BodyText"/>
        <w:spacing w:before="16"/>
      </w:pPr>
    </w:p>
    <w:p w:rsidR="00487D64" w:rsidRDefault="006F0D93">
      <w:pPr>
        <w:pStyle w:val="ListParagraph"/>
        <w:numPr>
          <w:ilvl w:val="1"/>
          <w:numId w:val="9"/>
        </w:numPr>
        <w:tabs>
          <w:tab w:val="left" w:pos="2139"/>
        </w:tabs>
        <w:ind w:left="2139" w:hanging="720"/>
        <w:rPr>
          <w:b/>
          <w:sz w:val="23"/>
        </w:rPr>
      </w:pPr>
      <w:bookmarkStart w:id="140" w:name="4.4___Preliminary_Findings"/>
      <w:bookmarkStart w:id="141" w:name="_bookmark69"/>
      <w:bookmarkEnd w:id="140"/>
      <w:bookmarkEnd w:id="141"/>
      <w:r>
        <w:rPr>
          <w:b/>
          <w:sz w:val="23"/>
        </w:rPr>
        <w:t>Preliminary</w:t>
      </w:r>
      <w:r>
        <w:rPr>
          <w:b/>
          <w:spacing w:val="39"/>
          <w:sz w:val="23"/>
        </w:rPr>
        <w:t xml:space="preserve"> </w:t>
      </w:r>
      <w:r>
        <w:rPr>
          <w:b/>
          <w:spacing w:val="-2"/>
          <w:sz w:val="23"/>
        </w:rPr>
        <w:t>Findings</w:t>
      </w:r>
    </w:p>
    <w:p w:rsidR="00487D64" w:rsidRDefault="00487D64">
      <w:pPr>
        <w:pStyle w:val="BodyText"/>
        <w:spacing w:before="25"/>
        <w:rPr>
          <w:b/>
        </w:rPr>
      </w:pPr>
    </w:p>
    <w:p w:rsidR="00487D64" w:rsidRDefault="006F0D93">
      <w:pPr>
        <w:pStyle w:val="ListParagraph"/>
        <w:numPr>
          <w:ilvl w:val="2"/>
          <w:numId w:val="9"/>
        </w:numPr>
        <w:tabs>
          <w:tab w:val="left" w:pos="2125"/>
        </w:tabs>
        <w:spacing w:before="1"/>
        <w:ind w:left="2125" w:hanging="706"/>
        <w:rPr>
          <w:b/>
          <w:sz w:val="23"/>
        </w:rPr>
      </w:pPr>
      <w:bookmarkStart w:id="142" w:name="4.4.1__Category_of_Special_Group"/>
      <w:bookmarkStart w:id="143" w:name="_bookmark70"/>
      <w:bookmarkEnd w:id="142"/>
      <w:bookmarkEnd w:id="143"/>
      <w:r>
        <w:rPr>
          <w:b/>
          <w:w w:val="105"/>
          <w:sz w:val="23"/>
        </w:rPr>
        <w:t>Category</w:t>
      </w:r>
      <w:r>
        <w:rPr>
          <w:b/>
          <w:spacing w:val="-14"/>
          <w:w w:val="105"/>
          <w:sz w:val="23"/>
        </w:rPr>
        <w:t xml:space="preserve"> </w:t>
      </w:r>
      <w:r>
        <w:rPr>
          <w:b/>
          <w:w w:val="105"/>
          <w:sz w:val="23"/>
        </w:rPr>
        <w:t>of</w:t>
      </w:r>
      <w:r>
        <w:rPr>
          <w:b/>
          <w:spacing w:val="-10"/>
          <w:w w:val="105"/>
          <w:sz w:val="23"/>
        </w:rPr>
        <w:t xml:space="preserve"> </w:t>
      </w:r>
      <w:r>
        <w:rPr>
          <w:b/>
          <w:w w:val="105"/>
          <w:sz w:val="23"/>
        </w:rPr>
        <w:t>Special</w:t>
      </w:r>
      <w:r>
        <w:rPr>
          <w:b/>
          <w:spacing w:val="-5"/>
          <w:w w:val="105"/>
          <w:sz w:val="23"/>
        </w:rPr>
        <w:t xml:space="preserve"> </w:t>
      </w:r>
      <w:r>
        <w:rPr>
          <w:b/>
          <w:spacing w:val="-4"/>
          <w:w w:val="105"/>
          <w:sz w:val="23"/>
        </w:rPr>
        <w:t>Group</w:t>
      </w:r>
    </w:p>
    <w:p w:rsidR="00487D64" w:rsidRDefault="00487D64">
      <w:pPr>
        <w:pStyle w:val="BodyText"/>
        <w:spacing w:before="18"/>
        <w:rPr>
          <w:b/>
        </w:rPr>
      </w:pPr>
    </w:p>
    <w:p w:rsidR="00487D64" w:rsidRDefault="006F0D93">
      <w:pPr>
        <w:pStyle w:val="BodyText"/>
        <w:spacing w:line="501" w:lineRule="auto"/>
        <w:ind w:left="1419" w:right="849"/>
        <w:jc w:val="both"/>
      </w:pPr>
      <w:r>
        <w:rPr>
          <w:w w:val="105"/>
        </w:rPr>
        <w:t>Youth-owned SME constitute the majority of the special group SMEs</w:t>
      </w:r>
      <w:r>
        <w:rPr>
          <w:w w:val="105"/>
        </w:rPr>
        <w:t xml:space="preserve"> examined in this study, representing 58% of the total respondents (228 out of 393). This reflects growing</w:t>
      </w:r>
      <w:r>
        <w:rPr>
          <w:spacing w:val="-1"/>
          <w:w w:val="105"/>
        </w:rPr>
        <w:t xml:space="preserve"> </w:t>
      </w:r>
      <w:r>
        <w:rPr>
          <w:w w:val="105"/>
        </w:rPr>
        <w:t>national efforts</w:t>
      </w:r>
      <w:r>
        <w:rPr>
          <w:spacing w:val="-10"/>
          <w:w w:val="105"/>
        </w:rPr>
        <w:t xml:space="preserve"> </w:t>
      </w:r>
      <w:r>
        <w:rPr>
          <w:w w:val="105"/>
        </w:rPr>
        <w:t>to</w:t>
      </w:r>
      <w:r>
        <w:rPr>
          <w:spacing w:val="-7"/>
          <w:w w:val="105"/>
        </w:rPr>
        <w:t xml:space="preserve"> </w:t>
      </w:r>
      <w:r>
        <w:rPr>
          <w:w w:val="105"/>
        </w:rPr>
        <w:t>promote</w:t>
      </w:r>
      <w:r>
        <w:rPr>
          <w:spacing w:val="-8"/>
          <w:w w:val="105"/>
        </w:rPr>
        <w:t xml:space="preserve"> </w:t>
      </w:r>
      <w:r>
        <w:rPr>
          <w:w w:val="105"/>
        </w:rPr>
        <w:t>inclusive</w:t>
      </w:r>
      <w:r>
        <w:rPr>
          <w:spacing w:val="-8"/>
          <w:w w:val="105"/>
        </w:rPr>
        <w:t xml:space="preserve"> </w:t>
      </w:r>
      <w:r>
        <w:rPr>
          <w:w w:val="105"/>
        </w:rPr>
        <w:t>economic</w:t>
      </w:r>
      <w:r>
        <w:rPr>
          <w:spacing w:val="-2"/>
          <w:w w:val="105"/>
        </w:rPr>
        <w:t xml:space="preserve"> </w:t>
      </w:r>
      <w:r>
        <w:rPr>
          <w:w w:val="105"/>
        </w:rPr>
        <w:t>participation</w:t>
      </w:r>
      <w:r>
        <w:rPr>
          <w:spacing w:val="-7"/>
          <w:w w:val="105"/>
        </w:rPr>
        <w:t xml:space="preserve"> </w:t>
      </w:r>
      <w:r>
        <w:rPr>
          <w:w w:val="105"/>
        </w:rPr>
        <w:t>among</w:t>
      </w:r>
      <w:r>
        <w:rPr>
          <w:spacing w:val="-7"/>
          <w:w w:val="105"/>
        </w:rPr>
        <w:t xml:space="preserve"> </w:t>
      </w:r>
      <w:r>
        <w:rPr>
          <w:w w:val="105"/>
        </w:rPr>
        <w:t>youth</w:t>
      </w:r>
      <w:r>
        <w:rPr>
          <w:spacing w:val="-7"/>
          <w:w w:val="105"/>
        </w:rPr>
        <w:t xml:space="preserve"> </w:t>
      </w:r>
      <w:r>
        <w:rPr>
          <w:w w:val="105"/>
        </w:rPr>
        <w:t>in Tanzania.</w:t>
      </w:r>
      <w:r>
        <w:rPr>
          <w:spacing w:val="-3"/>
          <w:w w:val="105"/>
        </w:rPr>
        <w:t xml:space="preserve"> </w:t>
      </w:r>
      <w:r>
        <w:rPr>
          <w:w w:val="105"/>
        </w:rPr>
        <w:t>These</w:t>
      </w:r>
      <w:r>
        <w:rPr>
          <w:spacing w:val="-6"/>
          <w:w w:val="105"/>
        </w:rPr>
        <w:t xml:space="preserve"> </w:t>
      </w:r>
      <w:r>
        <w:rPr>
          <w:w w:val="105"/>
        </w:rPr>
        <w:t>findings</w:t>
      </w:r>
      <w:r>
        <w:rPr>
          <w:spacing w:val="-14"/>
          <w:w w:val="105"/>
        </w:rPr>
        <w:t xml:space="preserve"> </w:t>
      </w:r>
      <w:r>
        <w:rPr>
          <w:w w:val="105"/>
        </w:rPr>
        <w:t>align with</w:t>
      </w:r>
      <w:r>
        <w:rPr>
          <w:spacing w:val="-5"/>
          <w:w w:val="105"/>
        </w:rPr>
        <w:t xml:space="preserve"> </w:t>
      </w:r>
      <w:r>
        <w:rPr>
          <w:w w:val="105"/>
        </w:rPr>
        <w:t>global</w:t>
      </w:r>
      <w:r>
        <w:rPr>
          <w:spacing w:val="-3"/>
          <w:w w:val="105"/>
        </w:rPr>
        <w:t xml:space="preserve"> </w:t>
      </w:r>
      <w:r>
        <w:rPr>
          <w:w w:val="105"/>
        </w:rPr>
        <w:t>recognition of</w:t>
      </w:r>
      <w:r>
        <w:rPr>
          <w:spacing w:val="-8"/>
          <w:w w:val="105"/>
        </w:rPr>
        <w:t xml:space="preserve"> </w:t>
      </w:r>
      <w:r>
        <w:rPr>
          <w:w w:val="105"/>
        </w:rPr>
        <w:t>young</w:t>
      </w:r>
      <w:r>
        <w:rPr>
          <w:spacing w:val="-5"/>
          <w:w w:val="105"/>
        </w:rPr>
        <w:t xml:space="preserve"> </w:t>
      </w:r>
      <w:r>
        <w:rPr>
          <w:w w:val="105"/>
        </w:rPr>
        <w:t>people</w:t>
      </w:r>
      <w:r>
        <w:rPr>
          <w:spacing w:val="-6"/>
          <w:w w:val="105"/>
        </w:rPr>
        <w:t xml:space="preserve"> </w:t>
      </w:r>
      <w:r>
        <w:rPr>
          <w:w w:val="105"/>
        </w:rPr>
        <w:t>as</w:t>
      </w:r>
      <w:r>
        <w:rPr>
          <w:spacing w:val="-14"/>
          <w:w w:val="105"/>
        </w:rPr>
        <w:t xml:space="preserve"> </w:t>
      </w:r>
      <w:r>
        <w:rPr>
          <w:w w:val="105"/>
        </w:rPr>
        <w:t>a dynamic force in addressing labor market gaps and fostering entrepreneurial growth (Woolcott, Loosemore, Keast, Metzer, &amp; Alkilani, 2025).</w:t>
      </w:r>
    </w:p>
    <w:p w:rsidR="00487D64" w:rsidRDefault="006F0D93">
      <w:pPr>
        <w:pStyle w:val="BodyText"/>
        <w:spacing w:before="235" w:line="501" w:lineRule="auto"/>
        <w:ind w:left="1419" w:right="848"/>
        <w:jc w:val="both"/>
      </w:pPr>
      <w:r>
        <w:rPr>
          <w:w w:val="105"/>
        </w:rPr>
        <w:t>Following youth groups, women's Groups represent 39.4% (155 respondents), indicating a high level of participation</w:t>
      </w:r>
      <w:r>
        <w:rPr>
          <w:w w:val="105"/>
        </w:rPr>
        <w:t>. This reflects that the ongoing government efforts to encourage women’s participation in public procurement, as supported by the Tanzania Public Procurement Act (2023), which mandates a quota for women- owned enterprises in public contracts. These initiat</w:t>
      </w:r>
      <w:r>
        <w:rPr>
          <w:w w:val="105"/>
        </w:rPr>
        <w:t>ives have been particularly effective in urban and semi-urban areas where women are more organized into groups and cooperatives.</w:t>
      </w:r>
    </w:p>
    <w:p w:rsidR="00487D64" w:rsidRDefault="006F0D93">
      <w:pPr>
        <w:pStyle w:val="BodyText"/>
        <w:spacing w:before="236" w:line="499" w:lineRule="auto"/>
        <w:ind w:left="1419" w:right="856"/>
        <w:jc w:val="both"/>
      </w:pPr>
      <w:r>
        <w:rPr>
          <w:w w:val="105"/>
        </w:rPr>
        <w:t>Elders and people with Disabilities remain significantly underrepresented, comprising only 2% (8 respondents) and 0.5% (2 respo</w:t>
      </w:r>
      <w:r>
        <w:rPr>
          <w:w w:val="105"/>
        </w:rPr>
        <w:t>ndents) of the respondents, respectively.</w:t>
      </w:r>
      <w:r>
        <w:rPr>
          <w:spacing w:val="72"/>
          <w:w w:val="105"/>
        </w:rPr>
        <w:t xml:space="preserve"> </w:t>
      </w:r>
      <w:r>
        <w:rPr>
          <w:w w:val="105"/>
        </w:rPr>
        <w:t>The</w:t>
      </w:r>
      <w:r>
        <w:rPr>
          <w:spacing w:val="71"/>
          <w:w w:val="105"/>
        </w:rPr>
        <w:t xml:space="preserve"> </w:t>
      </w:r>
      <w:r>
        <w:rPr>
          <w:w w:val="105"/>
        </w:rPr>
        <w:t>low</w:t>
      </w:r>
      <w:r>
        <w:rPr>
          <w:spacing w:val="68"/>
          <w:w w:val="105"/>
        </w:rPr>
        <w:t xml:space="preserve"> </w:t>
      </w:r>
      <w:r>
        <w:rPr>
          <w:w w:val="105"/>
        </w:rPr>
        <w:t>engagement</w:t>
      </w:r>
      <w:r>
        <w:rPr>
          <w:spacing w:val="67"/>
          <w:w w:val="105"/>
        </w:rPr>
        <w:t xml:space="preserve"> </w:t>
      </w:r>
      <w:r>
        <w:rPr>
          <w:w w:val="105"/>
        </w:rPr>
        <w:t>among</w:t>
      </w:r>
      <w:r>
        <w:rPr>
          <w:spacing w:val="72"/>
          <w:w w:val="105"/>
        </w:rPr>
        <w:t xml:space="preserve"> </w:t>
      </w:r>
      <w:r>
        <w:rPr>
          <w:w w:val="105"/>
        </w:rPr>
        <w:t>elders</w:t>
      </w:r>
      <w:r>
        <w:rPr>
          <w:spacing w:val="69"/>
          <w:w w:val="105"/>
        </w:rPr>
        <w:t xml:space="preserve"> </w:t>
      </w:r>
      <w:r>
        <w:rPr>
          <w:w w:val="105"/>
        </w:rPr>
        <w:t>may</w:t>
      </w:r>
      <w:r>
        <w:rPr>
          <w:spacing w:val="71"/>
          <w:w w:val="105"/>
        </w:rPr>
        <w:t xml:space="preserve"> </w:t>
      </w:r>
      <w:r>
        <w:rPr>
          <w:w w:val="105"/>
        </w:rPr>
        <w:t>be</w:t>
      </w:r>
      <w:r>
        <w:rPr>
          <w:spacing w:val="71"/>
          <w:w w:val="105"/>
        </w:rPr>
        <w:t xml:space="preserve"> </w:t>
      </w:r>
      <w:r>
        <w:rPr>
          <w:w w:val="105"/>
        </w:rPr>
        <w:t>linked</w:t>
      </w:r>
      <w:r>
        <w:rPr>
          <w:spacing w:val="71"/>
          <w:w w:val="105"/>
        </w:rPr>
        <w:t xml:space="preserve"> </w:t>
      </w:r>
      <w:r>
        <w:rPr>
          <w:w w:val="105"/>
        </w:rPr>
        <w:t>to</w:t>
      </w:r>
      <w:r>
        <w:rPr>
          <w:spacing w:val="65"/>
          <w:w w:val="105"/>
        </w:rPr>
        <w:t xml:space="preserve"> </w:t>
      </w:r>
      <w:r>
        <w:rPr>
          <w:w w:val="105"/>
        </w:rPr>
        <w:t>age-</w:t>
      </w:r>
      <w:r>
        <w:rPr>
          <w:spacing w:val="-2"/>
          <w:w w:val="105"/>
        </w:rPr>
        <w:t>related</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2"/>
        <w:jc w:val="both"/>
      </w:pPr>
      <w:r>
        <w:rPr>
          <w:w w:val="105"/>
        </w:rPr>
        <w:t>limitations, whereas the minimal participation of persons with disabilities could be attributed to persistent mobility barriers and</w:t>
      </w:r>
      <w:r>
        <w:rPr>
          <w:w w:val="105"/>
        </w:rPr>
        <w:t xml:space="preserve"> the absence of inclusive, targeted support mechanisms and socialization (Hardiyanto &amp; Mustofa, 2025). This imbalance calls for a need for policy interventions that address the challenges faced by these marginalized groups in accessing public procurement o</w:t>
      </w:r>
      <w:r>
        <w:rPr>
          <w:w w:val="105"/>
        </w:rPr>
        <w:t>pportunities. The findings agree with Chepkanga and Lubale’s (2017) study that the majority of people, upon reaching the age of 46 to 55, leave this business category.</w:t>
      </w:r>
      <w:r>
        <w:rPr>
          <w:spacing w:val="40"/>
          <w:w w:val="105"/>
        </w:rPr>
        <w:t xml:space="preserve"> </w:t>
      </w:r>
      <w:r>
        <w:rPr>
          <w:w w:val="105"/>
        </w:rPr>
        <w:t>Table 4.4 shows the distribution of special groups.</w:t>
      </w:r>
    </w:p>
    <w:p w:rsidR="00487D64" w:rsidRDefault="00487D64">
      <w:pPr>
        <w:pStyle w:val="BodyText"/>
      </w:pPr>
    </w:p>
    <w:p w:rsidR="00487D64" w:rsidRDefault="00487D64">
      <w:pPr>
        <w:pStyle w:val="BodyText"/>
        <w:spacing w:before="27"/>
      </w:pPr>
    </w:p>
    <w:p w:rsidR="00487D64" w:rsidRDefault="006F0D93">
      <w:pPr>
        <w:ind w:left="1419"/>
        <w:jc w:val="both"/>
        <w:rPr>
          <w:b/>
          <w:sz w:val="23"/>
        </w:rPr>
      </w:pPr>
      <w:r>
        <w:rPr>
          <w:b/>
          <w:w w:val="105"/>
          <w:sz w:val="23"/>
        </w:rPr>
        <w:t>Table</w:t>
      </w:r>
      <w:r>
        <w:rPr>
          <w:b/>
          <w:spacing w:val="-8"/>
          <w:w w:val="105"/>
          <w:sz w:val="23"/>
        </w:rPr>
        <w:t xml:space="preserve"> </w:t>
      </w:r>
      <w:r>
        <w:rPr>
          <w:b/>
          <w:w w:val="105"/>
          <w:sz w:val="23"/>
        </w:rPr>
        <w:t>4.</w:t>
      </w:r>
      <w:r>
        <w:rPr>
          <w:b/>
          <w:spacing w:val="-10"/>
          <w:w w:val="105"/>
          <w:sz w:val="23"/>
        </w:rPr>
        <w:t xml:space="preserve"> </w:t>
      </w:r>
      <w:r>
        <w:rPr>
          <w:b/>
          <w:w w:val="105"/>
          <w:sz w:val="23"/>
        </w:rPr>
        <w:t>4:</w:t>
      </w:r>
      <w:r>
        <w:rPr>
          <w:b/>
          <w:spacing w:val="-9"/>
          <w:w w:val="105"/>
          <w:sz w:val="23"/>
        </w:rPr>
        <w:t xml:space="preserve"> </w:t>
      </w:r>
      <w:r>
        <w:rPr>
          <w:b/>
          <w:w w:val="105"/>
          <w:sz w:val="23"/>
        </w:rPr>
        <w:t>Distribution</w:t>
      </w:r>
      <w:r>
        <w:rPr>
          <w:b/>
          <w:spacing w:val="-6"/>
          <w:w w:val="105"/>
          <w:sz w:val="23"/>
        </w:rPr>
        <w:t xml:space="preserve"> </w:t>
      </w:r>
      <w:r>
        <w:rPr>
          <w:b/>
          <w:w w:val="105"/>
          <w:sz w:val="23"/>
        </w:rPr>
        <w:t>of</w:t>
      </w:r>
      <w:r>
        <w:rPr>
          <w:b/>
          <w:spacing w:val="-9"/>
          <w:w w:val="105"/>
          <w:sz w:val="23"/>
        </w:rPr>
        <w:t xml:space="preserve"> </w:t>
      </w:r>
      <w:r>
        <w:rPr>
          <w:b/>
          <w:w w:val="105"/>
          <w:sz w:val="23"/>
        </w:rPr>
        <w:t>Special</w:t>
      </w:r>
      <w:r>
        <w:rPr>
          <w:b/>
          <w:spacing w:val="-5"/>
          <w:w w:val="105"/>
          <w:sz w:val="23"/>
        </w:rPr>
        <w:t xml:space="preserve"> </w:t>
      </w:r>
      <w:r>
        <w:rPr>
          <w:b/>
          <w:spacing w:val="-4"/>
          <w:w w:val="105"/>
          <w:sz w:val="23"/>
        </w:rPr>
        <w:t>Group</w:t>
      </w:r>
    </w:p>
    <w:p w:rsidR="00487D64" w:rsidRDefault="00487D64">
      <w:pPr>
        <w:pStyle w:val="BodyText"/>
        <w:spacing w:before="44"/>
        <w:rPr>
          <w:b/>
          <w:sz w:val="20"/>
        </w:rPr>
      </w:pPr>
    </w:p>
    <w:tbl>
      <w:tblPr>
        <w:tblW w:w="0" w:type="auto"/>
        <w:tblInd w:w="1311" w:type="dxa"/>
        <w:tblLayout w:type="fixed"/>
        <w:tblCellMar>
          <w:left w:w="0" w:type="dxa"/>
          <w:right w:w="0" w:type="dxa"/>
        </w:tblCellMar>
        <w:tblLook w:val="01E0" w:firstRow="1" w:lastRow="1" w:firstColumn="1" w:lastColumn="1" w:noHBand="0" w:noVBand="0"/>
      </w:tblPr>
      <w:tblGrid>
        <w:gridCol w:w="3973"/>
        <w:gridCol w:w="3369"/>
        <w:gridCol w:w="1109"/>
      </w:tblGrid>
      <w:tr w:rsidR="00487D64">
        <w:trPr>
          <w:trHeight w:val="553"/>
        </w:trPr>
        <w:tc>
          <w:tcPr>
            <w:tcW w:w="3973" w:type="dxa"/>
            <w:tcBorders>
              <w:top w:val="single" w:sz="6" w:space="0" w:color="000000"/>
              <w:bottom w:val="single" w:sz="6" w:space="0" w:color="000000"/>
            </w:tcBorders>
          </w:tcPr>
          <w:p w:rsidR="00487D64" w:rsidRDefault="006F0D93">
            <w:pPr>
              <w:pStyle w:val="TableParagraph"/>
              <w:spacing w:before="15"/>
              <w:ind w:left="115"/>
              <w:rPr>
                <w:b/>
                <w:sz w:val="23"/>
              </w:rPr>
            </w:pPr>
            <w:r>
              <w:rPr>
                <w:b/>
                <w:spacing w:val="-2"/>
                <w:w w:val="105"/>
                <w:sz w:val="23"/>
              </w:rPr>
              <w:t>Category</w:t>
            </w:r>
          </w:p>
        </w:tc>
        <w:tc>
          <w:tcPr>
            <w:tcW w:w="3369" w:type="dxa"/>
            <w:tcBorders>
              <w:top w:val="single" w:sz="6" w:space="0" w:color="000000"/>
              <w:bottom w:val="single" w:sz="6" w:space="0" w:color="000000"/>
            </w:tcBorders>
          </w:tcPr>
          <w:p w:rsidR="00487D64" w:rsidRDefault="006F0D93">
            <w:pPr>
              <w:pStyle w:val="TableParagraph"/>
              <w:spacing w:before="15"/>
              <w:ind w:left="2005" w:right="13"/>
              <w:jc w:val="center"/>
              <w:rPr>
                <w:b/>
                <w:sz w:val="23"/>
              </w:rPr>
            </w:pPr>
            <w:r>
              <w:rPr>
                <w:b/>
                <w:spacing w:val="-2"/>
                <w:w w:val="105"/>
                <w:sz w:val="23"/>
              </w:rPr>
              <w:t>Frequency</w:t>
            </w:r>
          </w:p>
        </w:tc>
        <w:tc>
          <w:tcPr>
            <w:tcW w:w="1109" w:type="dxa"/>
            <w:tcBorders>
              <w:top w:val="single" w:sz="6" w:space="0" w:color="000000"/>
              <w:bottom w:val="single" w:sz="6" w:space="0" w:color="000000"/>
            </w:tcBorders>
          </w:tcPr>
          <w:p w:rsidR="00487D64" w:rsidRDefault="006F0D93">
            <w:pPr>
              <w:pStyle w:val="TableParagraph"/>
              <w:spacing w:before="15"/>
              <w:ind w:left="10" w:right="46"/>
              <w:jc w:val="center"/>
              <w:rPr>
                <w:b/>
                <w:sz w:val="23"/>
              </w:rPr>
            </w:pPr>
            <w:r>
              <w:rPr>
                <w:b/>
                <w:spacing w:val="-2"/>
                <w:w w:val="105"/>
                <w:sz w:val="23"/>
              </w:rPr>
              <w:t>Percent</w:t>
            </w:r>
          </w:p>
        </w:tc>
      </w:tr>
      <w:tr w:rsidR="00487D64">
        <w:trPr>
          <w:trHeight w:val="427"/>
        </w:trPr>
        <w:tc>
          <w:tcPr>
            <w:tcW w:w="3973" w:type="dxa"/>
            <w:tcBorders>
              <w:top w:val="single" w:sz="6" w:space="0" w:color="000000"/>
            </w:tcBorders>
          </w:tcPr>
          <w:p w:rsidR="00487D64" w:rsidRDefault="006F0D93">
            <w:pPr>
              <w:pStyle w:val="TableParagraph"/>
              <w:spacing w:before="23"/>
              <w:ind w:left="115"/>
              <w:rPr>
                <w:b/>
                <w:sz w:val="23"/>
              </w:rPr>
            </w:pPr>
            <w:r>
              <w:rPr>
                <w:b/>
                <w:w w:val="105"/>
                <w:sz w:val="23"/>
              </w:rPr>
              <w:t>Women</w:t>
            </w:r>
            <w:r>
              <w:rPr>
                <w:b/>
                <w:spacing w:val="-15"/>
                <w:w w:val="105"/>
                <w:sz w:val="23"/>
              </w:rPr>
              <w:t xml:space="preserve"> </w:t>
            </w:r>
            <w:r>
              <w:rPr>
                <w:b/>
                <w:spacing w:val="-2"/>
                <w:w w:val="105"/>
                <w:sz w:val="23"/>
              </w:rPr>
              <w:t>Group</w:t>
            </w:r>
          </w:p>
        </w:tc>
        <w:tc>
          <w:tcPr>
            <w:tcW w:w="3369" w:type="dxa"/>
            <w:tcBorders>
              <w:top w:val="single" w:sz="6" w:space="0" w:color="000000"/>
            </w:tcBorders>
          </w:tcPr>
          <w:p w:rsidR="00487D64" w:rsidRDefault="006F0D93">
            <w:pPr>
              <w:pStyle w:val="TableParagraph"/>
              <w:spacing w:before="15"/>
              <w:ind w:left="2005"/>
              <w:jc w:val="center"/>
              <w:rPr>
                <w:sz w:val="23"/>
              </w:rPr>
            </w:pPr>
            <w:r>
              <w:rPr>
                <w:spacing w:val="-5"/>
                <w:w w:val="105"/>
                <w:sz w:val="23"/>
              </w:rPr>
              <w:t>155</w:t>
            </w:r>
          </w:p>
        </w:tc>
        <w:tc>
          <w:tcPr>
            <w:tcW w:w="1109" w:type="dxa"/>
            <w:tcBorders>
              <w:top w:val="single" w:sz="6" w:space="0" w:color="000000"/>
            </w:tcBorders>
          </w:tcPr>
          <w:p w:rsidR="00487D64" w:rsidRDefault="006F0D93">
            <w:pPr>
              <w:pStyle w:val="TableParagraph"/>
              <w:spacing w:before="15"/>
              <w:ind w:left="6" w:right="46"/>
              <w:jc w:val="center"/>
              <w:rPr>
                <w:sz w:val="23"/>
              </w:rPr>
            </w:pPr>
            <w:r>
              <w:rPr>
                <w:spacing w:val="-4"/>
                <w:w w:val="105"/>
                <w:sz w:val="23"/>
              </w:rPr>
              <w:t>39.4</w:t>
            </w:r>
          </w:p>
        </w:tc>
      </w:tr>
      <w:tr w:rsidR="00487D64">
        <w:trPr>
          <w:trHeight w:val="551"/>
        </w:trPr>
        <w:tc>
          <w:tcPr>
            <w:tcW w:w="3973" w:type="dxa"/>
          </w:tcPr>
          <w:p w:rsidR="00487D64" w:rsidRDefault="006F0D93">
            <w:pPr>
              <w:pStyle w:val="TableParagraph"/>
              <w:spacing w:before="142"/>
              <w:ind w:left="115"/>
              <w:rPr>
                <w:b/>
                <w:sz w:val="23"/>
              </w:rPr>
            </w:pPr>
            <w:r>
              <w:rPr>
                <w:b/>
                <w:w w:val="105"/>
                <w:sz w:val="23"/>
              </w:rPr>
              <w:t>Youth</w:t>
            </w:r>
            <w:r>
              <w:rPr>
                <w:b/>
                <w:spacing w:val="-12"/>
                <w:w w:val="105"/>
                <w:sz w:val="23"/>
              </w:rPr>
              <w:t xml:space="preserve"> </w:t>
            </w:r>
            <w:r>
              <w:rPr>
                <w:b/>
                <w:spacing w:val="-2"/>
                <w:w w:val="105"/>
                <w:sz w:val="23"/>
              </w:rPr>
              <w:t>Group</w:t>
            </w:r>
          </w:p>
        </w:tc>
        <w:tc>
          <w:tcPr>
            <w:tcW w:w="3369" w:type="dxa"/>
          </w:tcPr>
          <w:p w:rsidR="00487D64" w:rsidRDefault="006F0D93">
            <w:pPr>
              <w:pStyle w:val="TableParagraph"/>
              <w:spacing w:before="135"/>
              <w:ind w:left="2005"/>
              <w:jc w:val="center"/>
              <w:rPr>
                <w:sz w:val="23"/>
              </w:rPr>
            </w:pPr>
            <w:r>
              <w:rPr>
                <w:spacing w:val="-5"/>
                <w:w w:val="105"/>
                <w:sz w:val="23"/>
              </w:rPr>
              <w:t>228</w:t>
            </w:r>
          </w:p>
        </w:tc>
        <w:tc>
          <w:tcPr>
            <w:tcW w:w="1109" w:type="dxa"/>
          </w:tcPr>
          <w:p w:rsidR="00487D64" w:rsidRDefault="006F0D93">
            <w:pPr>
              <w:pStyle w:val="TableParagraph"/>
              <w:spacing w:before="135"/>
              <w:ind w:left="19" w:right="46"/>
              <w:jc w:val="center"/>
              <w:rPr>
                <w:sz w:val="23"/>
              </w:rPr>
            </w:pPr>
            <w:r>
              <w:rPr>
                <w:spacing w:val="-5"/>
                <w:w w:val="105"/>
                <w:sz w:val="23"/>
              </w:rPr>
              <w:t>58</w:t>
            </w:r>
          </w:p>
        </w:tc>
      </w:tr>
      <w:tr w:rsidR="00487D64">
        <w:trPr>
          <w:trHeight w:val="554"/>
        </w:trPr>
        <w:tc>
          <w:tcPr>
            <w:tcW w:w="3973" w:type="dxa"/>
          </w:tcPr>
          <w:p w:rsidR="00487D64" w:rsidRDefault="006F0D93">
            <w:pPr>
              <w:pStyle w:val="TableParagraph"/>
              <w:spacing w:before="146"/>
              <w:ind w:left="115"/>
              <w:rPr>
                <w:b/>
                <w:sz w:val="23"/>
              </w:rPr>
            </w:pPr>
            <w:r>
              <w:rPr>
                <w:b/>
                <w:sz w:val="23"/>
              </w:rPr>
              <w:t>Disability</w:t>
            </w:r>
            <w:r>
              <w:rPr>
                <w:b/>
                <w:spacing w:val="30"/>
                <w:sz w:val="23"/>
              </w:rPr>
              <w:t xml:space="preserve"> </w:t>
            </w:r>
            <w:r>
              <w:rPr>
                <w:b/>
                <w:spacing w:val="-4"/>
                <w:sz w:val="23"/>
              </w:rPr>
              <w:t>Group</w:t>
            </w:r>
          </w:p>
        </w:tc>
        <w:tc>
          <w:tcPr>
            <w:tcW w:w="3369" w:type="dxa"/>
          </w:tcPr>
          <w:p w:rsidR="00487D64" w:rsidRDefault="006F0D93">
            <w:pPr>
              <w:pStyle w:val="TableParagraph"/>
              <w:spacing w:before="139"/>
              <w:ind w:left="2005" w:right="18"/>
              <w:jc w:val="center"/>
              <w:rPr>
                <w:sz w:val="23"/>
              </w:rPr>
            </w:pPr>
            <w:r>
              <w:rPr>
                <w:spacing w:val="-10"/>
                <w:w w:val="105"/>
                <w:sz w:val="23"/>
              </w:rPr>
              <w:t>2</w:t>
            </w:r>
          </w:p>
        </w:tc>
        <w:tc>
          <w:tcPr>
            <w:tcW w:w="1109" w:type="dxa"/>
          </w:tcPr>
          <w:p w:rsidR="00487D64" w:rsidRDefault="006F0D93">
            <w:pPr>
              <w:pStyle w:val="TableParagraph"/>
              <w:spacing w:before="139"/>
              <w:ind w:right="46"/>
              <w:jc w:val="center"/>
              <w:rPr>
                <w:sz w:val="23"/>
              </w:rPr>
            </w:pPr>
            <w:r>
              <w:rPr>
                <w:spacing w:val="-5"/>
                <w:w w:val="105"/>
                <w:sz w:val="23"/>
              </w:rPr>
              <w:t>0.5</w:t>
            </w:r>
          </w:p>
        </w:tc>
      </w:tr>
      <w:tr w:rsidR="00487D64">
        <w:trPr>
          <w:trHeight w:val="551"/>
        </w:trPr>
        <w:tc>
          <w:tcPr>
            <w:tcW w:w="3973" w:type="dxa"/>
          </w:tcPr>
          <w:p w:rsidR="00487D64" w:rsidRDefault="006F0D93">
            <w:pPr>
              <w:pStyle w:val="TableParagraph"/>
              <w:spacing w:before="146"/>
              <w:ind w:left="115"/>
              <w:rPr>
                <w:b/>
                <w:sz w:val="23"/>
              </w:rPr>
            </w:pPr>
            <w:r>
              <w:rPr>
                <w:b/>
                <w:w w:val="105"/>
                <w:sz w:val="23"/>
              </w:rPr>
              <w:t>Elders</w:t>
            </w:r>
            <w:r>
              <w:rPr>
                <w:b/>
                <w:spacing w:val="-9"/>
                <w:w w:val="105"/>
                <w:sz w:val="23"/>
              </w:rPr>
              <w:t xml:space="preserve"> </w:t>
            </w:r>
            <w:r>
              <w:rPr>
                <w:b/>
                <w:spacing w:val="-2"/>
                <w:w w:val="105"/>
                <w:sz w:val="23"/>
              </w:rPr>
              <w:t>Group</w:t>
            </w:r>
          </w:p>
        </w:tc>
        <w:tc>
          <w:tcPr>
            <w:tcW w:w="3369" w:type="dxa"/>
          </w:tcPr>
          <w:p w:rsidR="00487D64" w:rsidRDefault="006F0D93">
            <w:pPr>
              <w:pStyle w:val="TableParagraph"/>
              <w:spacing w:before="139"/>
              <w:ind w:left="2005" w:right="18"/>
              <w:jc w:val="center"/>
              <w:rPr>
                <w:sz w:val="23"/>
              </w:rPr>
            </w:pPr>
            <w:r>
              <w:rPr>
                <w:spacing w:val="-10"/>
                <w:w w:val="105"/>
                <w:sz w:val="23"/>
              </w:rPr>
              <w:t>8</w:t>
            </w:r>
          </w:p>
        </w:tc>
        <w:tc>
          <w:tcPr>
            <w:tcW w:w="1109" w:type="dxa"/>
          </w:tcPr>
          <w:p w:rsidR="00487D64" w:rsidRDefault="006F0D93">
            <w:pPr>
              <w:pStyle w:val="TableParagraph"/>
              <w:spacing w:before="139"/>
              <w:ind w:left="8" w:right="46"/>
              <w:jc w:val="center"/>
              <w:rPr>
                <w:sz w:val="23"/>
              </w:rPr>
            </w:pPr>
            <w:r>
              <w:rPr>
                <w:spacing w:val="-10"/>
                <w:w w:val="105"/>
                <w:sz w:val="23"/>
              </w:rPr>
              <w:t>2</w:t>
            </w:r>
          </w:p>
        </w:tc>
      </w:tr>
      <w:tr w:rsidR="00487D64">
        <w:trPr>
          <w:trHeight w:val="688"/>
        </w:trPr>
        <w:tc>
          <w:tcPr>
            <w:tcW w:w="3973" w:type="dxa"/>
            <w:tcBorders>
              <w:bottom w:val="single" w:sz="6" w:space="0" w:color="000000"/>
            </w:tcBorders>
          </w:tcPr>
          <w:p w:rsidR="00487D64" w:rsidRDefault="006F0D93">
            <w:pPr>
              <w:pStyle w:val="TableParagraph"/>
              <w:spacing w:before="143"/>
              <w:ind w:left="115"/>
              <w:rPr>
                <w:b/>
                <w:sz w:val="23"/>
              </w:rPr>
            </w:pPr>
            <w:r>
              <w:rPr>
                <w:b/>
                <w:spacing w:val="-2"/>
                <w:w w:val="105"/>
                <w:sz w:val="23"/>
              </w:rPr>
              <w:t>Total</w:t>
            </w:r>
          </w:p>
        </w:tc>
        <w:tc>
          <w:tcPr>
            <w:tcW w:w="3369" w:type="dxa"/>
            <w:tcBorders>
              <w:bottom w:val="single" w:sz="6" w:space="0" w:color="000000"/>
            </w:tcBorders>
          </w:tcPr>
          <w:p w:rsidR="00487D64" w:rsidRDefault="006F0D93">
            <w:pPr>
              <w:pStyle w:val="TableParagraph"/>
              <w:spacing w:before="135"/>
              <w:ind w:left="2005"/>
              <w:jc w:val="center"/>
              <w:rPr>
                <w:sz w:val="23"/>
              </w:rPr>
            </w:pPr>
            <w:r>
              <w:rPr>
                <w:spacing w:val="-5"/>
                <w:w w:val="105"/>
                <w:sz w:val="23"/>
              </w:rPr>
              <w:t>393</w:t>
            </w:r>
          </w:p>
        </w:tc>
        <w:tc>
          <w:tcPr>
            <w:tcW w:w="1109" w:type="dxa"/>
            <w:tcBorders>
              <w:bottom w:val="single" w:sz="6" w:space="0" w:color="000000"/>
            </w:tcBorders>
          </w:tcPr>
          <w:p w:rsidR="00487D64" w:rsidRDefault="006F0D93">
            <w:pPr>
              <w:pStyle w:val="TableParagraph"/>
              <w:spacing w:before="135"/>
              <w:ind w:left="11" w:right="46"/>
              <w:jc w:val="center"/>
              <w:rPr>
                <w:sz w:val="23"/>
              </w:rPr>
            </w:pPr>
            <w:r>
              <w:rPr>
                <w:spacing w:val="-5"/>
                <w:w w:val="105"/>
                <w:sz w:val="23"/>
              </w:rPr>
              <w:t>100</w:t>
            </w:r>
          </w:p>
        </w:tc>
      </w:tr>
    </w:tbl>
    <w:p w:rsidR="00487D64" w:rsidRDefault="006F0D93">
      <w:pPr>
        <w:spacing w:before="10"/>
        <w:ind w:left="1419"/>
        <w:jc w:val="both"/>
        <w:rPr>
          <w:sz w:val="23"/>
        </w:rPr>
      </w:pPr>
      <w:r>
        <w:rPr>
          <w:b/>
          <w:sz w:val="23"/>
        </w:rPr>
        <w:t>Source</w:t>
      </w:r>
      <w:r>
        <w:rPr>
          <w:sz w:val="23"/>
        </w:rPr>
        <w:t>:</w:t>
      </w:r>
      <w:r>
        <w:rPr>
          <w:spacing w:val="22"/>
          <w:sz w:val="23"/>
        </w:rPr>
        <w:t xml:space="preserve"> </w:t>
      </w:r>
      <w:r>
        <w:rPr>
          <w:sz w:val="23"/>
        </w:rPr>
        <w:t>Survey</w:t>
      </w:r>
      <w:r>
        <w:rPr>
          <w:spacing w:val="30"/>
          <w:sz w:val="23"/>
        </w:rPr>
        <w:t xml:space="preserve"> </w:t>
      </w:r>
      <w:r>
        <w:rPr>
          <w:sz w:val="23"/>
        </w:rPr>
        <w:t>Results,</w:t>
      </w:r>
      <w:r>
        <w:rPr>
          <w:spacing w:val="22"/>
          <w:sz w:val="23"/>
        </w:rPr>
        <w:t xml:space="preserve"> </w:t>
      </w:r>
      <w:r>
        <w:rPr>
          <w:spacing w:val="-4"/>
          <w:sz w:val="23"/>
        </w:rPr>
        <w:t>2025</w:t>
      </w:r>
    </w:p>
    <w:p w:rsidR="00487D64" w:rsidRDefault="00487D64">
      <w:pPr>
        <w:pStyle w:val="BodyText"/>
      </w:pPr>
    </w:p>
    <w:p w:rsidR="00487D64" w:rsidRDefault="00487D64">
      <w:pPr>
        <w:pStyle w:val="BodyText"/>
      </w:pPr>
    </w:p>
    <w:p w:rsidR="00487D64" w:rsidRDefault="00487D64">
      <w:pPr>
        <w:pStyle w:val="BodyText"/>
        <w:spacing w:before="51"/>
      </w:pPr>
    </w:p>
    <w:p w:rsidR="00487D64" w:rsidRDefault="006F0D93">
      <w:pPr>
        <w:pStyle w:val="ListParagraph"/>
        <w:numPr>
          <w:ilvl w:val="2"/>
          <w:numId w:val="9"/>
        </w:numPr>
        <w:tabs>
          <w:tab w:val="left" w:pos="2139"/>
        </w:tabs>
        <w:ind w:left="2139" w:hanging="720"/>
        <w:rPr>
          <w:b/>
          <w:sz w:val="23"/>
        </w:rPr>
      </w:pPr>
      <w:bookmarkStart w:id="144" w:name="4.4.2___Nature_of_Activity_of_the_Firm"/>
      <w:bookmarkStart w:id="145" w:name="_bookmark71"/>
      <w:bookmarkEnd w:id="144"/>
      <w:bookmarkEnd w:id="145"/>
      <w:r>
        <w:rPr>
          <w:b/>
          <w:w w:val="105"/>
          <w:sz w:val="23"/>
        </w:rPr>
        <w:t>Nature</w:t>
      </w:r>
      <w:r>
        <w:rPr>
          <w:b/>
          <w:spacing w:val="-10"/>
          <w:w w:val="105"/>
          <w:sz w:val="23"/>
        </w:rPr>
        <w:t xml:space="preserve"> </w:t>
      </w:r>
      <w:r>
        <w:rPr>
          <w:b/>
          <w:w w:val="105"/>
          <w:sz w:val="23"/>
        </w:rPr>
        <w:t>of</w:t>
      </w:r>
      <w:r>
        <w:rPr>
          <w:b/>
          <w:spacing w:val="-4"/>
          <w:w w:val="105"/>
          <w:sz w:val="23"/>
        </w:rPr>
        <w:t xml:space="preserve"> </w:t>
      </w:r>
      <w:r>
        <w:rPr>
          <w:b/>
          <w:w w:val="105"/>
          <w:sz w:val="23"/>
        </w:rPr>
        <w:t>Activity</w:t>
      </w:r>
      <w:r>
        <w:rPr>
          <w:b/>
          <w:spacing w:val="-8"/>
          <w:w w:val="105"/>
          <w:sz w:val="23"/>
        </w:rPr>
        <w:t xml:space="preserve"> </w:t>
      </w:r>
      <w:r>
        <w:rPr>
          <w:b/>
          <w:w w:val="105"/>
          <w:sz w:val="23"/>
        </w:rPr>
        <w:t>of</w:t>
      </w:r>
      <w:r>
        <w:rPr>
          <w:b/>
          <w:spacing w:val="-11"/>
          <w:w w:val="105"/>
          <w:sz w:val="23"/>
        </w:rPr>
        <w:t xml:space="preserve"> </w:t>
      </w:r>
      <w:r>
        <w:rPr>
          <w:b/>
          <w:w w:val="105"/>
          <w:sz w:val="23"/>
        </w:rPr>
        <w:t>the</w:t>
      </w:r>
      <w:r>
        <w:rPr>
          <w:b/>
          <w:spacing w:val="-1"/>
          <w:w w:val="105"/>
          <w:sz w:val="23"/>
        </w:rPr>
        <w:t xml:space="preserve"> </w:t>
      </w:r>
      <w:r>
        <w:rPr>
          <w:b/>
          <w:spacing w:val="-4"/>
          <w:w w:val="105"/>
          <w:sz w:val="23"/>
        </w:rPr>
        <w:t>Firm</w:t>
      </w:r>
    </w:p>
    <w:p w:rsidR="00487D64" w:rsidRDefault="00487D64">
      <w:pPr>
        <w:pStyle w:val="BodyText"/>
        <w:spacing w:before="19"/>
        <w:rPr>
          <w:b/>
        </w:rPr>
      </w:pPr>
    </w:p>
    <w:p w:rsidR="00487D64" w:rsidRDefault="006F0D93">
      <w:pPr>
        <w:pStyle w:val="BodyText"/>
        <w:spacing w:line="501" w:lineRule="auto"/>
        <w:ind w:left="1419" w:right="848"/>
        <w:jc w:val="both"/>
      </w:pPr>
      <w:r>
        <w:rPr>
          <w:w w:val="105"/>
        </w:rPr>
        <w:t>The analysis of the nature of activities performed by special group SMEs in public procurement reveals significant variations across different sectors. The majority of respondents are engaged in Works, accounting for 42.24% (166 out of 393 respondents). Th</w:t>
      </w:r>
      <w:r>
        <w:rPr>
          <w:w w:val="105"/>
        </w:rPr>
        <w:t>is high participation in works can be due to the availability of numerous</w:t>
      </w:r>
      <w:r>
        <w:rPr>
          <w:spacing w:val="31"/>
          <w:w w:val="105"/>
        </w:rPr>
        <w:t xml:space="preserve">  </w:t>
      </w:r>
      <w:r>
        <w:rPr>
          <w:w w:val="105"/>
        </w:rPr>
        <w:t>public</w:t>
      </w:r>
      <w:r>
        <w:rPr>
          <w:spacing w:val="28"/>
          <w:w w:val="105"/>
        </w:rPr>
        <w:t xml:space="preserve">  </w:t>
      </w:r>
      <w:r>
        <w:rPr>
          <w:w w:val="105"/>
        </w:rPr>
        <w:t>infrastructure</w:t>
      </w:r>
      <w:r>
        <w:rPr>
          <w:spacing w:val="29"/>
          <w:w w:val="105"/>
        </w:rPr>
        <w:t xml:space="preserve">  </w:t>
      </w:r>
      <w:r>
        <w:rPr>
          <w:w w:val="105"/>
        </w:rPr>
        <w:t>projects,</w:t>
      </w:r>
      <w:r>
        <w:rPr>
          <w:spacing w:val="33"/>
          <w:w w:val="105"/>
        </w:rPr>
        <w:t xml:space="preserve">  </w:t>
      </w:r>
      <w:r>
        <w:rPr>
          <w:w w:val="105"/>
        </w:rPr>
        <w:t>which</w:t>
      </w:r>
      <w:r>
        <w:rPr>
          <w:spacing w:val="29"/>
          <w:w w:val="105"/>
        </w:rPr>
        <w:t xml:space="preserve">  </w:t>
      </w:r>
      <w:r>
        <w:rPr>
          <w:w w:val="105"/>
        </w:rPr>
        <w:t>have</w:t>
      </w:r>
      <w:r>
        <w:rPr>
          <w:spacing w:val="29"/>
          <w:w w:val="105"/>
        </w:rPr>
        <w:t xml:space="preserve">  </w:t>
      </w:r>
      <w:r>
        <w:rPr>
          <w:w w:val="105"/>
        </w:rPr>
        <w:t>been</w:t>
      </w:r>
      <w:r>
        <w:rPr>
          <w:spacing w:val="29"/>
          <w:w w:val="105"/>
        </w:rPr>
        <w:t xml:space="preserve">  </w:t>
      </w:r>
      <w:r>
        <w:rPr>
          <w:w w:val="105"/>
        </w:rPr>
        <w:t>prioritized</w:t>
      </w:r>
      <w:r>
        <w:rPr>
          <w:spacing w:val="26"/>
          <w:w w:val="105"/>
        </w:rPr>
        <w:t xml:space="preserve">  </w:t>
      </w:r>
      <w:r>
        <w:rPr>
          <w:spacing w:val="-2"/>
          <w:w w:val="105"/>
        </w:rPr>
        <w:t>under</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53"/>
        <w:jc w:val="both"/>
      </w:pPr>
      <w:r>
        <w:rPr>
          <w:w w:val="105"/>
        </w:rPr>
        <w:t>Tanzania’s National Development Vision 2025. Works activities often</w:t>
      </w:r>
      <w:r>
        <w:rPr>
          <w:w w:val="105"/>
        </w:rPr>
        <w:t xml:space="preserve"> include construction, maintenance, and related services, attracting special groups that have mobilized resources to undertake such projects</w:t>
      </w:r>
      <w:r>
        <w:rPr>
          <w:spacing w:val="-2"/>
          <w:w w:val="105"/>
        </w:rPr>
        <w:t xml:space="preserve"> </w:t>
      </w:r>
      <w:r>
        <w:rPr>
          <w:w w:val="105"/>
        </w:rPr>
        <w:t>(Chitonge &amp; Kabungo, 2024).</w:t>
      </w:r>
    </w:p>
    <w:p w:rsidR="00487D64" w:rsidRDefault="006F0D93">
      <w:pPr>
        <w:pStyle w:val="BodyText"/>
        <w:spacing w:before="245" w:line="501" w:lineRule="auto"/>
        <w:ind w:left="1419" w:right="848"/>
        <w:jc w:val="both"/>
      </w:pPr>
      <w:r>
        <w:rPr>
          <w:w w:val="105"/>
        </w:rPr>
        <w:t>Following works, the Supply of Goods category constitutes 24.68% (97 respondents),</w:t>
      </w:r>
      <w:r>
        <w:rPr>
          <w:spacing w:val="-6"/>
          <w:w w:val="105"/>
        </w:rPr>
        <w:t xml:space="preserve"> </w:t>
      </w:r>
      <w:r>
        <w:rPr>
          <w:w w:val="105"/>
        </w:rPr>
        <w:t>indi</w:t>
      </w:r>
      <w:r>
        <w:rPr>
          <w:w w:val="105"/>
        </w:rPr>
        <w:t>cating</w:t>
      </w:r>
      <w:r>
        <w:rPr>
          <w:spacing w:val="-1"/>
          <w:w w:val="105"/>
        </w:rPr>
        <w:t xml:space="preserve"> </w:t>
      </w:r>
      <w:r>
        <w:rPr>
          <w:w w:val="105"/>
        </w:rPr>
        <w:t>that a substantial number of SMEs</w:t>
      </w:r>
      <w:r>
        <w:rPr>
          <w:spacing w:val="-3"/>
          <w:w w:val="105"/>
        </w:rPr>
        <w:t xml:space="preserve"> </w:t>
      </w:r>
      <w:r>
        <w:rPr>
          <w:w w:val="105"/>
        </w:rPr>
        <w:t>focus</w:t>
      </w:r>
      <w:r>
        <w:rPr>
          <w:spacing w:val="-3"/>
          <w:w w:val="105"/>
        </w:rPr>
        <w:t xml:space="preserve"> </w:t>
      </w:r>
      <w:r>
        <w:rPr>
          <w:w w:val="105"/>
        </w:rPr>
        <w:t>on</w:t>
      </w:r>
      <w:r>
        <w:rPr>
          <w:spacing w:val="-1"/>
          <w:w w:val="105"/>
        </w:rPr>
        <w:t xml:space="preserve"> </w:t>
      </w:r>
      <w:r>
        <w:rPr>
          <w:w w:val="105"/>
        </w:rPr>
        <w:t>the</w:t>
      </w:r>
      <w:r>
        <w:rPr>
          <w:spacing w:val="-2"/>
          <w:w w:val="105"/>
        </w:rPr>
        <w:t xml:space="preserve"> </w:t>
      </w:r>
      <w:r>
        <w:rPr>
          <w:w w:val="105"/>
        </w:rPr>
        <w:t>provision</w:t>
      </w:r>
      <w:r>
        <w:rPr>
          <w:spacing w:val="-1"/>
          <w:w w:val="105"/>
        </w:rPr>
        <w:t xml:space="preserve"> </w:t>
      </w:r>
      <w:r>
        <w:rPr>
          <w:w w:val="105"/>
        </w:rPr>
        <w:t xml:space="preserve">of materials, equipment, and supplies needed for public projects. The preference for goods supply is partly driven by the relatively lower entry barriers compared to service-based activities, </w:t>
      </w:r>
      <w:r>
        <w:rPr>
          <w:w w:val="105"/>
        </w:rPr>
        <w:t>as it often requires less technical expertise and more emphasis on sourcing and logistics (Mgimba, 2023).</w:t>
      </w:r>
    </w:p>
    <w:p w:rsidR="00487D64" w:rsidRDefault="006F0D93">
      <w:pPr>
        <w:pStyle w:val="BodyText"/>
        <w:spacing w:before="241" w:line="501" w:lineRule="auto"/>
        <w:ind w:left="1419" w:right="845"/>
        <w:jc w:val="both"/>
      </w:pPr>
      <w:r>
        <w:rPr>
          <w:w w:val="105"/>
        </w:rPr>
        <w:t>The Non-Consultancy Services category, representing 23.92% (94 respondents), includes activities such as cleaning, catering, and maintenance services,</w:t>
      </w:r>
      <w:r>
        <w:rPr>
          <w:w w:val="105"/>
        </w:rPr>
        <w:t xml:space="preserve"> which are often outsourced in public procurement. The relatively high involvement in non- consultancy</w:t>
      </w:r>
      <w:r>
        <w:rPr>
          <w:spacing w:val="-1"/>
          <w:w w:val="105"/>
        </w:rPr>
        <w:t xml:space="preserve"> </w:t>
      </w:r>
      <w:r>
        <w:rPr>
          <w:w w:val="105"/>
        </w:rPr>
        <w:t>services</w:t>
      </w:r>
      <w:r>
        <w:rPr>
          <w:spacing w:val="-9"/>
          <w:w w:val="105"/>
        </w:rPr>
        <w:t xml:space="preserve"> </w:t>
      </w:r>
      <w:r>
        <w:rPr>
          <w:w w:val="105"/>
        </w:rPr>
        <w:t>highlights</w:t>
      </w:r>
      <w:r>
        <w:rPr>
          <w:spacing w:val="-9"/>
          <w:w w:val="105"/>
        </w:rPr>
        <w:t xml:space="preserve"> </w:t>
      </w:r>
      <w:r>
        <w:rPr>
          <w:w w:val="105"/>
        </w:rPr>
        <w:t>the</w:t>
      </w:r>
      <w:r>
        <w:rPr>
          <w:spacing w:val="-8"/>
          <w:w w:val="105"/>
        </w:rPr>
        <w:t xml:space="preserve"> </w:t>
      </w:r>
      <w:r>
        <w:rPr>
          <w:w w:val="105"/>
        </w:rPr>
        <w:t>need</w:t>
      </w:r>
      <w:r>
        <w:rPr>
          <w:spacing w:val="-1"/>
          <w:w w:val="105"/>
        </w:rPr>
        <w:t xml:space="preserve"> </w:t>
      </w:r>
      <w:r>
        <w:rPr>
          <w:w w:val="105"/>
        </w:rPr>
        <w:t>for flexibility</w:t>
      </w:r>
      <w:r>
        <w:rPr>
          <w:spacing w:val="-7"/>
          <w:w w:val="105"/>
        </w:rPr>
        <w:t xml:space="preserve"> </w:t>
      </w:r>
      <w:r>
        <w:rPr>
          <w:w w:val="105"/>
        </w:rPr>
        <w:t>and</w:t>
      </w:r>
      <w:r>
        <w:rPr>
          <w:spacing w:val="-7"/>
          <w:w w:val="105"/>
        </w:rPr>
        <w:t xml:space="preserve"> </w:t>
      </w:r>
      <w:r>
        <w:rPr>
          <w:w w:val="105"/>
        </w:rPr>
        <w:t>adaptability</w:t>
      </w:r>
      <w:r>
        <w:rPr>
          <w:spacing w:val="-7"/>
          <w:w w:val="105"/>
        </w:rPr>
        <w:t xml:space="preserve"> </w:t>
      </w:r>
      <w:r>
        <w:rPr>
          <w:w w:val="105"/>
        </w:rPr>
        <w:t>among SMEs to meet diverse public sector needs. These services generally require moderate c</w:t>
      </w:r>
      <w:r>
        <w:rPr>
          <w:w w:val="105"/>
        </w:rPr>
        <w:t>apital investment and can be easily managed by small groups, particularly women and youth entrepreneurs (Ngowi &amp; Mwakalobo, 2023).</w:t>
      </w:r>
    </w:p>
    <w:p w:rsidR="00487D64" w:rsidRDefault="006F0D93">
      <w:pPr>
        <w:pStyle w:val="BodyText"/>
        <w:spacing w:before="237" w:line="501" w:lineRule="auto"/>
        <w:ind w:left="1419" w:right="851"/>
        <w:jc w:val="both"/>
      </w:pPr>
      <w:r>
        <w:rPr>
          <w:w w:val="105"/>
        </w:rPr>
        <w:t>Lastly, Consultancy Services account for only 9.16% (36 respondents), indicating that fewer special group SMEs are involved i</w:t>
      </w:r>
      <w:r>
        <w:rPr>
          <w:w w:val="105"/>
        </w:rPr>
        <w:t>n professional and advisory roles. This may be due to the specialized skills and certifications required, which can be a barrier</w:t>
      </w:r>
      <w:r>
        <w:rPr>
          <w:spacing w:val="-7"/>
          <w:w w:val="105"/>
        </w:rPr>
        <w:t xml:space="preserve"> </w:t>
      </w:r>
      <w:r>
        <w:rPr>
          <w:w w:val="105"/>
        </w:rPr>
        <w:t>for</w:t>
      </w:r>
      <w:r>
        <w:rPr>
          <w:spacing w:val="-5"/>
          <w:w w:val="105"/>
        </w:rPr>
        <w:t xml:space="preserve"> </w:t>
      </w:r>
      <w:r>
        <w:rPr>
          <w:w w:val="105"/>
        </w:rPr>
        <w:t>many</w:t>
      </w:r>
      <w:r>
        <w:rPr>
          <w:spacing w:val="-9"/>
          <w:w w:val="105"/>
        </w:rPr>
        <w:t xml:space="preserve"> </w:t>
      </w:r>
      <w:r>
        <w:rPr>
          <w:w w:val="105"/>
        </w:rPr>
        <w:t>SMEs.</w:t>
      </w:r>
      <w:r>
        <w:rPr>
          <w:spacing w:val="-7"/>
          <w:w w:val="105"/>
        </w:rPr>
        <w:t xml:space="preserve"> </w:t>
      </w:r>
      <w:r>
        <w:rPr>
          <w:w w:val="105"/>
        </w:rPr>
        <w:t>Moreover,</w:t>
      </w:r>
      <w:r>
        <w:rPr>
          <w:spacing w:val="-7"/>
          <w:w w:val="105"/>
        </w:rPr>
        <w:t xml:space="preserve"> </w:t>
      </w:r>
      <w:r>
        <w:rPr>
          <w:w w:val="105"/>
        </w:rPr>
        <w:t>consultancy</w:t>
      </w:r>
      <w:r>
        <w:rPr>
          <w:spacing w:val="-3"/>
          <w:w w:val="105"/>
        </w:rPr>
        <w:t xml:space="preserve"> </w:t>
      </w:r>
      <w:r>
        <w:rPr>
          <w:w w:val="105"/>
        </w:rPr>
        <w:t>services</w:t>
      </w:r>
      <w:r>
        <w:rPr>
          <w:spacing w:val="-16"/>
          <w:w w:val="105"/>
        </w:rPr>
        <w:t xml:space="preserve"> </w:t>
      </w:r>
      <w:r>
        <w:rPr>
          <w:w w:val="105"/>
        </w:rPr>
        <w:t>are</w:t>
      </w:r>
      <w:r>
        <w:rPr>
          <w:spacing w:val="-9"/>
          <w:w w:val="105"/>
        </w:rPr>
        <w:t xml:space="preserve"> </w:t>
      </w:r>
      <w:r>
        <w:rPr>
          <w:w w:val="105"/>
        </w:rPr>
        <w:t>often</w:t>
      </w:r>
      <w:r>
        <w:rPr>
          <w:spacing w:val="-9"/>
          <w:w w:val="105"/>
        </w:rPr>
        <w:t xml:space="preserve"> </w:t>
      </w:r>
      <w:r>
        <w:rPr>
          <w:w w:val="105"/>
        </w:rPr>
        <w:t>dominated</w:t>
      </w:r>
      <w:r>
        <w:rPr>
          <w:spacing w:val="-9"/>
          <w:w w:val="105"/>
        </w:rPr>
        <w:t xml:space="preserve"> </w:t>
      </w:r>
      <w:r>
        <w:rPr>
          <w:w w:val="105"/>
        </w:rPr>
        <w:t>by</w:t>
      </w:r>
      <w:r>
        <w:rPr>
          <w:spacing w:val="-9"/>
          <w:w w:val="105"/>
        </w:rPr>
        <w:t xml:space="preserve"> </w:t>
      </w:r>
      <w:r>
        <w:rPr>
          <w:w w:val="105"/>
        </w:rPr>
        <w:t>more established firms with extensive experience and profe</w:t>
      </w:r>
      <w:r>
        <w:rPr>
          <w:w w:val="105"/>
        </w:rPr>
        <w:t xml:space="preserve">ssional networks, making it challenging for special group SMEs to compete effectively (Komba &amp; Mwageni, </w:t>
      </w:r>
      <w:r>
        <w:rPr>
          <w:spacing w:val="-2"/>
          <w:w w:val="105"/>
        </w:rPr>
        <w:t>2023).</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after="3" w:line="367" w:lineRule="auto"/>
        <w:ind w:left="2982" w:right="851" w:hanging="1564"/>
        <w:rPr>
          <w:b/>
          <w:sz w:val="23"/>
        </w:rPr>
      </w:pPr>
      <w:r>
        <w:rPr>
          <w:b/>
          <w:w w:val="105"/>
          <w:sz w:val="23"/>
        </w:rPr>
        <w:t>Table</w:t>
      </w:r>
      <w:r>
        <w:rPr>
          <w:b/>
          <w:spacing w:val="40"/>
          <w:w w:val="105"/>
          <w:sz w:val="23"/>
        </w:rPr>
        <w:t xml:space="preserve"> </w:t>
      </w:r>
      <w:r>
        <w:rPr>
          <w:b/>
          <w:w w:val="105"/>
          <w:sz w:val="23"/>
        </w:rPr>
        <w:t>4.</w:t>
      </w:r>
      <w:r>
        <w:rPr>
          <w:b/>
          <w:spacing w:val="40"/>
          <w:w w:val="105"/>
          <w:sz w:val="23"/>
        </w:rPr>
        <w:t xml:space="preserve"> </w:t>
      </w:r>
      <w:r>
        <w:rPr>
          <w:b/>
          <w:w w:val="105"/>
          <w:sz w:val="23"/>
        </w:rPr>
        <w:t>5:</w:t>
      </w:r>
      <w:r>
        <w:rPr>
          <w:b/>
          <w:spacing w:val="40"/>
          <w:w w:val="105"/>
          <w:sz w:val="23"/>
        </w:rPr>
        <w:t xml:space="preserve"> </w:t>
      </w:r>
      <w:r>
        <w:rPr>
          <w:b/>
          <w:w w:val="105"/>
          <w:sz w:val="23"/>
        </w:rPr>
        <w:t>Shows</w:t>
      </w:r>
      <w:r>
        <w:rPr>
          <w:b/>
          <w:spacing w:val="40"/>
          <w:w w:val="105"/>
          <w:sz w:val="23"/>
        </w:rPr>
        <w:t xml:space="preserve"> </w:t>
      </w:r>
      <w:r>
        <w:rPr>
          <w:b/>
          <w:w w:val="105"/>
          <w:sz w:val="23"/>
        </w:rPr>
        <w:t>the</w:t>
      </w:r>
      <w:r>
        <w:rPr>
          <w:b/>
          <w:spacing w:val="40"/>
          <w:w w:val="105"/>
          <w:sz w:val="23"/>
        </w:rPr>
        <w:t xml:space="preserve"> </w:t>
      </w:r>
      <w:r>
        <w:rPr>
          <w:b/>
          <w:w w:val="105"/>
          <w:sz w:val="23"/>
        </w:rPr>
        <w:t>Distribution</w:t>
      </w:r>
      <w:r>
        <w:rPr>
          <w:b/>
          <w:spacing w:val="40"/>
          <w:w w:val="105"/>
          <w:sz w:val="23"/>
        </w:rPr>
        <w:t xml:space="preserve"> </w:t>
      </w:r>
      <w:r>
        <w:rPr>
          <w:b/>
          <w:w w:val="105"/>
          <w:sz w:val="23"/>
        </w:rPr>
        <w:t>of</w:t>
      </w:r>
      <w:r>
        <w:rPr>
          <w:b/>
          <w:spacing w:val="40"/>
          <w:w w:val="105"/>
          <w:sz w:val="23"/>
        </w:rPr>
        <w:t xml:space="preserve"> </w:t>
      </w:r>
      <w:r>
        <w:rPr>
          <w:b/>
          <w:w w:val="105"/>
          <w:sz w:val="23"/>
        </w:rPr>
        <w:t>Nature</w:t>
      </w:r>
      <w:r>
        <w:rPr>
          <w:b/>
          <w:spacing w:val="69"/>
          <w:w w:val="105"/>
          <w:sz w:val="23"/>
        </w:rPr>
        <w:t xml:space="preserve"> </w:t>
      </w:r>
      <w:r>
        <w:rPr>
          <w:b/>
          <w:w w:val="105"/>
          <w:sz w:val="23"/>
        </w:rPr>
        <w:t>Activities</w:t>
      </w:r>
      <w:r>
        <w:rPr>
          <w:b/>
          <w:spacing w:val="69"/>
          <w:w w:val="105"/>
          <w:sz w:val="23"/>
        </w:rPr>
        <w:t xml:space="preserve"> </w:t>
      </w:r>
      <w:r>
        <w:rPr>
          <w:b/>
          <w:w w:val="105"/>
          <w:sz w:val="23"/>
        </w:rPr>
        <w:t>Performed</w:t>
      </w:r>
      <w:r>
        <w:rPr>
          <w:b/>
          <w:spacing w:val="40"/>
          <w:w w:val="105"/>
          <w:sz w:val="23"/>
        </w:rPr>
        <w:t xml:space="preserve"> </w:t>
      </w:r>
      <w:r>
        <w:rPr>
          <w:b/>
          <w:w w:val="105"/>
          <w:sz w:val="23"/>
        </w:rPr>
        <w:t>by</w:t>
      </w:r>
      <w:r>
        <w:rPr>
          <w:b/>
          <w:spacing w:val="40"/>
          <w:w w:val="105"/>
          <w:sz w:val="23"/>
        </w:rPr>
        <w:t xml:space="preserve"> </w:t>
      </w:r>
      <w:r>
        <w:rPr>
          <w:b/>
          <w:w w:val="105"/>
          <w:sz w:val="23"/>
        </w:rPr>
        <w:t>the</w:t>
      </w:r>
      <w:r>
        <w:rPr>
          <w:b/>
          <w:spacing w:val="40"/>
          <w:w w:val="105"/>
          <w:sz w:val="23"/>
        </w:rPr>
        <w:t xml:space="preserve"> </w:t>
      </w:r>
      <w:r>
        <w:rPr>
          <w:b/>
          <w:w w:val="105"/>
          <w:sz w:val="23"/>
        </w:rPr>
        <w:t>different Special Groups</w:t>
      </w:r>
    </w:p>
    <w:tbl>
      <w:tblPr>
        <w:tblW w:w="0" w:type="auto"/>
        <w:tblInd w:w="1311" w:type="dxa"/>
        <w:tblLayout w:type="fixed"/>
        <w:tblCellMar>
          <w:left w:w="0" w:type="dxa"/>
          <w:right w:w="0" w:type="dxa"/>
        </w:tblCellMar>
        <w:tblLook w:val="01E0" w:firstRow="1" w:lastRow="1" w:firstColumn="1" w:lastColumn="1" w:noHBand="0" w:noVBand="0"/>
      </w:tblPr>
      <w:tblGrid>
        <w:gridCol w:w="4386"/>
        <w:gridCol w:w="2945"/>
        <w:gridCol w:w="1119"/>
      </w:tblGrid>
      <w:tr w:rsidR="00487D64">
        <w:trPr>
          <w:trHeight w:val="551"/>
        </w:trPr>
        <w:tc>
          <w:tcPr>
            <w:tcW w:w="4386" w:type="dxa"/>
            <w:tcBorders>
              <w:top w:val="single" w:sz="4" w:space="0" w:color="000000"/>
              <w:bottom w:val="single" w:sz="4" w:space="0" w:color="000000"/>
            </w:tcBorders>
          </w:tcPr>
          <w:p w:rsidR="00487D64" w:rsidRDefault="006F0D93">
            <w:pPr>
              <w:pStyle w:val="TableParagraph"/>
              <w:spacing w:before="14"/>
              <w:ind w:left="115"/>
              <w:rPr>
                <w:b/>
                <w:sz w:val="23"/>
              </w:rPr>
            </w:pPr>
            <w:r>
              <w:rPr>
                <w:b/>
                <w:spacing w:val="-2"/>
                <w:w w:val="105"/>
                <w:sz w:val="23"/>
              </w:rPr>
              <w:t>Activity</w:t>
            </w:r>
          </w:p>
        </w:tc>
        <w:tc>
          <w:tcPr>
            <w:tcW w:w="2945" w:type="dxa"/>
            <w:tcBorders>
              <w:top w:val="single" w:sz="4" w:space="0" w:color="000000"/>
              <w:bottom w:val="single" w:sz="4" w:space="0" w:color="000000"/>
            </w:tcBorders>
          </w:tcPr>
          <w:p w:rsidR="00487D64" w:rsidRDefault="006F0D93">
            <w:pPr>
              <w:pStyle w:val="TableParagraph"/>
              <w:spacing w:before="14"/>
              <w:ind w:left="1574" w:right="13"/>
              <w:jc w:val="center"/>
              <w:rPr>
                <w:b/>
                <w:sz w:val="23"/>
              </w:rPr>
            </w:pPr>
            <w:r>
              <w:rPr>
                <w:b/>
                <w:spacing w:val="-2"/>
                <w:w w:val="105"/>
                <w:sz w:val="23"/>
              </w:rPr>
              <w:t>Frequency</w:t>
            </w:r>
          </w:p>
        </w:tc>
        <w:tc>
          <w:tcPr>
            <w:tcW w:w="1119" w:type="dxa"/>
            <w:tcBorders>
              <w:top w:val="single" w:sz="4" w:space="0" w:color="000000"/>
              <w:bottom w:val="single" w:sz="4" w:space="0" w:color="000000"/>
            </w:tcBorders>
          </w:tcPr>
          <w:p w:rsidR="00487D64" w:rsidRDefault="006F0D93">
            <w:pPr>
              <w:pStyle w:val="TableParagraph"/>
              <w:spacing w:before="14"/>
              <w:ind w:right="39"/>
              <w:jc w:val="center"/>
              <w:rPr>
                <w:b/>
                <w:sz w:val="23"/>
              </w:rPr>
            </w:pPr>
            <w:r>
              <w:rPr>
                <w:b/>
                <w:spacing w:val="-2"/>
                <w:w w:val="105"/>
                <w:sz w:val="23"/>
              </w:rPr>
              <w:t>Percent</w:t>
            </w:r>
          </w:p>
        </w:tc>
      </w:tr>
      <w:tr w:rsidR="00487D64">
        <w:trPr>
          <w:trHeight w:val="419"/>
        </w:trPr>
        <w:tc>
          <w:tcPr>
            <w:tcW w:w="4386" w:type="dxa"/>
            <w:tcBorders>
              <w:top w:val="single" w:sz="4" w:space="0" w:color="000000"/>
            </w:tcBorders>
          </w:tcPr>
          <w:p w:rsidR="00487D64" w:rsidRDefault="006F0D93">
            <w:pPr>
              <w:pStyle w:val="TableParagraph"/>
              <w:spacing w:before="7"/>
              <w:ind w:left="115"/>
              <w:rPr>
                <w:sz w:val="23"/>
              </w:rPr>
            </w:pPr>
            <w:r>
              <w:rPr>
                <w:w w:val="105"/>
                <w:sz w:val="23"/>
              </w:rPr>
              <w:t>Supply</w:t>
            </w:r>
            <w:r>
              <w:rPr>
                <w:spacing w:val="-9"/>
                <w:w w:val="105"/>
                <w:sz w:val="23"/>
              </w:rPr>
              <w:t xml:space="preserve"> </w:t>
            </w:r>
            <w:r>
              <w:rPr>
                <w:w w:val="105"/>
                <w:sz w:val="23"/>
              </w:rPr>
              <w:t>of</w:t>
            </w:r>
            <w:r>
              <w:rPr>
                <w:spacing w:val="-4"/>
                <w:w w:val="105"/>
                <w:sz w:val="23"/>
              </w:rPr>
              <w:t xml:space="preserve"> </w:t>
            </w:r>
            <w:r>
              <w:rPr>
                <w:spacing w:val="-2"/>
                <w:w w:val="105"/>
                <w:sz w:val="23"/>
              </w:rPr>
              <w:t>goods</w:t>
            </w:r>
          </w:p>
        </w:tc>
        <w:tc>
          <w:tcPr>
            <w:tcW w:w="2945" w:type="dxa"/>
            <w:tcBorders>
              <w:top w:val="single" w:sz="4" w:space="0" w:color="000000"/>
            </w:tcBorders>
          </w:tcPr>
          <w:p w:rsidR="00487D64" w:rsidRDefault="006F0D93">
            <w:pPr>
              <w:pStyle w:val="TableParagraph"/>
              <w:spacing w:before="7"/>
              <w:ind w:left="1574" w:right="7"/>
              <w:jc w:val="center"/>
              <w:rPr>
                <w:sz w:val="23"/>
              </w:rPr>
            </w:pPr>
            <w:r>
              <w:rPr>
                <w:spacing w:val="-5"/>
                <w:w w:val="105"/>
                <w:sz w:val="23"/>
              </w:rPr>
              <w:t>97</w:t>
            </w:r>
          </w:p>
        </w:tc>
        <w:tc>
          <w:tcPr>
            <w:tcW w:w="1119" w:type="dxa"/>
            <w:tcBorders>
              <w:top w:val="single" w:sz="4" w:space="0" w:color="000000"/>
            </w:tcBorders>
          </w:tcPr>
          <w:p w:rsidR="00487D64" w:rsidRDefault="006F0D93">
            <w:pPr>
              <w:pStyle w:val="TableParagraph"/>
              <w:spacing w:before="7"/>
              <w:ind w:left="4" w:right="39"/>
              <w:jc w:val="center"/>
              <w:rPr>
                <w:sz w:val="23"/>
              </w:rPr>
            </w:pPr>
            <w:r>
              <w:rPr>
                <w:spacing w:val="-2"/>
                <w:w w:val="105"/>
                <w:sz w:val="23"/>
              </w:rPr>
              <w:t>24.68</w:t>
            </w:r>
          </w:p>
        </w:tc>
      </w:tr>
      <w:tr w:rsidR="00487D64">
        <w:trPr>
          <w:trHeight w:val="554"/>
        </w:trPr>
        <w:tc>
          <w:tcPr>
            <w:tcW w:w="4386" w:type="dxa"/>
          </w:tcPr>
          <w:p w:rsidR="00487D64" w:rsidRDefault="006F0D93">
            <w:pPr>
              <w:pStyle w:val="TableParagraph"/>
              <w:spacing w:before="143"/>
              <w:ind w:left="115"/>
              <w:rPr>
                <w:sz w:val="23"/>
              </w:rPr>
            </w:pPr>
            <w:r>
              <w:rPr>
                <w:sz w:val="23"/>
              </w:rPr>
              <w:t>Consultancy</w:t>
            </w:r>
            <w:r>
              <w:rPr>
                <w:spacing w:val="36"/>
                <w:sz w:val="23"/>
              </w:rPr>
              <w:t xml:space="preserve"> </w:t>
            </w:r>
            <w:r>
              <w:rPr>
                <w:spacing w:val="-2"/>
                <w:sz w:val="23"/>
              </w:rPr>
              <w:t>Services</w:t>
            </w:r>
          </w:p>
        </w:tc>
        <w:tc>
          <w:tcPr>
            <w:tcW w:w="2945" w:type="dxa"/>
          </w:tcPr>
          <w:p w:rsidR="00487D64" w:rsidRDefault="006F0D93">
            <w:pPr>
              <w:pStyle w:val="TableParagraph"/>
              <w:spacing w:before="143"/>
              <w:ind w:left="1574" w:right="7"/>
              <w:jc w:val="center"/>
              <w:rPr>
                <w:sz w:val="23"/>
              </w:rPr>
            </w:pPr>
            <w:r>
              <w:rPr>
                <w:spacing w:val="-5"/>
                <w:w w:val="105"/>
                <w:sz w:val="23"/>
              </w:rPr>
              <w:t>36</w:t>
            </w:r>
          </w:p>
        </w:tc>
        <w:tc>
          <w:tcPr>
            <w:tcW w:w="1119" w:type="dxa"/>
          </w:tcPr>
          <w:p w:rsidR="00487D64" w:rsidRDefault="006F0D93">
            <w:pPr>
              <w:pStyle w:val="TableParagraph"/>
              <w:spacing w:before="143"/>
              <w:ind w:left="11" w:right="39"/>
              <w:jc w:val="center"/>
              <w:rPr>
                <w:sz w:val="23"/>
              </w:rPr>
            </w:pPr>
            <w:r>
              <w:rPr>
                <w:spacing w:val="-4"/>
                <w:w w:val="105"/>
                <w:sz w:val="23"/>
              </w:rPr>
              <w:t>9.16</w:t>
            </w:r>
          </w:p>
        </w:tc>
      </w:tr>
      <w:tr w:rsidR="00487D64">
        <w:trPr>
          <w:trHeight w:val="551"/>
        </w:trPr>
        <w:tc>
          <w:tcPr>
            <w:tcW w:w="4386" w:type="dxa"/>
          </w:tcPr>
          <w:p w:rsidR="00487D64" w:rsidRDefault="006F0D93">
            <w:pPr>
              <w:pStyle w:val="TableParagraph"/>
              <w:spacing w:before="142"/>
              <w:ind w:left="115"/>
              <w:rPr>
                <w:sz w:val="23"/>
              </w:rPr>
            </w:pPr>
            <w:r>
              <w:rPr>
                <w:sz w:val="23"/>
              </w:rPr>
              <w:t>Non-Consultancy</w:t>
            </w:r>
            <w:r>
              <w:rPr>
                <w:spacing w:val="56"/>
                <w:sz w:val="23"/>
              </w:rPr>
              <w:t xml:space="preserve"> </w:t>
            </w:r>
            <w:r>
              <w:rPr>
                <w:spacing w:val="-2"/>
                <w:sz w:val="23"/>
              </w:rPr>
              <w:t>Services</w:t>
            </w:r>
          </w:p>
        </w:tc>
        <w:tc>
          <w:tcPr>
            <w:tcW w:w="2945" w:type="dxa"/>
          </w:tcPr>
          <w:p w:rsidR="00487D64" w:rsidRDefault="006F0D93">
            <w:pPr>
              <w:pStyle w:val="TableParagraph"/>
              <w:spacing w:before="142"/>
              <w:ind w:left="1574" w:right="7"/>
              <w:jc w:val="center"/>
              <w:rPr>
                <w:sz w:val="23"/>
              </w:rPr>
            </w:pPr>
            <w:r>
              <w:rPr>
                <w:spacing w:val="-5"/>
                <w:w w:val="105"/>
                <w:sz w:val="23"/>
              </w:rPr>
              <w:t>94</w:t>
            </w:r>
          </w:p>
        </w:tc>
        <w:tc>
          <w:tcPr>
            <w:tcW w:w="1119" w:type="dxa"/>
          </w:tcPr>
          <w:p w:rsidR="00487D64" w:rsidRDefault="006F0D93">
            <w:pPr>
              <w:pStyle w:val="TableParagraph"/>
              <w:spacing w:before="142"/>
              <w:ind w:left="4" w:right="39"/>
              <w:jc w:val="center"/>
              <w:rPr>
                <w:sz w:val="23"/>
              </w:rPr>
            </w:pPr>
            <w:r>
              <w:rPr>
                <w:spacing w:val="-2"/>
                <w:w w:val="105"/>
                <w:sz w:val="23"/>
              </w:rPr>
              <w:t>23.92</w:t>
            </w:r>
          </w:p>
        </w:tc>
      </w:tr>
      <w:tr w:rsidR="00487D64">
        <w:trPr>
          <w:trHeight w:val="554"/>
        </w:trPr>
        <w:tc>
          <w:tcPr>
            <w:tcW w:w="4386" w:type="dxa"/>
          </w:tcPr>
          <w:p w:rsidR="00487D64" w:rsidRDefault="006F0D93">
            <w:pPr>
              <w:pStyle w:val="TableParagraph"/>
              <w:spacing w:before="139"/>
              <w:ind w:left="115"/>
              <w:rPr>
                <w:sz w:val="23"/>
              </w:rPr>
            </w:pPr>
            <w:r>
              <w:rPr>
                <w:spacing w:val="-2"/>
                <w:w w:val="105"/>
                <w:sz w:val="23"/>
              </w:rPr>
              <w:t>Works</w:t>
            </w:r>
          </w:p>
        </w:tc>
        <w:tc>
          <w:tcPr>
            <w:tcW w:w="2945" w:type="dxa"/>
          </w:tcPr>
          <w:p w:rsidR="00487D64" w:rsidRDefault="006F0D93">
            <w:pPr>
              <w:pStyle w:val="TableParagraph"/>
              <w:spacing w:before="139"/>
              <w:ind w:left="1574"/>
              <w:jc w:val="center"/>
              <w:rPr>
                <w:sz w:val="23"/>
              </w:rPr>
            </w:pPr>
            <w:r>
              <w:rPr>
                <w:spacing w:val="-5"/>
                <w:w w:val="105"/>
                <w:sz w:val="23"/>
              </w:rPr>
              <w:t>166</w:t>
            </w:r>
          </w:p>
        </w:tc>
        <w:tc>
          <w:tcPr>
            <w:tcW w:w="1119" w:type="dxa"/>
          </w:tcPr>
          <w:p w:rsidR="00487D64" w:rsidRDefault="006F0D93">
            <w:pPr>
              <w:pStyle w:val="TableParagraph"/>
              <w:spacing w:before="139"/>
              <w:ind w:left="4" w:right="39"/>
              <w:jc w:val="center"/>
              <w:rPr>
                <w:sz w:val="23"/>
              </w:rPr>
            </w:pPr>
            <w:r>
              <w:rPr>
                <w:spacing w:val="-2"/>
                <w:w w:val="105"/>
                <w:sz w:val="23"/>
              </w:rPr>
              <w:t>42.24</w:t>
            </w:r>
          </w:p>
        </w:tc>
      </w:tr>
      <w:tr w:rsidR="00487D64">
        <w:trPr>
          <w:trHeight w:val="683"/>
        </w:trPr>
        <w:tc>
          <w:tcPr>
            <w:tcW w:w="4386" w:type="dxa"/>
            <w:tcBorders>
              <w:bottom w:val="single" w:sz="4" w:space="0" w:color="000000"/>
            </w:tcBorders>
          </w:tcPr>
          <w:p w:rsidR="00487D64" w:rsidRDefault="006F0D93">
            <w:pPr>
              <w:pStyle w:val="TableParagraph"/>
              <w:spacing w:before="146"/>
              <w:ind w:left="115"/>
              <w:rPr>
                <w:b/>
                <w:sz w:val="23"/>
              </w:rPr>
            </w:pPr>
            <w:r>
              <w:rPr>
                <w:b/>
                <w:spacing w:val="-2"/>
                <w:w w:val="105"/>
                <w:sz w:val="23"/>
              </w:rPr>
              <w:t>Total</w:t>
            </w:r>
          </w:p>
        </w:tc>
        <w:tc>
          <w:tcPr>
            <w:tcW w:w="2945" w:type="dxa"/>
            <w:tcBorders>
              <w:bottom w:val="single" w:sz="4" w:space="0" w:color="000000"/>
            </w:tcBorders>
          </w:tcPr>
          <w:p w:rsidR="00487D64" w:rsidRDefault="006F0D93">
            <w:pPr>
              <w:pStyle w:val="TableParagraph"/>
              <w:spacing w:before="146"/>
              <w:ind w:left="1574"/>
              <w:jc w:val="center"/>
              <w:rPr>
                <w:b/>
                <w:sz w:val="23"/>
              </w:rPr>
            </w:pPr>
            <w:r>
              <w:rPr>
                <w:b/>
                <w:spacing w:val="-5"/>
                <w:w w:val="105"/>
                <w:sz w:val="23"/>
              </w:rPr>
              <w:t>393</w:t>
            </w:r>
          </w:p>
        </w:tc>
        <w:tc>
          <w:tcPr>
            <w:tcW w:w="1119" w:type="dxa"/>
            <w:tcBorders>
              <w:bottom w:val="single" w:sz="4" w:space="0" w:color="000000"/>
            </w:tcBorders>
          </w:tcPr>
          <w:p w:rsidR="00487D64" w:rsidRDefault="006F0D93">
            <w:pPr>
              <w:pStyle w:val="TableParagraph"/>
              <w:spacing w:before="146"/>
              <w:ind w:left="16" w:right="39"/>
              <w:jc w:val="center"/>
              <w:rPr>
                <w:b/>
                <w:sz w:val="23"/>
              </w:rPr>
            </w:pPr>
            <w:r>
              <w:rPr>
                <w:b/>
                <w:spacing w:val="-5"/>
                <w:w w:val="105"/>
                <w:sz w:val="23"/>
              </w:rPr>
              <w:t>100</w:t>
            </w:r>
          </w:p>
        </w:tc>
      </w:tr>
    </w:tbl>
    <w:p w:rsidR="00487D64" w:rsidRDefault="00487D64">
      <w:pPr>
        <w:pStyle w:val="BodyText"/>
        <w:spacing w:before="262"/>
        <w:rPr>
          <w:b/>
        </w:rPr>
      </w:pPr>
    </w:p>
    <w:p w:rsidR="00487D64" w:rsidRDefault="006F0D93">
      <w:pPr>
        <w:pStyle w:val="ListParagraph"/>
        <w:numPr>
          <w:ilvl w:val="2"/>
          <w:numId w:val="9"/>
        </w:numPr>
        <w:tabs>
          <w:tab w:val="left" w:pos="2139"/>
        </w:tabs>
        <w:ind w:left="2139" w:hanging="720"/>
        <w:rPr>
          <w:b/>
          <w:sz w:val="23"/>
        </w:rPr>
      </w:pPr>
      <w:bookmarkStart w:id="146" w:name="4.4.3___Company’s_Capital_Investment"/>
      <w:bookmarkStart w:id="147" w:name="_bookmark72"/>
      <w:bookmarkEnd w:id="146"/>
      <w:bookmarkEnd w:id="147"/>
      <w:r>
        <w:rPr>
          <w:b/>
          <w:sz w:val="23"/>
        </w:rPr>
        <w:t>Company’s</w:t>
      </w:r>
      <w:r>
        <w:rPr>
          <w:b/>
          <w:spacing w:val="34"/>
          <w:sz w:val="23"/>
        </w:rPr>
        <w:t xml:space="preserve"> </w:t>
      </w:r>
      <w:r>
        <w:rPr>
          <w:b/>
          <w:sz w:val="23"/>
        </w:rPr>
        <w:t>Capital</w:t>
      </w:r>
      <w:r>
        <w:rPr>
          <w:b/>
          <w:spacing w:val="28"/>
          <w:sz w:val="23"/>
        </w:rPr>
        <w:t xml:space="preserve"> </w:t>
      </w:r>
      <w:r>
        <w:rPr>
          <w:b/>
          <w:spacing w:val="-2"/>
          <w:sz w:val="23"/>
        </w:rPr>
        <w:t>Investment</w:t>
      </w:r>
    </w:p>
    <w:p w:rsidR="00487D64" w:rsidRDefault="00487D64">
      <w:pPr>
        <w:pStyle w:val="BodyText"/>
        <w:spacing w:before="19"/>
        <w:rPr>
          <w:b/>
        </w:rPr>
      </w:pPr>
    </w:p>
    <w:p w:rsidR="00487D64" w:rsidRDefault="006F0D93">
      <w:pPr>
        <w:pStyle w:val="BodyText"/>
        <w:spacing w:line="501" w:lineRule="auto"/>
        <w:ind w:left="1419" w:right="847"/>
        <w:jc w:val="both"/>
      </w:pPr>
      <w:r>
        <w:rPr>
          <w:w w:val="105"/>
        </w:rPr>
        <w:t>The analysis of capital investment among special group SMEs involved in</w:t>
      </w:r>
      <w:r>
        <w:rPr>
          <w:w w:val="105"/>
        </w:rPr>
        <w:t xml:space="preserve"> public procurement indicates that the majority operate with moderate levels of capital. The largest proportion of respondents (56%, or 220 out of 393) fall within the capital range</w:t>
      </w:r>
      <w:r>
        <w:rPr>
          <w:spacing w:val="-1"/>
          <w:w w:val="105"/>
        </w:rPr>
        <w:t xml:space="preserve"> </w:t>
      </w:r>
      <w:r>
        <w:rPr>
          <w:w w:val="105"/>
        </w:rPr>
        <w:t>of</w:t>
      </w:r>
      <w:r>
        <w:rPr>
          <w:spacing w:val="-1"/>
          <w:w w:val="105"/>
        </w:rPr>
        <w:t xml:space="preserve"> </w:t>
      </w:r>
      <w:r>
        <w:rPr>
          <w:w w:val="105"/>
        </w:rPr>
        <w:t>above</w:t>
      </w:r>
      <w:r>
        <w:rPr>
          <w:spacing w:val="-1"/>
          <w:w w:val="105"/>
        </w:rPr>
        <w:t xml:space="preserve"> </w:t>
      </w:r>
      <w:r>
        <w:rPr>
          <w:w w:val="105"/>
        </w:rPr>
        <w:t>5 million to 200 million TZS. This</w:t>
      </w:r>
      <w:r>
        <w:rPr>
          <w:spacing w:val="-2"/>
          <w:w w:val="105"/>
        </w:rPr>
        <w:t xml:space="preserve"> </w:t>
      </w:r>
      <w:r>
        <w:rPr>
          <w:w w:val="105"/>
        </w:rPr>
        <w:t>finding suggests</w:t>
      </w:r>
      <w:r>
        <w:rPr>
          <w:spacing w:val="-2"/>
          <w:w w:val="105"/>
        </w:rPr>
        <w:t xml:space="preserve"> </w:t>
      </w:r>
      <w:r>
        <w:rPr>
          <w:w w:val="105"/>
        </w:rPr>
        <w:t>that most spe</w:t>
      </w:r>
      <w:r>
        <w:rPr>
          <w:w w:val="105"/>
        </w:rPr>
        <w:t>cial group SMEs are classified as small to medium enterprises (SMEs), aligning with Tanzania's SMEs Development Policy, which categorizes businesses within this range</w:t>
      </w:r>
      <w:r>
        <w:rPr>
          <w:spacing w:val="-8"/>
          <w:w w:val="105"/>
        </w:rPr>
        <w:t xml:space="preserve"> </w:t>
      </w:r>
      <w:r>
        <w:rPr>
          <w:w w:val="105"/>
        </w:rPr>
        <w:t>as</w:t>
      </w:r>
      <w:r>
        <w:rPr>
          <w:spacing w:val="-2"/>
          <w:w w:val="105"/>
        </w:rPr>
        <w:t xml:space="preserve"> </w:t>
      </w:r>
      <w:r>
        <w:rPr>
          <w:w w:val="105"/>
        </w:rPr>
        <w:t>capable of</w:t>
      </w:r>
      <w:r>
        <w:rPr>
          <w:spacing w:val="-3"/>
          <w:w w:val="105"/>
        </w:rPr>
        <w:t xml:space="preserve"> </w:t>
      </w:r>
      <w:r>
        <w:rPr>
          <w:w w:val="105"/>
        </w:rPr>
        <w:t>handling modest procurement contracts, especially in supply</w:t>
      </w:r>
      <w:r>
        <w:rPr>
          <w:spacing w:val="-7"/>
          <w:w w:val="105"/>
        </w:rPr>
        <w:t xml:space="preserve"> </w:t>
      </w:r>
      <w:r>
        <w:rPr>
          <w:w w:val="105"/>
        </w:rPr>
        <w:t>and non-consult</w:t>
      </w:r>
      <w:r>
        <w:rPr>
          <w:w w:val="105"/>
        </w:rPr>
        <w:t>ancy services</w:t>
      </w:r>
      <w:r>
        <w:rPr>
          <w:spacing w:val="-1"/>
          <w:w w:val="105"/>
        </w:rPr>
        <w:t xml:space="preserve"> </w:t>
      </w:r>
      <w:r>
        <w:rPr>
          <w:w w:val="105"/>
        </w:rPr>
        <w:t>(URT, 2022). This</w:t>
      </w:r>
      <w:r>
        <w:rPr>
          <w:spacing w:val="-1"/>
          <w:w w:val="105"/>
        </w:rPr>
        <w:t xml:space="preserve"> </w:t>
      </w:r>
      <w:r>
        <w:rPr>
          <w:w w:val="105"/>
        </w:rPr>
        <w:t>level of capital investment allows</w:t>
      </w:r>
      <w:r>
        <w:rPr>
          <w:spacing w:val="-1"/>
          <w:w w:val="105"/>
        </w:rPr>
        <w:t xml:space="preserve"> </w:t>
      </w:r>
      <w:r>
        <w:rPr>
          <w:w w:val="105"/>
        </w:rPr>
        <w:t>these SMEs to participate in diverse public procurement opportunities while also maintaining flexibility to adapt to market changes.</w:t>
      </w:r>
    </w:p>
    <w:p w:rsidR="00487D64" w:rsidRDefault="006F0D93">
      <w:pPr>
        <w:pStyle w:val="BodyText"/>
        <w:spacing w:before="235" w:line="501" w:lineRule="auto"/>
        <w:ind w:left="1419" w:right="847"/>
        <w:jc w:val="both"/>
      </w:pPr>
      <w:r>
        <w:rPr>
          <w:w w:val="105"/>
        </w:rPr>
        <w:t xml:space="preserve">The second-largest category, up to 5 million TZS (18.3% </w:t>
      </w:r>
      <w:r>
        <w:rPr>
          <w:w w:val="105"/>
        </w:rPr>
        <w:t>or 72 respondents), represents micro enterprises with limited financial capacity. The majority of these businesses appear to engage in less capital-intensive activities, such as small-scale supply</w:t>
      </w:r>
      <w:r>
        <w:rPr>
          <w:spacing w:val="27"/>
          <w:w w:val="105"/>
        </w:rPr>
        <w:t xml:space="preserve"> </w:t>
      </w:r>
      <w:r>
        <w:rPr>
          <w:w w:val="105"/>
        </w:rPr>
        <w:t>contracts</w:t>
      </w:r>
      <w:r>
        <w:rPr>
          <w:spacing w:val="26"/>
          <w:w w:val="105"/>
        </w:rPr>
        <w:t xml:space="preserve"> </w:t>
      </w:r>
      <w:r>
        <w:rPr>
          <w:w w:val="105"/>
        </w:rPr>
        <w:t>or</w:t>
      </w:r>
      <w:r>
        <w:rPr>
          <w:spacing w:val="31"/>
          <w:w w:val="105"/>
        </w:rPr>
        <w:t xml:space="preserve"> </w:t>
      </w:r>
      <w:r>
        <w:rPr>
          <w:w w:val="105"/>
        </w:rPr>
        <w:t>the</w:t>
      </w:r>
      <w:r>
        <w:rPr>
          <w:spacing w:val="26"/>
          <w:w w:val="105"/>
        </w:rPr>
        <w:t xml:space="preserve"> </w:t>
      </w:r>
      <w:r>
        <w:rPr>
          <w:w w:val="105"/>
        </w:rPr>
        <w:t>provision</w:t>
      </w:r>
      <w:r>
        <w:rPr>
          <w:spacing w:val="27"/>
          <w:w w:val="105"/>
        </w:rPr>
        <w:t xml:space="preserve"> </w:t>
      </w:r>
      <w:r>
        <w:rPr>
          <w:w w:val="105"/>
        </w:rPr>
        <w:t>of</w:t>
      </w:r>
      <w:r>
        <w:rPr>
          <w:spacing w:val="31"/>
          <w:w w:val="105"/>
        </w:rPr>
        <w:t xml:space="preserve"> </w:t>
      </w:r>
      <w:r>
        <w:rPr>
          <w:w w:val="105"/>
        </w:rPr>
        <w:t>non-consultancy</w:t>
      </w:r>
      <w:r>
        <w:rPr>
          <w:spacing w:val="34"/>
          <w:w w:val="105"/>
        </w:rPr>
        <w:t xml:space="preserve"> </w:t>
      </w:r>
      <w:r>
        <w:rPr>
          <w:w w:val="105"/>
        </w:rPr>
        <w:t>services,</w:t>
      </w:r>
      <w:r>
        <w:rPr>
          <w:spacing w:val="30"/>
          <w:w w:val="105"/>
        </w:rPr>
        <w:t xml:space="preserve"> </w:t>
      </w:r>
      <w:r>
        <w:rPr>
          <w:w w:val="105"/>
        </w:rPr>
        <w:t>l.e,</w:t>
      </w:r>
      <w:r>
        <w:rPr>
          <w:spacing w:val="30"/>
          <w:w w:val="105"/>
        </w:rPr>
        <w:t xml:space="preserve"> </w:t>
      </w:r>
      <w:r>
        <w:rPr>
          <w:w w:val="105"/>
        </w:rPr>
        <w:t>domestic</w:t>
      </w:r>
      <w:r>
        <w:rPr>
          <w:spacing w:val="33"/>
          <w:w w:val="105"/>
        </w:rPr>
        <w:t xml:space="preserve"> </w:t>
      </w:r>
      <w:r>
        <w:rPr>
          <w:w w:val="105"/>
        </w:rPr>
        <w:t>work,</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3"/>
        <w:jc w:val="both"/>
      </w:pPr>
      <w:r>
        <w:rPr>
          <w:w w:val="105"/>
        </w:rPr>
        <w:t>construction labor, cooking, driving, and cleaning. Among the respondents, 18.3% (72 individuals) fell within the capital bracket of up to TZS 5 million, representing micro enterprises with limited financial capaci</w:t>
      </w:r>
      <w:r>
        <w:rPr>
          <w:w w:val="105"/>
        </w:rPr>
        <w:t>ty. This classification is consistent with the definition provided by the Tanzania Small Industries Development Organization (SIDO, 2024), which identifies micro enterprises as those employing fewer than five people and possessing capital not exceeding TZS</w:t>
      </w:r>
      <w:r>
        <w:rPr>
          <w:w w:val="105"/>
        </w:rPr>
        <w:t xml:space="preserve"> 5 million. The limited</w:t>
      </w:r>
      <w:r>
        <w:rPr>
          <w:spacing w:val="-3"/>
          <w:w w:val="105"/>
        </w:rPr>
        <w:t xml:space="preserve"> </w:t>
      </w:r>
      <w:r>
        <w:rPr>
          <w:w w:val="105"/>
        </w:rPr>
        <w:t>financial</w:t>
      </w:r>
      <w:r>
        <w:rPr>
          <w:spacing w:val="-1"/>
          <w:w w:val="105"/>
        </w:rPr>
        <w:t xml:space="preserve"> </w:t>
      </w:r>
      <w:r>
        <w:rPr>
          <w:w w:val="105"/>
        </w:rPr>
        <w:t>strength</w:t>
      </w:r>
      <w:r>
        <w:rPr>
          <w:spacing w:val="-9"/>
          <w:w w:val="105"/>
        </w:rPr>
        <w:t xml:space="preserve"> </w:t>
      </w:r>
      <w:r>
        <w:rPr>
          <w:w w:val="105"/>
        </w:rPr>
        <w:t>observed</w:t>
      </w:r>
      <w:r>
        <w:rPr>
          <w:spacing w:val="-9"/>
          <w:w w:val="105"/>
        </w:rPr>
        <w:t xml:space="preserve"> </w:t>
      </w:r>
      <w:r>
        <w:rPr>
          <w:w w:val="105"/>
        </w:rPr>
        <w:t>in</w:t>
      </w:r>
      <w:r>
        <w:rPr>
          <w:spacing w:val="-9"/>
          <w:w w:val="105"/>
        </w:rPr>
        <w:t xml:space="preserve"> </w:t>
      </w:r>
      <w:r>
        <w:rPr>
          <w:w w:val="105"/>
        </w:rPr>
        <w:t>this</w:t>
      </w:r>
      <w:r>
        <w:rPr>
          <w:spacing w:val="-12"/>
          <w:w w:val="105"/>
        </w:rPr>
        <w:t xml:space="preserve"> </w:t>
      </w:r>
      <w:r>
        <w:rPr>
          <w:w w:val="105"/>
        </w:rPr>
        <w:t>group</w:t>
      </w:r>
      <w:r>
        <w:rPr>
          <w:spacing w:val="-9"/>
          <w:w w:val="105"/>
        </w:rPr>
        <w:t xml:space="preserve"> </w:t>
      </w:r>
      <w:r>
        <w:rPr>
          <w:w w:val="105"/>
        </w:rPr>
        <w:t>reflects</w:t>
      </w:r>
      <w:r>
        <w:rPr>
          <w:spacing w:val="-11"/>
          <w:w w:val="105"/>
        </w:rPr>
        <w:t xml:space="preserve"> </w:t>
      </w:r>
      <w:r>
        <w:rPr>
          <w:w w:val="105"/>
        </w:rPr>
        <w:t>broader</w:t>
      </w:r>
      <w:r>
        <w:rPr>
          <w:spacing w:val="-6"/>
          <w:w w:val="105"/>
        </w:rPr>
        <w:t xml:space="preserve"> </w:t>
      </w:r>
      <w:r>
        <w:rPr>
          <w:w w:val="105"/>
        </w:rPr>
        <w:t>structural</w:t>
      </w:r>
      <w:r>
        <w:rPr>
          <w:spacing w:val="-7"/>
          <w:w w:val="105"/>
        </w:rPr>
        <w:t xml:space="preserve"> </w:t>
      </w:r>
      <w:r>
        <w:rPr>
          <w:w w:val="105"/>
        </w:rPr>
        <w:t>challenges that constrain micro enterprises across the country. As noted by Farm Africa (2024), SMEs</w:t>
      </w:r>
      <w:r>
        <w:rPr>
          <w:spacing w:val="-1"/>
          <w:w w:val="105"/>
        </w:rPr>
        <w:t xml:space="preserve"> </w:t>
      </w:r>
      <w:r>
        <w:rPr>
          <w:w w:val="105"/>
        </w:rPr>
        <w:t>in</w:t>
      </w:r>
      <w:r>
        <w:rPr>
          <w:spacing w:val="-6"/>
          <w:w w:val="105"/>
        </w:rPr>
        <w:t xml:space="preserve"> </w:t>
      </w:r>
      <w:r>
        <w:rPr>
          <w:w w:val="105"/>
        </w:rPr>
        <w:t>Tanzania often face</w:t>
      </w:r>
      <w:r>
        <w:rPr>
          <w:spacing w:val="-1"/>
          <w:w w:val="105"/>
        </w:rPr>
        <w:t xml:space="preserve"> </w:t>
      </w:r>
      <w:r>
        <w:rPr>
          <w:w w:val="105"/>
        </w:rPr>
        <w:t>restricted</w:t>
      </w:r>
      <w:r>
        <w:rPr>
          <w:spacing w:val="-6"/>
          <w:w w:val="105"/>
        </w:rPr>
        <w:t xml:space="preserve"> </w:t>
      </w:r>
      <w:r>
        <w:rPr>
          <w:w w:val="105"/>
        </w:rPr>
        <w:t>access</w:t>
      </w:r>
      <w:r>
        <w:rPr>
          <w:spacing w:val="-2"/>
          <w:w w:val="105"/>
        </w:rPr>
        <w:t xml:space="preserve"> </w:t>
      </w:r>
      <w:r>
        <w:rPr>
          <w:w w:val="105"/>
        </w:rPr>
        <w:t>to</w:t>
      </w:r>
      <w:r>
        <w:rPr>
          <w:spacing w:val="-6"/>
          <w:w w:val="105"/>
        </w:rPr>
        <w:t xml:space="preserve"> </w:t>
      </w:r>
      <w:r>
        <w:rPr>
          <w:w w:val="105"/>
        </w:rPr>
        <w:t>affordable financ</w:t>
      </w:r>
      <w:r>
        <w:rPr>
          <w:w w:val="105"/>
        </w:rPr>
        <w:t>e, compounded by stringent collateral requirements and limited financial inclusion. These financial barriers hinder their ability to grow, invest in capacity building, or effectively participate in competitive markets such as public procurement. Therefore,</w:t>
      </w:r>
      <w:r>
        <w:rPr>
          <w:w w:val="105"/>
        </w:rPr>
        <w:t xml:space="preserve"> the representation</w:t>
      </w:r>
      <w:r>
        <w:rPr>
          <w:spacing w:val="-5"/>
          <w:w w:val="105"/>
        </w:rPr>
        <w:t xml:space="preserve"> </w:t>
      </w:r>
      <w:r>
        <w:rPr>
          <w:w w:val="105"/>
        </w:rPr>
        <w:t>of</w:t>
      </w:r>
      <w:r>
        <w:rPr>
          <w:spacing w:val="-2"/>
          <w:w w:val="105"/>
        </w:rPr>
        <w:t xml:space="preserve"> </w:t>
      </w:r>
      <w:r>
        <w:rPr>
          <w:w w:val="105"/>
        </w:rPr>
        <w:t>SMEs</w:t>
      </w:r>
      <w:r>
        <w:rPr>
          <w:spacing w:val="-3"/>
          <w:w w:val="105"/>
        </w:rPr>
        <w:t xml:space="preserve"> </w:t>
      </w:r>
      <w:r>
        <w:rPr>
          <w:w w:val="105"/>
        </w:rPr>
        <w:t>in</w:t>
      </w:r>
      <w:r>
        <w:rPr>
          <w:spacing w:val="-5"/>
          <w:w w:val="105"/>
        </w:rPr>
        <w:t xml:space="preserve"> </w:t>
      </w:r>
      <w:r>
        <w:rPr>
          <w:w w:val="105"/>
        </w:rPr>
        <w:t>this</w:t>
      </w:r>
      <w:r>
        <w:rPr>
          <w:spacing w:val="-1"/>
          <w:w w:val="105"/>
        </w:rPr>
        <w:t xml:space="preserve"> </w:t>
      </w:r>
      <w:r>
        <w:rPr>
          <w:w w:val="105"/>
        </w:rPr>
        <w:t>study</w:t>
      </w:r>
      <w:r>
        <w:rPr>
          <w:spacing w:val="-5"/>
          <w:w w:val="105"/>
        </w:rPr>
        <w:t xml:space="preserve"> </w:t>
      </w:r>
      <w:r>
        <w:rPr>
          <w:w w:val="105"/>
        </w:rPr>
        <w:t>highlights</w:t>
      </w:r>
      <w:r>
        <w:rPr>
          <w:spacing w:val="-7"/>
          <w:w w:val="105"/>
        </w:rPr>
        <w:t xml:space="preserve"> </w:t>
      </w:r>
      <w:r>
        <w:rPr>
          <w:w w:val="105"/>
        </w:rPr>
        <w:t>the</w:t>
      </w:r>
      <w:r>
        <w:rPr>
          <w:spacing w:val="-6"/>
          <w:w w:val="105"/>
        </w:rPr>
        <w:t xml:space="preserve"> </w:t>
      </w:r>
      <w:r>
        <w:rPr>
          <w:w w:val="105"/>
        </w:rPr>
        <w:t>persistent need for</w:t>
      </w:r>
      <w:r>
        <w:rPr>
          <w:spacing w:val="-2"/>
          <w:w w:val="105"/>
        </w:rPr>
        <w:t xml:space="preserve"> </w:t>
      </w:r>
      <w:r>
        <w:rPr>
          <w:w w:val="105"/>
        </w:rPr>
        <w:t>policy</w:t>
      </w:r>
      <w:r>
        <w:rPr>
          <w:spacing w:val="-5"/>
          <w:w w:val="105"/>
        </w:rPr>
        <w:t xml:space="preserve"> </w:t>
      </w:r>
      <w:r>
        <w:rPr>
          <w:w w:val="105"/>
        </w:rPr>
        <w:t>reforms and financial innovations aimed at strengthening the capital base and economic resilience of these vulnerable business segments.</w:t>
      </w:r>
    </w:p>
    <w:p w:rsidR="00487D64" w:rsidRDefault="006F0D93">
      <w:pPr>
        <w:pStyle w:val="BodyText"/>
        <w:spacing w:before="230" w:line="501" w:lineRule="auto"/>
        <w:ind w:left="1419" w:right="849"/>
        <w:jc w:val="both"/>
      </w:pPr>
      <w:r>
        <w:rPr>
          <w:w w:val="105"/>
        </w:rPr>
        <w:t>A smaller yet significant portion</w:t>
      </w:r>
      <w:r>
        <w:rPr>
          <w:w w:val="105"/>
        </w:rPr>
        <w:t xml:space="preserve"> of respondents (16.5%, or 65 SMEs) reported having capital investment in the range of above 200 million to 800 million TZS. These businesses are generally more established and capable of undertaking larger procurement contracts, such as construction works</w:t>
      </w:r>
      <w:r>
        <w:rPr>
          <w:w w:val="105"/>
        </w:rPr>
        <w:t xml:space="preserve"> or major supply projects. Their capital strength provides a competitive advantage in terms of financial stability and resource allocation (Magali &amp; Jacob, 2022).</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7"/>
        <w:jc w:val="both"/>
      </w:pPr>
      <w:r>
        <w:rPr>
          <w:w w:val="105"/>
        </w:rPr>
        <w:t xml:space="preserve">The smallest category comprises SMEs with capital investment above 800 </w:t>
      </w:r>
      <w:r>
        <w:rPr>
          <w:w w:val="105"/>
        </w:rPr>
        <w:t>million TZS (9.2% or 36 respondents). These are typically well-established enterprises that may</w:t>
      </w:r>
      <w:r>
        <w:rPr>
          <w:spacing w:val="-1"/>
          <w:w w:val="105"/>
        </w:rPr>
        <w:t xml:space="preserve"> </w:t>
      </w:r>
      <w:r>
        <w:rPr>
          <w:w w:val="105"/>
        </w:rPr>
        <w:t>have</w:t>
      </w:r>
      <w:r>
        <w:rPr>
          <w:spacing w:val="-8"/>
          <w:w w:val="105"/>
        </w:rPr>
        <w:t xml:space="preserve"> </w:t>
      </w:r>
      <w:r>
        <w:rPr>
          <w:w w:val="105"/>
        </w:rPr>
        <w:t>transformed</w:t>
      </w:r>
      <w:r>
        <w:rPr>
          <w:spacing w:val="-1"/>
          <w:w w:val="105"/>
        </w:rPr>
        <w:t xml:space="preserve"> </w:t>
      </w:r>
      <w:r>
        <w:rPr>
          <w:w w:val="105"/>
        </w:rPr>
        <w:t>from SMEs</w:t>
      </w:r>
      <w:r>
        <w:rPr>
          <w:spacing w:val="-9"/>
          <w:w w:val="105"/>
        </w:rPr>
        <w:t xml:space="preserve"> </w:t>
      </w:r>
      <w:r>
        <w:rPr>
          <w:w w:val="105"/>
        </w:rPr>
        <w:t>to</w:t>
      </w:r>
      <w:r>
        <w:rPr>
          <w:spacing w:val="-7"/>
          <w:w w:val="105"/>
        </w:rPr>
        <w:t xml:space="preserve"> </w:t>
      </w:r>
      <w:r>
        <w:rPr>
          <w:w w:val="105"/>
        </w:rPr>
        <w:t>larger businesses, often</w:t>
      </w:r>
      <w:r>
        <w:rPr>
          <w:spacing w:val="-1"/>
          <w:w w:val="105"/>
        </w:rPr>
        <w:t xml:space="preserve"> </w:t>
      </w:r>
      <w:r>
        <w:rPr>
          <w:w w:val="105"/>
        </w:rPr>
        <w:t>engaging</w:t>
      </w:r>
      <w:r>
        <w:rPr>
          <w:spacing w:val="-1"/>
          <w:w w:val="105"/>
        </w:rPr>
        <w:t xml:space="preserve"> </w:t>
      </w:r>
      <w:r>
        <w:rPr>
          <w:w w:val="105"/>
        </w:rPr>
        <w:t>in high-value public procurement contracts. The lower proportion in this category reflects the r</w:t>
      </w:r>
      <w:r>
        <w:rPr>
          <w:w w:val="105"/>
        </w:rPr>
        <w:t>elatively small number</w:t>
      </w:r>
      <w:r>
        <w:rPr>
          <w:spacing w:val="-2"/>
          <w:w w:val="105"/>
        </w:rPr>
        <w:t xml:space="preserve"> </w:t>
      </w:r>
      <w:r>
        <w:rPr>
          <w:w w:val="105"/>
        </w:rPr>
        <w:t>of</w:t>
      </w:r>
      <w:r>
        <w:rPr>
          <w:spacing w:val="-2"/>
          <w:w w:val="105"/>
        </w:rPr>
        <w:t xml:space="preserve"> </w:t>
      </w:r>
      <w:r>
        <w:rPr>
          <w:w w:val="105"/>
        </w:rPr>
        <w:t>special</w:t>
      </w:r>
      <w:r>
        <w:rPr>
          <w:spacing w:val="-4"/>
          <w:w w:val="105"/>
        </w:rPr>
        <w:t xml:space="preserve"> </w:t>
      </w:r>
      <w:r>
        <w:rPr>
          <w:w w:val="105"/>
        </w:rPr>
        <w:t>group SMEs</w:t>
      </w:r>
      <w:r>
        <w:rPr>
          <w:spacing w:val="-8"/>
          <w:w w:val="105"/>
        </w:rPr>
        <w:t xml:space="preserve"> </w:t>
      </w:r>
      <w:r>
        <w:rPr>
          <w:w w:val="105"/>
        </w:rPr>
        <w:t>that</w:t>
      </w:r>
      <w:r>
        <w:rPr>
          <w:spacing w:val="-4"/>
          <w:w w:val="105"/>
        </w:rPr>
        <w:t xml:space="preserve"> </w:t>
      </w:r>
      <w:r>
        <w:rPr>
          <w:w w:val="105"/>
        </w:rPr>
        <w:t>have</w:t>
      </w:r>
      <w:r>
        <w:rPr>
          <w:spacing w:val="-7"/>
          <w:w w:val="105"/>
        </w:rPr>
        <w:t xml:space="preserve"> </w:t>
      </w:r>
      <w:r>
        <w:rPr>
          <w:w w:val="105"/>
        </w:rPr>
        <w:t>reached</w:t>
      </w:r>
      <w:r>
        <w:rPr>
          <w:spacing w:val="-6"/>
          <w:w w:val="105"/>
        </w:rPr>
        <w:t xml:space="preserve"> </w:t>
      </w:r>
      <w:r>
        <w:rPr>
          <w:w w:val="105"/>
        </w:rPr>
        <w:t>this</w:t>
      </w:r>
      <w:r>
        <w:rPr>
          <w:spacing w:val="-1"/>
          <w:w w:val="105"/>
        </w:rPr>
        <w:t xml:space="preserve"> </w:t>
      </w:r>
      <w:r>
        <w:rPr>
          <w:w w:val="105"/>
        </w:rPr>
        <w:t>level of</w:t>
      </w:r>
      <w:r>
        <w:rPr>
          <w:spacing w:val="-9"/>
          <w:w w:val="105"/>
        </w:rPr>
        <w:t xml:space="preserve"> </w:t>
      </w:r>
      <w:r>
        <w:rPr>
          <w:w w:val="105"/>
        </w:rPr>
        <w:t>capital strength, primarily due to financial and operational challenges commonly faced by such groups (URT, 2022).</w:t>
      </w:r>
    </w:p>
    <w:p w:rsidR="00487D64" w:rsidRDefault="00487D64">
      <w:pPr>
        <w:pStyle w:val="BodyText"/>
        <w:spacing w:before="253"/>
      </w:pPr>
    </w:p>
    <w:p w:rsidR="00487D64" w:rsidRDefault="006F0D93">
      <w:pPr>
        <w:ind w:left="1419"/>
        <w:jc w:val="both"/>
        <w:rPr>
          <w:b/>
          <w:sz w:val="23"/>
        </w:rPr>
      </w:pPr>
      <w:r>
        <w:rPr>
          <w:b/>
          <w:w w:val="105"/>
          <w:sz w:val="23"/>
        </w:rPr>
        <w:t>Table</w:t>
      </w:r>
      <w:r>
        <w:rPr>
          <w:b/>
          <w:spacing w:val="-10"/>
          <w:w w:val="105"/>
          <w:sz w:val="23"/>
        </w:rPr>
        <w:t xml:space="preserve"> </w:t>
      </w:r>
      <w:r>
        <w:rPr>
          <w:b/>
          <w:w w:val="105"/>
          <w:sz w:val="23"/>
        </w:rPr>
        <w:t>4.</w:t>
      </w:r>
      <w:r>
        <w:rPr>
          <w:b/>
          <w:spacing w:val="-12"/>
          <w:w w:val="105"/>
          <w:sz w:val="23"/>
        </w:rPr>
        <w:t xml:space="preserve"> </w:t>
      </w:r>
      <w:r>
        <w:rPr>
          <w:b/>
          <w:w w:val="105"/>
          <w:sz w:val="23"/>
        </w:rPr>
        <w:t>6:</w:t>
      </w:r>
      <w:r>
        <w:rPr>
          <w:b/>
          <w:spacing w:val="-5"/>
          <w:w w:val="105"/>
          <w:sz w:val="23"/>
        </w:rPr>
        <w:t xml:space="preserve"> </w:t>
      </w:r>
      <w:r>
        <w:rPr>
          <w:b/>
          <w:w w:val="105"/>
          <w:sz w:val="23"/>
        </w:rPr>
        <w:t>Shows</w:t>
      </w:r>
      <w:r>
        <w:rPr>
          <w:b/>
          <w:spacing w:val="-11"/>
          <w:w w:val="105"/>
          <w:sz w:val="23"/>
        </w:rPr>
        <w:t xml:space="preserve"> </w:t>
      </w:r>
      <w:r>
        <w:rPr>
          <w:b/>
          <w:w w:val="105"/>
          <w:sz w:val="23"/>
        </w:rPr>
        <w:t>the</w:t>
      </w:r>
      <w:r>
        <w:rPr>
          <w:b/>
          <w:spacing w:val="-7"/>
          <w:w w:val="105"/>
          <w:sz w:val="23"/>
        </w:rPr>
        <w:t xml:space="preserve"> </w:t>
      </w:r>
      <w:r>
        <w:rPr>
          <w:b/>
          <w:w w:val="105"/>
          <w:sz w:val="23"/>
        </w:rPr>
        <w:t>Distribution</w:t>
      </w:r>
      <w:r>
        <w:rPr>
          <w:b/>
          <w:spacing w:val="-6"/>
          <w:w w:val="105"/>
          <w:sz w:val="23"/>
        </w:rPr>
        <w:t xml:space="preserve"> </w:t>
      </w:r>
      <w:r>
        <w:rPr>
          <w:b/>
          <w:w w:val="105"/>
          <w:sz w:val="23"/>
        </w:rPr>
        <w:t>of</w:t>
      </w:r>
      <w:r>
        <w:rPr>
          <w:b/>
          <w:spacing w:val="-11"/>
          <w:w w:val="105"/>
          <w:sz w:val="23"/>
        </w:rPr>
        <w:t xml:space="preserve"> </w:t>
      </w:r>
      <w:r>
        <w:rPr>
          <w:b/>
          <w:w w:val="105"/>
          <w:sz w:val="23"/>
        </w:rPr>
        <w:t>Capital</w:t>
      </w:r>
      <w:r>
        <w:rPr>
          <w:b/>
          <w:spacing w:val="-13"/>
          <w:w w:val="105"/>
          <w:sz w:val="23"/>
        </w:rPr>
        <w:t xml:space="preserve"> </w:t>
      </w:r>
      <w:r>
        <w:rPr>
          <w:b/>
          <w:w w:val="105"/>
          <w:sz w:val="23"/>
        </w:rPr>
        <w:t>Investment</w:t>
      </w:r>
      <w:r>
        <w:rPr>
          <w:b/>
          <w:spacing w:val="-2"/>
          <w:w w:val="105"/>
          <w:sz w:val="23"/>
        </w:rPr>
        <w:t xml:space="preserve"> </w:t>
      </w:r>
      <w:r>
        <w:rPr>
          <w:b/>
          <w:w w:val="105"/>
          <w:sz w:val="23"/>
        </w:rPr>
        <w:t>by</w:t>
      </w:r>
      <w:r>
        <w:rPr>
          <w:b/>
          <w:spacing w:val="-9"/>
          <w:w w:val="105"/>
          <w:sz w:val="23"/>
        </w:rPr>
        <w:t xml:space="preserve"> </w:t>
      </w:r>
      <w:r>
        <w:rPr>
          <w:b/>
          <w:w w:val="105"/>
          <w:sz w:val="23"/>
        </w:rPr>
        <w:t>the</w:t>
      </w:r>
      <w:r>
        <w:rPr>
          <w:b/>
          <w:spacing w:val="-2"/>
          <w:w w:val="105"/>
          <w:sz w:val="23"/>
        </w:rPr>
        <w:t xml:space="preserve"> </w:t>
      </w:r>
      <w:r>
        <w:rPr>
          <w:b/>
          <w:w w:val="105"/>
          <w:sz w:val="23"/>
        </w:rPr>
        <w:t>Special</w:t>
      </w:r>
      <w:r>
        <w:rPr>
          <w:b/>
          <w:spacing w:val="-1"/>
          <w:w w:val="105"/>
          <w:sz w:val="23"/>
        </w:rPr>
        <w:t xml:space="preserve"> </w:t>
      </w:r>
      <w:r>
        <w:rPr>
          <w:b/>
          <w:spacing w:val="-2"/>
          <w:w w:val="105"/>
          <w:sz w:val="23"/>
        </w:rPr>
        <w:t>Groups</w:t>
      </w:r>
    </w:p>
    <w:p w:rsidR="00487D64" w:rsidRDefault="00487D64">
      <w:pPr>
        <w:pStyle w:val="BodyText"/>
        <w:rPr>
          <w:b/>
          <w:sz w:val="12"/>
        </w:rPr>
      </w:pPr>
    </w:p>
    <w:tbl>
      <w:tblPr>
        <w:tblW w:w="0" w:type="auto"/>
        <w:tblInd w:w="1311" w:type="dxa"/>
        <w:tblLayout w:type="fixed"/>
        <w:tblCellMar>
          <w:left w:w="0" w:type="dxa"/>
          <w:right w:w="0" w:type="dxa"/>
        </w:tblCellMar>
        <w:tblLook w:val="01E0" w:firstRow="1" w:lastRow="1" w:firstColumn="1" w:lastColumn="1" w:noHBand="0" w:noVBand="0"/>
      </w:tblPr>
      <w:tblGrid>
        <w:gridCol w:w="4537"/>
        <w:gridCol w:w="2488"/>
        <w:gridCol w:w="1425"/>
      </w:tblGrid>
      <w:tr w:rsidR="00487D64">
        <w:trPr>
          <w:trHeight w:val="415"/>
        </w:trPr>
        <w:tc>
          <w:tcPr>
            <w:tcW w:w="4537" w:type="dxa"/>
            <w:tcBorders>
              <w:top w:val="single" w:sz="4" w:space="0" w:color="000000"/>
              <w:bottom w:val="single" w:sz="4" w:space="0" w:color="000000"/>
            </w:tcBorders>
          </w:tcPr>
          <w:p w:rsidR="00487D64" w:rsidRDefault="006F0D93">
            <w:pPr>
              <w:pStyle w:val="TableParagraph"/>
              <w:spacing w:before="7"/>
              <w:ind w:left="115"/>
              <w:rPr>
                <w:b/>
                <w:sz w:val="23"/>
              </w:rPr>
            </w:pPr>
            <w:r>
              <w:rPr>
                <w:b/>
                <w:spacing w:val="-2"/>
                <w:w w:val="105"/>
                <w:sz w:val="23"/>
              </w:rPr>
              <w:t>Value</w:t>
            </w:r>
          </w:p>
        </w:tc>
        <w:tc>
          <w:tcPr>
            <w:tcW w:w="2488" w:type="dxa"/>
            <w:tcBorders>
              <w:top w:val="single" w:sz="4" w:space="0" w:color="000000"/>
              <w:bottom w:val="single" w:sz="4" w:space="0" w:color="000000"/>
            </w:tcBorders>
          </w:tcPr>
          <w:p w:rsidR="00487D64" w:rsidRDefault="006F0D93">
            <w:pPr>
              <w:pStyle w:val="TableParagraph"/>
              <w:spacing w:before="7"/>
              <w:ind w:left="908" w:right="12"/>
              <w:jc w:val="center"/>
              <w:rPr>
                <w:b/>
                <w:sz w:val="23"/>
              </w:rPr>
            </w:pPr>
            <w:r>
              <w:rPr>
                <w:b/>
                <w:spacing w:val="-2"/>
                <w:w w:val="105"/>
                <w:sz w:val="23"/>
              </w:rPr>
              <w:t>Frequency</w:t>
            </w:r>
          </w:p>
        </w:tc>
        <w:tc>
          <w:tcPr>
            <w:tcW w:w="1425" w:type="dxa"/>
            <w:tcBorders>
              <w:top w:val="single" w:sz="4" w:space="0" w:color="000000"/>
              <w:bottom w:val="single" w:sz="4" w:space="0" w:color="000000"/>
            </w:tcBorders>
          </w:tcPr>
          <w:p w:rsidR="00487D64" w:rsidRDefault="006F0D93">
            <w:pPr>
              <w:pStyle w:val="TableParagraph"/>
              <w:spacing w:before="7"/>
              <w:ind w:left="10" w:right="146"/>
              <w:jc w:val="center"/>
              <w:rPr>
                <w:b/>
                <w:sz w:val="23"/>
              </w:rPr>
            </w:pPr>
            <w:r>
              <w:rPr>
                <w:b/>
                <w:spacing w:val="-2"/>
                <w:w w:val="105"/>
                <w:sz w:val="23"/>
              </w:rPr>
              <w:t>Percent</w:t>
            </w:r>
          </w:p>
        </w:tc>
      </w:tr>
      <w:tr w:rsidR="00487D64">
        <w:trPr>
          <w:trHeight w:val="343"/>
        </w:trPr>
        <w:tc>
          <w:tcPr>
            <w:tcW w:w="4537" w:type="dxa"/>
            <w:tcBorders>
              <w:top w:val="single" w:sz="4" w:space="0" w:color="000000"/>
            </w:tcBorders>
          </w:tcPr>
          <w:p w:rsidR="00487D64" w:rsidRDefault="006F0D93">
            <w:pPr>
              <w:pStyle w:val="TableParagraph"/>
              <w:ind w:left="115"/>
              <w:rPr>
                <w:sz w:val="23"/>
              </w:rPr>
            </w:pPr>
            <w:r>
              <w:rPr>
                <w:w w:val="105"/>
                <w:sz w:val="23"/>
              </w:rPr>
              <w:t>Up</w:t>
            </w:r>
            <w:r>
              <w:rPr>
                <w:spacing w:val="-9"/>
                <w:w w:val="105"/>
                <w:sz w:val="23"/>
              </w:rPr>
              <w:t xml:space="preserve"> </w:t>
            </w:r>
            <w:r>
              <w:rPr>
                <w:w w:val="105"/>
                <w:sz w:val="23"/>
              </w:rPr>
              <w:t>to</w:t>
            </w:r>
            <w:r>
              <w:rPr>
                <w:spacing w:val="-9"/>
                <w:w w:val="105"/>
                <w:sz w:val="23"/>
              </w:rPr>
              <w:t xml:space="preserve"> </w:t>
            </w:r>
            <w:r>
              <w:rPr>
                <w:w w:val="105"/>
                <w:sz w:val="23"/>
              </w:rPr>
              <w:t>5</w:t>
            </w:r>
            <w:r>
              <w:rPr>
                <w:spacing w:val="4"/>
                <w:w w:val="105"/>
                <w:sz w:val="23"/>
              </w:rPr>
              <w:t xml:space="preserve"> </w:t>
            </w:r>
            <w:r>
              <w:rPr>
                <w:spacing w:val="-2"/>
                <w:w w:val="105"/>
                <w:sz w:val="23"/>
              </w:rPr>
              <w:t>Million</w:t>
            </w:r>
          </w:p>
        </w:tc>
        <w:tc>
          <w:tcPr>
            <w:tcW w:w="2488" w:type="dxa"/>
            <w:tcBorders>
              <w:top w:val="single" w:sz="4" w:space="0" w:color="000000"/>
            </w:tcBorders>
          </w:tcPr>
          <w:p w:rsidR="00487D64" w:rsidRDefault="006F0D93">
            <w:pPr>
              <w:pStyle w:val="TableParagraph"/>
              <w:ind w:left="908" w:right="8"/>
              <w:jc w:val="center"/>
              <w:rPr>
                <w:sz w:val="23"/>
              </w:rPr>
            </w:pPr>
            <w:r>
              <w:rPr>
                <w:spacing w:val="-5"/>
                <w:w w:val="105"/>
                <w:sz w:val="23"/>
              </w:rPr>
              <w:t>72</w:t>
            </w:r>
          </w:p>
        </w:tc>
        <w:tc>
          <w:tcPr>
            <w:tcW w:w="1425" w:type="dxa"/>
            <w:tcBorders>
              <w:top w:val="single" w:sz="4" w:space="0" w:color="000000"/>
            </w:tcBorders>
          </w:tcPr>
          <w:p w:rsidR="00487D64" w:rsidRDefault="006F0D93">
            <w:pPr>
              <w:pStyle w:val="TableParagraph"/>
              <w:ind w:left="7" w:right="146"/>
              <w:jc w:val="center"/>
              <w:rPr>
                <w:sz w:val="23"/>
              </w:rPr>
            </w:pPr>
            <w:r>
              <w:rPr>
                <w:spacing w:val="-4"/>
                <w:w w:val="105"/>
                <w:sz w:val="23"/>
              </w:rPr>
              <w:t>18.3</w:t>
            </w:r>
          </w:p>
        </w:tc>
      </w:tr>
      <w:tr w:rsidR="00487D64">
        <w:trPr>
          <w:trHeight w:val="414"/>
        </w:trPr>
        <w:tc>
          <w:tcPr>
            <w:tcW w:w="4537" w:type="dxa"/>
          </w:tcPr>
          <w:p w:rsidR="00487D64" w:rsidRDefault="006F0D93">
            <w:pPr>
              <w:pStyle w:val="TableParagraph"/>
              <w:spacing w:before="74"/>
              <w:ind w:left="115"/>
              <w:rPr>
                <w:sz w:val="23"/>
              </w:rPr>
            </w:pPr>
            <w:r>
              <w:rPr>
                <w:w w:val="105"/>
                <w:sz w:val="23"/>
              </w:rPr>
              <w:t>Above</w:t>
            </w:r>
            <w:r>
              <w:rPr>
                <w:spacing w:val="-14"/>
                <w:w w:val="105"/>
                <w:sz w:val="23"/>
              </w:rPr>
              <w:t xml:space="preserve"> </w:t>
            </w:r>
            <w:r>
              <w:rPr>
                <w:w w:val="105"/>
                <w:sz w:val="23"/>
              </w:rPr>
              <w:t>5</w:t>
            </w:r>
            <w:r>
              <w:rPr>
                <w:spacing w:val="-1"/>
                <w:w w:val="105"/>
                <w:sz w:val="23"/>
              </w:rPr>
              <w:t xml:space="preserve"> </w:t>
            </w:r>
            <w:r>
              <w:rPr>
                <w:w w:val="105"/>
                <w:sz w:val="23"/>
              </w:rPr>
              <w:t>Million</w:t>
            </w:r>
            <w:r>
              <w:rPr>
                <w:spacing w:val="-6"/>
                <w:w w:val="105"/>
                <w:sz w:val="23"/>
              </w:rPr>
              <w:t xml:space="preserve"> </w:t>
            </w:r>
            <w:r>
              <w:rPr>
                <w:w w:val="105"/>
                <w:sz w:val="23"/>
              </w:rPr>
              <w:t>to</w:t>
            </w:r>
            <w:r>
              <w:rPr>
                <w:spacing w:val="-7"/>
                <w:w w:val="105"/>
                <w:sz w:val="23"/>
              </w:rPr>
              <w:t xml:space="preserve"> </w:t>
            </w:r>
            <w:r>
              <w:rPr>
                <w:w w:val="105"/>
                <w:sz w:val="23"/>
              </w:rPr>
              <w:t>200</w:t>
            </w:r>
            <w:r>
              <w:rPr>
                <w:spacing w:val="-7"/>
                <w:w w:val="105"/>
                <w:sz w:val="23"/>
              </w:rPr>
              <w:t xml:space="preserve"> </w:t>
            </w:r>
            <w:r>
              <w:rPr>
                <w:spacing w:val="-2"/>
                <w:w w:val="105"/>
                <w:sz w:val="23"/>
              </w:rPr>
              <w:t>Million</w:t>
            </w:r>
          </w:p>
        </w:tc>
        <w:tc>
          <w:tcPr>
            <w:tcW w:w="2488" w:type="dxa"/>
          </w:tcPr>
          <w:p w:rsidR="00487D64" w:rsidRDefault="006F0D93">
            <w:pPr>
              <w:pStyle w:val="TableParagraph"/>
              <w:spacing w:before="74"/>
              <w:ind w:left="908"/>
              <w:jc w:val="center"/>
              <w:rPr>
                <w:sz w:val="23"/>
              </w:rPr>
            </w:pPr>
            <w:r>
              <w:rPr>
                <w:spacing w:val="-5"/>
                <w:w w:val="105"/>
                <w:sz w:val="23"/>
              </w:rPr>
              <w:t>220</w:t>
            </w:r>
          </w:p>
        </w:tc>
        <w:tc>
          <w:tcPr>
            <w:tcW w:w="1425" w:type="dxa"/>
          </w:tcPr>
          <w:p w:rsidR="00487D64" w:rsidRDefault="006F0D93">
            <w:pPr>
              <w:pStyle w:val="TableParagraph"/>
              <w:spacing w:before="74"/>
              <w:ind w:left="7" w:right="146"/>
              <w:jc w:val="center"/>
              <w:rPr>
                <w:sz w:val="23"/>
              </w:rPr>
            </w:pPr>
            <w:r>
              <w:rPr>
                <w:spacing w:val="-4"/>
                <w:w w:val="105"/>
                <w:sz w:val="23"/>
              </w:rPr>
              <w:t>56.0</w:t>
            </w:r>
          </w:p>
        </w:tc>
      </w:tr>
      <w:tr w:rsidR="00487D64">
        <w:trPr>
          <w:trHeight w:val="414"/>
        </w:trPr>
        <w:tc>
          <w:tcPr>
            <w:tcW w:w="4537" w:type="dxa"/>
          </w:tcPr>
          <w:p w:rsidR="00487D64" w:rsidRDefault="006F0D93">
            <w:pPr>
              <w:pStyle w:val="TableParagraph"/>
              <w:spacing w:before="71"/>
              <w:ind w:left="115"/>
              <w:rPr>
                <w:sz w:val="23"/>
              </w:rPr>
            </w:pPr>
            <w:r>
              <w:rPr>
                <w:w w:val="105"/>
                <w:sz w:val="23"/>
              </w:rPr>
              <w:t>Above</w:t>
            </w:r>
            <w:r>
              <w:rPr>
                <w:spacing w:val="-12"/>
                <w:w w:val="105"/>
                <w:sz w:val="23"/>
              </w:rPr>
              <w:t xml:space="preserve"> </w:t>
            </w:r>
            <w:r>
              <w:rPr>
                <w:w w:val="105"/>
                <w:sz w:val="23"/>
              </w:rPr>
              <w:t>200</w:t>
            </w:r>
            <w:r>
              <w:rPr>
                <w:spacing w:val="-4"/>
                <w:w w:val="105"/>
                <w:sz w:val="23"/>
              </w:rPr>
              <w:t xml:space="preserve"> </w:t>
            </w:r>
            <w:r>
              <w:rPr>
                <w:w w:val="105"/>
                <w:sz w:val="23"/>
              </w:rPr>
              <w:t>Million</w:t>
            </w:r>
            <w:r>
              <w:rPr>
                <w:spacing w:val="-10"/>
                <w:w w:val="105"/>
                <w:sz w:val="23"/>
              </w:rPr>
              <w:t xml:space="preserve"> </w:t>
            </w:r>
            <w:r>
              <w:rPr>
                <w:w w:val="105"/>
                <w:sz w:val="23"/>
              </w:rPr>
              <w:t>to</w:t>
            </w:r>
            <w:r>
              <w:rPr>
                <w:spacing w:val="-10"/>
                <w:w w:val="105"/>
                <w:sz w:val="23"/>
              </w:rPr>
              <w:t xml:space="preserve"> </w:t>
            </w:r>
            <w:r>
              <w:rPr>
                <w:w w:val="105"/>
                <w:sz w:val="23"/>
              </w:rPr>
              <w:t>800</w:t>
            </w:r>
            <w:r>
              <w:rPr>
                <w:spacing w:val="-4"/>
                <w:w w:val="105"/>
                <w:sz w:val="23"/>
              </w:rPr>
              <w:t xml:space="preserve"> </w:t>
            </w:r>
            <w:r>
              <w:rPr>
                <w:spacing w:val="-2"/>
                <w:w w:val="105"/>
                <w:sz w:val="23"/>
              </w:rPr>
              <w:t>Million</w:t>
            </w:r>
          </w:p>
        </w:tc>
        <w:tc>
          <w:tcPr>
            <w:tcW w:w="2488" w:type="dxa"/>
          </w:tcPr>
          <w:p w:rsidR="00487D64" w:rsidRDefault="006F0D93">
            <w:pPr>
              <w:pStyle w:val="TableParagraph"/>
              <w:spacing w:before="71"/>
              <w:ind w:left="908" w:right="8"/>
              <w:jc w:val="center"/>
              <w:rPr>
                <w:sz w:val="23"/>
              </w:rPr>
            </w:pPr>
            <w:r>
              <w:rPr>
                <w:spacing w:val="-5"/>
                <w:w w:val="105"/>
                <w:sz w:val="23"/>
              </w:rPr>
              <w:t>65</w:t>
            </w:r>
          </w:p>
        </w:tc>
        <w:tc>
          <w:tcPr>
            <w:tcW w:w="1425" w:type="dxa"/>
          </w:tcPr>
          <w:p w:rsidR="00487D64" w:rsidRDefault="006F0D93">
            <w:pPr>
              <w:pStyle w:val="TableParagraph"/>
              <w:spacing w:before="71"/>
              <w:ind w:left="7" w:right="146"/>
              <w:jc w:val="center"/>
              <w:rPr>
                <w:sz w:val="23"/>
              </w:rPr>
            </w:pPr>
            <w:r>
              <w:rPr>
                <w:spacing w:val="-4"/>
                <w:w w:val="105"/>
                <w:sz w:val="23"/>
              </w:rPr>
              <w:t>16.5</w:t>
            </w:r>
          </w:p>
        </w:tc>
      </w:tr>
      <w:tr w:rsidR="00487D64">
        <w:trPr>
          <w:trHeight w:val="481"/>
        </w:trPr>
        <w:tc>
          <w:tcPr>
            <w:tcW w:w="4537" w:type="dxa"/>
            <w:tcBorders>
              <w:bottom w:val="single" w:sz="4" w:space="0" w:color="000000"/>
            </w:tcBorders>
          </w:tcPr>
          <w:p w:rsidR="00487D64" w:rsidRDefault="006F0D93">
            <w:pPr>
              <w:pStyle w:val="TableParagraph"/>
              <w:spacing w:before="74"/>
              <w:ind w:left="115"/>
              <w:rPr>
                <w:sz w:val="23"/>
              </w:rPr>
            </w:pPr>
            <w:r>
              <w:rPr>
                <w:w w:val="105"/>
                <w:sz w:val="23"/>
              </w:rPr>
              <w:t>Above</w:t>
            </w:r>
            <w:r>
              <w:rPr>
                <w:spacing w:val="-14"/>
                <w:w w:val="105"/>
                <w:sz w:val="23"/>
              </w:rPr>
              <w:t xml:space="preserve"> </w:t>
            </w:r>
            <w:r>
              <w:rPr>
                <w:w w:val="105"/>
                <w:sz w:val="23"/>
              </w:rPr>
              <w:t>800</w:t>
            </w:r>
            <w:r>
              <w:rPr>
                <w:spacing w:val="-5"/>
                <w:w w:val="105"/>
                <w:sz w:val="23"/>
              </w:rPr>
              <w:t xml:space="preserve"> </w:t>
            </w:r>
            <w:r>
              <w:rPr>
                <w:spacing w:val="-2"/>
                <w:w w:val="105"/>
                <w:sz w:val="23"/>
              </w:rPr>
              <w:t>Million</w:t>
            </w:r>
          </w:p>
        </w:tc>
        <w:tc>
          <w:tcPr>
            <w:tcW w:w="2488" w:type="dxa"/>
            <w:tcBorders>
              <w:bottom w:val="single" w:sz="4" w:space="0" w:color="000000"/>
            </w:tcBorders>
          </w:tcPr>
          <w:p w:rsidR="00487D64" w:rsidRDefault="006F0D93">
            <w:pPr>
              <w:pStyle w:val="TableParagraph"/>
              <w:spacing w:before="74"/>
              <w:ind w:left="908" w:right="8"/>
              <w:jc w:val="center"/>
              <w:rPr>
                <w:sz w:val="23"/>
              </w:rPr>
            </w:pPr>
            <w:r>
              <w:rPr>
                <w:spacing w:val="-5"/>
                <w:w w:val="105"/>
                <w:sz w:val="23"/>
              </w:rPr>
              <w:t>36</w:t>
            </w:r>
          </w:p>
        </w:tc>
        <w:tc>
          <w:tcPr>
            <w:tcW w:w="1425" w:type="dxa"/>
            <w:tcBorders>
              <w:bottom w:val="single" w:sz="4" w:space="0" w:color="000000"/>
            </w:tcBorders>
          </w:tcPr>
          <w:p w:rsidR="00487D64" w:rsidRDefault="006F0D93">
            <w:pPr>
              <w:pStyle w:val="TableParagraph"/>
              <w:spacing w:before="74"/>
              <w:ind w:right="146"/>
              <w:jc w:val="center"/>
              <w:rPr>
                <w:sz w:val="23"/>
              </w:rPr>
            </w:pPr>
            <w:r>
              <w:rPr>
                <w:spacing w:val="-5"/>
                <w:w w:val="105"/>
                <w:sz w:val="23"/>
              </w:rPr>
              <w:t>9.2</w:t>
            </w:r>
          </w:p>
        </w:tc>
      </w:tr>
      <w:tr w:rsidR="00487D64">
        <w:trPr>
          <w:trHeight w:val="415"/>
        </w:trPr>
        <w:tc>
          <w:tcPr>
            <w:tcW w:w="4537" w:type="dxa"/>
            <w:tcBorders>
              <w:top w:val="single" w:sz="4" w:space="0" w:color="000000"/>
              <w:bottom w:val="single" w:sz="4" w:space="0" w:color="000000"/>
            </w:tcBorders>
          </w:tcPr>
          <w:p w:rsidR="00487D64" w:rsidRDefault="006F0D93">
            <w:pPr>
              <w:pStyle w:val="TableParagraph"/>
              <w:spacing w:before="7"/>
              <w:ind w:left="115"/>
              <w:rPr>
                <w:b/>
                <w:sz w:val="23"/>
              </w:rPr>
            </w:pPr>
            <w:r>
              <w:rPr>
                <w:b/>
                <w:spacing w:val="-2"/>
                <w:w w:val="105"/>
                <w:sz w:val="23"/>
              </w:rPr>
              <w:t>Total</w:t>
            </w:r>
          </w:p>
        </w:tc>
        <w:tc>
          <w:tcPr>
            <w:tcW w:w="2488" w:type="dxa"/>
            <w:tcBorders>
              <w:top w:val="single" w:sz="4" w:space="0" w:color="000000"/>
              <w:bottom w:val="single" w:sz="4" w:space="0" w:color="000000"/>
            </w:tcBorders>
          </w:tcPr>
          <w:p w:rsidR="00487D64" w:rsidRDefault="006F0D93">
            <w:pPr>
              <w:pStyle w:val="TableParagraph"/>
              <w:ind w:left="908"/>
              <w:jc w:val="center"/>
              <w:rPr>
                <w:sz w:val="23"/>
              </w:rPr>
            </w:pPr>
            <w:r>
              <w:rPr>
                <w:spacing w:val="-5"/>
                <w:w w:val="105"/>
                <w:sz w:val="23"/>
              </w:rPr>
              <w:t>393</w:t>
            </w:r>
          </w:p>
        </w:tc>
        <w:tc>
          <w:tcPr>
            <w:tcW w:w="1425" w:type="dxa"/>
            <w:tcBorders>
              <w:top w:val="single" w:sz="4" w:space="0" w:color="000000"/>
              <w:bottom w:val="single" w:sz="4" w:space="0" w:color="000000"/>
            </w:tcBorders>
          </w:tcPr>
          <w:p w:rsidR="00487D64" w:rsidRDefault="006F0D93">
            <w:pPr>
              <w:pStyle w:val="TableParagraph"/>
              <w:ind w:left="14" w:right="146"/>
              <w:jc w:val="center"/>
              <w:rPr>
                <w:sz w:val="23"/>
              </w:rPr>
            </w:pPr>
            <w:r>
              <w:rPr>
                <w:spacing w:val="-2"/>
                <w:w w:val="105"/>
                <w:sz w:val="23"/>
              </w:rPr>
              <w:t>100.0</w:t>
            </w:r>
          </w:p>
        </w:tc>
      </w:tr>
    </w:tbl>
    <w:p w:rsidR="00487D64" w:rsidRDefault="00487D64">
      <w:pPr>
        <w:pStyle w:val="BodyText"/>
        <w:rPr>
          <w:b/>
        </w:rPr>
      </w:pPr>
    </w:p>
    <w:p w:rsidR="00487D64" w:rsidRDefault="00487D64">
      <w:pPr>
        <w:pStyle w:val="BodyText"/>
        <w:rPr>
          <w:b/>
        </w:rPr>
      </w:pPr>
    </w:p>
    <w:p w:rsidR="00487D64" w:rsidRDefault="00487D64">
      <w:pPr>
        <w:pStyle w:val="BodyText"/>
        <w:spacing w:before="35"/>
        <w:rPr>
          <w:b/>
        </w:rPr>
      </w:pPr>
    </w:p>
    <w:p w:rsidR="00487D64" w:rsidRDefault="006F0D93">
      <w:pPr>
        <w:pStyle w:val="ListParagraph"/>
        <w:numPr>
          <w:ilvl w:val="2"/>
          <w:numId w:val="9"/>
        </w:numPr>
        <w:tabs>
          <w:tab w:val="left" w:pos="2139"/>
        </w:tabs>
        <w:spacing w:before="1"/>
        <w:ind w:left="2139" w:hanging="720"/>
        <w:rPr>
          <w:b/>
          <w:sz w:val="23"/>
        </w:rPr>
      </w:pPr>
      <w:bookmarkStart w:id="148" w:name="4.4.4___Source_of_Income_Generation"/>
      <w:bookmarkStart w:id="149" w:name="_bookmark73"/>
      <w:bookmarkEnd w:id="148"/>
      <w:bookmarkEnd w:id="149"/>
      <w:r>
        <w:rPr>
          <w:b/>
          <w:w w:val="105"/>
          <w:sz w:val="23"/>
        </w:rPr>
        <w:t>Source</w:t>
      </w:r>
      <w:r>
        <w:rPr>
          <w:b/>
          <w:spacing w:val="-11"/>
          <w:w w:val="105"/>
          <w:sz w:val="23"/>
        </w:rPr>
        <w:t xml:space="preserve"> </w:t>
      </w:r>
      <w:r>
        <w:rPr>
          <w:b/>
          <w:w w:val="105"/>
          <w:sz w:val="23"/>
        </w:rPr>
        <w:t>of</w:t>
      </w:r>
      <w:r>
        <w:rPr>
          <w:b/>
          <w:spacing w:val="-12"/>
          <w:w w:val="105"/>
          <w:sz w:val="23"/>
        </w:rPr>
        <w:t xml:space="preserve"> </w:t>
      </w:r>
      <w:r>
        <w:rPr>
          <w:b/>
          <w:w w:val="105"/>
          <w:sz w:val="23"/>
        </w:rPr>
        <w:t>Income</w:t>
      </w:r>
      <w:r>
        <w:rPr>
          <w:b/>
          <w:spacing w:val="-2"/>
          <w:w w:val="105"/>
          <w:sz w:val="23"/>
        </w:rPr>
        <w:t xml:space="preserve"> Generation</w:t>
      </w:r>
    </w:p>
    <w:p w:rsidR="00487D64" w:rsidRDefault="00487D64">
      <w:pPr>
        <w:pStyle w:val="BodyText"/>
        <w:spacing w:before="18"/>
        <w:rPr>
          <w:b/>
        </w:rPr>
      </w:pPr>
    </w:p>
    <w:p w:rsidR="00487D64" w:rsidRDefault="006F0D93">
      <w:pPr>
        <w:pStyle w:val="BodyText"/>
        <w:spacing w:line="501" w:lineRule="auto"/>
        <w:ind w:left="1419" w:right="850"/>
        <w:jc w:val="both"/>
      </w:pPr>
      <w:r>
        <w:rPr>
          <w:w w:val="105"/>
        </w:rPr>
        <w:t>The analysis of income</w:t>
      </w:r>
      <w:r>
        <w:rPr>
          <w:w w:val="105"/>
        </w:rPr>
        <w:t xml:space="preserve"> sources among special group SMEs participating in public procurement highlights a significant dependency on public tenders as the primary income source. Out of the total 393 respondents, a substantial 81.4% derive their income predominantly from public te</w:t>
      </w:r>
      <w:r>
        <w:rPr>
          <w:w w:val="105"/>
        </w:rPr>
        <w:t>nders, while only 18.6% generate income through private tenders.</w:t>
      </w:r>
    </w:p>
    <w:p w:rsidR="00487D64" w:rsidRDefault="006F0D93">
      <w:pPr>
        <w:pStyle w:val="BodyText"/>
        <w:spacing w:before="240" w:line="499" w:lineRule="auto"/>
        <w:ind w:left="1419" w:right="848"/>
        <w:jc w:val="both"/>
      </w:pPr>
      <w:r>
        <w:rPr>
          <w:w w:val="105"/>
        </w:rPr>
        <w:t>This</w:t>
      </w:r>
      <w:r>
        <w:rPr>
          <w:spacing w:val="-4"/>
          <w:w w:val="105"/>
        </w:rPr>
        <w:t xml:space="preserve"> </w:t>
      </w:r>
      <w:r>
        <w:rPr>
          <w:w w:val="105"/>
        </w:rPr>
        <w:t>finding</w:t>
      </w:r>
      <w:r>
        <w:rPr>
          <w:spacing w:val="-2"/>
          <w:w w:val="105"/>
        </w:rPr>
        <w:t xml:space="preserve"> </w:t>
      </w:r>
      <w:r>
        <w:rPr>
          <w:w w:val="105"/>
        </w:rPr>
        <w:t>shows</w:t>
      </w:r>
      <w:r>
        <w:rPr>
          <w:spacing w:val="-10"/>
          <w:w w:val="105"/>
        </w:rPr>
        <w:t xml:space="preserve"> </w:t>
      </w:r>
      <w:r>
        <w:rPr>
          <w:w w:val="105"/>
        </w:rPr>
        <w:t>the</w:t>
      </w:r>
      <w:r>
        <w:rPr>
          <w:spacing w:val="-3"/>
          <w:w w:val="105"/>
        </w:rPr>
        <w:t xml:space="preserve"> </w:t>
      </w:r>
      <w:r>
        <w:rPr>
          <w:w w:val="105"/>
        </w:rPr>
        <w:t>critical</w:t>
      </w:r>
      <w:r>
        <w:rPr>
          <w:spacing w:val="-6"/>
          <w:w w:val="105"/>
        </w:rPr>
        <w:t xml:space="preserve"> </w:t>
      </w:r>
      <w:r>
        <w:rPr>
          <w:w w:val="105"/>
        </w:rPr>
        <w:t>role</w:t>
      </w:r>
      <w:r>
        <w:rPr>
          <w:spacing w:val="-3"/>
          <w:w w:val="105"/>
        </w:rPr>
        <w:t xml:space="preserve"> </w:t>
      </w:r>
      <w:r>
        <w:rPr>
          <w:w w:val="105"/>
        </w:rPr>
        <w:t>of public</w:t>
      </w:r>
      <w:r>
        <w:rPr>
          <w:spacing w:val="-3"/>
          <w:w w:val="105"/>
        </w:rPr>
        <w:t xml:space="preserve"> </w:t>
      </w:r>
      <w:r>
        <w:rPr>
          <w:w w:val="105"/>
        </w:rPr>
        <w:t>procurement</w:t>
      </w:r>
      <w:r>
        <w:rPr>
          <w:spacing w:val="-3"/>
          <w:w w:val="105"/>
        </w:rPr>
        <w:t xml:space="preserve"> </w:t>
      </w:r>
      <w:r>
        <w:rPr>
          <w:w w:val="105"/>
        </w:rPr>
        <w:t>in</w:t>
      </w:r>
      <w:r>
        <w:rPr>
          <w:spacing w:val="-2"/>
          <w:w w:val="105"/>
        </w:rPr>
        <w:t xml:space="preserve"> </w:t>
      </w:r>
      <w:r>
        <w:rPr>
          <w:w w:val="105"/>
        </w:rPr>
        <w:t>sustaining</w:t>
      </w:r>
      <w:r>
        <w:rPr>
          <w:spacing w:val="-2"/>
          <w:w w:val="105"/>
        </w:rPr>
        <w:t xml:space="preserve"> </w:t>
      </w:r>
      <w:r>
        <w:rPr>
          <w:w w:val="105"/>
        </w:rPr>
        <w:t>special</w:t>
      </w:r>
      <w:r>
        <w:rPr>
          <w:spacing w:val="-6"/>
          <w:w w:val="105"/>
        </w:rPr>
        <w:t xml:space="preserve"> </w:t>
      </w:r>
      <w:r>
        <w:rPr>
          <w:w w:val="105"/>
        </w:rPr>
        <w:t>group SMEs, reflecting the effectiveness of Tanzania's public procurement</w:t>
      </w:r>
      <w:r>
        <w:rPr>
          <w:w w:val="105"/>
        </w:rPr>
        <w:t xml:space="preserve"> policies aimed at promoting inclusive economic participation (URT, 2022). The high percentage of</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tabs>
          <w:tab w:val="left" w:pos="2555"/>
          <w:tab w:val="left" w:pos="4051"/>
          <w:tab w:val="left" w:pos="4956"/>
          <w:tab w:val="left" w:pos="5949"/>
          <w:tab w:val="left" w:pos="7302"/>
          <w:tab w:val="left" w:pos="8762"/>
        </w:tabs>
        <w:spacing w:line="501" w:lineRule="auto"/>
        <w:ind w:left="1419" w:right="848"/>
      </w:pPr>
      <w:r>
        <w:rPr>
          <w:w w:val="105"/>
        </w:rPr>
        <w:t xml:space="preserve">SMEs relying on public tenders aligns with the government's strategic initiatives to </w:t>
      </w:r>
      <w:r>
        <w:rPr>
          <w:spacing w:val="-2"/>
          <w:w w:val="105"/>
        </w:rPr>
        <w:t>empower</w:t>
      </w:r>
      <w:r>
        <w:tab/>
      </w:r>
      <w:r>
        <w:rPr>
          <w:spacing w:val="-2"/>
          <w:w w:val="105"/>
        </w:rPr>
        <w:t>marginalized</w:t>
      </w:r>
      <w:r>
        <w:tab/>
      </w:r>
      <w:r>
        <w:rPr>
          <w:spacing w:val="-2"/>
          <w:w w:val="105"/>
        </w:rPr>
        <w:t>groups</w:t>
      </w:r>
      <w:r>
        <w:tab/>
      </w:r>
      <w:r>
        <w:rPr>
          <w:spacing w:val="-2"/>
          <w:w w:val="105"/>
        </w:rPr>
        <w:t>through</w:t>
      </w:r>
      <w:r>
        <w:tab/>
      </w:r>
      <w:r>
        <w:rPr>
          <w:spacing w:val="-2"/>
          <w:w w:val="105"/>
        </w:rPr>
        <w:t>preferential</w:t>
      </w:r>
      <w:r>
        <w:tab/>
      </w:r>
      <w:r>
        <w:rPr>
          <w:spacing w:val="-2"/>
          <w:w w:val="105"/>
        </w:rPr>
        <w:t>procurement</w:t>
      </w:r>
      <w:r>
        <w:tab/>
      </w:r>
      <w:r>
        <w:rPr>
          <w:spacing w:val="-2"/>
          <w:w w:val="105"/>
        </w:rPr>
        <w:t xml:space="preserve">schemes, </w:t>
      </w:r>
      <w:r>
        <w:rPr>
          <w:w w:val="105"/>
        </w:rPr>
        <w:t>particularly those targeting youth, women, and people with disabilities (PPA 2023). The</w:t>
      </w:r>
      <w:r>
        <w:rPr>
          <w:spacing w:val="-1"/>
          <w:w w:val="105"/>
        </w:rPr>
        <w:t xml:space="preserve"> </w:t>
      </w:r>
      <w:r>
        <w:rPr>
          <w:w w:val="105"/>
        </w:rPr>
        <w:t>limited reliance</w:t>
      </w:r>
      <w:r>
        <w:rPr>
          <w:spacing w:val="-1"/>
          <w:w w:val="105"/>
        </w:rPr>
        <w:t xml:space="preserve"> </w:t>
      </w:r>
      <w:r>
        <w:rPr>
          <w:w w:val="105"/>
        </w:rPr>
        <w:t>on private</w:t>
      </w:r>
      <w:r>
        <w:rPr>
          <w:spacing w:val="-1"/>
          <w:w w:val="105"/>
        </w:rPr>
        <w:t xml:space="preserve"> </w:t>
      </w:r>
      <w:r>
        <w:rPr>
          <w:w w:val="105"/>
        </w:rPr>
        <w:t>tenders may indicate</w:t>
      </w:r>
      <w:r>
        <w:rPr>
          <w:spacing w:val="-1"/>
          <w:w w:val="105"/>
        </w:rPr>
        <w:t xml:space="preserve"> </w:t>
      </w:r>
      <w:r>
        <w:rPr>
          <w:w w:val="105"/>
        </w:rPr>
        <w:t>that private</w:t>
      </w:r>
      <w:r>
        <w:rPr>
          <w:spacing w:val="-1"/>
          <w:w w:val="105"/>
        </w:rPr>
        <w:t xml:space="preserve"> </w:t>
      </w:r>
      <w:r>
        <w:rPr>
          <w:w w:val="105"/>
        </w:rPr>
        <w:t>sector opportunities are</w:t>
      </w:r>
      <w:r>
        <w:rPr>
          <w:spacing w:val="80"/>
          <w:w w:val="105"/>
        </w:rPr>
        <w:t xml:space="preserve"> </w:t>
      </w:r>
      <w:r>
        <w:rPr>
          <w:w w:val="105"/>
        </w:rPr>
        <w:t>relatively</w:t>
      </w:r>
      <w:r>
        <w:rPr>
          <w:spacing w:val="80"/>
          <w:w w:val="105"/>
        </w:rPr>
        <w:t xml:space="preserve"> </w:t>
      </w:r>
      <w:r>
        <w:rPr>
          <w:w w:val="105"/>
        </w:rPr>
        <w:t>less</w:t>
      </w:r>
      <w:r>
        <w:rPr>
          <w:spacing w:val="80"/>
          <w:w w:val="105"/>
        </w:rPr>
        <w:t xml:space="preserve"> </w:t>
      </w:r>
      <w:r>
        <w:rPr>
          <w:w w:val="105"/>
        </w:rPr>
        <w:t>accessible</w:t>
      </w:r>
      <w:r>
        <w:rPr>
          <w:spacing w:val="80"/>
          <w:w w:val="105"/>
        </w:rPr>
        <w:t xml:space="preserve"> </w:t>
      </w:r>
      <w:r>
        <w:rPr>
          <w:w w:val="105"/>
        </w:rPr>
        <w:t>or</w:t>
      </w:r>
      <w:r>
        <w:rPr>
          <w:spacing w:val="80"/>
          <w:w w:val="105"/>
        </w:rPr>
        <w:t xml:space="preserve"> </w:t>
      </w:r>
      <w:r>
        <w:rPr>
          <w:w w:val="105"/>
        </w:rPr>
        <w:t>that</w:t>
      </w:r>
      <w:r>
        <w:rPr>
          <w:spacing w:val="80"/>
          <w:w w:val="150"/>
        </w:rPr>
        <w:t xml:space="preserve"> </w:t>
      </w:r>
      <w:r>
        <w:rPr>
          <w:w w:val="105"/>
        </w:rPr>
        <w:t>special</w:t>
      </w:r>
      <w:r>
        <w:rPr>
          <w:spacing w:val="80"/>
          <w:w w:val="150"/>
        </w:rPr>
        <w:t xml:space="preserve"> </w:t>
      </w:r>
      <w:r>
        <w:rPr>
          <w:w w:val="105"/>
        </w:rPr>
        <w:t>group</w:t>
      </w:r>
      <w:r>
        <w:rPr>
          <w:spacing w:val="80"/>
          <w:w w:val="105"/>
        </w:rPr>
        <w:t xml:space="preserve"> </w:t>
      </w:r>
      <w:r>
        <w:rPr>
          <w:w w:val="105"/>
        </w:rPr>
        <w:t>SMEs</w:t>
      </w:r>
      <w:r>
        <w:rPr>
          <w:spacing w:val="80"/>
          <w:w w:val="150"/>
        </w:rPr>
        <w:t xml:space="preserve"> </w:t>
      </w:r>
      <w:r>
        <w:rPr>
          <w:w w:val="105"/>
        </w:rPr>
        <w:t>face</w:t>
      </w:r>
      <w:r>
        <w:rPr>
          <w:spacing w:val="80"/>
          <w:w w:val="150"/>
        </w:rPr>
        <w:t xml:space="preserve"> </w:t>
      </w:r>
      <w:r>
        <w:rPr>
          <w:w w:val="105"/>
        </w:rPr>
        <w:t>c</w:t>
      </w:r>
      <w:r>
        <w:rPr>
          <w:w w:val="105"/>
        </w:rPr>
        <w:t>ompetitive disadvantages when bidding in the private market. This can be attributed to factors such</w:t>
      </w:r>
      <w:r>
        <w:rPr>
          <w:spacing w:val="36"/>
          <w:w w:val="105"/>
        </w:rPr>
        <w:t xml:space="preserve"> </w:t>
      </w:r>
      <w:r>
        <w:rPr>
          <w:w w:val="105"/>
        </w:rPr>
        <w:t>as</w:t>
      </w:r>
      <w:r>
        <w:rPr>
          <w:spacing w:val="35"/>
          <w:w w:val="105"/>
        </w:rPr>
        <w:t xml:space="preserve"> </w:t>
      </w:r>
      <w:r>
        <w:rPr>
          <w:w w:val="105"/>
        </w:rPr>
        <w:t>limited</w:t>
      </w:r>
      <w:r>
        <w:rPr>
          <w:spacing w:val="36"/>
          <w:w w:val="105"/>
        </w:rPr>
        <w:t xml:space="preserve"> </w:t>
      </w:r>
      <w:r>
        <w:rPr>
          <w:w w:val="105"/>
        </w:rPr>
        <w:t>networks,</w:t>
      </w:r>
      <w:r>
        <w:rPr>
          <w:spacing w:val="40"/>
          <w:w w:val="105"/>
        </w:rPr>
        <w:t xml:space="preserve"> </w:t>
      </w:r>
      <w:r>
        <w:rPr>
          <w:w w:val="105"/>
        </w:rPr>
        <w:t>lack</w:t>
      </w:r>
      <w:r>
        <w:rPr>
          <w:spacing w:val="40"/>
          <w:w w:val="105"/>
        </w:rPr>
        <w:t xml:space="preserve"> </w:t>
      </w:r>
      <w:r>
        <w:rPr>
          <w:w w:val="105"/>
        </w:rPr>
        <w:t>of</w:t>
      </w:r>
      <w:r>
        <w:rPr>
          <w:spacing w:val="39"/>
          <w:w w:val="105"/>
        </w:rPr>
        <w:t xml:space="preserve"> </w:t>
      </w:r>
      <w:r>
        <w:rPr>
          <w:w w:val="105"/>
        </w:rPr>
        <w:t>certification,</w:t>
      </w:r>
      <w:r>
        <w:rPr>
          <w:spacing w:val="40"/>
          <w:w w:val="105"/>
        </w:rPr>
        <w:t xml:space="preserve"> </w:t>
      </w:r>
      <w:r>
        <w:rPr>
          <w:w w:val="105"/>
        </w:rPr>
        <w:t>or</w:t>
      </w:r>
      <w:r>
        <w:rPr>
          <w:spacing w:val="40"/>
          <w:w w:val="105"/>
        </w:rPr>
        <w:t xml:space="preserve"> </w:t>
      </w:r>
      <w:r>
        <w:rPr>
          <w:w w:val="105"/>
        </w:rPr>
        <w:t>perceived</w:t>
      </w:r>
      <w:r>
        <w:rPr>
          <w:spacing w:val="40"/>
          <w:w w:val="105"/>
        </w:rPr>
        <w:t xml:space="preserve"> </w:t>
      </w:r>
      <w:r>
        <w:rPr>
          <w:w w:val="105"/>
        </w:rPr>
        <w:t>low</w:t>
      </w:r>
      <w:r>
        <w:rPr>
          <w:spacing w:val="40"/>
          <w:w w:val="105"/>
        </w:rPr>
        <w:t xml:space="preserve"> </w:t>
      </w:r>
      <w:r>
        <w:rPr>
          <w:w w:val="105"/>
        </w:rPr>
        <w:t>capacity,</w:t>
      </w:r>
      <w:r>
        <w:rPr>
          <w:spacing w:val="40"/>
          <w:w w:val="105"/>
        </w:rPr>
        <w:t xml:space="preserve"> </w:t>
      </w:r>
      <w:r>
        <w:rPr>
          <w:w w:val="105"/>
        </w:rPr>
        <w:t>which make it challenging for these groups</w:t>
      </w:r>
      <w:r>
        <w:rPr>
          <w:spacing w:val="-5"/>
          <w:w w:val="105"/>
        </w:rPr>
        <w:t xml:space="preserve"> </w:t>
      </w:r>
      <w:r>
        <w:rPr>
          <w:w w:val="105"/>
        </w:rPr>
        <w:t>to secure private contracts (Farm Africa 2024). Furthermore, the overwhelming reliance on public</w:t>
      </w:r>
      <w:r>
        <w:rPr>
          <w:spacing w:val="-1"/>
          <w:w w:val="105"/>
        </w:rPr>
        <w:t xml:space="preserve"> </w:t>
      </w:r>
      <w:r>
        <w:rPr>
          <w:w w:val="105"/>
        </w:rPr>
        <w:t>tenders raises concerns regarding the</w:t>
      </w:r>
      <w:r>
        <w:rPr>
          <w:spacing w:val="34"/>
          <w:w w:val="105"/>
        </w:rPr>
        <w:t xml:space="preserve"> </w:t>
      </w:r>
      <w:r>
        <w:rPr>
          <w:w w:val="105"/>
        </w:rPr>
        <w:t>financial</w:t>
      </w:r>
      <w:r>
        <w:rPr>
          <w:spacing w:val="37"/>
          <w:w w:val="105"/>
        </w:rPr>
        <w:t xml:space="preserve"> </w:t>
      </w:r>
      <w:r>
        <w:rPr>
          <w:w w:val="105"/>
        </w:rPr>
        <w:t>sustainability</w:t>
      </w:r>
      <w:r>
        <w:rPr>
          <w:spacing w:val="32"/>
          <w:w w:val="105"/>
        </w:rPr>
        <w:t xml:space="preserve"> </w:t>
      </w:r>
      <w:r>
        <w:rPr>
          <w:w w:val="105"/>
        </w:rPr>
        <w:t>of these</w:t>
      </w:r>
      <w:r>
        <w:rPr>
          <w:spacing w:val="29"/>
          <w:w w:val="105"/>
        </w:rPr>
        <w:t xml:space="preserve"> </w:t>
      </w:r>
      <w:r>
        <w:rPr>
          <w:w w:val="105"/>
        </w:rPr>
        <w:t>SMEs.</w:t>
      </w:r>
      <w:r>
        <w:rPr>
          <w:spacing w:val="29"/>
          <w:w w:val="105"/>
        </w:rPr>
        <w:t xml:space="preserve"> </w:t>
      </w:r>
      <w:r>
        <w:rPr>
          <w:w w:val="105"/>
        </w:rPr>
        <w:t>Given</w:t>
      </w:r>
      <w:r>
        <w:rPr>
          <w:spacing w:val="34"/>
          <w:w w:val="105"/>
        </w:rPr>
        <w:t xml:space="preserve"> </w:t>
      </w:r>
      <w:r>
        <w:rPr>
          <w:w w:val="105"/>
        </w:rPr>
        <w:t>the</w:t>
      </w:r>
      <w:r>
        <w:rPr>
          <w:spacing w:val="33"/>
          <w:w w:val="105"/>
        </w:rPr>
        <w:t xml:space="preserve"> </w:t>
      </w:r>
      <w:r>
        <w:rPr>
          <w:w w:val="105"/>
        </w:rPr>
        <w:t>potential</w:t>
      </w:r>
      <w:r>
        <w:rPr>
          <w:spacing w:val="40"/>
          <w:w w:val="105"/>
        </w:rPr>
        <w:t xml:space="preserve"> </w:t>
      </w:r>
      <w:r>
        <w:rPr>
          <w:w w:val="105"/>
        </w:rPr>
        <w:t>volatility</w:t>
      </w:r>
      <w:r>
        <w:rPr>
          <w:spacing w:val="27"/>
          <w:w w:val="105"/>
        </w:rPr>
        <w:t xml:space="preserve"> </w:t>
      </w:r>
      <w:r>
        <w:rPr>
          <w:w w:val="105"/>
        </w:rPr>
        <w:t>in</w:t>
      </w:r>
      <w:r>
        <w:rPr>
          <w:spacing w:val="27"/>
          <w:w w:val="105"/>
        </w:rPr>
        <w:t xml:space="preserve"> </w:t>
      </w:r>
      <w:r>
        <w:rPr>
          <w:w w:val="105"/>
        </w:rPr>
        <w:t>public procurement budgets</w:t>
      </w:r>
      <w:r>
        <w:rPr>
          <w:spacing w:val="-1"/>
          <w:w w:val="105"/>
        </w:rPr>
        <w:t xml:space="preserve"> </w:t>
      </w:r>
      <w:r>
        <w:rPr>
          <w:w w:val="105"/>
        </w:rPr>
        <w:t>and</w:t>
      </w:r>
      <w:r>
        <w:rPr>
          <w:spacing w:val="-2"/>
          <w:w w:val="105"/>
        </w:rPr>
        <w:t xml:space="preserve"> </w:t>
      </w:r>
      <w:r>
        <w:rPr>
          <w:w w:val="105"/>
        </w:rPr>
        <w:t>policy shifts, s</w:t>
      </w:r>
      <w:r>
        <w:rPr>
          <w:w w:val="105"/>
        </w:rPr>
        <w:t>trategic flexibility becomes crucial for these SMEs. Diversifying income sources, including enhancing the</w:t>
      </w:r>
      <w:r>
        <w:rPr>
          <w:spacing w:val="-1"/>
          <w:w w:val="105"/>
        </w:rPr>
        <w:t xml:space="preserve"> </w:t>
      </w:r>
      <w:r>
        <w:rPr>
          <w:w w:val="105"/>
        </w:rPr>
        <w:t>capacity to compete</w:t>
      </w:r>
      <w:r>
        <w:rPr>
          <w:spacing w:val="-1"/>
          <w:w w:val="105"/>
        </w:rPr>
        <w:t xml:space="preserve"> </w:t>
      </w:r>
      <w:r>
        <w:rPr>
          <w:w w:val="105"/>
        </w:rPr>
        <w:t>in private</w:t>
      </w:r>
      <w:r>
        <w:rPr>
          <w:spacing w:val="-3"/>
          <w:w w:val="105"/>
        </w:rPr>
        <w:t xml:space="preserve"> </w:t>
      </w:r>
      <w:r>
        <w:rPr>
          <w:w w:val="105"/>
        </w:rPr>
        <w:t>tenders, could mitigate risks</w:t>
      </w:r>
      <w:r>
        <w:rPr>
          <w:spacing w:val="-4"/>
          <w:w w:val="105"/>
        </w:rPr>
        <w:t xml:space="preserve"> </w:t>
      </w:r>
      <w:r>
        <w:rPr>
          <w:w w:val="105"/>
        </w:rPr>
        <w:t>associated with dependence on public funding.</w:t>
      </w:r>
    </w:p>
    <w:p w:rsidR="00487D64" w:rsidRDefault="00487D64">
      <w:pPr>
        <w:pStyle w:val="BodyText"/>
        <w:rPr>
          <w:sz w:val="20"/>
        </w:rPr>
      </w:pPr>
    </w:p>
    <w:p w:rsidR="00487D64" w:rsidRDefault="006F0D93">
      <w:pPr>
        <w:pStyle w:val="BodyText"/>
        <w:spacing w:before="55"/>
        <w:rPr>
          <w:sz w:val="20"/>
        </w:rPr>
      </w:pPr>
      <w:r>
        <w:rPr>
          <w:noProof/>
          <w:sz w:val="20"/>
        </w:rPr>
        <w:drawing>
          <wp:anchor distT="0" distB="0" distL="0" distR="0" simplePos="0" relativeHeight="487589888" behindDoc="1" locked="0" layoutInCell="1" allowOverlap="1">
            <wp:simplePos x="0" y="0"/>
            <wp:positionH relativeFrom="page">
              <wp:posOffset>1913651</wp:posOffset>
            </wp:positionH>
            <wp:positionV relativeFrom="paragraph">
              <wp:posOffset>196256</wp:posOffset>
            </wp:positionV>
            <wp:extent cx="3439459" cy="2258853"/>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 cstate="print"/>
                    <a:stretch>
                      <a:fillRect/>
                    </a:stretch>
                  </pic:blipFill>
                  <pic:spPr>
                    <a:xfrm>
                      <a:off x="0" y="0"/>
                      <a:ext cx="3439459" cy="2258853"/>
                    </a:xfrm>
                    <a:prstGeom prst="rect">
                      <a:avLst/>
                    </a:prstGeom>
                  </pic:spPr>
                </pic:pic>
              </a:graphicData>
            </a:graphic>
          </wp:anchor>
        </w:drawing>
      </w:r>
    </w:p>
    <w:p w:rsidR="00487D64" w:rsidRDefault="00487D64">
      <w:pPr>
        <w:pStyle w:val="BodyText"/>
        <w:spacing w:before="209"/>
      </w:pPr>
    </w:p>
    <w:p w:rsidR="00487D64" w:rsidRDefault="006F0D93">
      <w:pPr>
        <w:spacing w:line="372" w:lineRule="auto"/>
        <w:ind w:left="1419" w:right="851"/>
        <w:rPr>
          <w:sz w:val="23"/>
        </w:rPr>
      </w:pPr>
      <w:r>
        <w:rPr>
          <w:b/>
          <w:w w:val="105"/>
          <w:sz w:val="23"/>
        </w:rPr>
        <w:t>Figure</w:t>
      </w:r>
      <w:r>
        <w:rPr>
          <w:b/>
          <w:spacing w:val="-10"/>
          <w:w w:val="105"/>
          <w:sz w:val="23"/>
        </w:rPr>
        <w:t xml:space="preserve"> </w:t>
      </w:r>
      <w:r>
        <w:rPr>
          <w:b/>
          <w:w w:val="105"/>
          <w:sz w:val="23"/>
        </w:rPr>
        <w:t>4.</w:t>
      </w:r>
      <w:r>
        <w:rPr>
          <w:b/>
          <w:spacing w:val="-13"/>
          <w:w w:val="105"/>
          <w:sz w:val="23"/>
        </w:rPr>
        <w:t xml:space="preserve"> </w:t>
      </w:r>
      <w:r>
        <w:rPr>
          <w:b/>
          <w:w w:val="105"/>
          <w:sz w:val="23"/>
        </w:rPr>
        <w:t>2:</w:t>
      </w:r>
      <w:r>
        <w:rPr>
          <w:b/>
          <w:spacing w:val="-6"/>
          <w:w w:val="105"/>
          <w:sz w:val="23"/>
        </w:rPr>
        <w:t xml:space="preserve"> </w:t>
      </w:r>
      <w:r>
        <w:rPr>
          <w:b/>
          <w:w w:val="105"/>
          <w:sz w:val="23"/>
        </w:rPr>
        <w:t>Shows</w:t>
      </w:r>
      <w:r>
        <w:rPr>
          <w:b/>
          <w:spacing w:val="-12"/>
          <w:w w:val="105"/>
          <w:sz w:val="23"/>
        </w:rPr>
        <w:t xml:space="preserve"> </w:t>
      </w:r>
      <w:r>
        <w:rPr>
          <w:b/>
          <w:w w:val="105"/>
          <w:sz w:val="23"/>
        </w:rPr>
        <w:t>the</w:t>
      </w:r>
      <w:r>
        <w:rPr>
          <w:b/>
          <w:spacing w:val="-3"/>
          <w:w w:val="105"/>
          <w:sz w:val="23"/>
        </w:rPr>
        <w:t xml:space="preserve"> </w:t>
      </w:r>
      <w:r>
        <w:rPr>
          <w:b/>
          <w:w w:val="105"/>
          <w:sz w:val="23"/>
        </w:rPr>
        <w:t>Source</w:t>
      </w:r>
      <w:r>
        <w:rPr>
          <w:b/>
          <w:spacing w:val="-10"/>
          <w:w w:val="105"/>
          <w:sz w:val="23"/>
        </w:rPr>
        <w:t xml:space="preserve"> </w:t>
      </w:r>
      <w:r>
        <w:rPr>
          <w:b/>
          <w:w w:val="105"/>
          <w:sz w:val="23"/>
        </w:rPr>
        <w:t>of</w:t>
      </w:r>
      <w:r>
        <w:rPr>
          <w:b/>
          <w:spacing w:val="-10"/>
          <w:w w:val="105"/>
          <w:sz w:val="23"/>
        </w:rPr>
        <w:t xml:space="preserve"> </w:t>
      </w:r>
      <w:r>
        <w:rPr>
          <w:b/>
          <w:w w:val="105"/>
          <w:sz w:val="23"/>
        </w:rPr>
        <w:t>Income</w:t>
      </w:r>
      <w:r>
        <w:rPr>
          <w:b/>
          <w:spacing w:val="-4"/>
          <w:w w:val="105"/>
          <w:sz w:val="23"/>
        </w:rPr>
        <w:t xml:space="preserve"> </w:t>
      </w:r>
      <w:r>
        <w:rPr>
          <w:b/>
          <w:w w:val="105"/>
          <w:sz w:val="23"/>
        </w:rPr>
        <w:t>Generation</w:t>
      </w:r>
      <w:r>
        <w:rPr>
          <w:b/>
          <w:spacing w:val="-9"/>
          <w:w w:val="105"/>
          <w:sz w:val="23"/>
        </w:rPr>
        <w:t xml:space="preserve"> </w:t>
      </w:r>
      <w:r>
        <w:rPr>
          <w:b/>
          <w:w w:val="105"/>
          <w:sz w:val="23"/>
        </w:rPr>
        <w:t>of</w:t>
      </w:r>
      <w:r>
        <w:rPr>
          <w:b/>
          <w:spacing w:val="-12"/>
          <w:w w:val="105"/>
          <w:sz w:val="23"/>
        </w:rPr>
        <w:t xml:space="preserve"> </w:t>
      </w:r>
      <w:r>
        <w:rPr>
          <w:b/>
          <w:w w:val="105"/>
          <w:sz w:val="23"/>
        </w:rPr>
        <w:t>the</w:t>
      </w:r>
      <w:r>
        <w:rPr>
          <w:b/>
          <w:spacing w:val="-8"/>
          <w:w w:val="105"/>
          <w:sz w:val="23"/>
        </w:rPr>
        <w:t xml:space="preserve"> </w:t>
      </w:r>
      <w:r>
        <w:rPr>
          <w:b/>
          <w:w w:val="105"/>
          <w:sz w:val="23"/>
        </w:rPr>
        <w:t>Special</w:t>
      </w:r>
      <w:r>
        <w:rPr>
          <w:b/>
          <w:spacing w:val="-2"/>
          <w:w w:val="105"/>
          <w:sz w:val="23"/>
        </w:rPr>
        <w:t xml:space="preserve"> </w:t>
      </w:r>
      <w:r>
        <w:rPr>
          <w:b/>
          <w:w w:val="105"/>
          <w:sz w:val="23"/>
        </w:rPr>
        <w:t>Groups Source</w:t>
      </w:r>
      <w:r>
        <w:rPr>
          <w:w w:val="105"/>
          <w:sz w:val="23"/>
        </w:rPr>
        <w:t>: Survey Results, 2025</w:t>
      </w:r>
    </w:p>
    <w:p w:rsidR="00487D64" w:rsidRDefault="00487D64">
      <w:pPr>
        <w:spacing w:line="372" w:lineRule="auto"/>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2"/>
          <w:numId w:val="9"/>
        </w:numPr>
        <w:tabs>
          <w:tab w:val="left" w:pos="2139"/>
        </w:tabs>
        <w:spacing w:before="1"/>
        <w:ind w:left="2139" w:hanging="720"/>
        <w:rPr>
          <w:b/>
          <w:sz w:val="23"/>
        </w:rPr>
      </w:pPr>
      <w:bookmarkStart w:id="150" w:name="4.4.5___Number_of_Employees"/>
      <w:bookmarkStart w:id="151" w:name="_bookmark74"/>
      <w:bookmarkEnd w:id="150"/>
      <w:bookmarkEnd w:id="151"/>
      <w:r>
        <w:rPr>
          <w:b/>
          <w:w w:val="105"/>
          <w:sz w:val="23"/>
        </w:rPr>
        <w:t>Number</w:t>
      </w:r>
      <w:r>
        <w:rPr>
          <w:b/>
          <w:spacing w:val="-10"/>
          <w:w w:val="105"/>
          <w:sz w:val="23"/>
        </w:rPr>
        <w:t xml:space="preserve"> </w:t>
      </w:r>
      <w:r>
        <w:rPr>
          <w:b/>
          <w:w w:val="105"/>
          <w:sz w:val="23"/>
        </w:rPr>
        <w:t>of</w:t>
      </w:r>
      <w:r>
        <w:rPr>
          <w:b/>
          <w:spacing w:val="-10"/>
          <w:w w:val="105"/>
          <w:sz w:val="23"/>
        </w:rPr>
        <w:t xml:space="preserve"> </w:t>
      </w:r>
      <w:r>
        <w:rPr>
          <w:b/>
          <w:spacing w:val="-2"/>
          <w:w w:val="105"/>
          <w:sz w:val="23"/>
        </w:rPr>
        <w:t>Employees</w:t>
      </w:r>
    </w:p>
    <w:p w:rsidR="00487D64" w:rsidRDefault="00487D64">
      <w:pPr>
        <w:pStyle w:val="BodyText"/>
        <w:spacing w:before="18"/>
        <w:rPr>
          <w:b/>
        </w:rPr>
      </w:pPr>
    </w:p>
    <w:p w:rsidR="00487D64" w:rsidRDefault="006F0D93">
      <w:pPr>
        <w:pStyle w:val="BodyText"/>
        <w:spacing w:line="501" w:lineRule="auto"/>
        <w:ind w:left="1419" w:right="849"/>
        <w:jc w:val="both"/>
      </w:pPr>
      <w:r>
        <w:rPr>
          <w:w w:val="105"/>
        </w:rPr>
        <w:t>The distribution of</w:t>
      </w:r>
      <w:r>
        <w:rPr>
          <w:spacing w:val="-8"/>
          <w:w w:val="105"/>
        </w:rPr>
        <w:t xml:space="preserve"> </w:t>
      </w:r>
      <w:r>
        <w:rPr>
          <w:w w:val="105"/>
        </w:rPr>
        <w:t>the</w:t>
      </w:r>
      <w:r>
        <w:rPr>
          <w:spacing w:val="-6"/>
          <w:w w:val="105"/>
        </w:rPr>
        <w:t xml:space="preserve"> </w:t>
      </w:r>
      <w:r>
        <w:rPr>
          <w:w w:val="105"/>
        </w:rPr>
        <w:t>number</w:t>
      </w:r>
      <w:r>
        <w:rPr>
          <w:spacing w:val="-2"/>
          <w:w w:val="105"/>
        </w:rPr>
        <w:t xml:space="preserve"> </w:t>
      </w:r>
      <w:r>
        <w:rPr>
          <w:w w:val="105"/>
        </w:rPr>
        <w:t>of employees</w:t>
      </w:r>
      <w:r>
        <w:rPr>
          <w:spacing w:val="-7"/>
          <w:w w:val="105"/>
        </w:rPr>
        <w:t xml:space="preserve"> </w:t>
      </w:r>
      <w:r>
        <w:rPr>
          <w:w w:val="105"/>
        </w:rPr>
        <w:t>among special group SMEs</w:t>
      </w:r>
      <w:r>
        <w:rPr>
          <w:spacing w:val="-7"/>
          <w:w w:val="105"/>
        </w:rPr>
        <w:t xml:space="preserve"> </w:t>
      </w:r>
      <w:r>
        <w:rPr>
          <w:w w:val="105"/>
        </w:rPr>
        <w:t>involved</w:t>
      </w:r>
      <w:r>
        <w:rPr>
          <w:spacing w:val="-5"/>
          <w:w w:val="105"/>
        </w:rPr>
        <w:t xml:space="preserve"> </w:t>
      </w:r>
      <w:r>
        <w:rPr>
          <w:w w:val="105"/>
        </w:rPr>
        <w:t>in public procurement reveals that the majority are small enterprises. A</w:t>
      </w:r>
      <w:r>
        <w:rPr>
          <w:w w:val="105"/>
        </w:rPr>
        <w:t>ccording to the data, 53.4% of the respondents (210 out of 393) have between 5 and 49 employees, indicating that most special group SMEs fall within the small enterprise category as defined by Tanzania’s SMEs policy (URT, 2022). These businesses are typica</w:t>
      </w:r>
      <w:r>
        <w:rPr>
          <w:w w:val="105"/>
        </w:rPr>
        <w:t>lly engaged in activities that do not require a large workforce, such as the supply of goods and non-consultancy services, which align with their limited capital investment and operational capacity (Wanjiru &amp; Wanyoike, 2018).</w:t>
      </w:r>
    </w:p>
    <w:p w:rsidR="00487D64" w:rsidRDefault="006F0D93">
      <w:pPr>
        <w:pStyle w:val="BodyText"/>
        <w:spacing w:before="231" w:line="501" w:lineRule="auto"/>
        <w:ind w:left="1419" w:right="844"/>
        <w:jc w:val="both"/>
      </w:pPr>
      <w:r>
        <w:rPr>
          <w:w w:val="105"/>
        </w:rPr>
        <w:t>Following closely, 38.4% of th</w:t>
      </w:r>
      <w:r>
        <w:rPr>
          <w:w w:val="105"/>
        </w:rPr>
        <w:t>e respondents (151 SMEs) have 1 to 4 employees, classifying them as micro enterprises. These businesses generally focus on low- capital, labor-intensive activities such as small-scale trading and basic service provision. Their limited workforce size</w:t>
      </w:r>
      <w:r>
        <w:rPr>
          <w:spacing w:val="-1"/>
          <w:w w:val="105"/>
        </w:rPr>
        <w:t xml:space="preserve"> </w:t>
      </w:r>
      <w:r>
        <w:rPr>
          <w:w w:val="105"/>
        </w:rPr>
        <w:t>reflec</w:t>
      </w:r>
      <w:r>
        <w:rPr>
          <w:w w:val="105"/>
        </w:rPr>
        <w:t>ts the challenges of scaling operations, which may hinder their ability</w:t>
      </w:r>
      <w:r>
        <w:rPr>
          <w:spacing w:val="-1"/>
          <w:w w:val="105"/>
        </w:rPr>
        <w:t xml:space="preserve"> </w:t>
      </w:r>
      <w:r>
        <w:rPr>
          <w:w w:val="105"/>
        </w:rPr>
        <w:t>to compete for larger public procurement contracts.</w:t>
      </w:r>
    </w:p>
    <w:p w:rsidR="00487D64" w:rsidRDefault="006F0D93">
      <w:pPr>
        <w:pStyle w:val="BodyText"/>
        <w:spacing w:before="240" w:line="501" w:lineRule="auto"/>
        <w:ind w:left="1419" w:right="849"/>
        <w:jc w:val="both"/>
      </w:pPr>
      <w:r>
        <w:rPr>
          <w:w w:val="105"/>
        </w:rPr>
        <w:t>A smaller proportion of the respondents (6.1%, or 24 SMEs) employ 50 to 99 workers, categorizing them as medium enterprises. These</w:t>
      </w:r>
      <w:r>
        <w:rPr>
          <w:w w:val="105"/>
        </w:rPr>
        <w:t xml:space="preserve"> firms are likely more structured and capable of handling more complex and larger procurement contracts, including construction works and comprehensive supply agreements. The relatively low number of medium-sized enterprises among special groups highlights</w:t>
      </w:r>
      <w:r>
        <w:rPr>
          <w:w w:val="105"/>
        </w:rPr>
        <w:t xml:space="preserve"> the barriers to growth, such as limited access to finance and inadequate managerial capacity (Wamoto, 2017).</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7"/>
        <w:jc w:val="both"/>
      </w:pPr>
      <w:r>
        <w:rPr>
          <w:w w:val="105"/>
        </w:rPr>
        <w:t>Only 2% of the respondents (8 SMEs) report having more than 100 employees, indicating that few special group SMEs have grown</w:t>
      </w:r>
      <w:r>
        <w:rPr>
          <w:w w:val="105"/>
        </w:rPr>
        <w:t xml:space="preserve"> into large enterprises. The scarcity of such large entities</w:t>
      </w:r>
      <w:r>
        <w:rPr>
          <w:spacing w:val="-1"/>
          <w:w w:val="105"/>
        </w:rPr>
        <w:t xml:space="preserve"> </w:t>
      </w:r>
      <w:r>
        <w:rPr>
          <w:w w:val="105"/>
        </w:rPr>
        <w:t>within special groups</w:t>
      </w:r>
      <w:r>
        <w:rPr>
          <w:spacing w:val="-1"/>
          <w:w w:val="105"/>
        </w:rPr>
        <w:t xml:space="preserve"> </w:t>
      </w:r>
      <w:r>
        <w:rPr>
          <w:w w:val="105"/>
        </w:rPr>
        <w:t>reflects the challenges</w:t>
      </w:r>
      <w:r>
        <w:rPr>
          <w:spacing w:val="-1"/>
          <w:w w:val="105"/>
        </w:rPr>
        <w:t xml:space="preserve"> </w:t>
      </w:r>
      <w:r>
        <w:rPr>
          <w:w w:val="105"/>
        </w:rPr>
        <w:t>in scaling up from small to medium and then to large enterprises, often due to</w:t>
      </w:r>
      <w:r>
        <w:rPr>
          <w:w w:val="105"/>
        </w:rPr>
        <w:t xml:space="preserve"> regulatory, financial, and market access constraints (Wanjiru &amp; Wanyoike, 2018).</w:t>
      </w:r>
    </w:p>
    <w:p w:rsidR="00487D64" w:rsidRDefault="00487D64">
      <w:pPr>
        <w:pStyle w:val="BodyText"/>
        <w:spacing w:before="257"/>
      </w:pPr>
    </w:p>
    <w:p w:rsidR="00487D64" w:rsidRDefault="006F0D93">
      <w:pPr>
        <w:ind w:left="1419"/>
        <w:jc w:val="both"/>
        <w:rPr>
          <w:b/>
          <w:sz w:val="23"/>
        </w:rPr>
      </w:pPr>
      <w:r>
        <w:rPr>
          <w:b/>
          <w:w w:val="105"/>
          <w:sz w:val="23"/>
        </w:rPr>
        <w:t>Table</w:t>
      </w:r>
      <w:r>
        <w:rPr>
          <w:b/>
          <w:spacing w:val="-8"/>
          <w:w w:val="105"/>
          <w:sz w:val="23"/>
        </w:rPr>
        <w:t xml:space="preserve"> </w:t>
      </w:r>
      <w:r>
        <w:rPr>
          <w:b/>
          <w:w w:val="105"/>
          <w:sz w:val="23"/>
        </w:rPr>
        <w:t>4.</w:t>
      </w:r>
      <w:r>
        <w:rPr>
          <w:b/>
          <w:spacing w:val="-11"/>
          <w:w w:val="105"/>
          <w:sz w:val="23"/>
        </w:rPr>
        <w:t xml:space="preserve"> </w:t>
      </w:r>
      <w:r>
        <w:rPr>
          <w:b/>
          <w:w w:val="105"/>
          <w:sz w:val="23"/>
        </w:rPr>
        <w:t>7:</w:t>
      </w:r>
      <w:r>
        <w:rPr>
          <w:b/>
          <w:spacing w:val="-3"/>
          <w:w w:val="105"/>
          <w:sz w:val="23"/>
        </w:rPr>
        <w:t xml:space="preserve"> </w:t>
      </w:r>
      <w:r>
        <w:rPr>
          <w:b/>
          <w:w w:val="105"/>
          <w:sz w:val="23"/>
        </w:rPr>
        <w:t>Shows</w:t>
      </w:r>
      <w:r>
        <w:rPr>
          <w:b/>
          <w:spacing w:val="-10"/>
          <w:w w:val="105"/>
          <w:sz w:val="23"/>
        </w:rPr>
        <w:t xml:space="preserve"> </w:t>
      </w:r>
      <w:r>
        <w:rPr>
          <w:b/>
          <w:w w:val="105"/>
          <w:sz w:val="23"/>
        </w:rPr>
        <w:t>the</w:t>
      </w:r>
      <w:r>
        <w:rPr>
          <w:b/>
          <w:spacing w:val="-6"/>
          <w:w w:val="105"/>
          <w:sz w:val="23"/>
        </w:rPr>
        <w:t xml:space="preserve"> </w:t>
      </w:r>
      <w:r>
        <w:rPr>
          <w:b/>
          <w:w w:val="105"/>
          <w:sz w:val="23"/>
        </w:rPr>
        <w:t>Number</w:t>
      </w:r>
      <w:r>
        <w:rPr>
          <w:b/>
          <w:spacing w:val="-8"/>
          <w:w w:val="105"/>
          <w:sz w:val="23"/>
        </w:rPr>
        <w:t xml:space="preserve"> </w:t>
      </w:r>
      <w:r>
        <w:rPr>
          <w:b/>
          <w:w w:val="105"/>
          <w:sz w:val="23"/>
        </w:rPr>
        <w:t>of</w:t>
      </w:r>
      <w:r>
        <w:rPr>
          <w:b/>
          <w:spacing w:val="-9"/>
          <w:w w:val="105"/>
          <w:sz w:val="23"/>
        </w:rPr>
        <w:t xml:space="preserve"> </w:t>
      </w:r>
      <w:r>
        <w:rPr>
          <w:b/>
          <w:w w:val="105"/>
          <w:sz w:val="23"/>
        </w:rPr>
        <w:t>Employees</w:t>
      </w:r>
      <w:r>
        <w:rPr>
          <w:b/>
          <w:spacing w:val="-9"/>
          <w:w w:val="105"/>
          <w:sz w:val="23"/>
        </w:rPr>
        <w:t xml:space="preserve"> </w:t>
      </w:r>
      <w:r>
        <w:rPr>
          <w:b/>
          <w:w w:val="105"/>
          <w:sz w:val="23"/>
        </w:rPr>
        <w:t>in</w:t>
      </w:r>
      <w:r>
        <w:rPr>
          <w:b/>
          <w:spacing w:val="-10"/>
          <w:w w:val="105"/>
          <w:sz w:val="23"/>
        </w:rPr>
        <w:t xml:space="preserve"> </w:t>
      </w:r>
      <w:r>
        <w:rPr>
          <w:b/>
          <w:w w:val="105"/>
          <w:sz w:val="23"/>
        </w:rPr>
        <w:t>Different</w:t>
      </w:r>
      <w:r>
        <w:rPr>
          <w:b/>
          <w:spacing w:val="-2"/>
          <w:w w:val="105"/>
          <w:sz w:val="23"/>
        </w:rPr>
        <w:t xml:space="preserve"> </w:t>
      </w:r>
      <w:r>
        <w:rPr>
          <w:b/>
          <w:w w:val="105"/>
          <w:sz w:val="23"/>
        </w:rPr>
        <w:t>Special</w:t>
      </w:r>
      <w:r>
        <w:rPr>
          <w:b/>
          <w:spacing w:val="-5"/>
          <w:w w:val="105"/>
          <w:sz w:val="23"/>
        </w:rPr>
        <w:t xml:space="preserve"> </w:t>
      </w:r>
      <w:r>
        <w:rPr>
          <w:b/>
          <w:spacing w:val="-2"/>
          <w:w w:val="105"/>
          <w:sz w:val="23"/>
        </w:rPr>
        <w:t>Groups</w:t>
      </w:r>
    </w:p>
    <w:p w:rsidR="00487D64" w:rsidRDefault="00487D64">
      <w:pPr>
        <w:pStyle w:val="BodyText"/>
        <w:spacing w:before="3" w:after="1"/>
        <w:rPr>
          <w:b/>
          <w:sz w:val="11"/>
        </w:rPr>
      </w:pPr>
    </w:p>
    <w:tbl>
      <w:tblPr>
        <w:tblW w:w="0" w:type="auto"/>
        <w:tblInd w:w="1311" w:type="dxa"/>
        <w:tblLayout w:type="fixed"/>
        <w:tblCellMar>
          <w:left w:w="0" w:type="dxa"/>
          <w:right w:w="0" w:type="dxa"/>
        </w:tblCellMar>
        <w:tblLook w:val="01E0" w:firstRow="1" w:lastRow="1" w:firstColumn="1" w:lastColumn="1" w:noHBand="0" w:noVBand="0"/>
      </w:tblPr>
      <w:tblGrid>
        <w:gridCol w:w="3870"/>
        <w:gridCol w:w="3569"/>
        <w:gridCol w:w="1012"/>
      </w:tblGrid>
      <w:tr w:rsidR="00487D64">
        <w:trPr>
          <w:trHeight w:val="559"/>
        </w:trPr>
        <w:tc>
          <w:tcPr>
            <w:tcW w:w="3870" w:type="dxa"/>
            <w:tcBorders>
              <w:top w:val="single" w:sz="4" w:space="0" w:color="000000"/>
              <w:bottom w:val="single" w:sz="4" w:space="0" w:color="000000"/>
            </w:tcBorders>
          </w:tcPr>
          <w:p w:rsidR="00487D64" w:rsidRDefault="006F0D93">
            <w:pPr>
              <w:pStyle w:val="TableParagraph"/>
              <w:spacing w:before="22"/>
              <w:ind w:left="115"/>
              <w:rPr>
                <w:b/>
                <w:sz w:val="23"/>
              </w:rPr>
            </w:pPr>
            <w:r>
              <w:rPr>
                <w:b/>
                <w:spacing w:val="-2"/>
                <w:w w:val="105"/>
                <w:sz w:val="23"/>
              </w:rPr>
              <w:t>Number</w:t>
            </w:r>
          </w:p>
        </w:tc>
        <w:tc>
          <w:tcPr>
            <w:tcW w:w="3569" w:type="dxa"/>
            <w:tcBorders>
              <w:top w:val="single" w:sz="4" w:space="0" w:color="000000"/>
              <w:bottom w:val="single" w:sz="4" w:space="0" w:color="000000"/>
            </w:tcBorders>
          </w:tcPr>
          <w:p w:rsidR="00487D64" w:rsidRDefault="006F0D93">
            <w:pPr>
              <w:pStyle w:val="TableParagraph"/>
              <w:spacing w:before="22"/>
              <w:ind w:right="129"/>
              <w:jc w:val="right"/>
              <w:rPr>
                <w:b/>
                <w:sz w:val="23"/>
              </w:rPr>
            </w:pPr>
            <w:r>
              <w:rPr>
                <w:b/>
                <w:spacing w:val="-2"/>
                <w:w w:val="105"/>
                <w:sz w:val="23"/>
              </w:rPr>
              <w:t>Frequency</w:t>
            </w:r>
          </w:p>
        </w:tc>
        <w:tc>
          <w:tcPr>
            <w:tcW w:w="1012" w:type="dxa"/>
            <w:tcBorders>
              <w:top w:val="single" w:sz="4" w:space="0" w:color="000000"/>
              <w:bottom w:val="single" w:sz="4" w:space="0" w:color="000000"/>
            </w:tcBorders>
          </w:tcPr>
          <w:p w:rsidR="00487D64" w:rsidRDefault="006F0D93">
            <w:pPr>
              <w:pStyle w:val="TableParagraph"/>
              <w:spacing w:before="22"/>
              <w:ind w:right="107"/>
              <w:jc w:val="right"/>
              <w:rPr>
                <w:b/>
                <w:sz w:val="23"/>
              </w:rPr>
            </w:pPr>
            <w:r>
              <w:rPr>
                <w:b/>
                <w:spacing w:val="-2"/>
                <w:w w:val="105"/>
                <w:sz w:val="23"/>
              </w:rPr>
              <w:t>Percent</w:t>
            </w:r>
          </w:p>
        </w:tc>
      </w:tr>
      <w:tr w:rsidR="00487D64">
        <w:trPr>
          <w:trHeight w:val="419"/>
        </w:trPr>
        <w:tc>
          <w:tcPr>
            <w:tcW w:w="3870" w:type="dxa"/>
            <w:tcBorders>
              <w:top w:val="single" w:sz="4" w:space="0" w:color="000000"/>
            </w:tcBorders>
          </w:tcPr>
          <w:p w:rsidR="00487D64" w:rsidRDefault="006F0D93">
            <w:pPr>
              <w:pStyle w:val="TableParagraph"/>
              <w:spacing w:before="7"/>
              <w:ind w:left="115"/>
              <w:rPr>
                <w:sz w:val="23"/>
              </w:rPr>
            </w:pPr>
            <w:r>
              <w:rPr>
                <w:sz w:val="23"/>
              </w:rPr>
              <w:t>1-</w:t>
            </w:r>
            <w:r>
              <w:rPr>
                <w:spacing w:val="-10"/>
                <w:sz w:val="23"/>
              </w:rPr>
              <w:t>4</w:t>
            </w:r>
          </w:p>
        </w:tc>
        <w:tc>
          <w:tcPr>
            <w:tcW w:w="3569" w:type="dxa"/>
            <w:tcBorders>
              <w:top w:val="single" w:sz="4" w:space="0" w:color="000000"/>
            </w:tcBorders>
          </w:tcPr>
          <w:p w:rsidR="00487D64" w:rsidRDefault="006F0D93">
            <w:pPr>
              <w:pStyle w:val="TableParagraph"/>
              <w:spacing w:before="7"/>
              <w:ind w:right="117"/>
              <w:jc w:val="right"/>
              <w:rPr>
                <w:sz w:val="23"/>
              </w:rPr>
            </w:pPr>
            <w:r>
              <w:rPr>
                <w:spacing w:val="-5"/>
                <w:w w:val="105"/>
                <w:sz w:val="23"/>
              </w:rPr>
              <w:t>151</w:t>
            </w:r>
          </w:p>
        </w:tc>
        <w:tc>
          <w:tcPr>
            <w:tcW w:w="1012" w:type="dxa"/>
            <w:tcBorders>
              <w:top w:val="single" w:sz="4" w:space="0" w:color="000000"/>
            </w:tcBorders>
          </w:tcPr>
          <w:p w:rsidR="00487D64" w:rsidRDefault="006F0D93">
            <w:pPr>
              <w:pStyle w:val="TableParagraph"/>
              <w:spacing w:before="7"/>
              <w:ind w:right="103"/>
              <w:jc w:val="right"/>
              <w:rPr>
                <w:sz w:val="23"/>
              </w:rPr>
            </w:pPr>
            <w:r>
              <w:rPr>
                <w:spacing w:val="-4"/>
                <w:w w:val="105"/>
                <w:sz w:val="23"/>
              </w:rPr>
              <w:t>38.4</w:t>
            </w:r>
          </w:p>
        </w:tc>
      </w:tr>
      <w:tr w:rsidR="00487D64">
        <w:trPr>
          <w:trHeight w:val="551"/>
        </w:trPr>
        <w:tc>
          <w:tcPr>
            <w:tcW w:w="3870" w:type="dxa"/>
          </w:tcPr>
          <w:p w:rsidR="00487D64" w:rsidRDefault="006F0D93">
            <w:pPr>
              <w:pStyle w:val="TableParagraph"/>
              <w:spacing w:before="143"/>
              <w:ind w:left="115"/>
              <w:rPr>
                <w:sz w:val="23"/>
              </w:rPr>
            </w:pPr>
            <w:r>
              <w:rPr>
                <w:sz w:val="23"/>
              </w:rPr>
              <w:t>5-</w:t>
            </w:r>
            <w:r>
              <w:rPr>
                <w:spacing w:val="-5"/>
                <w:sz w:val="23"/>
              </w:rPr>
              <w:t>49</w:t>
            </w:r>
          </w:p>
        </w:tc>
        <w:tc>
          <w:tcPr>
            <w:tcW w:w="3569" w:type="dxa"/>
          </w:tcPr>
          <w:p w:rsidR="00487D64" w:rsidRDefault="006F0D93">
            <w:pPr>
              <w:pStyle w:val="TableParagraph"/>
              <w:spacing w:before="143"/>
              <w:ind w:right="117"/>
              <w:jc w:val="right"/>
              <w:rPr>
                <w:sz w:val="23"/>
              </w:rPr>
            </w:pPr>
            <w:r>
              <w:rPr>
                <w:spacing w:val="-5"/>
                <w:w w:val="105"/>
                <w:sz w:val="23"/>
              </w:rPr>
              <w:t>210</w:t>
            </w:r>
          </w:p>
        </w:tc>
        <w:tc>
          <w:tcPr>
            <w:tcW w:w="1012" w:type="dxa"/>
          </w:tcPr>
          <w:p w:rsidR="00487D64" w:rsidRDefault="006F0D93">
            <w:pPr>
              <w:pStyle w:val="TableParagraph"/>
              <w:spacing w:before="143"/>
              <w:ind w:right="103"/>
              <w:jc w:val="right"/>
              <w:rPr>
                <w:sz w:val="23"/>
              </w:rPr>
            </w:pPr>
            <w:r>
              <w:rPr>
                <w:spacing w:val="-4"/>
                <w:w w:val="105"/>
                <w:sz w:val="23"/>
              </w:rPr>
              <w:t>53.4</w:t>
            </w:r>
          </w:p>
        </w:tc>
      </w:tr>
      <w:tr w:rsidR="00487D64">
        <w:trPr>
          <w:trHeight w:val="550"/>
        </w:trPr>
        <w:tc>
          <w:tcPr>
            <w:tcW w:w="3870" w:type="dxa"/>
          </w:tcPr>
          <w:p w:rsidR="00487D64" w:rsidRDefault="006F0D93">
            <w:pPr>
              <w:pStyle w:val="TableParagraph"/>
              <w:spacing w:before="139"/>
              <w:ind w:left="115"/>
              <w:rPr>
                <w:sz w:val="23"/>
              </w:rPr>
            </w:pPr>
            <w:r>
              <w:rPr>
                <w:sz w:val="23"/>
              </w:rPr>
              <w:t>50-</w:t>
            </w:r>
            <w:r>
              <w:rPr>
                <w:spacing w:val="-5"/>
                <w:sz w:val="23"/>
              </w:rPr>
              <w:t>99</w:t>
            </w:r>
          </w:p>
        </w:tc>
        <w:tc>
          <w:tcPr>
            <w:tcW w:w="3569" w:type="dxa"/>
          </w:tcPr>
          <w:p w:rsidR="00487D64" w:rsidRDefault="006F0D93">
            <w:pPr>
              <w:pStyle w:val="TableParagraph"/>
              <w:spacing w:before="139"/>
              <w:ind w:right="117"/>
              <w:jc w:val="right"/>
              <w:rPr>
                <w:sz w:val="23"/>
              </w:rPr>
            </w:pPr>
            <w:r>
              <w:rPr>
                <w:spacing w:val="-5"/>
                <w:w w:val="105"/>
                <w:sz w:val="23"/>
              </w:rPr>
              <w:t>24</w:t>
            </w:r>
          </w:p>
        </w:tc>
        <w:tc>
          <w:tcPr>
            <w:tcW w:w="1012" w:type="dxa"/>
          </w:tcPr>
          <w:p w:rsidR="00487D64" w:rsidRDefault="006F0D93">
            <w:pPr>
              <w:pStyle w:val="TableParagraph"/>
              <w:spacing w:before="139"/>
              <w:ind w:right="110"/>
              <w:jc w:val="right"/>
              <w:rPr>
                <w:sz w:val="23"/>
              </w:rPr>
            </w:pPr>
            <w:r>
              <w:rPr>
                <w:spacing w:val="-5"/>
                <w:w w:val="105"/>
                <w:sz w:val="23"/>
              </w:rPr>
              <w:t>6.1</w:t>
            </w:r>
          </w:p>
        </w:tc>
      </w:tr>
      <w:tr w:rsidR="00487D64">
        <w:trPr>
          <w:trHeight w:val="554"/>
        </w:trPr>
        <w:tc>
          <w:tcPr>
            <w:tcW w:w="3870" w:type="dxa"/>
          </w:tcPr>
          <w:p w:rsidR="00487D64" w:rsidRDefault="006F0D93">
            <w:pPr>
              <w:pStyle w:val="TableParagraph"/>
              <w:spacing w:before="143"/>
              <w:ind w:left="115"/>
              <w:rPr>
                <w:sz w:val="23"/>
              </w:rPr>
            </w:pPr>
            <w:r>
              <w:rPr>
                <w:w w:val="105"/>
                <w:sz w:val="23"/>
              </w:rPr>
              <w:t>More</w:t>
            </w:r>
            <w:r>
              <w:rPr>
                <w:spacing w:val="-9"/>
                <w:w w:val="105"/>
                <w:sz w:val="23"/>
              </w:rPr>
              <w:t xml:space="preserve"> </w:t>
            </w:r>
            <w:r>
              <w:rPr>
                <w:w w:val="105"/>
                <w:sz w:val="23"/>
              </w:rPr>
              <w:t>than</w:t>
            </w:r>
            <w:r>
              <w:rPr>
                <w:spacing w:val="-14"/>
                <w:w w:val="105"/>
                <w:sz w:val="23"/>
              </w:rPr>
              <w:t xml:space="preserve"> </w:t>
            </w:r>
            <w:r>
              <w:rPr>
                <w:spacing w:val="-5"/>
                <w:w w:val="105"/>
                <w:sz w:val="23"/>
              </w:rPr>
              <w:t>100</w:t>
            </w:r>
          </w:p>
        </w:tc>
        <w:tc>
          <w:tcPr>
            <w:tcW w:w="3569" w:type="dxa"/>
          </w:tcPr>
          <w:p w:rsidR="00487D64" w:rsidRDefault="006F0D93">
            <w:pPr>
              <w:pStyle w:val="TableParagraph"/>
              <w:spacing w:before="143"/>
              <w:ind w:right="128"/>
              <w:jc w:val="right"/>
              <w:rPr>
                <w:sz w:val="23"/>
              </w:rPr>
            </w:pPr>
            <w:r>
              <w:rPr>
                <w:spacing w:val="-10"/>
                <w:w w:val="105"/>
                <w:sz w:val="23"/>
              </w:rPr>
              <w:t>8</w:t>
            </w:r>
          </w:p>
        </w:tc>
        <w:tc>
          <w:tcPr>
            <w:tcW w:w="1012" w:type="dxa"/>
          </w:tcPr>
          <w:p w:rsidR="00487D64" w:rsidRDefault="006F0D93">
            <w:pPr>
              <w:pStyle w:val="TableParagraph"/>
              <w:spacing w:before="143"/>
              <w:ind w:right="110"/>
              <w:jc w:val="right"/>
              <w:rPr>
                <w:sz w:val="23"/>
              </w:rPr>
            </w:pPr>
            <w:r>
              <w:rPr>
                <w:spacing w:val="-5"/>
                <w:w w:val="105"/>
                <w:sz w:val="23"/>
              </w:rPr>
              <w:t>2.0</w:t>
            </w:r>
          </w:p>
        </w:tc>
      </w:tr>
      <w:tr w:rsidR="00487D64">
        <w:trPr>
          <w:trHeight w:val="687"/>
        </w:trPr>
        <w:tc>
          <w:tcPr>
            <w:tcW w:w="3870" w:type="dxa"/>
            <w:tcBorders>
              <w:bottom w:val="single" w:sz="4" w:space="0" w:color="000000"/>
            </w:tcBorders>
          </w:tcPr>
          <w:p w:rsidR="00487D64" w:rsidRDefault="006F0D93">
            <w:pPr>
              <w:pStyle w:val="TableParagraph"/>
              <w:spacing w:before="142"/>
              <w:ind w:left="115"/>
              <w:rPr>
                <w:sz w:val="23"/>
              </w:rPr>
            </w:pPr>
            <w:r>
              <w:rPr>
                <w:spacing w:val="-2"/>
                <w:w w:val="105"/>
                <w:sz w:val="23"/>
              </w:rPr>
              <w:t>Total</w:t>
            </w:r>
          </w:p>
        </w:tc>
        <w:tc>
          <w:tcPr>
            <w:tcW w:w="3569" w:type="dxa"/>
            <w:tcBorders>
              <w:bottom w:val="single" w:sz="4" w:space="0" w:color="000000"/>
            </w:tcBorders>
          </w:tcPr>
          <w:p w:rsidR="00487D64" w:rsidRDefault="006F0D93">
            <w:pPr>
              <w:pStyle w:val="TableParagraph"/>
              <w:spacing w:before="142"/>
              <w:ind w:right="117"/>
              <w:jc w:val="right"/>
              <w:rPr>
                <w:sz w:val="23"/>
              </w:rPr>
            </w:pPr>
            <w:r>
              <w:rPr>
                <w:spacing w:val="-5"/>
                <w:w w:val="105"/>
                <w:sz w:val="23"/>
              </w:rPr>
              <w:t>393</w:t>
            </w:r>
          </w:p>
        </w:tc>
        <w:tc>
          <w:tcPr>
            <w:tcW w:w="1012" w:type="dxa"/>
            <w:tcBorders>
              <w:bottom w:val="single" w:sz="4" w:space="0" w:color="000000"/>
            </w:tcBorders>
          </w:tcPr>
          <w:p w:rsidR="00487D64" w:rsidRDefault="006F0D93">
            <w:pPr>
              <w:pStyle w:val="TableParagraph"/>
              <w:spacing w:before="142"/>
              <w:ind w:right="103"/>
              <w:jc w:val="right"/>
              <w:rPr>
                <w:sz w:val="23"/>
              </w:rPr>
            </w:pPr>
            <w:r>
              <w:rPr>
                <w:spacing w:val="-2"/>
                <w:w w:val="105"/>
                <w:sz w:val="23"/>
              </w:rPr>
              <w:t>100.0</w:t>
            </w:r>
          </w:p>
        </w:tc>
      </w:tr>
    </w:tbl>
    <w:p w:rsidR="00487D64" w:rsidRDefault="00487D64">
      <w:pPr>
        <w:pStyle w:val="BodyText"/>
        <w:rPr>
          <w:b/>
        </w:rPr>
      </w:pPr>
    </w:p>
    <w:p w:rsidR="00487D64" w:rsidRDefault="00487D64">
      <w:pPr>
        <w:pStyle w:val="BodyText"/>
        <w:spacing w:before="33"/>
        <w:rPr>
          <w:b/>
        </w:rPr>
      </w:pPr>
    </w:p>
    <w:p w:rsidR="00487D64" w:rsidRDefault="006F0D93">
      <w:pPr>
        <w:pStyle w:val="ListParagraph"/>
        <w:numPr>
          <w:ilvl w:val="1"/>
          <w:numId w:val="9"/>
        </w:numPr>
        <w:tabs>
          <w:tab w:val="left" w:pos="1778"/>
        </w:tabs>
        <w:spacing w:before="1"/>
        <w:ind w:left="1778" w:hanging="359"/>
        <w:rPr>
          <w:b/>
          <w:sz w:val="23"/>
        </w:rPr>
      </w:pPr>
      <w:bookmarkStart w:id="152" w:name="4.5_Measurement_Model_Results"/>
      <w:bookmarkStart w:id="153" w:name="_bookmark75"/>
      <w:bookmarkEnd w:id="152"/>
      <w:bookmarkEnd w:id="153"/>
      <w:r>
        <w:rPr>
          <w:b/>
          <w:sz w:val="23"/>
        </w:rPr>
        <w:t>Measurement</w:t>
      </w:r>
      <w:r>
        <w:rPr>
          <w:b/>
          <w:spacing w:val="42"/>
          <w:sz w:val="23"/>
        </w:rPr>
        <w:t xml:space="preserve"> </w:t>
      </w:r>
      <w:r>
        <w:rPr>
          <w:b/>
          <w:sz w:val="23"/>
        </w:rPr>
        <w:t>Model</w:t>
      </w:r>
      <w:r>
        <w:rPr>
          <w:b/>
          <w:spacing w:val="28"/>
          <w:sz w:val="23"/>
        </w:rPr>
        <w:t xml:space="preserve"> </w:t>
      </w:r>
      <w:r>
        <w:rPr>
          <w:b/>
          <w:spacing w:val="-2"/>
          <w:sz w:val="23"/>
        </w:rPr>
        <w:t>Results</w:t>
      </w:r>
    </w:p>
    <w:p w:rsidR="00487D64" w:rsidRDefault="00487D64">
      <w:pPr>
        <w:pStyle w:val="BodyText"/>
        <w:spacing w:before="25"/>
        <w:rPr>
          <w:b/>
        </w:rPr>
      </w:pPr>
    </w:p>
    <w:p w:rsidR="00487D64" w:rsidRDefault="006F0D93">
      <w:pPr>
        <w:pStyle w:val="ListParagraph"/>
        <w:numPr>
          <w:ilvl w:val="2"/>
          <w:numId w:val="9"/>
        </w:numPr>
        <w:tabs>
          <w:tab w:val="left" w:pos="1956"/>
        </w:tabs>
        <w:ind w:left="1956" w:hanging="537"/>
        <w:rPr>
          <w:b/>
          <w:sz w:val="23"/>
        </w:rPr>
      </w:pPr>
      <w:bookmarkStart w:id="154" w:name="4.5.1_Indicator_Loading"/>
      <w:bookmarkStart w:id="155" w:name="_bookmark76"/>
      <w:bookmarkEnd w:id="154"/>
      <w:bookmarkEnd w:id="155"/>
      <w:r>
        <w:rPr>
          <w:b/>
          <w:sz w:val="23"/>
        </w:rPr>
        <w:t>Indicator</w:t>
      </w:r>
      <w:r>
        <w:rPr>
          <w:b/>
          <w:spacing w:val="32"/>
          <w:sz w:val="23"/>
        </w:rPr>
        <w:t xml:space="preserve"> </w:t>
      </w:r>
      <w:r>
        <w:rPr>
          <w:b/>
          <w:spacing w:val="-2"/>
          <w:sz w:val="23"/>
        </w:rPr>
        <w:t>Loading</w:t>
      </w:r>
    </w:p>
    <w:p w:rsidR="00487D64" w:rsidRDefault="00487D64">
      <w:pPr>
        <w:pStyle w:val="BodyText"/>
        <w:spacing w:before="19"/>
        <w:rPr>
          <w:b/>
        </w:rPr>
      </w:pPr>
    </w:p>
    <w:p w:rsidR="00487D64" w:rsidRDefault="006F0D93">
      <w:pPr>
        <w:pStyle w:val="BodyText"/>
        <w:ind w:left="1419"/>
        <w:jc w:val="both"/>
      </w:pPr>
      <w:r>
        <w:rPr>
          <w:w w:val="105"/>
        </w:rPr>
        <w:t>Figure</w:t>
      </w:r>
      <w:r>
        <w:rPr>
          <w:spacing w:val="13"/>
          <w:w w:val="105"/>
        </w:rPr>
        <w:t xml:space="preserve"> </w:t>
      </w:r>
      <w:r>
        <w:rPr>
          <w:w w:val="105"/>
        </w:rPr>
        <w:t>4.3</w:t>
      </w:r>
      <w:r>
        <w:rPr>
          <w:spacing w:val="29"/>
          <w:w w:val="105"/>
        </w:rPr>
        <w:t xml:space="preserve"> </w:t>
      </w:r>
      <w:r>
        <w:rPr>
          <w:w w:val="105"/>
        </w:rPr>
        <w:t>shows</w:t>
      </w:r>
      <w:r>
        <w:rPr>
          <w:spacing w:val="19"/>
          <w:w w:val="105"/>
        </w:rPr>
        <w:t xml:space="preserve"> </w:t>
      </w:r>
      <w:r>
        <w:rPr>
          <w:w w:val="105"/>
        </w:rPr>
        <w:t>that</w:t>
      </w:r>
      <w:r>
        <w:rPr>
          <w:spacing w:val="22"/>
          <w:w w:val="105"/>
        </w:rPr>
        <w:t xml:space="preserve"> </w:t>
      </w:r>
      <w:r>
        <w:rPr>
          <w:w w:val="105"/>
        </w:rPr>
        <w:t>all</w:t>
      </w:r>
      <w:r>
        <w:rPr>
          <w:spacing w:val="23"/>
          <w:w w:val="105"/>
        </w:rPr>
        <w:t xml:space="preserve"> </w:t>
      </w:r>
      <w:r>
        <w:rPr>
          <w:w w:val="105"/>
        </w:rPr>
        <w:t>of</w:t>
      </w:r>
      <w:r>
        <w:rPr>
          <w:spacing w:val="11"/>
          <w:w w:val="105"/>
        </w:rPr>
        <w:t xml:space="preserve"> </w:t>
      </w:r>
      <w:r>
        <w:rPr>
          <w:w w:val="105"/>
        </w:rPr>
        <w:t>the</w:t>
      </w:r>
      <w:r>
        <w:rPr>
          <w:spacing w:val="20"/>
          <w:w w:val="105"/>
        </w:rPr>
        <w:t xml:space="preserve"> </w:t>
      </w:r>
      <w:r>
        <w:rPr>
          <w:w w:val="105"/>
        </w:rPr>
        <w:t>standardized</w:t>
      </w:r>
      <w:r>
        <w:rPr>
          <w:spacing w:val="20"/>
          <w:w w:val="105"/>
        </w:rPr>
        <w:t xml:space="preserve"> </w:t>
      </w:r>
      <w:r>
        <w:rPr>
          <w:w w:val="105"/>
        </w:rPr>
        <w:t>indicator</w:t>
      </w:r>
      <w:r>
        <w:rPr>
          <w:spacing w:val="18"/>
          <w:w w:val="105"/>
        </w:rPr>
        <w:t xml:space="preserve"> </w:t>
      </w:r>
      <w:r>
        <w:rPr>
          <w:w w:val="105"/>
        </w:rPr>
        <w:t>loadings</w:t>
      </w:r>
      <w:r>
        <w:rPr>
          <w:spacing w:val="12"/>
          <w:w w:val="105"/>
        </w:rPr>
        <w:t xml:space="preserve"> </w:t>
      </w:r>
      <w:r>
        <w:rPr>
          <w:w w:val="105"/>
        </w:rPr>
        <w:t>are</w:t>
      </w:r>
      <w:r>
        <w:rPr>
          <w:spacing w:val="14"/>
          <w:w w:val="105"/>
        </w:rPr>
        <w:t xml:space="preserve"> </w:t>
      </w:r>
      <w:r>
        <w:rPr>
          <w:w w:val="105"/>
        </w:rPr>
        <w:t>above</w:t>
      </w:r>
      <w:r>
        <w:rPr>
          <w:spacing w:val="19"/>
          <w:w w:val="105"/>
        </w:rPr>
        <w:t xml:space="preserve"> </w:t>
      </w:r>
      <w:r>
        <w:rPr>
          <w:w w:val="105"/>
        </w:rPr>
        <w:t>or</w:t>
      </w:r>
      <w:r>
        <w:rPr>
          <w:spacing w:val="24"/>
          <w:w w:val="105"/>
        </w:rPr>
        <w:t xml:space="preserve"> </w:t>
      </w:r>
      <w:r>
        <w:rPr>
          <w:spacing w:val="-2"/>
          <w:w w:val="105"/>
        </w:rPr>
        <w:t>equal</w:t>
      </w:r>
    </w:p>
    <w:p w:rsidR="00487D64" w:rsidRDefault="00487D64">
      <w:pPr>
        <w:pStyle w:val="BodyText"/>
        <w:spacing w:before="18"/>
      </w:pPr>
    </w:p>
    <w:p w:rsidR="00487D64" w:rsidRDefault="006F0D93">
      <w:pPr>
        <w:pStyle w:val="BodyText"/>
        <w:ind w:left="1419"/>
      </w:pPr>
      <w:r>
        <w:rPr>
          <w:w w:val="105"/>
        </w:rPr>
        <w:t>0.70</w:t>
      </w:r>
      <w:r>
        <w:rPr>
          <w:spacing w:val="9"/>
          <w:w w:val="105"/>
        </w:rPr>
        <w:t xml:space="preserve"> </w:t>
      </w:r>
      <w:r>
        <w:rPr>
          <w:w w:val="105"/>
        </w:rPr>
        <w:t>except</w:t>
      </w:r>
      <w:r>
        <w:rPr>
          <w:spacing w:val="11"/>
          <w:w w:val="105"/>
        </w:rPr>
        <w:t xml:space="preserve"> </w:t>
      </w:r>
      <w:r>
        <w:rPr>
          <w:w w:val="105"/>
        </w:rPr>
        <w:t>FC2</w:t>
      </w:r>
      <w:r>
        <w:rPr>
          <w:spacing w:val="9"/>
          <w:w w:val="105"/>
        </w:rPr>
        <w:t xml:space="preserve"> </w:t>
      </w:r>
      <w:r>
        <w:rPr>
          <w:w w:val="105"/>
        </w:rPr>
        <w:t>(0.688)</w:t>
      </w:r>
      <w:r>
        <w:rPr>
          <w:spacing w:val="13"/>
          <w:w w:val="105"/>
        </w:rPr>
        <w:t xml:space="preserve"> </w:t>
      </w:r>
      <w:r>
        <w:rPr>
          <w:w w:val="105"/>
        </w:rPr>
        <w:t>which</w:t>
      </w:r>
      <w:r>
        <w:rPr>
          <w:spacing w:val="9"/>
          <w:w w:val="105"/>
        </w:rPr>
        <w:t xml:space="preserve"> </w:t>
      </w:r>
      <w:r>
        <w:rPr>
          <w:w w:val="105"/>
        </w:rPr>
        <w:t>could</w:t>
      </w:r>
      <w:r>
        <w:rPr>
          <w:spacing w:val="16"/>
          <w:w w:val="105"/>
        </w:rPr>
        <w:t xml:space="preserve"> </w:t>
      </w:r>
      <w:r>
        <w:rPr>
          <w:w w:val="105"/>
        </w:rPr>
        <w:t>be</w:t>
      </w:r>
      <w:r>
        <w:rPr>
          <w:spacing w:val="1"/>
          <w:w w:val="105"/>
        </w:rPr>
        <w:t xml:space="preserve"> </w:t>
      </w:r>
      <w:r>
        <w:rPr>
          <w:w w:val="105"/>
        </w:rPr>
        <w:t>accepted</w:t>
      </w:r>
      <w:r>
        <w:rPr>
          <w:spacing w:val="16"/>
          <w:w w:val="105"/>
        </w:rPr>
        <w:t xml:space="preserve"> </w:t>
      </w:r>
      <w:r>
        <w:rPr>
          <w:w w:val="105"/>
        </w:rPr>
        <w:t>for</w:t>
      </w:r>
      <w:r>
        <w:rPr>
          <w:spacing w:val="13"/>
          <w:w w:val="105"/>
        </w:rPr>
        <w:t xml:space="preserve"> </w:t>
      </w:r>
      <w:r>
        <w:rPr>
          <w:w w:val="105"/>
        </w:rPr>
        <w:t>since</w:t>
      </w:r>
      <w:r>
        <w:rPr>
          <w:spacing w:val="8"/>
          <w:w w:val="105"/>
        </w:rPr>
        <w:t xml:space="preserve"> </w:t>
      </w:r>
      <w:r>
        <w:rPr>
          <w:w w:val="105"/>
        </w:rPr>
        <w:t>its</w:t>
      </w:r>
      <w:r>
        <w:rPr>
          <w:spacing w:val="7"/>
          <w:w w:val="105"/>
        </w:rPr>
        <w:t xml:space="preserve"> </w:t>
      </w:r>
      <w:r>
        <w:rPr>
          <w:w w:val="105"/>
        </w:rPr>
        <w:t>loadings</w:t>
      </w:r>
      <w:r>
        <w:rPr>
          <w:spacing w:val="8"/>
          <w:w w:val="105"/>
        </w:rPr>
        <w:t xml:space="preserve"> </w:t>
      </w:r>
      <w:r>
        <w:rPr>
          <w:w w:val="105"/>
        </w:rPr>
        <w:t>are</w:t>
      </w:r>
      <w:r>
        <w:rPr>
          <w:spacing w:val="8"/>
          <w:w w:val="105"/>
        </w:rPr>
        <w:t xml:space="preserve"> </w:t>
      </w:r>
      <w:r>
        <w:rPr>
          <w:w w:val="105"/>
        </w:rPr>
        <w:t>close</w:t>
      </w:r>
      <w:r>
        <w:rPr>
          <w:spacing w:val="8"/>
          <w:w w:val="105"/>
        </w:rPr>
        <w:t xml:space="preserve"> </w:t>
      </w:r>
      <w:r>
        <w:rPr>
          <w:spacing w:val="-5"/>
          <w:w w:val="105"/>
        </w:rPr>
        <w:t>to</w:t>
      </w:r>
    </w:p>
    <w:p w:rsidR="00487D64" w:rsidRDefault="00487D64">
      <w:pPr>
        <w:pStyle w:val="BodyText"/>
        <w:spacing w:before="26"/>
      </w:pPr>
    </w:p>
    <w:p w:rsidR="00487D64" w:rsidRDefault="006F0D93">
      <w:pPr>
        <w:pStyle w:val="BodyText"/>
        <w:spacing w:line="499" w:lineRule="auto"/>
        <w:ind w:left="1419" w:right="852"/>
        <w:jc w:val="both"/>
      </w:pPr>
      <w:r>
        <w:rPr>
          <w:w w:val="105"/>
        </w:rPr>
        <w:t>0.70 (Hair et al., 2019), also</w:t>
      </w:r>
      <w:r>
        <w:rPr>
          <w:w w:val="105"/>
        </w:rPr>
        <w:t xml:space="preserve"> based on the fact that the construct meets composite reliability</w:t>
      </w:r>
      <w:r>
        <w:rPr>
          <w:spacing w:val="-14"/>
          <w:w w:val="105"/>
        </w:rPr>
        <w:t xml:space="preserve"> </w:t>
      </w:r>
      <w:r>
        <w:rPr>
          <w:w w:val="105"/>
        </w:rPr>
        <w:t>and</w:t>
      </w:r>
      <w:r>
        <w:rPr>
          <w:spacing w:val="-14"/>
          <w:w w:val="105"/>
        </w:rPr>
        <w:t xml:space="preserve"> </w:t>
      </w:r>
      <w:r>
        <w:rPr>
          <w:w w:val="105"/>
        </w:rPr>
        <w:t>average</w:t>
      </w:r>
      <w:r>
        <w:rPr>
          <w:spacing w:val="-9"/>
          <w:w w:val="105"/>
        </w:rPr>
        <w:t xml:space="preserve"> </w:t>
      </w:r>
      <w:r>
        <w:rPr>
          <w:w w:val="105"/>
        </w:rPr>
        <w:t>variance</w:t>
      </w:r>
      <w:r>
        <w:rPr>
          <w:spacing w:val="-9"/>
          <w:w w:val="105"/>
        </w:rPr>
        <w:t xml:space="preserve"> </w:t>
      </w:r>
      <w:r>
        <w:rPr>
          <w:w w:val="105"/>
        </w:rPr>
        <w:t>criteria</w:t>
      </w:r>
      <w:r>
        <w:rPr>
          <w:spacing w:val="-9"/>
          <w:w w:val="105"/>
        </w:rPr>
        <w:t xml:space="preserve"> </w:t>
      </w:r>
      <w:r>
        <w:rPr>
          <w:w w:val="105"/>
        </w:rPr>
        <w:t>removing</w:t>
      </w:r>
      <w:r>
        <w:rPr>
          <w:spacing w:val="-8"/>
          <w:w w:val="105"/>
        </w:rPr>
        <w:t xml:space="preserve"> </w:t>
      </w:r>
      <w:r>
        <w:rPr>
          <w:w w:val="105"/>
        </w:rPr>
        <w:t>it won’t</w:t>
      </w:r>
      <w:r>
        <w:rPr>
          <w:spacing w:val="-5"/>
          <w:w w:val="105"/>
        </w:rPr>
        <w:t xml:space="preserve"> </w:t>
      </w:r>
      <w:r>
        <w:rPr>
          <w:w w:val="105"/>
        </w:rPr>
        <w:t>be</w:t>
      </w:r>
      <w:r>
        <w:rPr>
          <w:spacing w:val="-9"/>
          <w:w w:val="105"/>
        </w:rPr>
        <w:t xml:space="preserve"> </w:t>
      </w:r>
      <w:r>
        <w:rPr>
          <w:w w:val="105"/>
        </w:rPr>
        <w:t>significant</w:t>
      </w:r>
      <w:r>
        <w:rPr>
          <w:spacing w:val="-6"/>
          <w:w w:val="105"/>
        </w:rPr>
        <w:t xml:space="preserve"> </w:t>
      </w:r>
      <w:r>
        <w:rPr>
          <w:w w:val="105"/>
        </w:rPr>
        <w:t>in</w:t>
      </w:r>
      <w:r>
        <w:rPr>
          <w:spacing w:val="-8"/>
          <w:w w:val="105"/>
        </w:rPr>
        <w:t xml:space="preserve"> </w:t>
      </w:r>
      <w:r>
        <w:rPr>
          <w:w w:val="105"/>
        </w:rPr>
        <w:t xml:space="preserve">improving </w:t>
      </w:r>
      <w:r>
        <w:rPr>
          <w:spacing w:val="-2"/>
          <w:w w:val="105"/>
        </w:rPr>
        <w:t>validity.</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spacing w:before="141"/>
        <w:rPr>
          <w:sz w:val="20"/>
        </w:rPr>
      </w:pPr>
    </w:p>
    <w:p w:rsidR="00487D64" w:rsidRDefault="006F0D93">
      <w:pPr>
        <w:pStyle w:val="BodyText"/>
        <w:ind w:left="1428"/>
        <w:rPr>
          <w:sz w:val="20"/>
        </w:rPr>
      </w:pPr>
      <w:r>
        <w:rPr>
          <w:noProof/>
          <w:sz w:val="20"/>
        </w:rPr>
        <w:drawing>
          <wp:inline distT="0" distB="0" distL="0" distR="0">
            <wp:extent cx="4954867" cy="3490531"/>
            <wp:effectExtent l="0" t="0" r="0" b="0"/>
            <wp:docPr id="42" name="Image 42" descr="Description: C:\Users\Denis\AppData\Local\Temp\image149715287381513453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Description: C:\Users\Denis\AppData\Local\Temp\image14971528738151345312.png"/>
                    <pic:cNvPicPr/>
                  </pic:nvPicPr>
                  <pic:blipFill>
                    <a:blip r:embed="rId11" cstate="print"/>
                    <a:stretch>
                      <a:fillRect/>
                    </a:stretch>
                  </pic:blipFill>
                  <pic:spPr>
                    <a:xfrm>
                      <a:off x="0" y="0"/>
                      <a:ext cx="4954867" cy="3490531"/>
                    </a:xfrm>
                    <a:prstGeom prst="rect">
                      <a:avLst/>
                    </a:prstGeom>
                  </pic:spPr>
                </pic:pic>
              </a:graphicData>
            </a:graphic>
          </wp:inline>
        </w:drawing>
      </w:r>
    </w:p>
    <w:p w:rsidR="00487D64" w:rsidRDefault="00487D64">
      <w:pPr>
        <w:pStyle w:val="BodyText"/>
      </w:pPr>
    </w:p>
    <w:p w:rsidR="00487D64" w:rsidRDefault="00487D64">
      <w:pPr>
        <w:pStyle w:val="BodyText"/>
      </w:pPr>
    </w:p>
    <w:p w:rsidR="00487D64" w:rsidRDefault="00487D64">
      <w:pPr>
        <w:pStyle w:val="BodyText"/>
        <w:spacing w:before="162"/>
      </w:pPr>
    </w:p>
    <w:p w:rsidR="00487D64" w:rsidRDefault="006F0D93">
      <w:pPr>
        <w:ind w:left="1419"/>
        <w:jc w:val="both"/>
        <w:rPr>
          <w:b/>
          <w:sz w:val="23"/>
        </w:rPr>
      </w:pPr>
      <w:r>
        <w:rPr>
          <w:b/>
          <w:w w:val="105"/>
          <w:sz w:val="23"/>
        </w:rPr>
        <w:t>Figure</w:t>
      </w:r>
      <w:r>
        <w:rPr>
          <w:b/>
          <w:spacing w:val="-11"/>
          <w:w w:val="105"/>
          <w:sz w:val="23"/>
        </w:rPr>
        <w:t xml:space="preserve"> </w:t>
      </w:r>
      <w:r>
        <w:rPr>
          <w:b/>
          <w:w w:val="105"/>
          <w:sz w:val="23"/>
        </w:rPr>
        <w:t>4.</w:t>
      </w:r>
      <w:r>
        <w:rPr>
          <w:b/>
          <w:spacing w:val="-13"/>
          <w:w w:val="105"/>
          <w:sz w:val="23"/>
        </w:rPr>
        <w:t xml:space="preserve"> </w:t>
      </w:r>
      <w:r>
        <w:rPr>
          <w:b/>
          <w:w w:val="105"/>
          <w:sz w:val="23"/>
        </w:rPr>
        <w:t>3:</w:t>
      </w:r>
      <w:r>
        <w:rPr>
          <w:b/>
          <w:spacing w:val="-12"/>
          <w:w w:val="105"/>
          <w:sz w:val="23"/>
        </w:rPr>
        <w:t xml:space="preserve"> </w:t>
      </w:r>
      <w:r>
        <w:rPr>
          <w:b/>
          <w:w w:val="105"/>
          <w:sz w:val="23"/>
        </w:rPr>
        <w:t>Measurement</w:t>
      </w:r>
      <w:r>
        <w:rPr>
          <w:b/>
          <w:spacing w:val="-6"/>
          <w:w w:val="105"/>
          <w:sz w:val="23"/>
        </w:rPr>
        <w:t xml:space="preserve"> </w:t>
      </w:r>
      <w:r>
        <w:rPr>
          <w:b/>
          <w:w w:val="105"/>
          <w:sz w:val="23"/>
        </w:rPr>
        <w:t>(Outer)</w:t>
      </w:r>
      <w:r>
        <w:rPr>
          <w:b/>
          <w:spacing w:val="-6"/>
          <w:w w:val="105"/>
          <w:sz w:val="23"/>
        </w:rPr>
        <w:t xml:space="preserve"> </w:t>
      </w:r>
      <w:r>
        <w:rPr>
          <w:b/>
          <w:spacing w:val="-4"/>
          <w:w w:val="105"/>
          <w:sz w:val="23"/>
        </w:rPr>
        <w:t>model</w:t>
      </w:r>
    </w:p>
    <w:p w:rsidR="00487D64" w:rsidRDefault="006F0D93">
      <w:pPr>
        <w:spacing w:before="146" w:line="504" w:lineRule="auto"/>
        <w:ind w:left="1419" w:right="866"/>
        <w:jc w:val="both"/>
        <w:rPr>
          <w:b/>
          <w:sz w:val="23"/>
        </w:rPr>
      </w:pPr>
      <w:r>
        <w:rPr>
          <w:b/>
          <w:w w:val="105"/>
          <w:sz w:val="23"/>
        </w:rPr>
        <w:t>CU: Customer Orientation; CO:</w:t>
      </w:r>
      <w:r>
        <w:rPr>
          <w:b/>
          <w:w w:val="105"/>
          <w:sz w:val="23"/>
        </w:rPr>
        <w:t xml:space="preserve"> Competitor Orientation; FC: Functional Coordination; SF: Strategic Flexibility; SC: Sustainable Competitiveness</w:t>
      </w:r>
    </w:p>
    <w:p w:rsidR="00487D64" w:rsidRDefault="00487D64">
      <w:pPr>
        <w:pStyle w:val="BodyText"/>
        <w:spacing w:before="245"/>
        <w:rPr>
          <w:b/>
        </w:rPr>
      </w:pPr>
    </w:p>
    <w:p w:rsidR="00487D64" w:rsidRDefault="006F0D93">
      <w:pPr>
        <w:pStyle w:val="ListParagraph"/>
        <w:numPr>
          <w:ilvl w:val="2"/>
          <w:numId w:val="9"/>
        </w:numPr>
        <w:tabs>
          <w:tab w:val="left" w:pos="1957"/>
        </w:tabs>
        <w:ind w:left="1957" w:hanging="538"/>
        <w:rPr>
          <w:b/>
          <w:sz w:val="23"/>
        </w:rPr>
      </w:pPr>
      <w:bookmarkStart w:id="156" w:name="4.5.2_Internal_Consistency_Reliability"/>
      <w:bookmarkStart w:id="157" w:name="_bookmark77"/>
      <w:bookmarkEnd w:id="156"/>
      <w:bookmarkEnd w:id="157"/>
      <w:r>
        <w:rPr>
          <w:b/>
          <w:sz w:val="23"/>
        </w:rPr>
        <w:t>Internal</w:t>
      </w:r>
      <w:r>
        <w:rPr>
          <w:b/>
          <w:spacing w:val="30"/>
          <w:sz w:val="23"/>
        </w:rPr>
        <w:t xml:space="preserve"> </w:t>
      </w:r>
      <w:r>
        <w:rPr>
          <w:b/>
          <w:sz w:val="23"/>
        </w:rPr>
        <w:t>Consistency</w:t>
      </w:r>
      <w:r>
        <w:rPr>
          <w:b/>
          <w:spacing w:val="38"/>
          <w:sz w:val="23"/>
        </w:rPr>
        <w:t xml:space="preserve"> </w:t>
      </w:r>
      <w:r>
        <w:rPr>
          <w:b/>
          <w:spacing w:val="-2"/>
          <w:sz w:val="23"/>
        </w:rPr>
        <w:t>Reliability</w:t>
      </w:r>
    </w:p>
    <w:p w:rsidR="00487D64" w:rsidRDefault="00487D64">
      <w:pPr>
        <w:pStyle w:val="BodyText"/>
        <w:spacing w:before="18"/>
        <w:rPr>
          <w:b/>
        </w:rPr>
      </w:pPr>
    </w:p>
    <w:p w:rsidR="00487D64" w:rsidRDefault="006F0D93">
      <w:pPr>
        <w:pStyle w:val="BodyText"/>
        <w:spacing w:before="1" w:line="501" w:lineRule="auto"/>
        <w:ind w:left="1419" w:right="849"/>
        <w:jc w:val="both"/>
      </w:pPr>
      <w:r>
        <w:rPr>
          <w:w w:val="105"/>
        </w:rPr>
        <w:t>The results indicated that all constructs achieved composite reliability values exceeding the recommended</w:t>
      </w:r>
      <w:r>
        <w:rPr>
          <w:w w:val="105"/>
        </w:rPr>
        <w:t xml:space="preserve"> threshold of 0.70, thus demonstrating satisfactory to high levels of internal consistency. According to Hair et al. (2019), CR values between</w:t>
      </w:r>
      <w:r>
        <w:rPr>
          <w:spacing w:val="-11"/>
          <w:w w:val="105"/>
        </w:rPr>
        <w:t xml:space="preserve"> </w:t>
      </w:r>
      <w:r>
        <w:rPr>
          <w:w w:val="105"/>
        </w:rPr>
        <w:t>0.70</w:t>
      </w:r>
      <w:r>
        <w:rPr>
          <w:spacing w:val="-6"/>
          <w:w w:val="105"/>
        </w:rPr>
        <w:t xml:space="preserve"> </w:t>
      </w:r>
      <w:r>
        <w:rPr>
          <w:w w:val="105"/>
        </w:rPr>
        <w:t>and</w:t>
      </w:r>
      <w:r>
        <w:rPr>
          <w:spacing w:val="-6"/>
          <w:w w:val="105"/>
        </w:rPr>
        <w:t xml:space="preserve"> </w:t>
      </w:r>
      <w:r>
        <w:rPr>
          <w:w w:val="105"/>
        </w:rPr>
        <w:t>0.90</w:t>
      </w:r>
      <w:r>
        <w:rPr>
          <w:spacing w:val="-3"/>
          <w:w w:val="105"/>
        </w:rPr>
        <w:t xml:space="preserve"> </w:t>
      </w:r>
      <w:r>
        <w:rPr>
          <w:w w:val="105"/>
        </w:rPr>
        <w:t>are</w:t>
      </w:r>
      <w:r>
        <w:rPr>
          <w:spacing w:val="-7"/>
          <w:w w:val="105"/>
        </w:rPr>
        <w:t xml:space="preserve"> </w:t>
      </w:r>
      <w:r>
        <w:rPr>
          <w:w w:val="105"/>
        </w:rPr>
        <w:t>indicative</w:t>
      </w:r>
      <w:r>
        <w:rPr>
          <w:spacing w:val="-7"/>
          <w:w w:val="105"/>
        </w:rPr>
        <w:t xml:space="preserve"> </w:t>
      </w:r>
      <w:r>
        <w:rPr>
          <w:w w:val="105"/>
        </w:rPr>
        <w:t>of</w:t>
      </w:r>
      <w:r>
        <w:rPr>
          <w:spacing w:val="-16"/>
          <w:w w:val="105"/>
        </w:rPr>
        <w:t xml:space="preserve"> </w:t>
      </w:r>
      <w:r>
        <w:rPr>
          <w:w w:val="105"/>
        </w:rPr>
        <w:t>acceptable</w:t>
      </w:r>
      <w:r>
        <w:rPr>
          <w:spacing w:val="-12"/>
          <w:w w:val="105"/>
        </w:rPr>
        <w:t xml:space="preserve"> </w:t>
      </w:r>
      <w:r>
        <w:rPr>
          <w:w w:val="105"/>
        </w:rPr>
        <w:t>to</w:t>
      </w:r>
      <w:r>
        <w:rPr>
          <w:spacing w:val="-6"/>
          <w:w w:val="105"/>
        </w:rPr>
        <w:t xml:space="preserve"> </w:t>
      </w:r>
      <w:r>
        <w:rPr>
          <w:w w:val="105"/>
        </w:rPr>
        <w:t>good</w:t>
      </w:r>
      <w:r>
        <w:rPr>
          <w:spacing w:val="-6"/>
          <w:w w:val="105"/>
        </w:rPr>
        <w:t xml:space="preserve"> </w:t>
      </w:r>
      <w:r>
        <w:rPr>
          <w:w w:val="105"/>
        </w:rPr>
        <w:t>reliability, whereas</w:t>
      </w:r>
      <w:r>
        <w:rPr>
          <w:spacing w:val="-8"/>
          <w:w w:val="105"/>
        </w:rPr>
        <w:t xml:space="preserve"> </w:t>
      </w:r>
      <w:r>
        <w:rPr>
          <w:w w:val="105"/>
        </w:rPr>
        <w:t>values exceeding 0.95 may suggest</w:t>
      </w:r>
      <w:r>
        <w:rPr>
          <w:w w:val="105"/>
        </w:rPr>
        <w:t xml:space="preserve"> potential redundancy among indicators or artificially high</w:t>
      </w:r>
      <w:r>
        <w:rPr>
          <w:spacing w:val="80"/>
          <w:w w:val="105"/>
        </w:rPr>
        <w:t xml:space="preserve"> </w:t>
      </w:r>
      <w:r>
        <w:rPr>
          <w:w w:val="105"/>
        </w:rPr>
        <w:t>internal</w:t>
      </w:r>
      <w:r>
        <w:rPr>
          <w:spacing w:val="80"/>
          <w:w w:val="105"/>
        </w:rPr>
        <w:t xml:space="preserve"> </w:t>
      </w:r>
      <w:r>
        <w:rPr>
          <w:w w:val="105"/>
        </w:rPr>
        <w:t>consistency</w:t>
      </w:r>
      <w:r>
        <w:rPr>
          <w:spacing w:val="80"/>
          <w:w w:val="105"/>
        </w:rPr>
        <w:t xml:space="preserve"> </w:t>
      </w:r>
      <w:r>
        <w:rPr>
          <w:w w:val="105"/>
        </w:rPr>
        <w:t>due</w:t>
      </w:r>
      <w:r>
        <w:rPr>
          <w:spacing w:val="80"/>
          <w:w w:val="105"/>
        </w:rPr>
        <w:t xml:space="preserve"> </w:t>
      </w:r>
      <w:r>
        <w:rPr>
          <w:w w:val="105"/>
        </w:rPr>
        <w:t>to</w:t>
      </w:r>
      <w:r>
        <w:rPr>
          <w:spacing w:val="80"/>
          <w:w w:val="105"/>
        </w:rPr>
        <w:t xml:space="preserve"> </w:t>
      </w:r>
      <w:r>
        <w:rPr>
          <w:w w:val="105"/>
        </w:rPr>
        <w:t>overlapping</w:t>
      </w:r>
      <w:r>
        <w:rPr>
          <w:spacing w:val="80"/>
          <w:w w:val="105"/>
        </w:rPr>
        <w:t xml:space="preserve"> </w:t>
      </w:r>
      <w:r>
        <w:rPr>
          <w:w w:val="105"/>
        </w:rPr>
        <w:t>items.</w:t>
      </w:r>
      <w:r>
        <w:rPr>
          <w:spacing w:val="80"/>
          <w:w w:val="105"/>
        </w:rPr>
        <w:t xml:space="preserve"> </w:t>
      </w:r>
      <w:r>
        <w:rPr>
          <w:w w:val="105"/>
        </w:rPr>
        <w:t>Importantly,</w:t>
      </w:r>
      <w:r>
        <w:rPr>
          <w:spacing w:val="80"/>
          <w:w w:val="105"/>
        </w:rPr>
        <w:t xml:space="preserve"> </w:t>
      </w:r>
      <w:r>
        <w:rPr>
          <w:w w:val="105"/>
        </w:rPr>
        <w:t>none</w:t>
      </w:r>
      <w:r>
        <w:rPr>
          <w:spacing w:val="80"/>
          <w:w w:val="105"/>
        </w:rPr>
        <w:t xml:space="preserve"> </w:t>
      </w:r>
      <w:r>
        <w:rPr>
          <w:w w:val="105"/>
        </w:rPr>
        <w:t>of</w:t>
      </w:r>
      <w:r>
        <w:rPr>
          <w:spacing w:val="76"/>
          <w:w w:val="105"/>
        </w:rPr>
        <w:t xml:space="preserve"> </w:t>
      </w:r>
      <w:r>
        <w:rPr>
          <w:w w:val="105"/>
        </w:rPr>
        <w:t>the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3"/>
        <w:jc w:val="both"/>
      </w:pPr>
      <w:r>
        <w:rPr>
          <w:w w:val="105"/>
        </w:rPr>
        <w:t>constructs in this study exhibited CR values above 0.95, affirming the appropriateness of the measurem</w:t>
      </w:r>
      <w:r>
        <w:rPr>
          <w:w w:val="105"/>
        </w:rPr>
        <w:t>ent items used.</w:t>
      </w:r>
    </w:p>
    <w:p w:rsidR="00487D64" w:rsidRDefault="006F0D93">
      <w:pPr>
        <w:pStyle w:val="BodyText"/>
        <w:spacing w:before="236" w:line="501" w:lineRule="auto"/>
        <w:ind w:left="1419" w:right="848"/>
        <w:jc w:val="both"/>
      </w:pPr>
      <w:r>
        <w:rPr>
          <w:w w:val="105"/>
        </w:rPr>
        <w:t>The output from the PLS algorithm further confirmed that all constructs demonstrated</w:t>
      </w:r>
      <w:r>
        <w:rPr>
          <w:spacing w:val="-3"/>
          <w:w w:val="105"/>
        </w:rPr>
        <w:t xml:space="preserve"> </w:t>
      </w:r>
      <w:r>
        <w:rPr>
          <w:w w:val="105"/>
        </w:rPr>
        <w:t>internal consistency reliability above 0.70 and below</w:t>
      </w:r>
      <w:r>
        <w:rPr>
          <w:spacing w:val="-1"/>
          <w:w w:val="105"/>
        </w:rPr>
        <w:t xml:space="preserve"> </w:t>
      </w:r>
      <w:r>
        <w:rPr>
          <w:w w:val="105"/>
        </w:rPr>
        <w:t>0.95,</w:t>
      </w:r>
      <w:r>
        <w:rPr>
          <w:spacing w:val="-4"/>
          <w:w w:val="105"/>
        </w:rPr>
        <w:t xml:space="preserve"> </w:t>
      </w:r>
      <w:r>
        <w:rPr>
          <w:w w:val="105"/>
        </w:rPr>
        <w:t>in line with the reliability criteria proposed by Hair et al. (2020). This confirms that the da</w:t>
      </w:r>
      <w:r>
        <w:rPr>
          <w:w w:val="105"/>
        </w:rPr>
        <w:t>ta collected from respondents are both consistent and dependable. Moreover, all constructs exhibited AVE values</w:t>
      </w:r>
      <w:r>
        <w:rPr>
          <w:spacing w:val="-3"/>
          <w:w w:val="105"/>
        </w:rPr>
        <w:t xml:space="preserve"> </w:t>
      </w:r>
      <w:r>
        <w:rPr>
          <w:w w:val="105"/>
        </w:rPr>
        <w:t>above</w:t>
      </w:r>
      <w:r>
        <w:rPr>
          <w:spacing w:val="-2"/>
          <w:w w:val="105"/>
        </w:rPr>
        <w:t xml:space="preserve"> </w:t>
      </w:r>
      <w:r>
        <w:rPr>
          <w:w w:val="105"/>
        </w:rPr>
        <w:t>0.50, supporting</w:t>
      </w:r>
      <w:r>
        <w:rPr>
          <w:spacing w:val="-2"/>
          <w:w w:val="105"/>
        </w:rPr>
        <w:t xml:space="preserve"> </w:t>
      </w:r>
      <w:r>
        <w:rPr>
          <w:w w:val="105"/>
        </w:rPr>
        <w:t>the</w:t>
      </w:r>
      <w:r>
        <w:rPr>
          <w:spacing w:val="-9"/>
          <w:w w:val="105"/>
        </w:rPr>
        <w:t xml:space="preserve"> </w:t>
      </w:r>
      <w:r>
        <w:rPr>
          <w:w w:val="105"/>
        </w:rPr>
        <w:t>adequacy of convergent validity</w:t>
      </w:r>
      <w:r>
        <w:rPr>
          <w:b/>
          <w:w w:val="105"/>
        </w:rPr>
        <w:t xml:space="preserve">. </w:t>
      </w:r>
      <w:r>
        <w:rPr>
          <w:w w:val="105"/>
        </w:rPr>
        <w:t>This implies that each construct</w:t>
      </w:r>
      <w:r>
        <w:rPr>
          <w:spacing w:val="-3"/>
          <w:w w:val="105"/>
        </w:rPr>
        <w:t xml:space="preserve"> </w:t>
      </w:r>
      <w:r>
        <w:rPr>
          <w:w w:val="105"/>
        </w:rPr>
        <w:t>accounts for at</w:t>
      </w:r>
      <w:r>
        <w:rPr>
          <w:spacing w:val="-3"/>
          <w:w w:val="105"/>
        </w:rPr>
        <w:t xml:space="preserve"> </w:t>
      </w:r>
      <w:r>
        <w:rPr>
          <w:w w:val="105"/>
        </w:rPr>
        <w:t>least</w:t>
      </w:r>
      <w:r>
        <w:rPr>
          <w:spacing w:val="-3"/>
          <w:w w:val="105"/>
        </w:rPr>
        <w:t xml:space="preserve"> </w:t>
      </w:r>
      <w:r>
        <w:rPr>
          <w:w w:val="105"/>
        </w:rPr>
        <w:t>50% of</w:t>
      </w:r>
      <w:r>
        <w:rPr>
          <w:spacing w:val="-7"/>
          <w:w w:val="105"/>
        </w:rPr>
        <w:t xml:space="preserve"> </w:t>
      </w:r>
      <w:r>
        <w:rPr>
          <w:w w:val="105"/>
        </w:rPr>
        <w:t>the variance in its ob</w:t>
      </w:r>
      <w:r>
        <w:rPr>
          <w:w w:val="105"/>
        </w:rPr>
        <w:t>served indicators, satisfying the minimum threshold required for acceptable construct validity (Hair et al., 2017; Henseler et al., 2015).</w:t>
      </w:r>
    </w:p>
    <w:p w:rsidR="00487D64" w:rsidRDefault="006F0D93">
      <w:pPr>
        <w:pStyle w:val="BodyText"/>
        <w:spacing w:before="232" w:line="501" w:lineRule="auto"/>
        <w:ind w:left="1419" w:right="859"/>
        <w:jc w:val="both"/>
      </w:pPr>
      <w:r>
        <w:rPr>
          <w:w w:val="105"/>
        </w:rPr>
        <w:t>Overall, the internal consistency reliability analysis confirms the robustness of the measurement model, validating i</w:t>
      </w:r>
      <w:r>
        <w:rPr>
          <w:w w:val="105"/>
        </w:rPr>
        <w:t>ts application in subsequent structural model evaluation.</w:t>
      </w:r>
      <w:r>
        <w:rPr>
          <w:spacing w:val="-5"/>
          <w:w w:val="105"/>
        </w:rPr>
        <w:t xml:space="preserve"> </w:t>
      </w:r>
      <w:r>
        <w:rPr>
          <w:w w:val="105"/>
        </w:rPr>
        <w:t>Table</w:t>
      </w:r>
      <w:r>
        <w:rPr>
          <w:spacing w:val="-9"/>
          <w:w w:val="105"/>
        </w:rPr>
        <w:t xml:space="preserve"> </w:t>
      </w:r>
      <w:r>
        <w:rPr>
          <w:w w:val="105"/>
        </w:rPr>
        <w:t>4.8 presents</w:t>
      </w:r>
      <w:r>
        <w:rPr>
          <w:spacing w:val="-11"/>
          <w:w w:val="105"/>
        </w:rPr>
        <w:t xml:space="preserve"> </w:t>
      </w:r>
      <w:r>
        <w:rPr>
          <w:w w:val="105"/>
        </w:rPr>
        <w:t>a</w:t>
      </w:r>
      <w:r>
        <w:rPr>
          <w:spacing w:val="-3"/>
          <w:w w:val="105"/>
        </w:rPr>
        <w:t xml:space="preserve"> </w:t>
      </w:r>
      <w:r>
        <w:rPr>
          <w:w w:val="105"/>
        </w:rPr>
        <w:t>summary</w:t>
      </w:r>
      <w:r>
        <w:rPr>
          <w:spacing w:val="-3"/>
          <w:w w:val="105"/>
        </w:rPr>
        <w:t xml:space="preserve"> </w:t>
      </w:r>
      <w:r>
        <w:rPr>
          <w:w w:val="105"/>
        </w:rPr>
        <w:t>of</w:t>
      </w:r>
      <w:r>
        <w:rPr>
          <w:spacing w:val="-11"/>
          <w:w w:val="105"/>
        </w:rPr>
        <w:t xml:space="preserve"> </w:t>
      </w:r>
      <w:r>
        <w:rPr>
          <w:w w:val="105"/>
        </w:rPr>
        <w:t>the</w:t>
      </w:r>
      <w:r>
        <w:rPr>
          <w:spacing w:val="-9"/>
          <w:w w:val="105"/>
        </w:rPr>
        <w:t xml:space="preserve"> </w:t>
      </w:r>
      <w:r>
        <w:rPr>
          <w:w w:val="105"/>
        </w:rPr>
        <w:t>internal</w:t>
      </w:r>
      <w:r>
        <w:rPr>
          <w:spacing w:val="-1"/>
          <w:w w:val="105"/>
        </w:rPr>
        <w:t xml:space="preserve"> </w:t>
      </w:r>
      <w:r>
        <w:rPr>
          <w:w w:val="105"/>
        </w:rPr>
        <w:t>consistency</w:t>
      </w:r>
      <w:r>
        <w:rPr>
          <w:spacing w:val="-3"/>
          <w:w w:val="105"/>
        </w:rPr>
        <w:t xml:space="preserve"> </w:t>
      </w:r>
      <w:r>
        <w:rPr>
          <w:w w:val="105"/>
        </w:rPr>
        <w:t>metrics</w:t>
      </w:r>
      <w:r>
        <w:rPr>
          <w:spacing w:val="-4"/>
          <w:w w:val="105"/>
        </w:rPr>
        <w:t xml:space="preserve"> </w:t>
      </w:r>
      <w:r>
        <w:rPr>
          <w:w w:val="105"/>
        </w:rPr>
        <w:t>for</w:t>
      </w:r>
      <w:r>
        <w:rPr>
          <w:spacing w:val="-5"/>
          <w:w w:val="105"/>
        </w:rPr>
        <w:t xml:space="preserve"> </w:t>
      </w:r>
      <w:r>
        <w:rPr>
          <w:w w:val="105"/>
        </w:rPr>
        <w:t xml:space="preserve">each </w:t>
      </w:r>
      <w:r>
        <w:rPr>
          <w:spacing w:val="-2"/>
          <w:w w:val="105"/>
        </w:rPr>
        <w:t>construct.</w:t>
      </w:r>
    </w:p>
    <w:p w:rsidR="00487D64" w:rsidRDefault="006F0D93">
      <w:pPr>
        <w:spacing w:before="238"/>
        <w:ind w:left="1419"/>
        <w:jc w:val="both"/>
        <w:rPr>
          <w:b/>
          <w:sz w:val="23"/>
        </w:rPr>
      </w:pPr>
      <w:r>
        <w:rPr>
          <w:b/>
          <w:sz w:val="23"/>
        </w:rPr>
        <w:t>Table</w:t>
      </w:r>
      <w:r>
        <w:rPr>
          <w:b/>
          <w:spacing w:val="26"/>
          <w:sz w:val="23"/>
        </w:rPr>
        <w:t xml:space="preserve"> </w:t>
      </w:r>
      <w:r>
        <w:rPr>
          <w:b/>
          <w:sz w:val="23"/>
        </w:rPr>
        <w:t>4.</w:t>
      </w:r>
      <w:r>
        <w:rPr>
          <w:b/>
          <w:spacing w:val="22"/>
          <w:sz w:val="23"/>
        </w:rPr>
        <w:t xml:space="preserve"> </w:t>
      </w:r>
      <w:r>
        <w:rPr>
          <w:b/>
          <w:sz w:val="23"/>
        </w:rPr>
        <w:t>8:</w:t>
      </w:r>
      <w:r>
        <w:rPr>
          <w:b/>
          <w:spacing w:val="24"/>
          <w:sz w:val="23"/>
        </w:rPr>
        <w:t xml:space="preserve"> </w:t>
      </w:r>
      <w:r>
        <w:rPr>
          <w:b/>
          <w:sz w:val="23"/>
        </w:rPr>
        <w:t>Internal</w:t>
      </w:r>
      <w:r>
        <w:rPr>
          <w:b/>
          <w:spacing w:val="21"/>
          <w:sz w:val="23"/>
        </w:rPr>
        <w:t xml:space="preserve"> </w:t>
      </w:r>
      <w:r>
        <w:rPr>
          <w:b/>
          <w:sz w:val="23"/>
        </w:rPr>
        <w:t>Consistency</w:t>
      </w:r>
      <w:r>
        <w:rPr>
          <w:b/>
          <w:spacing w:val="18"/>
          <w:sz w:val="23"/>
        </w:rPr>
        <w:t xml:space="preserve"> </w:t>
      </w:r>
      <w:r>
        <w:rPr>
          <w:b/>
          <w:spacing w:val="-2"/>
          <w:sz w:val="23"/>
        </w:rPr>
        <w:t>Reliability</w:t>
      </w:r>
    </w:p>
    <w:p w:rsidR="00487D64" w:rsidRDefault="00487D64">
      <w:pPr>
        <w:pStyle w:val="BodyText"/>
        <w:spacing w:before="6" w:after="1"/>
        <w:rPr>
          <w:b/>
          <w:sz w:val="12"/>
        </w:rPr>
      </w:pPr>
    </w:p>
    <w:tbl>
      <w:tblPr>
        <w:tblW w:w="0" w:type="auto"/>
        <w:tblInd w:w="1290" w:type="dxa"/>
        <w:tblLayout w:type="fixed"/>
        <w:tblCellMar>
          <w:left w:w="0" w:type="dxa"/>
          <w:right w:w="0" w:type="dxa"/>
        </w:tblCellMar>
        <w:tblLook w:val="01E0" w:firstRow="1" w:lastRow="1" w:firstColumn="1" w:lastColumn="1" w:noHBand="0" w:noVBand="0"/>
      </w:tblPr>
      <w:tblGrid>
        <w:gridCol w:w="827"/>
        <w:gridCol w:w="1406"/>
        <w:gridCol w:w="2073"/>
        <w:gridCol w:w="2058"/>
        <w:gridCol w:w="2119"/>
      </w:tblGrid>
      <w:tr w:rsidR="00487D64">
        <w:trPr>
          <w:trHeight w:val="688"/>
        </w:trPr>
        <w:tc>
          <w:tcPr>
            <w:tcW w:w="827" w:type="dxa"/>
            <w:tcBorders>
              <w:top w:val="single" w:sz="4" w:space="0" w:color="000000"/>
              <w:bottom w:val="single" w:sz="4" w:space="0" w:color="000000"/>
            </w:tcBorders>
          </w:tcPr>
          <w:p w:rsidR="00487D64" w:rsidRDefault="00487D64">
            <w:pPr>
              <w:pStyle w:val="TableParagraph"/>
            </w:pPr>
          </w:p>
        </w:tc>
        <w:tc>
          <w:tcPr>
            <w:tcW w:w="1406" w:type="dxa"/>
            <w:tcBorders>
              <w:top w:val="single" w:sz="4" w:space="0" w:color="000000"/>
              <w:bottom w:val="single" w:sz="4" w:space="0" w:color="000000"/>
            </w:tcBorders>
          </w:tcPr>
          <w:p w:rsidR="00487D64" w:rsidRDefault="006F0D93">
            <w:pPr>
              <w:pStyle w:val="TableParagraph"/>
              <w:spacing w:line="229" w:lineRule="exact"/>
              <w:ind w:right="178"/>
              <w:jc w:val="center"/>
              <w:rPr>
                <w:b/>
                <w:sz w:val="20"/>
              </w:rPr>
            </w:pPr>
            <w:r>
              <w:rPr>
                <w:b/>
                <w:spacing w:val="-2"/>
                <w:sz w:val="20"/>
              </w:rPr>
              <w:t>Cronbach's</w:t>
            </w:r>
          </w:p>
          <w:p w:rsidR="00487D64" w:rsidRDefault="006F0D93">
            <w:pPr>
              <w:pStyle w:val="TableParagraph"/>
              <w:spacing w:before="115"/>
              <w:ind w:left="9" w:right="178"/>
              <w:jc w:val="center"/>
              <w:rPr>
                <w:b/>
                <w:sz w:val="20"/>
              </w:rPr>
            </w:pPr>
            <w:r>
              <w:rPr>
                <w:b/>
                <w:spacing w:val="-2"/>
                <w:sz w:val="20"/>
              </w:rPr>
              <w:t>alpha</w:t>
            </w:r>
          </w:p>
        </w:tc>
        <w:tc>
          <w:tcPr>
            <w:tcW w:w="2073" w:type="dxa"/>
            <w:tcBorders>
              <w:top w:val="single" w:sz="4" w:space="0" w:color="000000"/>
              <w:bottom w:val="single" w:sz="4" w:space="0" w:color="000000"/>
            </w:tcBorders>
          </w:tcPr>
          <w:p w:rsidR="00487D64" w:rsidRDefault="006F0D93">
            <w:pPr>
              <w:pStyle w:val="TableParagraph"/>
              <w:spacing w:line="229" w:lineRule="exact"/>
              <w:ind w:left="53" w:right="6"/>
              <w:jc w:val="center"/>
              <w:rPr>
                <w:b/>
                <w:sz w:val="20"/>
              </w:rPr>
            </w:pPr>
            <w:r>
              <w:rPr>
                <w:b/>
                <w:spacing w:val="-2"/>
                <w:sz w:val="20"/>
              </w:rPr>
              <w:t>Composite</w:t>
            </w:r>
          </w:p>
          <w:p w:rsidR="00487D64" w:rsidRDefault="006F0D93">
            <w:pPr>
              <w:pStyle w:val="TableParagraph"/>
              <w:spacing w:before="115"/>
              <w:ind w:left="53" w:right="15"/>
              <w:jc w:val="center"/>
              <w:rPr>
                <w:b/>
                <w:sz w:val="20"/>
              </w:rPr>
            </w:pPr>
            <w:r>
              <w:rPr>
                <w:b/>
                <w:sz w:val="20"/>
              </w:rPr>
              <w:t>reliability</w:t>
            </w:r>
            <w:r>
              <w:rPr>
                <w:b/>
                <w:spacing w:val="-4"/>
                <w:sz w:val="20"/>
              </w:rPr>
              <w:t xml:space="preserve"> </w:t>
            </w:r>
            <w:r>
              <w:rPr>
                <w:b/>
                <w:spacing w:val="-2"/>
                <w:sz w:val="20"/>
              </w:rPr>
              <w:t>(rho_a)</w:t>
            </w:r>
          </w:p>
        </w:tc>
        <w:tc>
          <w:tcPr>
            <w:tcW w:w="2058" w:type="dxa"/>
            <w:tcBorders>
              <w:top w:val="single" w:sz="4" w:space="0" w:color="000000"/>
              <w:bottom w:val="single" w:sz="4" w:space="0" w:color="000000"/>
            </w:tcBorders>
          </w:tcPr>
          <w:p w:rsidR="00487D64" w:rsidRDefault="006F0D93">
            <w:pPr>
              <w:pStyle w:val="TableParagraph"/>
              <w:spacing w:line="229" w:lineRule="exact"/>
              <w:ind w:left="10" w:right="42"/>
              <w:jc w:val="center"/>
              <w:rPr>
                <w:b/>
                <w:sz w:val="20"/>
              </w:rPr>
            </w:pPr>
            <w:r>
              <w:rPr>
                <w:b/>
                <w:spacing w:val="-2"/>
                <w:sz w:val="20"/>
              </w:rPr>
              <w:t>Composite</w:t>
            </w:r>
          </w:p>
          <w:p w:rsidR="00487D64" w:rsidRDefault="006F0D93">
            <w:pPr>
              <w:pStyle w:val="TableParagraph"/>
              <w:spacing w:before="115"/>
              <w:ind w:right="42"/>
              <w:jc w:val="center"/>
              <w:rPr>
                <w:b/>
                <w:sz w:val="20"/>
              </w:rPr>
            </w:pPr>
            <w:r>
              <w:rPr>
                <w:b/>
                <w:sz w:val="20"/>
              </w:rPr>
              <w:t>reliability</w:t>
            </w:r>
            <w:r>
              <w:rPr>
                <w:b/>
                <w:spacing w:val="-4"/>
                <w:sz w:val="20"/>
              </w:rPr>
              <w:t xml:space="preserve"> </w:t>
            </w:r>
            <w:r>
              <w:rPr>
                <w:b/>
                <w:spacing w:val="-2"/>
                <w:sz w:val="20"/>
              </w:rPr>
              <w:t>(rho_c)</w:t>
            </w:r>
          </w:p>
        </w:tc>
        <w:tc>
          <w:tcPr>
            <w:tcW w:w="2119" w:type="dxa"/>
            <w:tcBorders>
              <w:top w:val="single" w:sz="4" w:space="0" w:color="000000"/>
              <w:bottom w:val="single" w:sz="4" w:space="0" w:color="000000"/>
            </w:tcBorders>
          </w:tcPr>
          <w:p w:rsidR="00487D64" w:rsidRDefault="006F0D93">
            <w:pPr>
              <w:pStyle w:val="TableParagraph"/>
              <w:spacing w:line="229" w:lineRule="exact"/>
              <w:ind w:left="292"/>
              <w:rPr>
                <w:b/>
                <w:sz w:val="20"/>
              </w:rPr>
            </w:pPr>
            <w:r>
              <w:rPr>
                <w:b/>
                <w:spacing w:val="-2"/>
                <w:sz w:val="20"/>
              </w:rPr>
              <w:t>Average</w:t>
            </w:r>
            <w:r>
              <w:rPr>
                <w:b/>
                <w:spacing w:val="1"/>
                <w:sz w:val="20"/>
              </w:rPr>
              <w:t xml:space="preserve"> </w:t>
            </w:r>
            <w:r>
              <w:rPr>
                <w:b/>
                <w:spacing w:val="-2"/>
                <w:sz w:val="20"/>
              </w:rPr>
              <w:t>variance</w:t>
            </w:r>
          </w:p>
          <w:p w:rsidR="00487D64" w:rsidRDefault="006F0D93">
            <w:pPr>
              <w:pStyle w:val="TableParagraph"/>
              <w:spacing w:before="115"/>
              <w:ind w:left="335"/>
              <w:rPr>
                <w:b/>
                <w:sz w:val="20"/>
              </w:rPr>
            </w:pPr>
            <w:r>
              <w:rPr>
                <w:b/>
                <w:sz w:val="20"/>
              </w:rPr>
              <w:t>extracted</w:t>
            </w:r>
            <w:r>
              <w:rPr>
                <w:b/>
                <w:spacing w:val="-12"/>
                <w:sz w:val="20"/>
              </w:rPr>
              <w:t xml:space="preserve"> </w:t>
            </w:r>
            <w:r>
              <w:rPr>
                <w:b/>
                <w:spacing w:val="-2"/>
                <w:sz w:val="20"/>
              </w:rPr>
              <w:t>(AVE)</w:t>
            </w:r>
          </w:p>
        </w:tc>
      </w:tr>
      <w:tr w:rsidR="00487D64">
        <w:trPr>
          <w:trHeight w:val="286"/>
        </w:trPr>
        <w:tc>
          <w:tcPr>
            <w:tcW w:w="827" w:type="dxa"/>
            <w:tcBorders>
              <w:top w:val="single" w:sz="4" w:space="0" w:color="000000"/>
            </w:tcBorders>
          </w:tcPr>
          <w:p w:rsidR="00487D64" w:rsidRDefault="006F0D93">
            <w:pPr>
              <w:pStyle w:val="TableParagraph"/>
              <w:spacing w:line="229" w:lineRule="exact"/>
              <w:ind w:left="136"/>
              <w:rPr>
                <w:b/>
                <w:sz w:val="20"/>
              </w:rPr>
            </w:pPr>
            <w:r>
              <w:rPr>
                <w:b/>
                <w:spacing w:val="-5"/>
                <w:sz w:val="20"/>
              </w:rPr>
              <w:t>CO</w:t>
            </w:r>
          </w:p>
        </w:tc>
        <w:tc>
          <w:tcPr>
            <w:tcW w:w="1406" w:type="dxa"/>
            <w:tcBorders>
              <w:top w:val="single" w:sz="4" w:space="0" w:color="000000"/>
            </w:tcBorders>
          </w:tcPr>
          <w:p w:rsidR="00487D64" w:rsidRDefault="006F0D93">
            <w:pPr>
              <w:pStyle w:val="TableParagraph"/>
              <w:spacing w:line="222" w:lineRule="exact"/>
              <w:ind w:left="390"/>
              <w:rPr>
                <w:sz w:val="20"/>
              </w:rPr>
            </w:pPr>
            <w:r>
              <w:rPr>
                <w:spacing w:val="-2"/>
                <w:sz w:val="20"/>
              </w:rPr>
              <w:t>0.930</w:t>
            </w:r>
          </w:p>
        </w:tc>
        <w:tc>
          <w:tcPr>
            <w:tcW w:w="2073" w:type="dxa"/>
            <w:tcBorders>
              <w:top w:val="single" w:sz="4" w:space="0" w:color="000000"/>
            </w:tcBorders>
          </w:tcPr>
          <w:p w:rsidR="00487D64" w:rsidRDefault="006F0D93">
            <w:pPr>
              <w:pStyle w:val="TableParagraph"/>
              <w:spacing w:line="222" w:lineRule="exact"/>
              <w:ind w:left="53"/>
              <w:jc w:val="center"/>
              <w:rPr>
                <w:sz w:val="20"/>
              </w:rPr>
            </w:pPr>
            <w:r>
              <w:rPr>
                <w:spacing w:val="-2"/>
                <w:sz w:val="20"/>
              </w:rPr>
              <w:t>0.932</w:t>
            </w:r>
          </w:p>
        </w:tc>
        <w:tc>
          <w:tcPr>
            <w:tcW w:w="2058" w:type="dxa"/>
            <w:tcBorders>
              <w:top w:val="single" w:sz="4" w:space="0" w:color="000000"/>
            </w:tcBorders>
          </w:tcPr>
          <w:p w:rsidR="00487D64" w:rsidRDefault="006F0D93">
            <w:pPr>
              <w:pStyle w:val="TableParagraph"/>
              <w:spacing w:line="222" w:lineRule="exact"/>
              <w:ind w:left="15" w:right="42"/>
              <w:jc w:val="center"/>
              <w:rPr>
                <w:sz w:val="20"/>
              </w:rPr>
            </w:pPr>
            <w:r>
              <w:rPr>
                <w:spacing w:val="-2"/>
                <w:sz w:val="20"/>
              </w:rPr>
              <w:t>0.946</w:t>
            </w:r>
          </w:p>
        </w:tc>
        <w:tc>
          <w:tcPr>
            <w:tcW w:w="2119" w:type="dxa"/>
            <w:tcBorders>
              <w:top w:val="single" w:sz="4" w:space="0" w:color="000000"/>
            </w:tcBorders>
          </w:tcPr>
          <w:p w:rsidR="00487D64" w:rsidRDefault="006F0D93">
            <w:pPr>
              <w:pStyle w:val="TableParagraph"/>
              <w:spacing w:line="222" w:lineRule="exact"/>
              <w:ind w:right="40"/>
              <w:jc w:val="center"/>
              <w:rPr>
                <w:sz w:val="20"/>
              </w:rPr>
            </w:pPr>
            <w:r>
              <w:rPr>
                <w:spacing w:val="-2"/>
                <w:sz w:val="20"/>
              </w:rPr>
              <w:t>0.746</w:t>
            </w:r>
          </w:p>
        </w:tc>
      </w:tr>
      <w:tr w:rsidR="00487D64">
        <w:trPr>
          <w:trHeight w:val="345"/>
        </w:trPr>
        <w:tc>
          <w:tcPr>
            <w:tcW w:w="827" w:type="dxa"/>
          </w:tcPr>
          <w:p w:rsidR="00487D64" w:rsidRDefault="006F0D93">
            <w:pPr>
              <w:pStyle w:val="TableParagraph"/>
              <w:spacing w:before="57"/>
              <w:ind w:left="136"/>
              <w:rPr>
                <w:b/>
                <w:sz w:val="20"/>
              </w:rPr>
            </w:pPr>
            <w:r>
              <w:rPr>
                <w:b/>
                <w:spacing w:val="-5"/>
                <w:sz w:val="20"/>
              </w:rPr>
              <w:t>CU</w:t>
            </w:r>
          </w:p>
        </w:tc>
        <w:tc>
          <w:tcPr>
            <w:tcW w:w="1406" w:type="dxa"/>
          </w:tcPr>
          <w:p w:rsidR="00487D64" w:rsidRDefault="006F0D93">
            <w:pPr>
              <w:pStyle w:val="TableParagraph"/>
              <w:spacing w:before="50"/>
              <w:ind w:left="390"/>
              <w:rPr>
                <w:sz w:val="20"/>
              </w:rPr>
            </w:pPr>
            <w:r>
              <w:rPr>
                <w:spacing w:val="-2"/>
                <w:sz w:val="20"/>
              </w:rPr>
              <w:t>0.923</w:t>
            </w:r>
          </w:p>
        </w:tc>
        <w:tc>
          <w:tcPr>
            <w:tcW w:w="2073" w:type="dxa"/>
          </w:tcPr>
          <w:p w:rsidR="00487D64" w:rsidRDefault="006F0D93">
            <w:pPr>
              <w:pStyle w:val="TableParagraph"/>
              <w:spacing w:before="50"/>
              <w:ind w:left="53"/>
              <w:jc w:val="center"/>
              <w:rPr>
                <w:sz w:val="20"/>
              </w:rPr>
            </w:pPr>
            <w:r>
              <w:rPr>
                <w:spacing w:val="-2"/>
                <w:sz w:val="20"/>
              </w:rPr>
              <w:t>0.941</w:t>
            </w:r>
          </w:p>
        </w:tc>
        <w:tc>
          <w:tcPr>
            <w:tcW w:w="2058" w:type="dxa"/>
          </w:tcPr>
          <w:p w:rsidR="00487D64" w:rsidRDefault="006F0D93">
            <w:pPr>
              <w:pStyle w:val="TableParagraph"/>
              <w:spacing w:before="50"/>
              <w:ind w:left="15" w:right="42"/>
              <w:jc w:val="center"/>
              <w:rPr>
                <w:sz w:val="20"/>
              </w:rPr>
            </w:pPr>
            <w:r>
              <w:rPr>
                <w:spacing w:val="-2"/>
                <w:sz w:val="20"/>
              </w:rPr>
              <w:t>0.940</w:t>
            </w:r>
          </w:p>
        </w:tc>
        <w:tc>
          <w:tcPr>
            <w:tcW w:w="2119" w:type="dxa"/>
          </w:tcPr>
          <w:p w:rsidR="00487D64" w:rsidRDefault="006F0D93">
            <w:pPr>
              <w:pStyle w:val="TableParagraph"/>
              <w:spacing w:before="50"/>
              <w:ind w:right="40"/>
              <w:jc w:val="center"/>
              <w:rPr>
                <w:sz w:val="20"/>
              </w:rPr>
            </w:pPr>
            <w:r>
              <w:rPr>
                <w:spacing w:val="-2"/>
                <w:sz w:val="20"/>
              </w:rPr>
              <w:t>0.725</w:t>
            </w:r>
          </w:p>
        </w:tc>
      </w:tr>
      <w:tr w:rsidR="00487D64">
        <w:trPr>
          <w:trHeight w:val="345"/>
        </w:trPr>
        <w:tc>
          <w:tcPr>
            <w:tcW w:w="827" w:type="dxa"/>
          </w:tcPr>
          <w:p w:rsidR="00487D64" w:rsidRDefault="006F0D93">
            <w:pPr>
              <w:pStyle w:val="TableParagraph"/>
              <w:spacing w:before="57"/>
              <w:ind w:left="136"/>
              <w:rPr>
                <w:b/>
                <w:sz w:val="20"/>
              </w:rPr>
            </w:pPr>
            <w:r>
              <w:rPr>
                <w:b/>
                <w:spacing w:val="-5"/>
                <w:sz w:val="20"/>
              </w:rPr>
              <w:t>FC</w:t>
            </w:r>
          </w:p>
        </w:tc>
        <w:tc>
          <w:tcPr>
            <w:tcW w:w="1406" w:type="dxa"/>
          </w:tcPr>
          <w:p w:rsidR="00487D64" w:rsidRDefault="006F0D93">
            <w:pPr>
              <w:pStyle w:val="TableParagraph"/>
              <w:spacing w:before="50"/>
              <w:ind w:left="390"/>
              <w:rPr>
                <w:sz w:val="20"/>
              </w:rPr>
            </w:pPr>
            <w:r>
              <w:rPr>
                <w:spacing w:val="-2"/>
                <w:sz w:val="20"/>
              </w:rPr>
              <w:t>0.880</w:t>
            </w:r>
          </w:p>
        </w:tc>
        <w:tc>
          <w:tcPr>
            <w:tcW w:w="2073" w:type="dxa"/>
          </w:tcPr>
          <w:p w:rsidR="00487D64" w:rsidRDefault="006F0D93">
            <w:pPr>
              <w:pStyle w:val="TableParagraph"/>
              <w:spacing w:before="50"/>
              <w:ind w:left="53"/>
              <w:jc w:val="center"/>
              <w:rPr>
                <w:sz w:val="20"/>
              </w:rPr>
            </w:pPr>
            <w:r>
              <w:rPr>
                <w:spacing w:val="-2"/>
                <w:sz w:val="20"/>
              </w:rPr>
              <w:t>0.843</w:t>
            </w:r>
          </w:p>
        </w:tc>
        <w:tc>
          <w:tcPr>
            <w:tcW w:w="2058" w:type="dxa"/>
          </w:tcPr>
          <w:p w:rsidR="00487D64" w:rsidRDefault="006F0D93">
            <w:pPr>
              <w:pStyle w:val="TableParagraph"/>
              <w:spacing w:before="50"/>
              <w:ind w:left="15" w:right="42"/>
              <w:jc w:val="center"/>
              <w:rPr>
                <w:sz w:val="20"/>
              </w:rPr>
            </w:pPr>
            <w:r>
              <w:rPr>
                <w:spacing w:val="-2"/>
                <w:sz w:val="20"/>
              </w:rPr>
              <w:t>0.907</w:t>
            </w:r>
          </w:p>
        </w:tc>
        <w:tc>
          <w:tcPr>
            <w:tcW w:w="2119" w:type="dxa"/>
          </w:tcPr>
          <w:p w:rsidR="00487D64" w:rsidRDefault="006F0D93">
            <w:pPr>
              <w:pStyle w:val="TableParagraph"/>
              <w:spacing w:before="50"/>
              <w:ind w:right="40"/>
              <w:jc w:val="center"/>
              <w:rPr>
                <w:sz w:val="20"/>
              </w:rPr>
            </w:pPr>
            <w:r>
              <w:rPr>
                <w:spacing w:val="-2"/>
                <w:sz w:val="20"/>
              </w:rPr>
              <w:t>0.664</w:t>
            </w:r>
          </w:p>
        </w:tc>
      </w:tr>
      <w:tr w:rsidR="00487D64">
        <w:trPr>
          <w:trHeight w:val="345"/>
        </w:trPr>
        <w:tc>
          <w:tcPr>
            <w:tcW w:w="827" w:type="dxa"/>
          </w:tcPr>
          <w:p w:rsidR="00487D64" w:rsidRDefault="006F0D93">
            <w:pPr>
              <w:pStyle w:val="TableParagraph"/>
              <w:spacing w:before="58"/>
              <w:ind w:left="136"/>
              <w:rPr>
                <w:b/>
                <w:sz w:val="20"/>
              </w:rPr>
            </w:pPr>
            <w:r>
              <w:rPr>
                <w:b/>
                <w:spacing w:val="-5"/>
                <w:sz w:val="20"/>
              </w:rPr>
              <w:t>SC</w:t>
            </w:r>
          </w:p>
        </w:tc>
        <w:tc>
          <w:tcPr>
            <w:tcW w:w="1406" w:type="dxa"/>
          </w:tcPr>
          <w:p w:rsidR="00487D64" w:rsidRDefault="006F0D93">
            <w:pPr>
              <w:pStyle w:val="TableParagraph"/>
              <w:spacing w:before="51"/>
              <w:ind w:left="390"/>
              <w:rPr>
                <w:sz w:val="20"/>
              </w:rPr>
            </w:pPr>
            <w:r>
              <w:rPr>
                <w:spacing w:val="-2"/>
                <w:sz w:val="20"/>
              </w:rPr>
              <w:t>0.886</w:t>
            </w:r>
          </w:p>
        </w:tc>
        <w:tc>
          <w:tcPr>
            <w:tcW w:w="2073" w:type="dxa"/>
          </w:tcPr>
          <w:p w:rsidR="00487D64" w:rsidRDefault="006F0D93">
            <w:pPr>
              <w:pStyle w:val="TableParagraph"/>
              <w:spacing w:before="51"/>
              <w:ind w:left="53"/>
              <w:jc w:val="center"/>
              <w:rPr>
                <w:sz w:val="20"/>
              </w:rPr>
            </w:pPr>
            <w:r>
              <w:rPr>
                <w:spacing w:val="-2"/>
                <w:sz w:val="20"/>
              </w:rPr>
              <w:t>0.909</w:t>
            </w:r>
          </w:p>
        </w:tc>
        <w:tc>
          <w:tcPr>
            <w:tcW w:w="2058" w:type="dxa"/>
          </w:tcPr>
          <w:p w:rsidR="00487D64" w:rsidRDefault="006F0D93">
            <w:pPr>
              <w:pStyle w:val="TableParagraph"/>
              <w:spacing w:before="51"/>
              <w:ind w:left="15" w:right="42"/>
              <w:jc w:val="center"/>
              <w:rPr>
                <w:sz w:val="20"/>
              </w:rPr>
            </w:pPr>
            <w:r>
              <w:rPr>
                <w:spacing w:val="-2"/>
                <w:sz w:val="20"/>
              </w:rPr>
              <w:t>0.917</w:t>
            </w:r>
          </w:p>
        </w:tc>
        <w:tc>
          <w:tcPr>
            <w:tcW w:w="2119" w:type="dxa"/>
          </w:tcPr>
          <w:p w:rsidR="00487D64" w:rsidRDefault="006F0D93">
            <w:pPr>
              <w:pStyle w:val="TableParagraph"/>
              <w:spacing w:before="51"/>
              <w:ind w:right="40"/>
              <w:jc w:val="center"/>
              <w:rPr>
                <w:sz w:val="20"/>
              </w:rPr>
            </w:pPr>
            <w:r>
              <w:rPr>
                <w:spacing w:val="-2"/>
                <w:sz w:val="20"/>
              </w:rPr>
              <w:t>0.691</w:t>
            </w:r>
          </w:p>
        </w:tc>
      </w:tr>
      <w:tr w:rsidR="00487D64">
        <w:trPr>
          <w:trHeight w:val="401"/>
        </w:trPr>
        <w:tc>
          <w:tcPr>
            <w:tcW w:w="827" w:type="dxa"/>
            <w:tcBorders>
              <w:bottom w:val="single" w:sz="4" w:space="0" w:color="000000"/>
            </w:tcBorders>
          </w:tcPr>
          <w:p w:rsidR="00487D64" w:rsidRDefault="006F0D93">
            <w:pPr>
              <w:pStyle w:val="TableParagraph"/>
              <w:spacing w:before="57"/>
              <w:ind w:left="136"/>
              <w:rPr>
                <w:b/>
                <w:sz w:val="20"/>
              </w:rPr>
            </w:pPr>
            <w:r>
              <w:rPr>
                <w:b/>
                <w:spacing w:val="-5"/>
                <w:sz w:val="20"/>
              </w:rPr>
              <w:t>SF</w:t>
            </w:r>
          </w:p>
        </w:tc>
        <w:tc>
          <w:tcPr>
            <w:tcW w:w="1406" w:type="dxa"/>
            <w:tcBorders>
              <w:bottom w:val="single" w:sz="4" w:space="0" w:color="000000"/>
            </w:tcBorders>
          </w:tcPr>
          <w:p w:rsidR="00487D64" w:rsidRDefault="006F0D93">
            <w:pPr>
              <w:pStyle w:val="TableParagraph"/>
              <w:spacing w:before="50"/>
              <w:ind w:left="390"/>
              <w:rPr>
                <w:sz w:val="20"/>
              </w:rPr>
            </w:pPr>
            <w:r>
              <w:rPr>
                <w:spacing w:val="-2"/>
                <w:sz w:val="20"/>
              </w:rPr>
              <w:t>0.693</w:t>
            </w:r>
          </w:p>
        </w:tc>
        <w:tc>
          <w:tcPr>
            <w:tcW w:w="2073" w:type="dxa"/>
            <w:tcBorders>
              <w:bottom w:val="single" w:sz="4" w:space="0" w:color="000000"/>
            </w:tcBorders>
          </w:tcPr>
          <w:p w:rsidR="00487D64" w:rsidRDefault="006F0D93">
            <w:pPr>
              <w:pStyle w:val="TableParagraph"/>
              <w:spacing w:before="50"/>
              <w:ind w:left="53"/>
              <w:jc w:val="center"/>
              <w:rPr>
                <w:sz w:val="20"/>
              </w:rPr>
            </w:pPr>
            <w:r>
              <w:rPr>
                <w:spacing w:val="-2"/>
                <w:sz w:val="20"/>
              </w:rPr>
              <w:t>0.817</w:t>
            </w:r>
          </w:p>
        </w:tc>
        <w:tc>
          <w:tcPr>
            <w:tcW w:w="2058" w:type="dxa"/>
            <w:tcBorders>
              <w:bottom w:val="single" w:sz="4" w:space="0" w:color="000000"/>
            </w:tcBorders>
          </w:tcPr>
          <w:p w:rsidR="00487D64" w:rsidRDefault="006F0D93">
            <w:pPr>
              <w:pStyle w:val="TableParagraph"/>
              <w:spacing w:before="50"/>
              <w:ind w:left="15" w:right="42"/>
              <w:jc w:val="center"/>
              <w:rPr>
                <w:sz w:val="20"/>
              </w:rPr>
            </w:pPr>
            <w:r>
              <w:rPr>
                <w:spacing w:val="-2"/>
                <w:sz w:val="20"/>
              </w:rPr>
              <w:t>0.827</w:t>
            </w:r>
          </w:p>
        </w:tc>
        <w:tc>
          <w:tcPr>
            <w:tcW w:w="2119" w:type="dxa"/>
            <w:tcBorders>
              <w:bottom w:val="single" w:sz="4" w:space="0" w:color="000000"/>
            </w:tcBorders>
          </w:tcPr>
          <w:p w:rsidR="00487D64" w:rsidRDefault="006F0D93">
            <w:pPr>
              <w:pStyle w:val="TableParagraph"/>
              <w:spacing w:before="50"/>
              <w:ind w:right="40"/>
              <w:jc w:val="center"/>
              <w:rPr>
                <w:sz w:val="20"/>
              </w:rPr>
            </w:pPr>
            <w:r>
              <w:rPr>
                <w:spacing w:val="-2"/>
                <w:sz w:val="20"/>
              </w:rPr>
              <w:t>0.628</w:t>
            </w:r>
          </w:p>
        </w:tc>
      </w:tr>
    </w:tbl>
    <w:p w:rsidR="00487D64" w:rsidRDefault="00487D64">
      <w:pPr>
        <w:pStyle w:val="BodyText"/>
        <w:spacing w:before="27"/>
        <w:rPr>
          <w:b/>
        </w:rPr>
      </w:pPr>
    </w:p>
    <w:p w:rsidR="00487D64" w:rsidRDefault="006F0D93">
      <w:pPr>
        <w:pStyle w:val="BodyText"/>
        <w:spacing w:line="499" w:lineRule="auto"/>
        <w:ind w:left="1419" w:right="849"/>
        <w:jc w:val="both"/>
      </w:pPr>
      <w:r>
        <w:rPr>
          <w:w w:val="105"/>
        </w:rPr>
        <w:t>The results demonstrated that Customer Orientation had a</w:t>
      </w:r>
      <w:r>
        <w:rPr>
          <w:w w:val="105"/>
        </w:rPr>
        <w:t xml:space="preserve"> Cronbach’s Alpha of 0.930</w:t>
      </w:r>
      <w:r>
        <w:rPr>
          <w:b/>
          <w:w w:val="105"/>
        </w:rPr>
        <w:t xml:space="preserve">, </w:t>
      </w:r>
      <w:r>
        <w:rPr>
          <w:w w:val="105"/>
        </w:rPr>
        <w:t>rho_A of 0.932</w:t>
      </w:r>
      <w:r>
        <w:rPr>
          <w:b/>
          <w:w w:val="105"/>
        </w:rPr>
        <w:t xml:space="preserve">, </w:t>
      </w:r>
      <w:r>
        <w:rPr>
          <w:w w:val="105"/>
        </w:rPr>
        <w:t>and CR of 0.946</w:t>
      </w:r>
      <w:r>
        <w:rPr>
          <w:b/>
          <w:w w:val="105"/>
        </w:rPr>
        <w:t xml:space="preserve">. </w:t>
      </w:r>
      <w:r>
        <w:rPr>
          <w:w w:val="105"/>
        </w:rPr>
        <w:t>The AVE was 0.746</w:t>
      </w:r>
      <w:r>
        <w:rPr>
          <w:b/>
          <w:w w:val="105"/>
        </w:rPr>
        <w:t xml:space="preserve">, </w:t>
      </w:r>
      <w:r>
        <w:rPr>
          <w:w w:val="105"/>
        </w:rPr>
        <w:t>indicating that the construct</w:t>
      </w:r>
      <w:r>
        <w:rPr>
          <w:spacing w:val="69"/>
          <w:w w:val="105"/>
        </w:rPr>
        <w:t xml:space="preserve"> </w:t>
      </w:r>
      <w:r>
        <w:rPr>
          <w:w w:val="105"/>
        </w:rPr>
        <w:t>had</w:t>
      </w:r>
      <w:r>
        <w:rPr>
          <w:spacing w:val="67"/>
          <w:w w:val="105"/>
        </w:rPr>
        <w:t xml:space="preserve"> </w:t>
      </w:r>
      <w:r>
        <w:rPr>
          <w:w w:val="105"/>
        </w:rPr>
        <w:t>excellent</w:t>
      </w:r>
      <w:r>
        <w:rPr>
          <w:spacing w:val="69"/>
          <w:w w:val="105"/>
        </w:rPr>
        <w:t xml:space="preserve"> </w:t>
      </w:r>
      <w:r>
        <w:rPr>
          <w:w w:val="105"/>
        </w:rPr>
        <w:t>internal</w:t>
      </w:r>
      <w:r>
        <w:rPr>
          <w:spacing w:val="75"/>
          <w:w w:val="105"/>
        </w:rPr>
        <w:t xml:space="preserve"> </w:t>
      </w:r>
      <w:r>
        <w:rPr>
          <w:w w:val="105"/>
        </w:rPr>
        <w:t>consistency</w:t>
      </w:r>
      <w:r>
        <w:rPr>
          <w:spacing w:val="66"/>
          <w:w w:val="105"/>
        </w:rPr>
        <w:t xml:space="preserve"> </w:t>
      </w:r>
      <w:r>
        <w:rPr>
          <w:w w:val="105"/>
        </w:rPr>
        <w:t>and</w:t>
      </w:r>
      <w:r>
        <w:rPr>
          <w:spacing w:val="67"/>
          <w:w w:val="105"/>
        </w:rPr>
        <w:t xml:space="preserve"> </w:t>
      </w:r>
      <w:r>
        <w:rPr>
          <w:w w:val="105"/>
        </w:rPr>
        <w:t>convergent</w:t>
      </w:r>
      <w:r>
        <w:rPr>
          <w:spacing w:val="69"/>
          <w:w w:val="105"/>
        </w:rPr>
        <w:t xml:space="preserve"> </w:t>
      </w:r>
      <w:r>
        <w:rPr>
          <w:w w:val="105"/>
        </w:rPr>
        <w:t>validity.</w:t>
      </w:r>
      <w:r>
        <w:rPr>
          <w:spacing w:val="68"/>
          <w:w w:val="105"/>
        </w:rPr>
        <w:t xml:space="preserve"> </w:t>
      </w:r>
      <w:r>
        <w:rPr>
          <w:w w:val="105"/>
        </w:rPr>
        <w:t>Similarly,</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49"/>
        <w:jc w:val="both"/>
      </w:pPr>
      <w:r>
        <w:rPr>
          <w:w w:val="105"/>
        </w:rPr>
        <w:t>Competitor Orientation showed strong</w:t>
      </w:r>
      <w:r>
        <w:rPr>
          <w:spacing w:val="-1"/>
          <w:w w:val="105"/>
        </w:rPr>
        <w:t xml:space="preserve"> </w:t>
      </w:r>
      <w:r>
        <w:rPr>
          <w:w w:val="105"/>
        </w:rPr>
        <w:t>reliability with</w:t>
      </w:r>
      <w:r>
        <w:rPr>
          <w:spacing w:val="-1"/>
          <w:w w:val="105"/>
        </w:rPr>
        <w:t xml:space="preserve"> </w:t>
      </w:r>
      <w:r>
        <w:rPr>
          <w:w w:val="105"/>
        </w:rPr>
        <w:t>a Cronbach’s Alpha of 0.923</w:t>
      </w:r>
      <w:r>
        <w:rPr>
          <w:b/>
          <w:w w:val="105"/>
        </w:rPr>
        <w:t xml:space="preserve">, </w:t>
      </w:r>
      <w:r>
        <w:rPr>
          <w:w w:val="105"/>
        </w:rPr>
        <w:t>rho_A of 0.941</w:t>
      </w:r>
      <w:r>
        <w:rPr>
          <w:b/>
          <w:w w:val="105"/>
        </w:rPr>
        <w:t xml:space="preserve">, </w:t>
      </w:r>
      <w:r>
        <w:rPr>
          <w:w w:val="105"/>
        </w:rPr>
        <w:t>CR of 0.940, and AVE of 0.725, confirming that the construct was both reliable and valid (Hair et al., 2019).</w:t>
      </w:r>
    </w:p>
    <w:p w:rsidR="00487D64" w:rsidRDefault="006F0D93">
      <w:pPr>
        <w:pStyle w:val="BodyText"/>
        <w:spacing w:before="245" w:line="501" w:lineRule="auto"/>
        <w:ind w:left="1419" w:right="848"/>
        <w:jc w:val="both"/>
      </w:pPr>
      <w:r>
        <w:rPr>
          <w:w w:val="105"/>
        </w:rPr>
        <w:t>Functional Coordination demonstrated strong internal consistency, reliability, and convergent validi</w:t>
      </w:r>
      <w:r>
        <w:rPr>
          <w:w w:val="105"/>
        </w:rPr>
        <w:t>ty. The construct showed a Cronbach’s Alpha of 0.880</w:t>
      </w:r>
      <w:r>
        <w:rPr>
          <w:b/>
          <w:w w:val="105"/>
        </w:rPr>
        <w:t xml:space="preserve">, </w:t>
      </w:r>
      <w:r>
        <w:rPr>
          <w:w w:val="105"/>
        </w:rPr>
        <w:t>exceeding the recommended threshold of 0.70, indicating a reliable measurement of the underlying concept. The Composite Reliability (CR) of 0.907 confirms excellent internal consistency among the indica</w:t>
      </w:r>
      <w:r>
        <w:rPr>
          <w:w w:val="105"/>
        </w:rPr>
        <w:t>tors. Furthermore, the Average Variance Extracted (AVE) of 0.664 surpasses the 0.50 benchmark, providing evidence of adequate convergent validity. The rho_A</w:t>
      </w:r>
      <w:r>
        <w:rPr>
          <w:spacing w:val="-2"/>
          <w:w w:val="105"/>
        </w:rPr>
        <w:t xml:space="preserve"> </w:t>
      </w:r>
      <w:r>
        <w:rPr>
          <w:w w:val="105"/>
        </w:rPr>
        <w:t>value</w:t>
      </w:r>
      <w:r>
        <w:rPr>
          <w:spacing w:val="-1"/>
          <w:w w:val="105"/>
        </w:rPr>
        <w:t xml:space="preserve"> </w:t>
      </w:r>
      <w:r>
        <w:rPr>
          <w:w w:val="105"/>
        </w:rPr>
        <w:t>of</w:t>
      </w:r>
      <w:r>
        <w:rPr>
          <w:spacing w:val="-2"/>
          <w:w w:val="105"/>
        </w:rPr>
        <w:t xml:space="preserve"> </w:t>
      </w:r>
      <w:r>
        <w:rPr>
          <w:w w:val="105"/>
        </w:rPr>
        <w:t>0.843</w:t>
      </w:r>
      <w:r>
        <w:rPr>
          <w:b/>
          <w:w w:val="105"/>
        </w:rPr>
        <w:t>,</w:t>
      </w:r>
      <w:r>
        <w:rPr>
          <w:b/>
          <w:spacing w:val="-4"/>
          <w:w w:val="105"/>
        </w:rPr>
        <w:t xml:space="preserve"> </w:t>
      </w:r>
      <w:r>
        <w:rPr>
          <w:w w:val="105"/>
        </w:rPr>
        <w:t>as</w:t>
      </w:r>
      <w:r>
        <w:rPr>
          <w:spacing w:val="-8"/>
          <w:w w:val="105"/>
        </w:rPr>
        <w:t xml:space="preserve"> </w:t>
      </w:r>
      <w:r>
        <w:rPr>
          <w:w w:val="105"/>
        </w:rPr>
        <w:t>recommended by</w:t>
      </w:r>
      <w:r>
        <w:rPr>
          <w:spacing w:val="-6"/>
          <w:w w:val="105"/>
        </w:rPr>
        <w:t xml:space="preserve"> </w:t>
      </w:r>
      <w:r>
        <w:rPr>
          <w:w w:val="105"/>
        </w:rPr>
        <w:t>Hair et al. (2020), further supports the construct’s</w:t>
      </w:r>
      <w:r>
        <w:rPr>
          <w:spacing w:val="-1"/>
          <w:w w:val="105"/>
        </w:rPr>
        <w:t xml:space="preserve"> </w:t>
      </w:r>
      <w:r>
        <w:rPr>
          <w:w w:val="105"/>
        </w:rPr>
        <w:t xml:space="preserve">reliability </w:t>
      </w:r>
      <w:r>
        <w:rPr>
          <w:w w:val="105"/>
        </w:rPr>
        <w:t>in the context of PLS-SEM.</w:t>
      </w:r>
    </w:p>
    <w:p w:rsidR="00487D64" w:rsidRDefault="006F0D93">
      <w:pPr>
        <w:pStyle w:val="BodyText"/>
        <w:spacing w:before="238" w:line="501" w:lineRule="auto"/>
        <w:ind w:left="1419" w:right="852"/>
        <w:jc w:val="both"/>
      </w:pPr>
      <w:r>
        <w:rPr>
          <w:w w:val="105"/>
        </w:rPr>
        <w:t>For the endogenous variable, Sustainable Competitiveness, the results revealed a Cronbach’s Alpha of 0.886</w:t>
      </w:r>
      <w:r>
        <w:rPr>
          <w:b/>
          <w:w w:val="105"/>
        </w:rPr>
        <w:t xml:space="preserve">, </w:t>
      </w:r>
      <w:r>
        <w:rPr>
          <w:w w:val="105"/>
        </w:rPr>
        <w:t>rho_A of 0.909</w:t>
      </w:r>
      <w:r>
        <w:rPr>
          <w:b/>
          <w:w w:val="105"/>
        </w:rPr>
        <w:t xml:space="preserve">, </w:t>
      </w:r>
      <w:r>
        <w:rPr>
          <w:w w:val="105"/>
        </w:rPr>
        <w:t>CR of 0.917</w:t>
      </w:r>
      <w:r>
        <w:rPr>
          <w:b/>
          <w:w w:val="105"/>
        </w:rPr>
        <w:t xml:space="preserve">, </w:t>
      </w:r>
      <w:r>
        <w:rPr>
          <w:w w:val="105"/>
        </w:rPr>
        <w:t xml:space="preserve">and AVE of 0.691, all of which are above the recommended thresholds. This confirms that the </w:t>
      </w:r>
      <w:r>
        <w:rPr>
          <w:w w:val="105"/>
        </w:rPr>
        <w:t>construct is measured both reliably and validly in the context of this study.</w:t>
      </w:r>
    </w:p>
    <w:p w:rsidR="00487D64" w:rsidRDefault="006F0D93">
      <w:pPr>
        <w:pStyle w:val="BodyText"/>
        <w:spacing w:before="238" w:line="501" w:lineRule="auto"/>
        <w:ind w:left="1419" w:right="846"/>
        <w:jc w:val="both"/>
      </w:pPr>
      <w:r>
        <w:rPr>
          <w:w w:val="105"/>
        </w:rPr>
        <w:t>Lastly, the moderating</w:t>
      </w:r>
      <w:r>
        <w:rPr>
          <w:spacing w:val="-1"/>
          <w:w w:val="105"/>
        </w:rPr>
        <w:t xml:space="preserve"> </w:t>
      </w:r>
      <w:r>
        <w:rPr>
          <w:w w:val="105"/>
        </w:rPr>
        <w:t>construct, Strategic</w:t>
      </w:r>
      <w:r>
        <w:rPr>
          <w:spacing w:val="-1"/>
          <w:w w:val="105"/>
        </w:rPr>
        <w:t xml:space="preserve"> </w:t>
      </w:r>
      <w:r>
        <w:rPr>
          <w:w w:val="105"/>
        </w:rPr>
        <w:t>Flexibility, exhibited</w:t>
      </w:r>
      <w:r>
        <w:rPr>
          <w:spacing w:val="-7"/>
          <w:w w:val="105"/>
        </w:rPr>
        <w:t xml:space="preserve"> </w:t>
      </w:r>
      <w:r>
        <w:rPr>
          <w:w w:val="105"/>
        </w:rPr>
        <w:t>a Cronbach’s</w:t>
      </w:r>
      <w:r>
        <w:rPr>
          <w:spacing w:val="-2"/>
          <w:w w:val="105"/>
        </w:rPr>
        <w:t xml:space="preserve"> </w:t>
      </w:r>
      <w:r>
        <w:rPr>
          <w:w w:val="105"/>
        </w:rPr>
        <w:t>Alpha of 0.693, which is marginally below the conventional 0.70 threshold. However, according to C</w:t>
      </w:r>
      <w:r>
        <w:rPr>
          <w:w w:val="105"/>
        </w:rPr>
        <w:t>ortina (1993)</w:t>
      </w:r>
      <w:r>
        <w:rPr>
          <w:b/>
          <w:w w:val="105"/>
        </w:rPr>
        <w:t xml:space="preserve">, </w:t>
      </w:r>
      <w:r>
        <w:rPr>
          <w:w w:val="105"/>
        </w:rPr>
        <w:t>Cronbach’s Alpha values between 0.60 and 0.70 can still be considered acceptable in social science research, especially when the construct is measured with a small number of items or when the scale is new. Furthermore,</w:t>
      </w:r>
      <w:r>
        <w:rPr>
          <w:spacing w:val="-3"/>
          <w:w w:val="105"/>
        </w:rPr>
        <w:t xml:space="preserve"> </w:t>
      </w:r>
      <w:r>
        <w:rPr>
          <w:w w:val="105"/>
        </w:rPr>
        <w:t>complementary</w:t>
      </w:r>
      <w:r>
        <w:rPr>
          <w:spacing w:val="-11"/>
          <w:w w:val="105"/>
        </w:rPr>
        <w:t xml:space="preserve"> </w:t>
      </w:r>
      <w:r>
        <w:rPr>
          <w:w w:val="105"/>
        </w:rPr>
        <w:t>reliabil</w:t>
      </w:r>
      <w:r>
        <w:rPr>
          <w:w w:val="105"/>
        </w:rPr>
        <w:t>ity</w:t>
      </w:r>
      <w:r>
        <w:rPr>
          <w:spacing w:val="-11"/>
          <w:w w:val="105"/>
        </w:rPr>
        <w:t xml:space="preserve"> </w:t>
      </w:r>
      <w:r>
        <w:rPr>
          <w:w w:val="105"/>
        </w:rPr>
        <w:t>indicators</w:t>
      </w:r>
      <w:r>
        <w:rPr>
          <w:spacing w:val="-6"/>
          <w:w w:val="105"/>
        </w:rPr>
        <w:t xml:space="preserve"> </w:t>
      </w:r>
      <w:r>
        <w:rPr>
          <w:w w:val="105"/>
        </w:rPr>
        <w:t>support</w:t>
      </w:r>
      <w:r>
        <w:rPr>
          <w:spacing w:val="-9"/>
          <w:w w:val="105"/>
        </w:rPr>
        <w:t xml:space="preserve"> </w:t>
      </w:r>
      <w:r>
        <w:rPr>
          <w:w w:val="105"/>
        </w:rPr>
        <w:t>the</w:t>
      </w:r>
      <w:r>
        <w:rPr>
          <w:spacing w:val="-6"/>
          <w:w w:val="105"/>
        </w:rPr>
        <w:t xml:space="preserve"> </w:t>
      </w:r>
      <w:r>
        <w:rPr>
          <w:w w:val="105"/>
        </w:rPr>
        <w:t>construct’s</w:t>
      </w:r>
      <w:r>
        <w:rPr>
          <w:spacing w:val="-12"/>
          <w:w w:val="105"/>
        </w:rPr>
        <w:t xml:space="preserve"> </w:t>
      </w:r>
      <w:r>
        <w:rPr>
          <w:w w:val="105"/>
        </w:rPr>
        <w:t>robustness, with</w:t>
      </w:r>
      <w:r>
        <w:rPr>
          <w:spacing w:val="61"/>
          <w:w w:val="105"/>
        </w:rPr>
        <w:t xml:space="preserve"> </w:t>
      </w:r>
      <w:r>
        <w:rPr>
          <w:w w:val="105"/>
        </w:rPr>
        <w:t>a</w:t>
      </w:r>
      <w:r>
        <w:rPr>
          <w:spacing w:val="66"/>
          <w:w w:val="105"/>
        </w:rPr>
        <w:t xml:space="preserve"> </w:t>
      </w:r>
      <w:r>
        <w:rPr>
          <w:w w:val="105"/>
        </w:rPr>
        <w:t>rho_A</w:t>
      </w:r>
      <w:r>
        <w:rPr>
          <w:spacing w:val="65"/>
          <w:w w:val="105"/>
        </w:rPr>
        <w:t xml:space="preserve"> </w:t>
      </w:r>
      <w:r>
        <w:rPr>
          <w:w w:val="105"/>
        </w:rPr>
        <w:t>of</w:t>
      </w:r>
      <w:r>
        <w:rPr>
          <w:spacing w:val="58"/>
          <w:w w:val="105"/>
        </w:rPr>
        <w:t xml:space="preserve"> </w:t>
      </w:r>
      <w:r>
        <w:rPr>
          <w:w w:val="105"/>
        </w:rPr>
        <w:t>0.817,</w:t>
      </w:r>
      <w:r>
        <w:rPr>
          <w:spacing w:val="62"/>
          <w:w w:val="105"/>
        </w:rPr>
        <w:t xml:space="preserve"> </w:t>
      </w:r>
      <w:r>
        <w:rPr>
          <w:w w:val="105"/>
        </w:rPr>
        <w:t>Composite</w:t>
      </w:r>
      <w:r>
        <w:rPr>
          <w:spacing w:val="60"/>
          <w:w w:val="105"/>
        </w:rPr>
        <w:t xml:space="preserve"> </w:t>
      </w:r>
      <w:r>
        <w:rPr>
          <w:w w:val="105"/>
        </w:rPr>
        <w:t>Reliability</w:t>
      </w:r>
      <w:r>
        <w:rPr>
          <w:spacing w:val="61"/>
          <w:w w:val="105"/>
        </w:rPr>
        <w:t xml:space="preserve"> </w:t>
      </w:r>
      <w:r>
        <w:rPr>
          <w:w w:val="105"/>
        </w:rPr>
        <w:t>(CR)</w:t>
      </w:r>
      <w:r>
        <w:rPr>
          <w:spacing w:val="71"/>
          <w:w w:val="105"/>
        </w:rPr>
        <w:t xml:space="preserve"> </w:t>
      </w:r>
      <w:r>
        <w:rPr>
          <w:w w:val="105"/>
        </w:rPr>
        <w:t>of</w:t>
      </w:r>
      <w:r>
        <w:rPr>
          <w:spacing w:val="58"/>
          <w:w w:val="105"/>
        </w:rPr>
        <w:t xml:space="preserve"> </w:t>
      </w:r>
      <w:r>
        <w:rPr>
          <w:w w:val="105"/>
        </w:rPr>
        <w:t>0.827,</w:t>
      </w:r>
      <w:r>
        <w:rPr>
          <w:spacing w:val="62"/>
          <w:w w:val="105"/>
        </w:rPr>
        <w:t xml:space="preserve"> </w:t>
      </w:r>
      <w:r>
        <w:rPr>
          <w:w w:val="105"/>
        </w:rPr>
        <w:t>and</w:t>
      </w:r>
      <w:r>
        <w:rPr>
          <w:spacing w:val="61"/>
          <w:w w:val="105"/>
        </w:rPr>
        <w:t xml:space="preserve"> </w:t>
      </w:r>
      <w:r>
        <w:rPr>
          <w:w w:val="105"/>
        </w:rPr>
        <w:t>an</w:t>
      </w:r>
      <w:r>
        <w:rPr>
          <w:spacing w:val="67"/>
          <w:w w:val="105"/>
        </w:rPr>
        <w:t xml:space="preserve"> </w:t>
      </w:r>
      <w:r>
        <w:rPr>
          <w:w w:val="105"/>
        </w:rPr>
        <w:t>Average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62"/>
        <w:jc w:val="both"/>
      </w:pPr>
      <w:r>
        <w:rPr>
          <w:w w:val="105"/>
        </w:rPr>
        <w:t>Variance Extracted (AVE) of 0.628, collectively demonstrating satisfactory internal consistency and convergent validity (Hair et al., 2019).</w:t>
      </w:r>
    </w:p>
    <w:p w:rsidR="00487D64" w:rsidRDefault="00487D64">
      <w:pPr>
        <w:pStyle w:val="BodyText"/>
      </w:pPr>
    </w:p>
    <w:p w:rsidR="00487D64" w:rsidRDefault="00487D64">
      <w:pPr>
        <w:pStyle w:val="BodyText"/>
        <w:spacing w:before="25"/>
      </w:pPr>
    </w:p>
    <w:p w:rsidR="00487D64" w:rsidRDefault="006F0D93">
      <w:pPr>
        <w:pStyle w:val="ListParagraph"/>
        <w:numPr>
          <w:ilvl w:val="2"/>
          <w:numId w:val="9"/>
        </w:numPr>
        <w:tabs>
          <w:tab w:val="left" w:pos="2860"/>
        </w:tabs>
        <w:rPr>
          <w:b/>
          <w:sz w:val="23"/>
        </w:rPr>
      </w:pPr>
      <w:bookmarkStart w:id="158" w:name="4.5.3____Discriminant_Validity"/>
      <w:bookmarkStart w:id="159" w:name="_bookmark78"/>
      <w:bookmarkEnd w:id="158"/>
      <w:bookmarkEnd w:id="159"/>
      <w:r>
        <w:rPr>
          <w:b/>
          <w:sz w:val="23"/>
        </w:rPr>
        <w:t>Discriminant</w:t>
      </w:r>
      <w:r>
        <w:rPr>
          <w:b/>
          <w:spacing w:val="45"/>
          <w:sz w:val="23"/>
        </w:rPr>
        <w:t xml:space="preserve"> </w:t>
      </w:r>
      <w:r>
        <w:rPr>
          <w:b/>
          <w:spacing w:val="-2"/>
          <w:sz w:val="23"/>
        </w:rPr>
        <w:t>Validity</w:t>
      </w:r>
    </w:p>
    <w:p w:rsidR="00487D64" w:rsidRDefault="00487D64">
      <w:pPr>
        <w:pStyle w:val="BodyText"/>
        <w:spacing w:before="25"/>
        <w:rPr>
          <w:b/>
        </w:rPr>
      </w:pPr>
    </w:p>
    <w:p w:rsidR="00487D64" w:rsidRDefault="006F0D93">
      <w:pPr>
        <w:pStyle w:val="ListParagraph"/>
        <w:numPr>
          <w:ilvl w:val="3"/>
          <w:numId w:val="9"/>
        </w:numPr>
        <w:tabs>
          <w:tab w:val="left" w:pos="2860"/>
        </w:tabs>
        <w:rPr>
          <w:b/>
          <w:sz w:val="23"/>
        </w:rPr>
      </w:pPr>
      <w:bookmarkStart w:id="160" w:name="4.5.3.1__Heterotrait-Monotrait_Ratio"/>
      <w:bookmarkEnd w:id="160"/>
      <w:r>
        <w:rPr>
          <w:b/>
          <w:spacing w:val="2"/>
          <w:sz w:val="23"/>
        </w:rPr>
        <w:t>Heterotrait-Monotrait</w:t>
      </w:r>
      <w:r>
        <w:rPr>
          <w:b/>
          <w:spacing w:val="35"/>
          <w:sz w:val="23"/>
        </w:rPr>
        <w:t xml:space="preserve"> </w:t>
      </w:r>
      <w:r>
        <w:rPr>
          <w:b/>
          <w:spacing w:val="-4"/>
          <w:sz w:val="23"/>
        </w:rPr>
        <w:t>Ratio</w:t>
      </w:r>
    </w:p>
    <w:p w:rsidR="00487D64" w:rsidRDefault="00487D64">
      <w:pPr>
        <w:pStyle w:val="BodyText"/>
        <w:spacing w:before="12"/>
        <w:rPr>
          <w:b/>
        </w:rPr>
      </w:pPr>
    </w:p>
    <w:p w:rsidR="00487D64" w:rsidRDefault="006F0D93">
      <w:pPr>
        <w:pStyle w:val="BodyText"/>
        <w:spacing w:line="501" w:lineRule="auto"/>
        <w:ind w:left="1419" w:right="850"/>
        <w:jc w:val="both"/>
      </w:pPr>
      <w:r>
        <w:rPr>
          <w:w w:val="105"/>
        </w:rPr>
        <w:t>The Heterotrait-Monotrait (HTMT) ratio was used to assess</w:t>
      </w:r>
      <w:r>
        <w:rPr>
          <w:w w:val="105"/>
        </w:rPr>
        <w:t xml:space="preserve"> discriminant validity among the study constructs. The results show that the HTMT values for most construct pairs were well below the conservative threshold of 0.85, indicating satisfactory discriminant validity. Specifically, Customer Orientation (CO) and</w:t>
      </w:r>
      <w:r>
        <w:rPr>
          <w:w w:val="105"/>
        </w:rPr>
        <w:t xml:space="preserve"> Customer Understanding</w:t>
      </w:r>
      <w:r>
        <w:rPr>
          <w:spacing w:val="-1"/>
          <w:w w:val="105"/>
        </w:rPr>
        <w:t xml:space="preserve"> </w:t>
      </w:r>
      <w:r>
        <w:rPr>
          <w:w w:val="105"/>
        </w:rPr>
        <w:t>(CU) exhibited</w:t>
      </w:r>
      <w:r>
        <w:rPr>
          <w:spacing w:val="-1"/>
          <w:w w:val="105"/>
        </w:rPr>
        <w:t xml:space="preserve"> </w:t>
      </w:r>
      <w:r>
        <w:rPr>
          <w:w w:val="105"/>
        </w:rPr>
        <w:t>a very</w:t>
      </w:r>
      <w:r>
        <w:rPr>
          <w:spacing w:val="-1"/>
          <w:w w:val="105"/>
        </w:rPr>
        <w:t xml:space="preserve"> </w:t>
      </w:r>
      <w:r>
        <w:rPr>
          <w:w w:val="105"/>
        </w:rPr>
        <w:t>low correlation</w:t>
      </w:r>
      <w:r>
        <w:rPr>
          <w:spacing w:val="-1"/>
          <w:w w:val="105"/>
        </w:rPr>
        <w:t xml:space="preserve"> </w:t>
      </w:r>
      <w:r>
        <w:rPr>
          <w:w w:val="105"/>
        </w:rPr>
        <w:t>(HTMT =</w:t>
      </w:r>
      <w:r>
        <w:rPr>
          <w:spacing w:val="-2"/>
          <w:w w:val="105"/>
        </w:rPr>
        <w:t xml:space="preserve"> </w:t>
      </w:r>
      <w:r>
        <w:rPr>
          <w:w w:val="105"/>
        </w:rPr>
        <w:t>0.176), as did</w:t>
      </w:r>
      <w:r>
        <w:rPr>
          <w:spacing w:val="-6"/>
          <w:w w:val="105"/>
        </w:rPr>
        <w:t xml:space="preserve"> </w:t>
      </w:r>
      <w:r>
        <w:rPr>
          <w:w w:val="105"/>
        </w:rPr>
        <w:t>Functional Coordination</w:t>
      </w:r>
      <w:r>
        <w:rPr>
          <w:spacing w:val="-6"/>
          <w:w w:val="105"/>
        </w:rPr>
        <w:t xml:space="preserve"> </w:t>
      </w:r>
      <w:r>
        <w:rPr>
          <w:w w:val="105"/>
        </w:rPr>
        <w:t>(FC) with both</w:t>
      </w:r>
      <w:r>
        <w:rPr>
          <w:spacing w:val="-6"/>
          <w:w w:val="105"/>
        </w:rPr>
        <w:t xml:space="preserve"> </w:t>
      </w:r>
      <w:r>
        <w:rPr>
          <w:w w:val="105"/>
        </w:rPr>
        <w:t>CO (0.061)</w:t>
      </w:r>
      <w:r>
        <w:rPr>
          <w:spacing w:val="-2"/>
          <w:w w:val="105"/>
        </w:rPr>
        <w:t xml:space="preserve"> </w:t>
      </w:r>
      <w:r>
        <w:rPr>
          <w:w w:val="105"/>
        </w:rPr>
        <w:t>and CU</w:t>
      </w:r>
      <w:r>
        <w:rPr>
          <w:spacing w:val="-8"/>
          <w:w w:val="105"/>
        </w:rPr>
        <w:t xml:space="preserve"> </w:t>
      </w:r>
      <w:r>
        <w:rPr>
          <w:w w:val="105"/>
        </w:rPr>
        <w:t>(0.071).</w:t>
      </w:r>
      <w:r>
        <w:rPr>
          <w:spacing w:val="-4"/>
          <w:w w:val="105"/>
        </w:rPr>
        <w:t xml:space="preserve"> </w:t>
      </w:r>
      <w:r>
        <w:rPr>
          <w:w w:val="105"/>
        </w:rPr>
        <w:t>Sustainable Competitiveness</w:t>
      </w:r>
      <w:r>
        <w:rPr>
          <w:spacing w:val="-9"/>
          <w:w w:val="105"/>
        </w:rPr>
        <w:t xml:space="preserve"> </w:t>
      </w:r>
      <w:r>
        <w:rPr>
          <w:w w:val="105"/>
        </w:rPr>
        <w:t>(SC) showed low</w:t>
      </w:r>
      <w:r>
        <w:rPr>
          <w:spacing w:val="-2"/>
          <w:w w:val="105"/>
        </w:rPr>
        <w:t xml:space="preserve"> </w:t>
      </w:r>
      <w:r>
        <w:rPr>
          <w:w w:val="105"/>
        </w:rPr>
        <w:t>correlations</w:t>
      </w:r>
      <w:r>
        <w:rPr>
          <w:spacing w:val="-2"/>
          <w:w w:val="105"/>
        </w:rPr>
        <w:t xml:space="preserve"> </w:t>
      </w:r>
      <w:r>
        <w:rPr>
          <w:w w:val="105"/>
        </w:rPr>
        <w:t>with</w:t>
      </w:r>
      <w:r>
        <w:rPr>
          <w:spacing w:val="-7"/>
          <w:w w:val="105"/>
        </w:rPr>
        <w:t xml:space="preserve"> </w:t>
      </w:r>
      <w:r>
        <w:rPr>
          <w:w w:val="105"/>
        </w:rPr>
        <w:t>CO</w:t>
      </w:r>
      <w:r>
        <w:rPr>
          <w:spacing w:val="-2"/>
          <w:w w:val="105"/>
        </w:rPr>
        <w:t xml:space="preserve"> </w:t>
      </w:r>
      <w:r>
        <w:rPr>
          <w:w w:val="105"/>
        </w:rPr>
        <w:t>(0.377)</w:t>
      </w:r>
      <w:r>
        <w:rPr>
          <w:spacing w:val="-9"/>
          <w:w w:val="105"/>
        </w:rPr>
        <w:t xml:space="preserve"> </w:t>
      </w:r>
      <w:r>
        <w:rPr>
          <w:w w:val="105"/>
        </w:rPr>
        <w:t>and</w:t>
      </w:r>
      <w:r>
        <w:rPr>
          <w:spacing w:val="-7"/>
          <w:w w:val="105"/>
        </w:rPr>
        <w:t xml:space="preserve"> </w:t>
      </w:r>
      <w:r>
        <w:rPr>
          <w:w w:val="105"/>
        </w:rPr>
        <w:t>CU</w:t>
      </w:r>
      <w:r>
        <w:rPr>
          <w:spacing w:val="-9"/>
          <w:w w:val="105"/>
        </w:rPr>
        <w:t xml:space="preserve"> </w:t>
      </w:r>
      <w:r>
        <w:rPr>
          <w:w w:val="105"/>
        </w:rPr>
        <w:t>(0.396),</w:t>
      </w:r>
      <w:r>
        <w:rPr>
          <w:spacing w:val="-11"/>
          <w:w w:val="105"/>
        </w:rPr>
        <w:t xml:space="preserve"> </w:t>
      </w:r>
      <w:r>
        <w:rPr>
          <w:w w:val="105"/>
        </w:rPr>
        <w:t>and a very low</w:t>
      </w:r>
      <w:r>
        <w:rPr>
          <w:w w:val="105"/>
        </w:rPr>
        <w:t xml:space="preserve"> correlation with FC (0.093). Similarly, Strategic Flexibility (SF) demonstrated very low correlations with CO (0.124), CU (0.228), and FC (0.069), suggesting</w:t>
      </w:r>
      <w:r>
        <w:rPr>
          <w:spacing w:val="-1"/>
          <w:w w:val="105"/>
        </w:rPr>
        <w:t xml:space="preserve"> </w:t>
      </w:r>
      <w:r>
        <w:rPr>
          <w:w w:val="105"/>
        </w:rPr>
        <w:t>strong discriminant validity</w:t>
      </w:r>
      <w:r>
        <w:rPr>
          <w:spacing w:val="-1"/>
          <w:w w:val="105"/>
        </w:rPr>
        <w:t xml:space="preserve"> </w:t>
      </w:r>
      <w:r>
        <w:rPr>
          <w:w w:val="105"/>
        </w:rPr>
        <w:t>across</w:t>
      </w:r>
      <w:r>
        <w:rPr>
          <w:spacing w:val="-3"/>
          <w:w w:val="105"/>
        </w:rPr>
        <w:t xml:space="preserve"> </w:t>
      </w:r>
      <w:r>
        <w:rPr>
          <w:w w:val="105"/>
        </w:rPr>
        <w:t>these</w:t>
      </w:r>
      <w:r>
        <w:rPr>
          <w:spacing w:val="-2"/>
          <w:w w:val="105"/>
        </w:rPr>
        <w:t xml:space="preserve"> </w:t>
      </w:r>
      <w:r>
        <w:rPr>
          <w:w w:val="105"/>
        </w:rPr>
        <w:t>constructs. However, the</w:t>
      </w:r>
      <w:r>
        <w:rPr>
          <w:spacing w:val="-8"/>
          <w:w w:val="105"/>
        </w:rPr>
        <w:t xml:space="preserve"> </w:t>
      </w:r>
      <w:r>
        <w:rPr>
          <w:w w:val="105"/>
        </w:rPr>
        <w:t>HTMT value between SF and SC w</w:t>
      </w:r>
      <w:r>
        <w:rPr>
          <w:w w:val="105"/>
        </w:rPr>
        <w:t>as 0.762, indicating a moderate correlation. Table 4.9 shows the results of HTMT values.</w:t>
      </w:r>
    </w:p>
    <w:p w:rsidR="00487D64" w:rsidRDefault="00487D64">
      <w:pPr>
        <w:pStyle w:val="BodyText"/>
        <w:spacing w:before="17"/>
      </w:pPr>
    </w:p>
    <w:p w:rsidR="00487D64" w:rsidRDefault="006F0D93">
      <w:pPr>
        <w:ind w:left="1419"/>
        <w:jc w:val="both"/>
        <w:rPr>
          <w:b/>
          <w:sz w:val="23"/>
        </w:rPr>
      </w:pPr>
      <w:r>
        <w:rPr>
          <w:b/>
          <w:w w:val="105"/>
          <w:sz w:val="23"/>
        </w:rPr>
        <w:t>Table</w:t>
      </w:r>
      <w:r>
        <w:rPr>
          <w:b/>
          <w:spacing w:val="-12"/>
          <w:w w:val="105"/>
          <w:sz w:val="23"/>
        </w:rPr>
        <w:t xml:space="preserve"> </w:t>
      </w:r>
      <w:r>
        <w:rPr>
          <w:b/>
          <w:w w:val="105"/>
          <w:sz w:val="23"/>
        </w:rPr>
        <w:t>4.</w:t>
      </w:r>
      <w:r>
        <w:rPr>
          <w:b/>
          <w:spacing w:val="-14"/>
          <w:w w:val="105"/>
          <w:sz w:val="23"/>
        </w:rPr>
        <w:t xml:space="preserve"> </w:t>
      </w:r>
      <w:r>
        <w:rPr>
          <w:b/>
          <w:w w:val="105"/>
          <w:sz w:val="23"/>
        </w:rPr>
        <w:t>9:</w:t>
      </w:r>
      <w:r>
        <w:rPr>
          <w:b/>
          <w:spacing w:val="-14"/>
          <w:w w:val="105"/>
          <w:sz w:val="23"/>
        </w:rPr>
        <w:t xml:space="preserve"> </w:t>
      </w:r>
      <w:r>
        <w:rPr>
          <w:b/>
          <w:w w:val="105"/>
          <w:sz w:val="23"/>
        </w:rPr>
        <w:t>Discriminant Validity</w:t>
      </w:r>
      <w:r>
        <w:rPr>
          <w:b/>
          <w:spacing w:val="-11"/>
          <w:w w:val="105"/>
          <w:sz w:val="23"/>
        </w:rPr>
        <w:t xml:space="preserve"> </w:t>
      </w:r>
      <w:r>
        <w:rPr>
          <w:b/>
          <w:w w:val="105"/>
          <w:sz w:val="23"/>
        </w:rPr>
        <w:t>Hetetroit</w:t>
      </w:r>
      <w:r>
        <w:rPr>
          <w:b/>
          <w:spacing w:val="-13"/>
          <w:w w:val="105"/>
          <w:sz w:val="23"/>
        </w:rPr>
        <w:t xml:space="preserve"> </w:t>
      </w:r>
      <w:r>
        <w:rPr>
          <w:b/>
          <w:w w:val="105"/>
          <w:sz w:val="23"/>
        </w:rPr>
        <w:t>Monetrait</w:t>
      </w:r>
      <w:r>
        <w:rPr>
          <w:b/>
          <w:spacing w:val="-14"/>
          <w:w w:val="105"/>
          <w:sz w:val="23"/>
        </w:rPr>
        <w:t xml:space="preserve"> </w:t>
      </w:r>
      <w:r>
        <w:rPr>
          <w:b/>
          <w:spacing w:val="-2"/>
          <w:w w:val="105"/>
          <w:sz w:val="23"/>
        </w:rPr>
        <w:t>Ratio</w:t>
      </w:r>
    </w:p>
    <w:p w:rsidR="00487D64" w:rsidRDefault="00487D64">
      <w:pPr>
        <w:pStyle w:val="BodyText"/>
        <w:spacing w:before="37"/>
        <w:rPr>
          <w:b/>
          <w:sz w:val="20"/>
        </w:rPr>
      </w:pPr>
    </w:p>
    <w:tbl>
      <w:tblPr>
        <w:tblW w:w="0" w:type="auto"/>
        <w:tblInd w:w="1290" w:type="dxa"/>
        <w:tblLayout w:type="fixed"/>
        <w:tblCellMar>
          <w:left w:w="0" w:type="dxa"/>
          <w:right w:w="0" w:type="dxa"/>
        </w:tblCellMar>
        <w:tblLook w:val="01E0" w:firstRow="1" w:lastRow="1" w:firstColumn="1" w:lastColumn="1" w:noHBand="0" w:noVBand="0"/>
      </w:tblPr>
      <w:tblGrid>
        <w:gridCol w:w="1144"/>
        <w:gridCol w:w="810"/>
        <w:gridCol w:w="796"/>
        <w:gridCol w:w="793"/>
        <w:gridCol w:w="793"/>
        <w:gridCol w:w="793"/>
        <w:gridCol w:w="1115"/>
        <w:gridCol w:w="1138"/>
        <w:gridCol w:w="1101"/>
      </w:tblGrid>
      <w:tr w:rsidR="00487D64">
        <w:trPr>
          <w:trHeight w:val="321"/>
        </w:trPr>
        <w:tc>
          <w:tcPr>
            <w:tcW w:w="1144" w:type="dxa"/>
            <w:tcBorders>
              <w:top w:val="single" w:sz="4" w:space="0" w:color="000000"/>
              <w:bottom w:val="single" w:sz="4" w:space="0" w:color="000000"/>
            </w:tcBorders>
          </w:tcPr>
          <w:p w:rsidR="00487D64" w:rsidRDefault="00487D64">
            <w:pPr>
              <w:pStyle w:val="TableParagraph"/>
            </w:pPr>
          </w:p>
        </w:tc>
        <w:tc>
          <w:tcPr>
            <w:tcW w:w="810" w:type="dxa"/>
            <w:tcBorders>
              <w:top w:val="single" w:sz="4" w:space="0" w:color="000000"/>
              <w:bottom w:val="single" w:sz="4" w:space="0" w:color="000000"/>
            </w:tcBorders>
          </w:tcPr>
          <w:p w:rsidR="00487D64" w:rsidRDefault="006F0D93">
            <w:pPr>
              <w:pStyle w:val="TableParagraph"/>
              <w:spacing w:before="14"/>
              <w:ind w:left="9" w:right="10"/>
              <w:jc w:val="center"/>
              <w:rPr>
                <w:b/>
                <w:sz w:val="23"/>
              </w:rPr>
            </w:pPr>
            <w:r>
              <w:rPr>
                <w:b/>
                <w:spacing w:val="-5"/>
                <w:w w:val="105"/>
                <w:sz w:val="23"/>
              </w:rPr>
              <w:t>CO</w:t>
            </w:r>
          </w:p>
        </w:tc>
        <w:tc>
          <w:tcPr>
            <w:tcW w:w="796" w:type="dxa"/>
            <w:tcBorders>
              <w:top w:val="single" w:sz="4" w:space="0" w:color="000000"/>
              <w:bottom w:val="single" w:sz="4" w:space="0" w:color="000000"/>
            </w:tcBorders>
          </w:tcPr>
          <w:p w:rsidR="00487D64" w:rsidRDefault="006F0D93">
            <w:pPr>
              <w:pStyle w:val="TableParagraph"/>
              <w:spacing w:before="14"/>
              <w:ind w:left="2" w:right="7"/>
              <w:jc w:val="center"/>
              <w:rPr>
                <w:b/>
                <w:sz w:val="23"/>
              </w:rPr>
            </w:pPr>
            <w:r>
              <w:rPr>
                <w:b/>
                <w:spacing w:val="-5"/>
                <w:w w:val="105"/>
                <w:sz w:val="23"/>
              </w:rPr>
              <w:t>CU</w:t>
            </w:r>
          </w:p>
        </w:tc>
        <w:tc>
          <w:tcPr>
            <w:tcW w:w="793" w:type="dxa"/>
            <w:tcBorders>
              <w:top w:val="single" w:sz="4" w:space="0" w:color="000000"/>
              <w:bottom w:val="single" w:sz="4" w:space="0" w:color="000000"/>
            </w:tcBorders>
          </w:tcPr>
          <w:p w:rsidR="00487D64" w:rsidRDefault="006F0D93">
            <w:pPr>
              <w:pStyle w:val="TableParagraph"/>
              <w:spacing w:before="14"/>
              <w:ind w:left="2" w:right="14"/>
              <w:jc w:val="center"/>
              <w:rPr>
                <w:b/>
                <w:sz w:val="23"/>
              </w:rPr>
            </w:pPr>
            <w:r>
              <w:rPr>
                <w:b/>
                <w:spacing w:val="-5"/>
                <w:w w:val="105"/>
                <w:sz w:val="23"/>
              </w:rPr>
              <w:t>FC</w:t>
            </w:r>
          </w:p>
        </w:tc>
        <w:tc>
          <w:tcPr>
            <w:tcW w:w="793" w:type="dxa"/>
            <w:tcBorders>
              <w:top w:val="single" w:sz="4" w:space="0" w:color="000000"/>
              <w:bottom w:val="single" w:sz="4" w:space="0" w:color="000000"/>
            </w:tcBorders>
          </w:tcPr>
          <w:p w:rsidR="00487D64" w:rsidRDefault="006F0D93">
            <w:pPr>
              <w:pStyle w:val="TableParagraph"/>
              <w:spacing w:before="14"/>
              <w:ind w:right="14"/>
              <w:jc w:val="center"/>
              <w:rPr>
                <w:b/>
                <w:sz w:val="23"/>
              </w:rPr>
            </w:pPr>
            <w:r>
              <w:rPr>
                <w:b/>
                <w:spacing w:val="-5"/>
                <w:w w:val="105"/>
                <w:sz w:val="23"/>
              </w:rPr>
              <w:t>SC</w:t>
            </w:r>
          </w:p>
        </w:tc>
        <w:tc>
          <w:tcPr>
            <w:tcW w:w="793" w:type="dxa"/>
            <w:tcBorders>
              <w:top w:val="single" w:sz="4" w:space="0" w:color="000000"/>
              <w:bottom w:val="single" w:sz="4" w:space="0" w:color="000000"/>
            </w:tcBorders>
          </w:tcPr>
          <w:p w:rsidR="00487D64" w:rsidRDefault="006F0D93">
            <w:pPr>
              <w:pStyle w:val="TableParagraph"/>
              <w:spacing w:before="14"/>
              <w:ind w:left="1" w:right="14"/>
              <w:jc w:val="center"/>
              <w:rPr>
                <w:b/>
                <w:sz w:val="23"/>
              </w:rPr>
            </w:pPr>
            <w:r>
              <w:rPr>
                <w:b/>
                <w:spacing w:val="-5"/>
                <w:w w:val="105"/>
                <w:sz w:val="23"/>
              </w:rPr>
              <w:t>SF</w:t>
            </w:r>
          </w:p>
        </w:tc>
        <w:tc>
          <w:tcPr>
            <w:tcW w:w="1115" w:type="dxa"/>
            <w:tcBorders>
              <w:top w:val="single" w:sz="4" w:space="0" w:color="000000"/>
              <w:bottom w:val="single" w:sz="4" w:space="0" w:color="000000"/>
            </w:tcBorders>
          </w:tcPr>
          <w:p w:rsidR="00487D64" w:rsidRDefault="006F0D93">
            <w:pPr>
              <w:pStyle w:val="TableParagraph"/>
              <w:spacing w:before="14"/>
              <w:ind w:left="5" w:right="17"/>
              <w:jc w:val="center"/>
              <w:rPr>
                <w:b/>
                <w:sz w:val="23"/>
              </w:rPr>
            </w:pPr>
            <w:r>
              <w:rPr>
                <w:b/>
                <w:w w:val="105"/>
                <w:sz w:val="23"/>
              </w:rPr>
              <w:t>SF</w:t>
            </w:r>
            <w:r>
              <w:rPr>
                <w:b/>
                <w:spacing w:val="-4"/>
                <w:w w:val="105"/>
                <w:sz w:val="23"/>
              </w:rPr>
              <w:t xml:space="preserve"> </w:t>
            </w:r>
            <w:r>
              <w:rPr>
                <w:b/>
                <w:w w:val="105"/>
                <w:sz w:val="23"/>
              </w:rPr>
              <w:t>x</w:t>
            </w:r>
            <w:r>
              <w:rPr>
                <w:b/>
                <w:spacing w:val="-12"/>
                <w:w w:val="105"/>
                <w:sz w:val="23"/>
              </w:rPr>
              <w:t xml:space="preserve"> </w:t>
            </w:r>
            <w:r>
              <w:rPr>
                <w:b/>
                <w:spacing w:val="-5"/>
                <w:w w:val="105"/>
                <w:sz w:val="23"/>
              </w:rPr>
              <w:t>CU</w:t>
            </w:r>
          </w:p>
        </w:tc>
        <w:tc>
          <w:tcPr>
            <w:tcW w:w="1138" w:type="dxa"/>
            <w:tcBorders>
              <w:top w:val="single" w:sz="4" w:space="0" w:color="000000"/>
              <w:bottom w:val="single" w:sz="4" w:space="0" w:color="000000"/>
            </w:tcBorders>
          </w:tcPr>
          <w:p w:rsidR="00487D64" w:rsidRDefault="006F0D93">
            <w:pPr>
              <w:pStyle w:val="TableParagraph"/>
              <w:spacing w:before="14"/>
              <w:ind w:left="13" w:right="17"/>
              <w:jc w:val="center"/>
              <w:rPr>
                <w:b/>
                <w:sz w:val="23"/>
              </w:rPr>
            </w:pPr>
            <w:r>
              <w:rPr>
                <w:b/>
                <w:w w:val="105"/>
                <w:sz w:val="23"/>
              </w:rPr>
              <w:t>SF</w:t>
            </w:r>
            <w:r>
              <w:rPr>
                <w:b/>
                <w:spacing w:val="-4"/>
                <w:w w:val="105"/>
                <w:sz w:val="23"/>
              </w:rPr>
              <w:t xml:space="preserve"> </w:t>
            </w:r>
            <w:r>
              <w:rPr>
                <w:b/>
                <w:w w:val="105"/>
                <w:sz w:val="23"/>
              </w:rPr>
              <w:t>x</w:t>
            </w:r>
            <w:r>
              <w:rPr>
                <w:b/>
                <w:spacing w:val="-12"/>
                <w:w w:val="105"/>
                <w:sz w:val="23"/>
              </w:rPr>
              <w:t xml:space="preserve"> </w:t>
            </w:r>
            <w:r>
              <w:rPr>
                <w:b/>
                <w:spacing w:val="-7"/>
                <w:w w:val="105"/>
                <w:sz w:val="23"/>
              </w:rPr>
              <w:t>CO</w:t>
            </w:r>
          </w:p>
        </w:tc>
        <w:tc>
          <w:tcPr>
            <w:tcW w:w="1101" w:type="dxa"/>
            <w:tcBorders>
              <w:top w:val="single" w:sz="4" w:space="0" w:color="000000"/>
              <w:bottom w:val="single" w:sz="4" w:space="0" w:color="000000"/>
            </w:tcBorders>
          </w:tcPr>
          <w:p w:rsidR="00487D64" w:rsidRDefault="006F0D93">
            <w:pPr>
              <w:pStyle w:val="TableParagraph"/>
              <w:spacing w:before="14"/>
              <w:ind w:left="132"/>
              <w:rPr>
                <w:b/>
                <w:sz w:val="23"/>
              </w:rPr>
            </w:pPr>
            <w:r>
              <w:rPr>
                <w:b/>
                <w:w w:val="105"/>
                <w:sz w:val="23"/>
              </w:rPr>
              <w:t>SF</w:t>
            </w:r>
            <w:r>
              <w:rPr>
                <w:b/>
                <w:spacing w:val="-4"/>
                <w:w w:val="105"/>
                <w:sz w:val="23"/>
              </w:rPr>
              <w:t xml:space="preserve"> </w:t>
            </w:r>
            <w:r>
              <w:rPr>
                <w:b/>
                <w:w w:val="105"/>
                <w:sz w:val="23"/>
              </w:rPr>
              <w:t>x</w:t>
            </w:r>
            <w:r>
              <w:rPr>
                <w:b/>
                <w:spacing w:val="-5"/>
                <w:w w:val="105"/>
                <w:sz w:val="23"/>
              </w:rPr>
              <w:t xml:space="preserve"> FC</w:t>
            </w:r>
          </w:p>
        </w:tc>
      </w:tr>
      <w:tr w:rsidR="00487D64">
        <w:trPr>
          <w:trHeight w:val="297"/>
        </w:trPr>
        <w:tc>
          <w:tcPr>
            <w:tcW w:w="1144" w:type="dxa"/>
            <w:tcBorders>
              <w:top w:val="single" w:sz="4" w:space="0" w:color="000000"/>
            </w:tcBorders>
          </w:tcPr>
          <w:p w:rsidR="00487D64" w:rsidRDefault="006F0D93">
            <w:pPr>
              <w:pStyle w:val="TableParagraph"/>
              <w:spacing w:before="7"/>
              <w:ind w:left="136"/>
              <w:rPr>
                <w:b/>
                <w:sz w:val="23"/>
              </w:rPr>
            </w:pPr>
            <w:r>
              <w:rPr>
                <w:b/>
                <w:spacing w:val="-5"/>
                <w:w w:val="105"/>
                <w:sz w:val="23"/>
              </w:rPr>
              <w:t>CO</w:t>
            </w:r>
          </w:p>
        </w:tc>
        <w:tc>
          <w:tcPr>
            <w:tcW w:w="810" w:type="dxa"/>
            <w:tcBorders>
              <w:top w:val="single" w:sz="4" w:space="0" w:color="000000"/>
            </w:tcBorders>
          </w:tcPr>
          <w:p w:rsidR="00487D64" w:rsidRDefault="00487D64">
            <w:pPr>
              <w:pStyle w:val="TableParagraph"/>
            </w:pPr>
          </w:p>
        </w:tc>
        <w:tc>
          <w:tcPr>
            <w:tcW w:w="796" w:type="dxa"/>
            <w:tcBorders>
              <w:top w:val="single" w:sz="4" w:space="0" w:color="000000"/>
            </w:tcBorders>
          </w:tcPr>
          <w:p w:rsidR="00487D64" w:rsidRDefault="00487D64">
            <w:pPr>
              <w:pStyle w:val="TableParagraph"/>
            </w:pPr>
          </w:p>
        </w:tc>
        <w:tc>
          <w:tcPr>
            <w:tcW w:w="793" w:type="dxa"/>
            <w:tcBorders>
              <w:top w:val="single" w:sz="4" w:space="0" w:color="000000"/>
            </w:tcBorders>
          </w:tcPr>
          <w:p w:rsidR="00487D64" w:rsidRDefault="00487D64">
            <w:pPr>
              <w:pStyle w:val="TableParagraph"/>
            </w:pPr>
          </w:p>
        </w:tc>
        <w:tc>
          <w:tcPr>
            <w:tcW w:w="793" w:type="dxa"/>
            <w:tcBorders>
              <w:top w:val="single" w:sz="4" w:space="0" w:color="000000"/>
            </w:tcBorders>
          </w:tcPr>
          <w:p w:rsidR="00487D64" w:rsidRDefault="00487D64">
            <w:pPr>
              <w:pStyle w:val="TableParagraph"/>
            </w:pPr>
          </w:p>
        </w:tc>
        <w:tc>
          <w:tcPr>
            <w:tcW w:w="793" w:type="dxa"/>
            <w:tcBorders>
              <w:top w:val="single" w:sz="4" w:space="0" w:color="000000"/>
            </w:tcBorders>
          </w:tcPr>
          <w:p w:rsidR="00487D64" w:rsidRDefault="00487D64">
            <w:pPr>
              <w:pStyle w:val="TableParagraph"/>
            </w:pPr>
          </w:p>
        </w:tc>
        <w:tc>
          <w:tcPr>
            <w:tcW w:w="1115" w:type="dxa"/>
            <w:tcBorders>
              <w:top w:val="single" w:sz="4" w:space="0" w:color="000000"/>
            </w:tcBorders>
          </w:tcPr>
          <w:p w:rsidR="00487D64" w:rsidRDefault="00487D64">
            <w:pPr>
              <w:pStyle w:val="TableParagraph"/>
            </w:pPr>
          </w:p>
        </w:tc>
        <w:tc>
          <w:tcPr>
            <w:tcW w:w="1138" w:type="dxa"/>
            <w:tcBorders>
              <w:top w:val="single" w:sz="4" w:space="0" w:color="000000"/>
            </w:tcBorders>
          </w:tcPr>
          <w:p w:rsidR="00487D64" w:rsidRDefault="00487D64">
            <w:pPr>
              <w:pStyle w:val="TableParagraph"/>
            </w:pPr>
          </w:p>
        </w:tc>
        <w:tc>
          <w:tcPr>
            <w:tcW w:w="1101" w:type="dxa"/>
            <w:tcBorders>
              <w:top w:val="single" w:sz="4" w:space="0" w:color="000000"/>
            </w:tcBorders>
          </w:tcPr>
          <w:p w:rsidR="00487D64" w:rsidRDefault="00487D64">
            <w:pPr>
              <w:pStyle w:val="TableParagraph"/>
            </w:pPr>
          </w:p>
        </w:tc>
      </w:tr>
      <w:tr w:rsidR="00487D64">
        <w:trPr>
          <w:trHeight w:val="316"/>
        </w:trPr>
        <w:tc>
          <w:tcPr>
            <w:tcW w:w="1144" w:type="dxa"/>
          </w:tcPr>
          <w:p w:rsidR="00487D64" w:rsidRDefault="006F0D93">
            <w:pPr>
              <w:pStyle w:val="TableParagraph"/>
              <w:spacing w:before="27"/>
              <w:ind w:left="136"/>
              <w:rPr>
                <w:b/>
                <w:sz w:val="23"/>
              </w:rPr>
            </w:pPr>
            <w:r>
              <w:rPr>
                <w:b/>
                <w:spacing w:val="-5"/>
                <w:w w:val="105"/>
                <w:sz w:val="23"/>
              </w:rPr>
              <w:t>CU</w:t>
            </w:r>
          </w:p>
        </w:tc>
        <w:tc>
          <w:tcPr>
            <w:tcW w:w="810" w:type="dxa"/>
          </w:tcPr>
          <w:p w:rsidR="00487D64" w:rsidRDefault="006F0D93">
            <w:pPr>
              <w:pStyle w:val="TableParagraph"/>
              <w:spacing w:before="20"/>
              <w:ind w:left="10" w:right="1"/>
              <w:jc w:val="center"/>
              <w:rPr>
                <w:sz w:val="23"/>
              </w:rPr>
            </w:pPr>
            <w:r>
              <w:rPr>
                <w:spacing w:val="-2"/>
                <w:w w:val="105"/>
                <w:sz w:val="23"/>
              </w:rPr>
              <w:t>0.176</w:t>
            </w:r>
          </w:p>
        </w:tc>
        <w:tc>
          <w:tcPr>
            <w:tcW w:w="796" w:type="dxa"/>
          </w:tcPr>
          <w:p w:rsidR="00487D64" w:rsidRDefault="00487D64">
            <w:pPr>
              <w:pStyle w:val="TableParagraph"/>
            </w:pPr>
          </w:p>
        </w:tc>
        <w:tc>
          <w:tcPr>
            <w:tcW w:w="793" w:type="dxa"/>
          </w:tcPr>
          <w:p w:rsidR="00487D64" w:rsidRDefault="00487D64">
            <w:pPr>
              <w:pStyle w:val="TableParagraph"/>
            </w:pPr>
          </w:p>
        </w:tc>
        <w:tc>
          <w:tcPr>
            <w:tcW w:w="793" w:type="dxa"/>
          </w:tcPr>
          <w:p w:rsidR="00487D64" w:rsidRDefault="00487D64">
            <w:pPr>
              <w:pStyle w:val="TableParagraph"/>
            </w:pPr>
          </w:p>
        </w:tc>
        <w:tc>
          <w:tcPr>
            <w:tcW w:w="793" w:type="dxa"/>
          </w:tcPr>
          <w:p w:rsidR="00487D64" w:rsidRDefault="00487D64">
            <w:pPr>
              <w:pStyle w:val="TableParagraph"/>
            </w:pPr>
          </w:p>
        </w:tc>
        <w:tc>
          <w:tcPr>
            <w:tcW w:w="1115" w:type="dxa"/>
          </w:tcPr>
          <w:p w:rsidR="00487D64" w:rsidRDefault="00487D64">
            <w:pPr>
              <w:pStyle w:val="TableParagraph"/>
            </w:pPr>
          </w:p>
        </w:tc>
        <w:tc>
          <w:tcPr>
            <w:tcW w:w="1138" w:type="dxa"/>
          </w:tcPr>
          <w:p w:rsidR="00487D64" w:rsidRDefault="00487D64">
            <w:pPr>
              <w:pStyle w:val="TableParagraph"/>
            </w:pPr>
          </w:p>
        </w:tc>
        <w:tc>
          <w:tcPr>
            <w:tcW w:w="1101" w:type="dxa"/>
          </w:tcPr>
          <w:p w:rsidR="00487D64" w:rsidRDefault="00487D64">
            <w:pPr>
              <w:pStyle w:val="TableParagraph"/>
            </w:pPr>
          </w:p>
        </w:tc>
      </w:tr>
      <w:tr w:rsidR="00487D64">
        <w:trPr>
          <w:trHeight w:val="316"/>
        </w:trPr>
        <w:tc>
          <w:tcPr>
            <w:tcW w:w="1144" w:type="dxa"/>
          </w:tcPr>
          <w:p w:rsidR="00487D64" w:rsidRDefault="006F0D93">
            <w:pPr>
              <w:pStyle w:val="TableParagraph"/>
              <w:spacing w:before="27"/>
              <w:ind w:left="136"/>
              <w:rPr>
                <w:b/>
                <w:sz w:val="23"/>
              </w:rPr>
            </w:pPr>
            <w:r>
              <w:rPr>
                <w:b/>
                <w:spacing w:val="-5"/>
                <w:w w:val="105"/>
                <w:sz w:val="23"/>
              </w:rPr>
              <w:t>FC</w:t>
            </w:r>
          </w:p>
        </w:tc>
        <w:tc>
          <w:tcPr>
            <w:tcW w:w="810" w:type="dxa"/>
          </w:tcPr>
          <w:p w:rsidR="00487D64" w:rsidRDefault="006F0D93">
            <w:pPr>
              <w:pStyle w:val="TableParagraph"/>
              <w:spacing w:before="20"/>
              <w:ind w:left="10" w:right="1"/>
              <w:jc w:val="center"/>
              <w:rPr>
                <w:sz w:val="23"/>
              </w:rPr>
            </w:pPr>
            <w:r>
              <w:rPr>
                <w:spacing w:val="-2"/>
                <w:w w:val="105"/>
                <w:sz w:val="23"/>
              </w:rPr>
              <w:t>0.061</w:t>
            </w:r>
          </w:p>
        </w:tc>
        <w:tc>
          <w:tcPr>
            <w:tcW w:w="796" w:type="dxa"/>
          </w:tcPr>
          <w:p w:rsidR="00487D64" w:rsidRDefault="006F0D93">
            <w:pPr>
              <w:pStyle w:val="TableParagraph"/>
              <w:spacing w:before="20"/>
              <w:ind w:left="7" w:right="5"/>
              <w:jc w:val="center"/>
              <w:rPr>
                <w:sz w:val="23"/>
              </w:rPr>
            </w:pPr>
            <w:r>
              <w:rPr>
                <w:spacing w:val="-2"/>
                <w:w w:val="105"/>
                <w:sz w:val="23"/>
              </w:rPr>
              <w:t>0.071</w:t>
            </w:r>
          </w:p>
        </w:tc>
        <w:tc>
          <w:tcPr>
            <w:tcW w:w="793" w:type="dxa"/>
          </w:tcPr>
          <w:p w:rsidR="00487D64" w:rsidRDefault="00487D64">
            <w:pPr>
              <w:pStyle w:val="TableParagraph"/>
            </w:pPr>
          </w:p>
        </w:tc>
        <w:tc>
          <w:tcPr>
            <w:tcW w:w="793" w:type="dxa"/>
          </w:tcPr>
          <w:p w:rsidR="00487D64" w:rsidRDefault="00487D64">
            <w:pPr>
              <w:pStyle w:val="TableParagraph"/>
            </w:pPr>
          </w:p>
        </w:tc>
        <w:tc>
          <w:tcPr>
            <w:tcW w:w="793" w:type="dxa"/>
          </w:tcPr>
          <w:p w:rsidR="00487D64" w:rsidRDefault="00487D64">
            <w:pPr>
              <w:pStyle w:val="TableParagraph"/>
            </w:pPr>
          </w:p>
        </w:tc>
        <w:tc>
          <w:tcPr>
            <w:tcW w:w="1115" w:type="dxa"/>
          </w:tcPr>
          <w:p w:rsidR="00487D64" w:rsidRDefault="00487D64">
            <w:pPr>
              <w:pStyle w:val="TableParagraph"/>
            </w:pPr>
          </w:p>
        </w:tc>
        <w:tc>
          <w:tcPr>
            <w:tcW w:w="1138" w:type="dxa"/>
          </w:tcPr>
          <w:p w:rsidR="00487D64" w:rsidRDefault="00487D64">
            <w:pPr>
              <w:pStyle w:val="TableParagraph"/>
            </w:pPr>
          </w:p>
        </w:tc>
        <w:tc>
          <w:tcPr>
            <w:tcW w:w="1101" w:type="dxa"/>
          </w:tcPr>
          <w:p w:rsidR="00487D64" w:rsidRDefault="00487D64">
            <w:pPr>
              <w:pStyle w:val="TableParagraph"/>
            </w:pPr>
          </w:p>
        </w:tc>
      </w:tr>
      <w:tr w:rsidR="00487D64">
        <w:trPr>
          <w:trHeight w:val="316"/>
        </w:trPr>
        <w:tc>
          <w:tcPr>
            <w:tcW w:w="1144" w:type="dxa"/>
          </w:tcPr>
          <w:p w:rsidR="00487D64" w:rsidRDefault="006F0D93">
            <w:pPr>
              <w:pStyle w:val="TableParagraph"/>
              <w:spacing w:before="27"/>
              <w:ind w:left="136"/>
              <w:rPr>
                <w:b/>
                <w:sz w:val="23"/>
              </w:rPr>
            </w:pPr>
            <w:r>
              <w:rPr>
                <w:b/>
                <w:spacing w:val="-5"/>
                <w:w w:val="105"/>
                <w:sz w:val="23"/>
              </w:rPr>
              <w:t>SC</w:t>
            </w:r>
          </w:p>
        </w:tc>
        <w:tc>
          <w:tcPr>
            <w:tcW w:w="810" w:type="dxa"/>
          </w:tcPr>
          <w:p w:rsidR="00487D64" w:rsidRDefault="006F0D93">
            <w:pPr>
              <w:pStyle w:val="TableParagraph"/>
              <w:spacing w:before="20"/>
              <w:ind w:left="10" w:right="1"/>
              <w:jc w:val="center"/>
              <w:rPr>
                <w:sz w:val="23"/>
              </w:rPr>
            </w:pPr>
            <w:r>
              <w:rPr>
                <w:spacing w:val="-2"/>
                <w:w w:val="105"/>
                <w:sz w:val="23"/>
              </w:rPr>
              <w:t>0.377</w:t>
            </w:r>
          </w:p>
        </w:tc>
        <w:tc>
          <w:tcPr>
            <w:tcW w:w="796" w:type="dxa"/>
          </w:tcPr>
          <w:p w:rsidR="00487D64" w:rsidRDefault="006F0D93">
            <w:pPr>
              <w:pStyle w:val="TableParagraph"/>
              <w:spacing w:before="20"/>
              <w:ind w:left="7" w:right="5"/>
              <w:jc w:val="center"/>
              <w:rPr>
                <w:sz w:val="23"/>
              </w:rPr>
            </w:pPr>
            <w:r>
              <w:rPr>
                <w:spacing w:val="-2"/>
                <w:w w:val="105"/>
                <w:sz w:val="23"/>
              </w:rPr>
              <w:t>0.396</w:t>
            </w:r>
          </w:p>
        </w:tc>
        <w:tc>
          <w:tcPr>
            <w:tcW w:w="793" w:type="dxa"/>
          </w:tcPr>
          <w:p w:rsidR="00487D64" w:rsidRDefault="006F0D93">
            <w:pPr>
              <w:pStyle w:val="TableParagraph"/>
              <w:spacing w:before="20"/>
              <w:ind w:left="13" w:right="14"/>
              <w:jc w:val="center"/>
              <w:rPr>
                <w:sz w:val="23"/>
              </w:rPr>
            </w:pPr>
            <w:r>
              <w:rPr>
                <w:spacing w:val="-2"/>
                <w:w w:val="105"/>
                <w:sz w:val="23"/>
              </w:rPr>
              <w:t>0.093</w:t>
            </w:r>
          </w:p>
        </w:tc>
        <w:tc>
          <w:tcPr>
            <w:tcW w:w="793" w:type="dxa"/>
          </w:tcPr>
          <w:p w:rsidR="00487D64" w:rsidRDefault="00487D64">
            <w:pPr>
              <w:pStyle w:val="TableParagraph"/>
            </w:pPr>
          </w:p>
        </w:tc>
        <w:tc>
          <w:tcPr>
            <w:tcW w:w="793" w:type="dxa"/>
          </w:tcPr>
          <w:p w:rsidR="00487D64" w:rsidRDefault="00487D64">
            <w:pPr>
              <w:pStyle w:val="TableParagraph"/>
            </w:pPr>
          </w:p>
        </w:tc>
        <w:tc>
          <w:tcPr>
            <w:tcW w:w="1115" w:type="dxa"/>
          </w:tcPr>
          <w:p w:rsidR="00487D64" w:rsidRDefault="00487D64">
            <w:pPr>
              <w:pStyle w:val="TableParagraph"/>
            </w:pPr>
          </w:p>
        </w:tc>
        <w:tc>
          <w:tcPr>
            <w:tcW w:w="1138" w:type="dxa"/>
          </w:tcPr>
          <w:p w:rsidR="00487D64" w:rsidRDefault="00487D64">
            <w:pPr>
              <w:pStyle w:val="TableParagraph"/>
            </w:pPr>
          </w:p>
        </w:tc>
        <w:tc>
          <w:tcPr>
            <w:tcW w:w="1101" w:type="dxa"/>
          </w:tcPr>
          <w:p w:rsidR="00487D64" w:rsidRDefault="00487D64">
            <w:pPr>
              <w:pStyle w:val="TableParagraph"/>
            </w:pPr>
          </w:p>
        </w:tc>
      </w:tr>
      <w:tr w:rsidR="00487D64">
        <w:trPr>
          <w:trHeight w:val="316"/>
        </w:trPr>
        <w:tc>
          <w:tcPr>
            <w:tcW w:w="1144" w:type="dxa"/>
          </w:tcPr>
          <w:p w:rsidR="00487D64" w:rsidRDefault="006F0D93">
            <w:pPr>
              <w:pStyle w:val="TableParagraph"/>
              <w:spacing w:before="27"/>
              <w:ind w:left="136"/>
              <w:rPr>
                <w:b/>
                <w:sz w:val="23"/>
              </w:rPr>
            </w:pPr>
            <w:r>
              <w:rPr>
                <w:b/>
                <w:spacing w:val="-5"/>
                <w:w w:val="105"/>
                <w:sz w:val="23"/>
              </w:rPr>
              <w:t>SF</w:t>
            </w:r>
          </w:p>
        </w:tc>
        <w:tc>
          <w:tcPr>
            <w:tcW w:w="810" w:type="dxa"/>
          </w:tcPr>
          <w:p w:rsidR="00487D64" w:rsidRDefault="006F0D93">
            <w:pPr>
              <w:pStyle w:val="TableParagraph"/>
              <w:spacing w:before="20"/>
              <w:ind w:left="10" w:right="1"/>
              <w:jc w:val="center"/>
              <w:rPr>
                <w:sz w:val="23"/>
              </w:rPr>
            </w:pPr>
            <w:r>
              <w:rPr>
                <w:spacing w:val="-2"/>
                <w:w w:val="105"/>
                <w:sz w:val="23"/>
              </w:rPr>
              <w:t>0.124</w:t>
            </w:r>
          </w:p>
        </w:tc>
        <w:tc>
          <w:tcPr>
            <w:tcW w:w="796" w:type="dxa"/>
          </w:tcPr>
          <w:p w:rsidR="00487D64" w:rsidRDefault="006F0D93">
            <w:pPr>
              <w:pStyle w:val="TableParagraph"/>
              <w:spacing w:before="20"/>
              <w:ind w:left="7" w:right="5"/>
              <w:jc w:val="center"/>
              <w:rPr>
                <w:sz w:val="23"/>
              </w:rPr>
            </w:pPr>
            <w:r>
              <w:rPr>
                <w:spacing w:val="-2"/>
                <w:w w:val="105"/>
                <w:sz w:val="23"/>
              </w:rPr>
              <w:t>0.228</w:t>
            </w:r>
          </w:p>
        </w:tc>
        <w:tc>
          <w:tcPr>
            <w:tcW w:w="793" w:type="dxa"/>
          </w:tcPr>
          <w:p w:rsidR="00487D64" w:rsidRDefault="006F0D93">
            <w:pPr>
              <w:pStyle w:val="TableParagraph"/>
              <w:spacing w:before="20"/>
              <w:ind w:left="13" w:right="14"/>
              <w:jc w:val="center"/>
              <w:rPr>
                <w:sz w:val="23"/>
              </w:rPr>
            </w:pPr>
            <w:r>
              <w:rPr>
                <w:spacing w:val="-2"/>
                <w:w w:val="105"/>
                <w:sz w:val="23"/>
              </w:rPr>
              <w:t>0.069</w:t>
            </w:r>
          </w:p>
        </w:tc>
        <w:tc>
          <w:tcPr>
            <w:tcW w:w="793" w:type="dxa"/>
          </w:tcPr>
          <w:p w:rsidR="00487D64" w:rsidRDefault="006F0D93">
            <w:pPr>
              <w:pStyle w:val="TableParagraph"/>
              <w:spacing w:before="20"/>
              <w:ind w:left="14" w:right="14"/>
              <w:jc w:val="center"/>
              <w:rPr>
                <w:sz w:val="23"/>
              </w:rPr>
            </w:pPr>
            <w:r>
              <w:rPr>
                <w:spacing w:val="-2"/>
                <w:w w:val="105"/>
                <w:sz w:val="23"/>
              </w:rPr>
              <w:t>0.762</w:t>
            </w:r>
          </w:p>
        </w:tc>
        <w:tc>
          <w:tcPr>
            <w:tcW w:w="793" w:type="dxa"/>
          </w:tcPr>
          <w:p w:rsidR="00487D64" w:rsidRDefault="00487D64">
            <w:pPr>
              <w:pStyle w:val="TableParagraph"/>
            </w:pPr>
          </w:p>
        </w:tc>
        <w:tc>
          <w:tcPr>
            <w:tcW w:w="1115" w:type="dxa"/>
          </w:tcPr>
          <w:p w:rsidR="00487D64" w:rsidRDefault="00487D64">
            <w:pPr>
              <w:pStyle w:val="TableParagraph"/>
            </w:pPr>
          </w:p>
        </w:tc>
        <w:tc>
          <w:tcPr>
            <w:tcW w:w="1138" w:type="dxa"/>
          </w:tcPr>
          <w:p w:rsidR="00487D64" w:rsidRDefault="00487D64">
            <w:pPr>
              <w:pStyle w:val="TableParagraph"/>
            </w:pPr>
          </w:p>
        </w:tc>
        <w:tc>
          <w:tcPr>
            <w:tcW w:w="1101" w:type="dxa"/>
          </w:tcPr>
          <w:p w:rsidR="00487D64" w:rsidRDefault="00487D64">
            <w:pPr>
              <w:pStyle w:val="TableParagraph"/>
            </w:pPr>
          </w:p>
        </w:tc>
      </w:tr>
      <w:tr w:rsidR="00487D64">
        <w:trPr>
          <w:trHeight w:val="320"/>
        </w:trPr>
        <w:tc>
          <w:tcPr>
            <w:tcW w:w="1144" w:type="dxa"/>
          </w:tcPr>
          <w:p w:rsidR="00487D64" w:rsidRDefault="006F0D93">
            <w:pPr>
              <w:pStyle w:val="TableParagraph"/>
              <w:spacing w:before="27"/>
              <w:ind w:left="136"/>
              <w:rPr>
                <w:b/>
                <w:sz w:val="23"/>
              </w:rPr>
            </w:pPr>
            <w:r>
              <w:rPr>
                <w:b/>
                <w:w w:val="105"/>
                <w:sz w:val="23"/>
              </w:rPr>
              <w:t>SF</w:t>
            </w:r>
            <w:r>
              <w:rPr>
                <w:b/>
                <w:spacing w:val="-4"/>
                <w:w w:val="105"/>
                <w:sz w:val="23"/>
              </w:rPr>
              <w:t xml:space="preserve"> </w:t>
            </w:r>
            <w:r>
              <w:rPr>
                <w:b/>
                <w:w w:val="105"/>
                <w:sz w:val="23"/>
              </w:rPr>
              <w:t>x</w:t>
            </w:r>
            <w:r>
              <w:rPr>
                <w:b/>
                <w:spacing w:val="-12"/>
                <w:w w:val="105"/>
                <w:sz w:val="23"/>
              </w:rPr>
              <w:t xml:space="preserve"> </w:t>
            </w:r>
            <w:r>
              <w:rPr>
                <w:b/>
                <w:spacing w:val="-5"/>
                <w:w w:val="105"/>
                <w:sz w:val="23"/>
              </w:rPr>
              <w:t>CU</w:t>
            </w:r>
          </w:p>
        </w:tc>
        <w:tc>
          <w:tcPr>
            <w:tcW w:w="810" w:type="dxa"/>
          </w:tcPr>
          <w:p w:rsidR="00487D64" w:rsidRDefault="006F0D93">
            <w:pPr>
              <w:pStyle w:val="TableParagraph"/>
              <w:spacing w:before="20"/>
              <w:ind w:left="10" w:right="1"/>
              <w:jc w:val="center"/>
              <w:rPr>
                <w:sz w:val="23"/>
              </w:rPr>
            </w:pPr>
            <w:r>
              <w:rPr>
                <w:spacing w:val="-2"/>
                <w:w w:val="105"/>
                <w:sz w:val="23"/>
              </w:rPr>
              <w:t>0.076</w:t>
            </w:r>
          </w:p>
        </w:tc>
        <w:tc>
          <w:tcPr>
            <w:tcW w:w="796" w:type="dxa"/>
          </w:tcPr>
          <w:p w:rsidR="00487D64" w:rsidRDefault="006F0D93">
            <w:pPr>
              <w:pStyle w:val="TableParagraph"/>
              <w:spacing w:before="20"/>
              <w:ind w:left="7" w:right="5"/>
              <w:jc w:val="center"/>
              <w:rPr>
                <w:sz w:val="23"/>
              </w:rPr>
            </w:pPr>
            <w:r>
              <w:rPr>
                <w:spacing w:val="-2"/>
                <w:w w:val="105"/>
                <w:sz w:val="23"/>
              </w:rPr>
              <w:t>0.038</w:t>
            </w:r>
          </w:p>
        </w:tc>
        <w:tc>
          <w:tcPr>
            <w:tcW w:w="793" w:type="dxa"/>
          </w:tcPr>
          <w:p w:rsidR="00487D64" w:rsidRDefault="006F0D93">
            <w:pPr>
              <w:pStyle w:val="TableParagraph"/>
              <w:spacing w:before="20"/>
              <w:ind w:left="13" w:right="14"/>
              <w:jc w:val="center"/>
              <w:rPr>
                <w:sz w:val="23"/>
              </w:rPr>
            </w:pPr>
            <w:r>
              <w:rPr>
                <w:spacing w:val="-2"/>
                <w:w w:val="105"/>
                <w:sz w:val="23"/>
              </w:rPr>
              <w:t>0.035</w:t>
            </w:r>
          </w:p>
        </w:tc>
        <w:tc>
          <w:tcPr>
            <w:tcW w:w="793" w:type="dxa"/>
          </w:tcPr>
          <w:p w:rsidR="00487D64" w:rsidRDefault="006F0D93">
            <w:pPr>
              <w:pStyle w:val="TableParagraph"/>
              <w:spacing w:before="20"/>
              <w:ind w:left="14" w:right="14"/>
              <w:jc w:val="center"/>
              <w:rPr>
                <w:sz w:val="23"/>
              </w:rPr>
            </w:pPr>
            <w:r>
              <w:rPr>
                <w:spacing w:val="-2"/>
                <w:w w:val="105"/>
                <w:sz w:val="23"/>
              </w:rPr>
              <w:t>0.204</w:t>
            </w:r>
          </w:p>
        </w:tc>
        <w:tc>
          <w:tcPr>
            <w:tcW w:w="793" w:type="dxa"/>
          </w:tcPr>
          <w:p w:rsidR="00487D64" w:rsidRDefault="006F0D93">
            <w:pPr>
              <w:pStyle w:val="TableParagraph"/>
              <w:spacing w:before="20"/>
              <w:ind w:left="13" w:right="14"/>
              <w:jc w:val="center"/>
              <w:rPr>
                <w:sz w:val="23"/>
              </w:rPr>
            </w:pPr>
            <w:r>
              <w:rPr>
                <w:spacing w:val="-2"/>
                <w:w w:val="105"/>
                <w:sz w:val="23"/>
              </w:rPr>
              <w:t>0.237</w:t>
            </w:r>
          </w:p>
        </w:tc>
        <w:tc>
          <w:tcPr>
            <w:tcW w:w="1115" w:type="dxa"/>
          </w:tcPr>
          <w:p w:rsidR="00487D64" w:rsidRDefault="00487D64">
            <w:pPr>
              <w:pStyle w:val="TableParagraph"/>
            </w:pPr>
          </w:p>
        </w:tc>
        <w:tc>
          <w:tcPr>
            <w:tcW w:w="1138" w:type="dxa"/>
          </w:tcPr>
          <w:p w:rsidR="00487D64" w:rsidRDefault="00487D64">
            <w:pPr>
              <w:pStyle w:val="TableParagraph"/>
            </w:pPr>
          </w:p>
        </w:tc>
        <w:tc>
          <w:tcPr>
            <w:tcW w:w="1101" w:type="dxa"/>
          </w:tcPr>
          <w:p w:rsidR="00487D64" w:rsidRDefault="00487D64">
            <w:pPr>
              <w:pStyle w:val="TableParagraph"/>
            </w:pPr>
          </w:p>
        </w:tc>
      </w:tr>
      <w:tr w:rsidR="00487D64">
        <w:trPr>
          <w:trHeight w:val="320"/>
        </w:trPr>
        <w:tc>
          <w:tcPr>
            <w:tcW w:w="1144" w:type="dxa"/>
          </w:tcPr>
          <w:p w:rsidR="00487D64" w:rsidRDefault="006F0D93">
            <w:pPr>
              <w:pStyle w:val="TableParagraph"/>
              <w:spacing w:before="31"/>
              <w:ind w:left="136"/>
              <w:rPr>
                <w:b/>
                <w:sz w:val="23"/>
              </w:rPr>
            </w:pPr>
            <w:r>
              <w:rPr>
                <w:b/>
                <w:w w:val="105"/>
                <w:sz w:val="23"/>
              </w:rPr>
              <w:t>SF</w:t>
            </w:r>
            <w:r>
              <w:rPr>
                <w:b/>
                <w:spacing w:val="-4"/>
                <w:w w:val="105"/>
                <w:sz w:val="23"/>
              </w:rPr>
              <w:t xml:space="preserve"> </w:t>
            </w:r>
            <w:r>
              <w:rPr>
                <w:b/>
                <w:w w:val="105"/>
                <w:sz w:val="23"/>
              </w:rPr>
              <w:t>x</w:t>
            </w:r>
            <w:r>
              <w:rPr>
                <w:b/>
                <w:spacing w:val="-12"/>
                <w:w w:val="105"/>
                <w:sz w:val="23"/>
              </w:rPr>
              <w:t xml:space="preserve"> </w:t>
            </w:r>
            <w:r>
              <w:rPr>
                <w:b/>
                <w:spacing w:val="-7"/>
                <w:w w:val="105"/>
                <w:sz w:val="23"/>
              </w:rPr>
              <w:t>CO</w:t>
            </w:r>
          </w:p>
        </w:tc>
        <w:tc>
          <w:tcPr>
            <w:tcW w:w="810" w:type="dxa"/>
          </w:tcPr>
          <w:p w:rsidR="00487D64" w:rsidRDefault="006F0D93">
            <w:pPr>
              <w:pStyle w:val="TableParagraph"/>
              <w:spacing w:before="24"/>
              <w:ind w:left="10" w:right="1"/>
              <w:jc w:val="center"/>
              <w:rPr>
                <w:sz w:val="23"/>
              </w:rPr>
            </w:pPr>
            <w:r>
              <w:rPr>
                <w:spacing w:val="-2"/>
                <w:w w:val="105"/>
                <w:sz w:val="23"/>
              </w:rPr>
              <w:t>0.073</w:t>
            </w:r>
          </w:p>
        </w:tc>
        <w:tc>
          <w:tcPr>
            <w:tcW w:w="796" w:type="dxa"/>
          </w:tcPr>
          <w:p w:rsidR="00487D64" w:rsidRDefault="006F0D93">
            <w:pPr>
              <w:pStyle w:val="TableParagraph"/>
              <w:spacing w:before="24"/>
              <w:ind w:left="7" w:right="5"/>
              <w:jc w:val="center"/>
              <w:rPr>
                <w:sz w:val="23"/>
              </w:rPr>
            </w:pPr>
            <w:r>
              <w:rPr>
                <w:spacing w:val="-2"/>
                <w:w w:val="105"/>
                <w:sz w:val="23"/>
              </w:rPr>
              <w:t>0.078</w:t>
            </w:r>
          </w:p>
        </w:tc>
        <w:tc>
          <w:tcPr>
            <w:tcW w:w="793" w:type="dxa"/>
          </w:tcPr>
          <w:p w:rsidR="00487D64" w:rsidRDefault="006F0D93">
            <w:pPr>
              <w:pStyle w:val="TableParagraph"/>
              <w:spacing w:before="24"/>
              <w:ind w:left="13" w:right="14"/>
              <w:jc w:val="center"/>
              <w:rPr>
                <w:sz w:val="23"/>
              </w:rPr>
            </w:pPr>
            <w:r>
              <w:rPr>
                <w:spacing w:val="-2"/>
                <w:w w:val="105"/>
                <w:sz w:val="23"/>
              </w:rPr>
              <w:t>0.074</w:t>
            </w:r>
          </w:p>
        </w:tc>
        <w:tc>
          <w:tcPr>
            <w:tcW w:w="793" w:type="dxa"/>
          </w:tcPr>
          <w:p w:rsidR="00487D64" w:rsidRDefault="006F0D93">
            <w:pPr>
              <w:pStyle w:val="TableParagraph"/>
              <w:spacing w:before="24"/>
              <w:ind w:left="14" w:right="14"/>
              <w:jc w:val="center"/>
              <w:rPr>
                <w:sz w:val="23"/>
              </w:rPr>
            </w:pPr>
            <w:r>
              <w:rPr>
                <w:spacing w:val="-2"/>
                <w:w w:val="105"/>
                <w:sz w:val="23"/>
              </w:rPr>
              <w:t>0.235</w:t>
            </w:r>
          </w:p>
        </w:tc>
        <w:tc>
          <w:tcPr>
            <w:tcW w:w="793" w:type="dxa"/>
          </w:tcPr>
          <w:p w:rsidR="00487D64" w:rsidRDefault="006F0D93">
            <w:pPr>
              <w:pStyle w:val="TableParagraph"/>
              <w:spacing w:before="24"/>
              <w:ind w:left="13" w:right="14"/>
              <w:jc w:val="center"/>
              <w:rPr>
                <w:sz w:val="23"/>
              </w:rPr>
            </w:pPr>
            <w:r>
              <w:rPr>
                <w:spacing w:val="-2"/>
                <w:w w:val="105"/>
                <w:sz w:val="23"/>
              </w:rPr>
              <w:t>0.167</w:t>
            </w:r>
          </w:p>
        </w:tc>
        <w:tc>
          <w:tcPr>
            <w:tcW w:w="1115" w:type="dxa"/>
          </w:tcPr>
          <w:p w:rsidR="00487D64" w:rsidRDefault="006F0D93">
            <w:pPr>
              <w:pStyle w:val="TableParagraph"/>
              <w:spacing w:before="24"/>
              <w:ind w:left="17" w:right="12"/>
              <w:jc w:val="center"/>
              <w:rPr>
                <w:sz w:val="23"/>
              </w:rPr>
            </w:pPr>
            <w:r>
              <w:rPr>
                <w:spacing w:val="-2"/>
                <w:w w:val="105"/>
                <w:sz w:val="23"/>
              </w:rPr>
              <w:t>0.125</w:t>
            </w:r>
          </w:p>
        </w:tc>
        <w:tc>
          <w:tcPr>
            <w:tcW w:w="1138" w:type="dxa"/>
          </w:tcPr>
          <w:p w:rsidR="00487D64" w:rsidRDefault="00487D64">
            <w:pPr>
              <w:pStyle w:val="TableParagraph"/>
            </w:pPr>
          </w:p>
        </w:tc>
        <w:tc>
          <w:tcPr>
            <w:tcW w:w="1101" w:type="dxa"/>
          </w:tcPr>
          <w:p w:rsidR="00487D64" w:rsidRDefault="00487D64">
            <w:pPr>
              <w:pStyle w:val="TableParagraph"/>
            </w:pPr>
          </w:p>
        </w:tc>
      </w:tr>
      <w:tr w:rsidR="00487D64">
        <w:trPr>
          <w:trHeight w:val="334"/>
        </w:trPr>
        <w:tc>
          <w:tcPr>
            <w:tcW w:w="1144" w:type="dxa"/>
            <w:tcBorders>
              <w:bottom w:val="single" w:sz="4" w:space="0" w:color="000000"/>
            </w:tcBorders>
          </w:tcPr>
          <w:p w:rsidR="00487D64" w:rsidRDefault="006F0D93">
            <w:pPr>
              <w:pStyle w:val="TableParagraph"/>
              <w:spacing w:before="27"/>
              <w:ind w:left="136"/>
              <w:rPr>
                <w:b/>
                <w:sz w:val="23"/>
              </w:rPr>
            </w:pPr>
            <w:r>
              <w:rPr>
                <w:b/>
                <w:w w:val="105"/>
                <w:sz w:val="23"/>
              </w:rPr>
              <w:t>SF</w:t>
            </w:r>
            <w:r>
              <w:rPr>
                <w:b/>
                <w:spacing w:val="-4"/>
                <w:w w:val="105"/>
                <w:sz w:val="23"/>
              </w:rPr>
              <w:t xml:space="preserve"> </w:t>
            </w:r>
            <w:r>
              <w:rPr>
                <w:b/>
                <w:w w:val="105"/>
                <w:sz w:val="23"/>
              </w:rPr>
              <w:t>x</w:t>
            </w:r>
            <w:r>
              <w:rPr>
                <w:b/>
                <w:spacing w:val="-5"/>
                <w:w w:val="105"/>
                <w:sz w:val="23"/>
              </w:rPr>
              <w:t xml:space="preserve"> FC</w:t>
            </w:r>
          </w:p>
        </w:tc>
        <w:tc>
          <w:tcPr>
            <w:tcW w:w="810" w:type="dxa"/>
            <w:tcBorders>
              <w:bottom w:val="single" w:sz="4" w:space="0" w:color="000000"/>
            </w:tcBorders>
          </w:tcPr>
          <w:p w:rsidR="00487D64" w:rsidRDefault="006F0D93">
            <w:pPr>
              <w:pStyle w:val="TableParagraph"/>
              <w:spacing w:before="20"/>
              <w:ind w:left="10" w:right="1"/>
              <w:jc w:val="center"/>
              <w:rPr>
                <w:sz w:val="23"/>
              </w:rPr>
            </w:pPr>
            <w:r>
              <w:rPr>
                <w:spacing w:val="-2"/>
                <w:w w:val="105"/>
                <w:sz w:val="23"/>
              </w:rPr>
              <w:t>0.034</w:t>
            </w:r>
          </w:p>
        </w:tc>
        <w:tc>
          <w:tcPr>
            <w:tcW w:w="796" w:type="dxa"/>
            <w:tcBorders>
              <w:bottom w:val="single" w:sz="4" w:space="0" w:color="000000"/>
            </w:tcBorders>
          </w:tcPr>
          <w:p w:rsidR="00487D64" w:rsidRDefault="006F0D93">
            <w:pPr>
              <w:pStyle w:val="TableParagraph"/>
              <w:spacing w:before="20"/>
              <w:ind w:left="7" w:right="5"/>
              <w:jc w:val="center"/>
              <w:rPr>
                <w:sz w:val="23"/>
              </w:rPr>
            </w:pPr>
            <w:r>
              <w:rPr>
                <w:spacing w:val="-2"/>
                <w:w w:val="105"/>
                <w:sz w:val="23"/>
              </w:rPr>
              <w:t>0.034</w:t>
            </w:r>
          </w:p>
        </w:tc>
        <w:tc>
          <w:tcPr>
            <w:tcW w:w="793" w:type="dxa"/>
            <w:tcBorders>
              <w:bottom w:val="single" w:sz="4" w:space="0" w:color="000000"/>
            </w:tcBorders>
          </w:tcPr>
          <w:p w:rsidR="00487D64" w:rsidRDefault="006F0D93">
            <w:pPr>
              <w:pStyle w:val="TableParagraph"/>
              <w:spacing w:before="20"/>
              <w:ind w:left="13" w:right="14"/>
              <w:jc w:val="center"/>
              <w:rPr>
                <w:sz w:val="23"/>
              </w:rPr>
            </w:pPr>
            <w:r>
              <w:rPr>
                <w:spacing w:val="-2"/>
                <w:w w:val="105"/>
                <w:sz w:val="23"/>
              </w:rPr>
              <w:t>0.027</w:t>
            </w:r>
          </w:p>
        </w:tc>
        <w:tc>
          <w:tcPr>
            <w:tcW w:w="793" w:type="dxa"/>
            <w:tcBorders>
              <w:bottom w:val="single" w:sz="4" w:space="0" w:color="000000"/>
            </w:tcBorders>
          </w:tcPr>
          <w:p w:rsidR="00487D64" w:rsidRDefault="006F0D93">
            <w:pPr>
              <w:pStyle w:val="TableParagraph"/>
              <w:spacing w:before="20"/>
              <w:ind w:left="14" w:right="14"/>
              <w:jc w:val="center"/>
              <w:rPr>
                <w:sz w:val="23"/>
              </w:rPr>
            </w:pPr>
            <w:r>
              <w:rPr>
                <w:spacing w:val="-2"/>
                <w:w w:val="105"/>
                <w:sz w:val="23"/>
              </w:rPr>
              <w:t>0.035</w:t>
            </w:r>
          </w:p>
        </w:tc>
        <w:tc>
          <w:tcPr>
            <w:tcW w:w="793" w:type="dxa"/>
            <w:tcBorders>
              <w:bottom w:val="single" w:sz="4" w:space="0" w:color="000000"/>
            </w:tcBorders>
          </w:tcPr>
          <w:p w:rsidR="00487D64" w:rsidRDefault="006F0D93">
            <w:pPr>
              <w:pStyle w:val="TableParagraph"/>
              <w:spacing w:before="20"/>
              <w:ind w:left="13" w:right="14"/>
              <w:jc w:val="center"/>
              <w:rPr>
                <w:sz w:val="23"/>
              </w:rPr>
            </w:pPr>
            <w:r>
              <w:rPr>
                <w:spacing w:val="-2"/>
                <w:w w:val="105"/>
                <w:sz w:val="23"/>
              </w:rPr>
              <w:t>0.034</w:t>
            </w:r>
          </w:p>
        </w:tc>
        <w:tc>
          <w:tcPr>
            <w:tcW w:w="1115" w:type="dxa"/>
            <w:tcBorders>
              <w:bottom w:val="single" w:sz="4" w:space="0" w:color="000000"/>
            </w:tcBorders>
          </w:tcPr>
          <w:p w:rsidR="00487D64" w:rsidRDefault="006F0D93">
            <w:pPr>
              <w:pStyle w:val="TableParagraph"/>
              <w:spacing w:before="20"/>
              <w:ind w:left="17" w:right="12"/>
              <w:jc w:val="center"/>
              <w:rPr>
                <w:sz w:val="23"/>
              </w:rPr>
            </w:pPr>
            <w:r>
              <w:rPr>
                <w:spacing w:val="-2"/>
                <w:w w:val="105"/>
                <w:sz w:val="23"/>
              </w:rPr>
              <w:t>0.077</w:t>
            </w:r>
          </w:p>
        </w:tc>
        <w:tc>
          <w:tcPr>
            <w:tcW w:w="1138" w:type="dxa"/>
            <w:tcBorders>
              <w:bottom w:val="single" w:sz="4" w:space="0" w:color="000000"/>
            </w:tcBorders>
          </w:tcPr>
          <w:p w:rsidR="00487D64" w:rsidRDefault="006F0D93">
            <w:pPr>
              <w:pStyle w:val="TableParagraph"/>
              <w:spacing w:before="20"/>
              <w:ind w:left="17" w:right="4"/>
              <w:jc w:val="center"/>
              <w:rPr>
                <w:sz w:val="23"/>
              </w:rPr>
            </w:pPr>
            <w:r>
              <w:rPr>
                <w:spacing w:val="-2"/>
                <w:w w:val="105"/>
                <w:sz w:val="23"/>
              </w:rPr>
              <w:t>0.080</w:t>
            </w:r>
          </w:p>
        </w:tc>
        <w:tc>
          <w:tcPr>
            <w:tcW w:w="1101" w:type="dxa"/>
            <w:tcBorders>
              <w:bottom w:val="single" w:sz="4" w:space="0" w:color="000000"/>
            </w:tcBorders>
          </w:tcPr>
          <w:p w:rsidR="00487D64" w:rsidRDefault="00487D64">
            <w:pPr>
              <w:pStyle w:val="TableParagraph"/>
            </w:pPr>
          </w:p>
        </w:tc>
      </w:tr>
    </w:tbl>
    <w:p w:rsidR="00487D64" w:rsidRDefault="00487D64">
      <w:pPr>
        <w:pStyle w:val="TableParagraph"/>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pStyle w:val="ListParagraph"/>
        <w:numPr>
          <w:ilvl w:val="3"/>
          <w:numId w:val="9"/>
        </w:numPr>
        <w:tabs>
          <w:tab w:val="left" w:pos="2860"/>
        </w:tabs>
        <w:spacing w:before="1"/>
        <w:rPr>
          <w:b/>
          <w:sz w:val="23"/>
        </w:rPr>
      </w:pPr>
      <w:bookmarkStart w:id="161" w:name="4.5.3.2__Fornell–Larcker_Criterion"/>
      <w:bookmarkEnd w:id="161"/>
      <w:r>
        <w:rPr>
          <w:b/>
          <w:sz w:val="23"/>
        </w:rPr>
        <w:t>Fornell–Larcker</w:t>
      </w:r>
      <w:r>
        <w:rPr>
          <w:b/>
          <w:spacing w:val="52"/>
          <w:sz w:val="23"/>
        </w:rPr>
        <w:t xml:space="preserve"> </w:t>
      </w:r>
      <w:r>
        <w:rPr>
          <w:b/>
          <w:spacing w:val="-2"/>
          <w:sz w:val="23"/>
        </w:rPr>
        <w:t>Criterion</w:t>
      </w:r>
    </w:p>
    <w:p w:rsidR="00487D64" w:rsidRDefault="00487D64">
      <w:pPr>
        <w:pStyle w:val="BodyText"/>
        <w:spacing w:before="18"/>
        <w:rPr>
          <w:b/>
        </w:rPr>
      </w:pPr>
    </w:p>
    <w:p w:rsidR="00487D64" w:rsidRDefault="006F0D93">
      <w:pPr>
        <w:pStyle w:val="BodyText"/>
        <w:spacing w:line="501" w:lineRule="auto"/>
        <w:ind w:left="1419" w:right="847"/>
        <w:jc w:val="both"/>
      </w:pPr>
      <w:r>
        <w:rPr>
          <w:w w:val="105"/>
        </w:rPr>
        <w:t>As presented in</w:t>
      </w:r>
      <w:r>
        <w:rPr>
          <w:w w:val="105"/>
        </w:rPr>
        <w:t xml:space="preserve"> Table 4.10, the diagonal values represent the √AVE for each construct: Customer Orientation (CO) = 0.864, Customer Understanding (CU) = 0.852, Functional Coordination (FC) = 0.815, Sustainable Competitiveness (SC) = 0.831, and Strategic Flexibility (SF) =</w:t>
      </w:r>
      <w:r>
        <w:rPr>
          <w:w w:val="105"/>
        </w:rPr>
        <w:t xml:space="preserve"> 0.793. According to this approach, the square root of</w:t>
      </w:r>
      <w:r>
        <w:rPr>
          <w:spacing w:val="-4"/>
          <w:w w:val="105"/>
        </w:rPr>
        <w:t xml:space="preserve"> </w:t>
      </w:r>
      <w:r>
        <w:rPr>
          <w:w w:val="105"/>
        </w:rPr>
        <w:t>the Average</w:t>
      </w:r>
      <w:r>
        <w:rPr>
          <w:spacing w:val="-2"/>
          <w:w w:val="105"/>
        </w:rPr>
        <w:t xml:space="preserve"> </w:t>
      </w:r>
      <w:r>
        <w:rPr>
          <w:w w:val="105"/>
        </w:rPr>
        <w:t>Variance</w:t>
      </w:r>
      <w:r>
        <w:rPr>
          <w:spacing w:val="-8"/>
          <w:w w:val="105"/>
        </w:rPr>
        <w:t xml:space="preserve"> </w:t>
      </w:r>
      <w:r>
        <w:rPr>
          <w:w w:val="105"/>
        </w:rPr>
        <w:t>Extracted</w:t>
      </w:r>
      <w:r>
        <w:rPr>
          <w:spacing w:val="-7"/>
          <w:w w:val="105"/>
        </w:rPr>
        <w:t xml:space="preserve"> </w:t>
      </w:r>
      <w:r>
        <w:rPr>
          <w:w w:val="105"/>
        </w:rPr>
        <w:t>(√AVE) for each construct should be greater than its correlations</w:t>
      </w:r>
      <w:r>
        <w:rPr>
          <w:spacing w:val="-2"/>
          <w:w w:val="105"/>
        </w:rPr>
        <w:t xml:space="preserve"> </w:t>
      </w:r>
      <w:r>
        <w:rPr>
          <w:w w:val="105"/>
        </w:rPr>
        <w:t>with</w:t>
      </w:r>
      <w:r>
        <w:rPr>
          <w:spacing w:val="-7"/>
          <w:w w:val="105"/>
        </w:rPr>
        <w:t xml:space="preserve"> </w:t>
      </w:r>
      <w:r>
        <w:rPr>
          <w:w w:val="105"/>
        </w:rPr>
        <w:t>all other constructs. The</w:t>
      </w:r>
      <w:r>
        <w:rPr>
          <w:spacing w:val="-1"/>
          <w:w w:val="105"/>
        </w:rPr>
        <w:t xml:space="preserve"> </w:t>
      </w:r>
      <w:r>
        <w:rPr>
          <w:w w:val="105"/>
        </w:rPr>
        <w:t>values</w:t>
      </w:r>
      <w:r>
        <w:rPr>
          <w:spacing w:val="-2"/>
          <w:w w:val="105"/>
        </w:rPr>
        <w:t xml:space="preserve"> </w:t>
      </w:r>
      <w:r>
        <w:rPr>
          <w:w w:val="105"/>
        </w:rPr>
        <w:t>obtained are</w:t>
      </w:r>
      <w:r>
        <w:rPr>
          <w:spacing w:val="-1"/>
          <w:w w:val="105"/>
        </w:rPr>
        <w:t xml:space="preserve"> </w:t>
      </w:r>
      <w:r>
        <w:rPr>
          <w:w w:val="105"/>
        </w:rPr>
        <w:t>all higher than the corresponding inter-construct</w:t>
      </w:r>
      <w:r>
        <w:rPr>
          <w:w w:val="105"/>
        </w:rPr>
        <w:t xml:space="preserve"> correlations below them. For example, CO's correlation with CU is 0.168, and with SC is 0.346 both of which are lower than CO’s √AVE (0.864). Similarly, SF's highest correlation is with SC (0.635), which remains below its √AVE (0.793). These results confi</w:t>
      </w:r>
      <w:r>
        <w:rPr>
          <w:w w:val="105"/>
        </w:rPr>
        <w:t>rm that each construct shares more variance with its indicators than with those of other constructs, thereby supporting discriminant validity in line with the Fornell–Larcker criterion.</w:t>
      </w:r>
    </w:p>
    <w:p w:rsidR="00487D64" w:rsidRDefault="006F0D93">
      <w:pPr>
        <w:spacing w:before="239"/>
        <w:ind w:left="1419"/>
        <w:jc w:val="both"/>
        <w:rPr>
          <w:b/>
          <w:sz w:val="23"/>
        </w:rPr>
      </w:pPr>
      <w:r>
        <w:rPr>
          <w:b/>
          <w:sz w:val="23"/>
        </w:rPr>
        <w:t>Table</w:t>
      </w:r>
      <w:r>
        <w:rPr>
          <w:b/>
          <w:spacing w:val="29"/>
          <w:sz w:val="23"/>
        </w:rPr>
        <w:t xml:space="preserve"> </w:t>
      </w:r>
      <w:r>
        <w:rPr>
          <w:b/>
          <w:sz w:val="23"/>
        </w:rPr>
        <w:t>4.</w:t>
      </w:r>
      <w:r>
        <w:rPr>
          <w:b/>
          <w:spacing w:val="26"/>
          <w:sz w:val="23"/>
        </w:rPr>
        <w:t xml:space="preserve"> </w:t>
      </w:r>
      <w:r>
        <w:rPr>
          <w:b/>
          <w:sz w:val="23"/>
        </w:rPr>
        <w:t>10:</w:t>
      </w:r>
      <w:r>
        <w:rPr>
          <w:b/>
          <w:spacing w:val="27"/>
          <w:sz w:val="23"/>
        </w:rPr>
        <w:t xml:space="preserve"> </w:t>
      </w:r>
      <w:r>
        <w:rPr>
          <w:b/>
          <w:sz w:val="23"/>
        </w:rPr>
        <w:t>Discriminant</w:t>
      </w:r>
      <w:r>
        <w:rPr>
          <w:b/>
          <w:spacing w:val="37"/>
          <w:sz w:val="23"/>
        </w:rPr>
        <w:t xml:space="preserve"> </w:t>
      </w:r>
      <w:r>
        <w:rPr>
          <w:b/>
          <w:sz w:val="23"/>
        </w:rPr>
        <w:t>Validity</w:t>
      </w:r>
      <w:r>
        <w:rPr>
          <w:b/>
          <w:spacing w:val="31"/>
          <w:sz w:val="23"/>
        </w:rPr>
        <w:t xml:space="preserve"> </w:t>
      </w:r>
      <w:r>
        <w:rPr>
          <w:b/>
          <w:sz w:val="23"/>
        </w:rPr>
        <w:t>Fornell–Larcker</w:t>
      </w:r>
      <w:r>
        <w:rPr>
          <w:b/>
          <w:spacing w:val="30"/>
          <w:sz w:val="23"/>
        </w:rPr>
        <w:t xml:space="preserve"> </w:t>
      </w:r>
      <w:r>
        <w:rPr>
          <w:b/>
          <w:spacing w:val="-2"/>
          <w:sz w:val="23"/>
        </w:rPr>
        <w:t>Criterion</w:t>
      </w:r>
    </w:p>
    <w:p w:rsidR="00487D64" w:rsidRDefault="00487D64">
      <w:pPr>
        <w:pStyle w:val="BodyText"/>
        <w:spacing w:before="4"/>
        <w:rPr>
          <w:b/>
          <w:sz w:val="11"/>
        </w:rPr>
      </w:pPr>
    </w:p>
    <w:tbl>
      <w:tblPr>
        <w:tblW w:w="0" w:type="auto"/>
        <w:tblInd w:w="1290" w:type="dxa"/>
        <w:tblLayout w:type="fixed"/>
        <w:tblCellMar>
          <w:left w:w="0" w:type="dxa"/>
          <w:right w:w="0" w:type="dxa"/>
        </w:tblCellMar>
        <w:tblLook w:val="01E0" w:firstRow="1" w:lastRow="1" w:firstColumn="1" w:lastColumn="1" w:noHBand="0" w:noVBand="0"/>
      </w:tblPr>
      <w:tblGrid>
        <w:gridCol w:w="871"/>
        <w:gridCol w:w="1475"/>
        <w:gridCol w:w="1481"/>
        <w:gridCol w:w="1445"/>
        <w:gridCol w:w="1441"/>
        <w:gridCol w:w="1767"/>
      </w:tblGrid>
      <w:tr w:rsidR="00487D64">
        <w:trPr>
          <w:trHeight w:val="414"/>
        </w:trPr>
        <w:tc>
          <w:tcPr>
            <w:tcW w:w="871" w:type="dxa"/>
            <w:tcBorders>
              <w:top w:val="single" w:sz="4" w:space="0" w:color="000000"/>
              <w:bottom w:val="single" w:sz="4" w:space="0" w:color="000000"/>
            </w:tcBorders>
          </w:tcPr>
          <w:p w:rsidR="00487D64" w:rsidRDefault="00487D64">
            <w:pPr>
              <w:pStyle w:val="TableParagraph"/>
            </w:pPr>
          </w:p>
        </w:tc>
        <w:tc>
          <w:tcPr>
            <w:tcW w:w="1475" w:type="dxa"/>
            <w:tcBorders>
              <w:top w:val="single" w:sz="4" w:space="0" w:color="000000"/>
              <w:bottom w:val="single" w:sz="4" w:space="0" w:color="000000"/>
            </w:tcBorders>
          </w:tcPr>
          <w:p w:rsidR="00487D64" w:rsidRDefault="006F0D93">
            <w:pPr>
              <w:pStyle w:val="TableParagraph"/>
              <w:spacing w:before="14"/>
              <w:ind w:left="375"/>
              <w:rPr>
                <w:b/>
                <w:sz w:val="23"/>
              </w:rPr>
            </w:pPr>
            <w:r>
              <w:rPr>
                <w:b/>
                <w:spacing w:val="-5"/>
                <w:w w:val="105"/>
                <w:sz w:val="23"/>
              </w:rPr>
              <w:t>CO</w:t>
            </w:r>
          </w:p>
        </w:tc>
        <w:tc>
          <w:tcPr>
            <w:tcW w:w="1481" w:type="dxa"/>
            <w:tcBorders>
              <w:top w:val="single" w:sz="4" w:space="0" w:color="000000"/>
              <w:bottom w:val="single" w:sz="4" w:space="0" w:color="000000"/>
            </w:tcBorders>
          </w:tcPr>
          <w:p w:rsidR="00487D64" w:rsidRDefault="006F0D93">
            <w:pPr>
              <w:pStyle w:val="TableParagraph"/>
              <w:spacing w:before="14"/>
              <w:ind w:left="485"/>
              <w:rPr>
                <w:b/>
                <w:sz w:val="23"/>
              </w:rPr>
            </w:pPr>
            <w:r>
              <w:rPr>
                <w:b/>
                <w:spacing w:val="-5"/>
                <w:w w:val="105"/>
                <w:sz w:val="23"/>
              </w:rPr>
              <w:t>CU</w:t>
            </w:r>
          </w:p>
        </w:tc>
        <w:tc>
          <w:tcPr>
            <w:tcW w:w="1445" w:type="dxa"/>
            <w:tcBorders>
              <w:top w:val="single" w:sz="4" w:space="0" w:color="000000"/>
              <w:bottom w:val="single" w:sz="4" w:space="0" w:color="000000"/>
            </w:tcBorders>
          </w:tcPr>
          <w:p w:rsidR="00487D64" w:rsidRDefault="006F0D93">
            <w:pPr>
              <w:pStyle w:val="TableParagraph"/>
              <w:spacing w:before="14"/>
              <w:ind w:left="452"/>
              <w:rPr>
                <w:b/>
                <w:sz w:val="23"/>
              </w:rPr>
            </w:pPr>
            <w:r>
              <w:rPr>
                <w:b/>
                <w:spacing w:val="-5"/>
                <w:w w:val="105"/>
                <w:sz w:val="23"/>
              </w:rPr>
              <w:t>F</w:t>
            </w:r>
            <w:r>
              <w:rPr>
                <w:b/>
                <w:spacing w:val="-5"/>
                <w:w w:val="105"/>
                <w:sz w:val="23"/>
              </w:rPr>
              <w:t>C</w:t>
            </w:r>
          </w:p>
        </w:tc>
        <w:tc>
          <w:tcPr>
            <w:tcW w:w="1441" w:type="dxa"/>
            <w:tcBorders>
              <w:top w:val="single" w:sz="4" w:space="0" w:color="000000"/>
              <w:bottom w:val="single" w:sz="4" w:space="0" w:color="000000"/>
            </w:tcBorders>
          </w:tcPr>
          <w:p w:rsidR="00487D64" w:rsidRDefault="006F0D93">
            <w:pPr>
              <w:pStyle w:val="TableParagraph"/>
              <w:spacing w:before="14"/>
              <w:ind w:left="448"/>
              <w:rPr>
                <w:b/>
                <w:sz w:val="23"/>
              </w:rPr>
            </w:pPr>
            <w:r>
              <w:rPr>
                <w:b/>
                <w:spacing w:val="-5"/>
                <w:w w:val="105"/>
                <w:sz w:val="23"/>
              </w:rPr>
              <w:t>SC</w:t>
            </w:r>
          </w:p>
        </w:tc>
        <w:tc>
          <w:tcPr>
            <w:tcW w:w="1767" w:type="dxa"/>
            <w:tcBorders>
              <w:top w:val="single" w:sz="4" w:space="0" w:color="000000"/>
              <w:bottom w:val="single" w:sz="4" w:space="0" w:color="000000"/>
            </w:tcBorders>
          </w:tcPr>
          <w:p w:rsidR="00487D64" w:rsidRDefault="006F0D93">
            <w:pPr>
              <w:pStyle w:val="TableParagraph"/>
              <w:spacing w:before="14"/>
              <w:ind w:left="448"/>
              <w:rPr>
                <w:b/>
                <w:sz w:val="23"/>
              </w:rPr>
            </w:pPr>
            <w:r>
              <w:rPr>
                <w:b/>
                <w:spacing w:val="-5"/>
                <w:w w:val="105"/>
                <w:sz w:val="23"/>
              </w:rPr>
              <w:t>SF</w:t>
            </w:r>
          </w:p>
        </w:tc>
      </w:tr>
      <w:tr w:rsidR="00487D64">
        <w:trPr>
          <w:trHeight w:val="350"/>
        </w:trPr>
        <w:tc>
          <w:tcPr>
            <w:tcW w:w="871" w:type="dxa"/>
            <w:tcBorders>
              <w:top w:val="single" w:sz="4" w:space="0" w:color="000000"/>
            </w:tcBorders>
          </w:tcPr>
          <w:p w:rsidR="00487D64" w:rsidRDefault="006F0D93">
            <w:pPr>
              <w:pStyle w:val="TableParagraph"/>
              <w:spacing w:before="14"/>
              <w:ind w:left="136"/>
              <w:rPr>
                <w:b/>
                <w:sz w:val="23"/>
              </w:rPr>
            </w:pPr>
            <w:r>
              <w:rPr>
                <w:b/>
                <w:spacing w:val="-5"/>
                <w:w w:val="105"/>
                <w:sz w:val="23"/>
              </w:rPr>
              <w:t>CO</w:t>
            </w:r>
          </w:p>
        </w:tc>
        <w:tc>
          <w:tcPr>
            <w:tcW w:w="1475" w:type="dxa"/>
            <w:tcBorders>
              <w:top w:val="single" w:sz="4" w:space="0" w:color="000000"/>
            </w:tcBorders>
          </w:tcPr>
          <w:p w:rsidR="00487D64" w:rsidRDefault="006F0D93">
            <w:pPr>
              <w:pStyle w:val="TableParagraph"/>
              <w:spacing w:before="7"/>
              <w:ind w:left="375"/>
              <w:rPr>
                <w:sz w:val="23"/>
              </w:rPr>
            </w:pPr>
            <w:r>
              <w:rPr>
                <w:spacing w:val="-2"/>
                <w:w w:val="105"/>
                <w:sz w:val="23"/>
              </w:rPr>
              <w:t>0.864</w:t>
            </w:r>
          </w:p>
        </w:tc>
        <w:tc>
          <w:tcPr>
            <w:tcW w:w="1481" w:type="dxa"/>
            <w:tcBorders>
              <w:top w:val="single" w:sz="4" w:space="0" w:color="000000"/>
            </w:tcBorders>
          </w:tcPr>
          <w:p w:rsidR="00487D64" w:rsidRDefault="00487D64">
            <w:pPr>
              <w:pStyle w:val="TableParagraph"/>
            </w:pPr>
          </w:p>
        </w:tc>
        <w:tc>
          <w:tcPr>
            <w:tcW w:w="1445" w:type="dxa"/>
            <w:tcBorders>
              <w:top w:val="single" w:sz="4" w:space="0" w:color="000000"/>
            </w:tcBorders>
          </w:tcPr>
          <w:p w:rsidR="00487D64" w:rsidRDefault="00487D64">
            <w:pPr>
              <w:pStyle w:val="TableParagraph"/>
            </w:pPr>
          </w:p>
        </w:tc>
        <w:tc>
          <w:tcPr>
            <w:tcW w:w="1441" w:type="dxa"/>
            <w:tcBorders>
              <w:top w:val="single" w:sz="4" w:space="0" w:color="000000"/>
            </w:tcBorders>
          </w:tcPr>
          <w:p w:rsidR="00487D64" w:rsidRDefault="00487D64">
            <w:pPr>
              <w:pStyle w:val="TableParagraph"/>
            </w:pPr>
          </w:p>
        </w:tc>
        <w:tc>
          <w:tcPr>
            <w:tcW w:w="1767" w:type="dxa"/>
            <w:tcBorders>
              <w:top w:val="single" w:sz="4" w:space="0" w:color="000000"/>
            </w:tcBorders>
          </w:tcPr>
          <w:p w:rsidR="00487D64" w:rsidRDefault="00487D64">
            <w:pPr>
              <w:pStyle w:val="TableParagraph"/>
            </w:pPr>
          </w:p>
        </w:tc>
      </w:tr>
      <w:tr w:rsidR="00487D64">
        <w:trPr>
          <w:trHeight w:val="414"/>
        </w:trPr>
        <w:tc>
          <w:tcPr>
            <w:tcW w:w="871" w:type="dxa"/>
          </w:tcPr>
          <w:p w:rsidR="00487D64" w:rsidRDefault="006F0D93">
            <w:pPr>
              <w:pStyle w:val="TableParagraph"/>
              <w:spacing w:before="74"/>
              <w:ind w:left="136"/>
              <w:rPr>
                <w:b/>
                <w:sz w:val="23"/>
              </w:rPr>
            </w:pPr>
            <w:r>
              <w:rPr>
                <w:b/>
                <w:spacing w:val="-5"/>
                <w:w w:val="105"/>
                <w:sz w:val="23"/>
              </w:rPr>
              <w:t>CU</w:t>
            </w:r>
          </w:p>
        </w:tc>
        <w:tc>
          <w:tcPr>
            <w:tcW w:w="1475" w:type="dxa"/>
          </w:tcPr>
          <w:p w:rsidR="00487D64" w:rsidRDefault="006F0D93">
            <w:pPr>
              <w:pStyle w:val="TableParagraph"/>
              <w:spacing w:before="67"/>
              <w:ind w:left="375"/>
              <w:rPr>
                <w:sz w:val="23"/>
              </w:rPr>
            </w:pPr>
            <w:r>
              <w:rPr>
                <w:spacing w:val="-2"/>
                <w:w w:val="105"/>
                <w:sz w:val="23"/>
              </w:rPr>
              <w:t>0.168</w:t>
            </w:r>
          </w:p>
        </w:tc>
        <w:tc>
          <w:tcPr>
            <w:tcW w:w="1481" w:type="dxa"/>
          </w:tcPr>
          <w:p w:rsidR="00487D64" w:rsidRDefault="006F0D93">
            <w:pPr>
              <w:pStyle w:val="TableParagraph"/>
              <w:spacing w:before="67"/>
              <w:ind w:left="485"/>
              <w:rPr>
                <w:sz w:val="23"/>
              </w:rPr>
            </w:pPr>
            <w:r>
              <w:rPr>
                <w:spacing w:val="-2"/>
                <w:w w:val="105"/>
                <w:sz w:val="23"/>
              </w:rPr>
              <w:t>0.852</w:t>
            </w:r>
          </w:p>
        </w:tc>
        <w:tc>
          <w:tcPr>
            <w:tcW w:w="1445" w:type="dxa"/>
          </w:tcPr>
          <w:p w:rsidR="00487D64" w:rsidRDefault="00487D64">
            <w:pPr>
              <w:pStyle w:val="TableParagraph"/>
            </w:pPr>
          </w:p>
        </w:tc>
        <w:tc>
          <w:tcPr>
            <w:tcW w:w="1441" w:type="dxa"/>
          </w:tcPr>
          <w:p w:rsidR="00487D64" w:rsidRDefault="00487D64">
            <w:pPr>
              <w:pStyle w:val="TableParagraph"/>
            </w:pPr>
          </w:p>
        </w:tc>
        <w:tc>
          <w:tcPr>
            <w:tcW w:w="1767" w:type="dxa"/>
          </w:tcPr>
          <w:p w:rsidR="00487D64" w:rsidRDefault="00487D64">
            <w:pPr>
              <w:pStyle w:val="TableParagraph"/>
            </w:pPr>
          </w:p>
        </w:tc>
      </w:tr>
      <w:tr w:rsidR="00487D64">
        <w:trPr>
          <w:trHeight w:val="414"/>
        </w:trPr>
        <w:tc>
          <w:tcPr>
            <w:tcW w:w="871" w:type="dxa"/>
          </w:tcPr>
          <w:p w:rsidR="00487D64" w:rsidRDefault="006F0D93">
            <w:pPr>
              <w:pStyle w:val="TableParagraph"/>
              <w:spacing w:before="78"/>
              <w:ind w:left="136"/>
              <w:rPr>
                <w:b/>
                <w:sz w:val="23"/>
              </w:rPr>
            </w:pPr>
            <w:r>
              <w:rPr>
                <w:b/>
                <w:spacing w:val="-5"/>
                <w:w w:val="105"/>
                <w:sz w:val="23"/>
              </w:rPr>
              <w:t>FC</w:t>
            </w:r>
          </w:p>
        </w:tc>
        <w:tc>
          <w:tcPr>
            <w:tcW w:w="1475" w:type="dxa"/>
          </w:tcPr>
          <w:p w:rsidR="00487D64" w:rsidRDefault="006F0D93">
            <w:pPr>
              <w:pStyle w:val="TableParagraph"/>
              <w:spacing w:before="70"/>
              <w:ind w:left="375"/>
              <w:rPr>
                <w:sz w:val="23"/>
              </w:rPr>
            </w:pPr>
            <w:r>
              <w:rPr>
                <w:spacing w:val="-7"/>
                <w:sz w:val="23"/>
              </w:rPr>
              <w:t>-</w:t>
            </w:r>
            <w:r>
              <w:rPr>
                <w:spacing w:val="-2"/>
                <w:sz w:val="23"/>
              </w:rPr>
              <w:t>0.010</w:t>
            </w:r>
          </w:p>
        </w:tc>
        <w:tc>
          <w:tcPr>
            <w:tcW w:w="1481" w:type="dxa"/>
          </w:tcPr>
          <w:p w:rsidR="00487D64" w:rsidRDefault="006F0D93">
            <w:pPr>
              <w:pStyle w:val="TableParagraph"/>
              <w:spacing w:before="70"/>
              <w:ind w:left="485"/>
              <w:rPr>
                <w:sz w:val="23"/>
              </w:rPr>
            </w:pPr>
            <w:r>
              <w:rPr>
                <w:spacing w:val="-2"/>
                <w:w w:val="105"/>
                <w:sz w:val="23"/>
              </w:rPr>
              <w:t>0.069</w:t>
            </w:r>
          </w:p>
        </w:tc>
        <w:tc>
          <w:tcPr>
            <w:tcW w:w="1445" w:type="dxa"/>
          </w:tcPr>
          <w:p w:rsidR="00487D64" w:rsidRDefault="006F0D93">
            <w:pPr>
              <w:pStyle w:val="TableParagraph"/>
              <w:spacing w:before="70"/>
              <w:ind w:left="452"/>
              <w:rPr>
                <w:sz w:val="23"/>
              </w:rPr>
            </w:pPr>
            <w:r>
              <w:rPr>
                <w:spacing w:val="-2"/>
                <w:w w:val="105"/>
                <w:sz w:val="23"/>
              </w:rPr>
              <w:t>0.815</w:t>
            </w:r>
          </w:p>
        </w:tc>
        <w:tc>
          <w:tcPr>
            <w:tcW w:w="1441" w:type="dxa"/>
          </w:tcPr>
          <w:p w:rsidR="00487D64" w:rsidRDefault="00487D64">
            <w:pPr>
              <w:pStyle w:val="TableParagraph"/>
            </w:pPr>
          </w:p>
        </w:tc>
        <w:tc>
          <w:tcPr>
            <w:tcW w:w="1767" w:type="dxa"/>
          </w:tcPr>
          <w:p w:rsidR="00487D64" w:rsidRDefault="00487D64">
            <w:pPr>
              <w:pStyle w:val="TableParagraph"/>
            </w:pPr>
          </w:p>
        </w:tc>
      </w:tr>
      <w:tr w:rsidR="00487D64">
        <w:trPr>
          <w:trHeight w:val="414"/>
        </w:trPr>
        <w:tc>
          <w:tcPr>
            <w:tcW w:w="871" w:type="dxa"/>
          </w:tcPr>
          <w:p w:rsidR="00487D64" w:rsidRDefault="006F0D93">
            <w:pPr>
              <w:pStyle w:val="TableParagraph"/>
              <w:spacing w:before="74"/>
              <w:ind w:left="136"/>
              <w:rPr>
                <w:b/>
                <w:sz w:val="23"/>
              </w:rPr>
            </w:pPr>
            <w:r>
              <w:rPr>
                <w:b/>
                <w:spacing w:val="-5"/>
                <w:w w:val="105"/>
                <w:sz w:val="23"/>
              </w:rPr>
              <w:t>SC</w:t>
            </w:r>
          </w:p>
        </w:tc>
        <w:tc>
          <w:tcPr>
            <w:tcW w:w="1475" w:type="dxa"/>
          </w:tcPr>
          <w:p w:rsidR="00487D64" w:rsidRDefault="006F0D93">
            <w:pPr>
              <w:pStyle w:val="TableParagraph"/>
              <w:spacing w:before="67"/>
              <w:ind w:left="375"/>
              <w:rPr>
                <w:sz w:val="23"/>
              </w:rPr>
            </w:pPr>
            <w:r>
              <w:rPr>
                <w:spacing w:val="-2"/>
                <w:w w:val="105"/>
                <w:sz w:val="23"/>
              </w:rPr>
              <w:t>0.346</w:t>
            </w:r>
          </w:p>
        </w:tc>
        <w:tc>
          <w:tcPr>
            <w:tcW w:w="1481" w:type="dxa"/>
          </w:tcPr>
          <w:p w:rsidR="00487D64" w:rsidRDefault="006F0D93">
            <w:pPr>
              <w:pStyle w:val="TableParagraph"/>
              <w:spacing w:before="67"/>
              <w:ind w:left="485"/>
              <w:rPr>
                <w:sz w:val="23"/>
              </w:rPr>
            </w:pPr>
            <w:r>
              <w:rPr>
                <w:spacing w:val="-2"/>
                <w:w w:val="105"/>
                <w:sz w:val="23"/>
              </w:rPr>
              <w:t>0.369</w:t>
            </w:r>
          </w:p>
        </w:tc>
        <w:tc>
          <w:tcPr>
            <w:tcW w:w="1445" w:type="dxa"/>
          </w:tcPr>
          <w:p w:rsidR="00487D64" w:rsidRDefault="006F0D93">
            <w:pPr>
              <w:pStyle w:val="TableParagraph"/>
              <w:spacing w:before="67"/>
              <w:ind w:left="452"/>
              <w:rPr>
                <w:sz w:val="23"/>
              </w:rPr>
            </w:pPr>
            <w:r>
              <w:rPr>
                <w:spacing w:val="-2"/>
                <w:w w:val="105"/>
                <w:sz w:val="23"/>
              </w:rPr>
              <w:t>0.095</w:t>
            </w:r>
          </w:p>
        </w:tc>
        <w:tc>
          <w:tcPr>
            <w:tcW w:w="1441" w:type="dxa"/>
          </w:tcPr>
          <w:p w:rsidR="00487D64" w:rsidRDefault="006F0D93">
            <w:pPr>
              <w:pStyle w:val="TableParagraph"/>
              <w:spacing w:before="67"/>
              <w:ind w:left="448"/>
              <w:rPr>
                <w:sz w:val="23"/>
              </w:rPr>
            </w:pPr>
            <w:r>
              <w:rPr>
                <w:spacing w:val="-2"/>
                <w:w w:val="105"/>
                <w:sz w:val="23"/>
              </w:rPr>
              <w:t>0.831</w:t>
            </w:r>
          </w:p>
        </w:tc>
        <w:tc>
          <w:tcPr>
            <w:tcW w:w="1767" w:type="dxa"/>
          </w:tcPr>
          <w:p w:rsidR="00487D64" w:rsidRDefault="00487D64">
            <w:pPr>
              <w:pStyle w:val="TableParagraph"/>
            </w:pPr>
          </w:p>
        </w:tc>
      </w:tr>
      <w:tr w:rsidR="00487D64">
        <w:trPr>
          <w:trHeight w:val="485"/>
        </w:trPr>
        <w:tc>
          <w:tcPr>
            <w:tcW w:w="871" w:type="dxa"/>
            <w:tcBorders>
              <w:bottom w:val="single" w:sz="4" w:space="0" w:color="000000"/>
            </w:tcBorders>
          </w:tcPr>
          <w:p w:rsidR="00487D64" w:rsidRDefault="006F0D93">
            <w:pPr>
              <w:pStyle w:val="TableParagraph"/>
              <w:spacing w:before="78"/>
              <w:ind w:left="136"/>
              <w:rPr>
                <w:b/>
                <w:sz w:val="23"/>
              </w:rPr>
            </w:pPr>
            <w:r>
              <w:rPr>
                <w:b/>
                <w:spacing w:val="-5"/>
                <w:w w:val="105"/>
                <w:sz w:val="23"/>
              </w:rPr>
              <w:t>SF</w:t>
            </w:r>
          </w:p>
        </w:tc>
        <w:tc>
          <w:tcPr>
            <w:tcW w:w="1475" w:type="dxa"/>
            <w:tcBorders>
              <w:bottom w:val="single" w:sz="4" w:space="0" w:color="000000"/>
            </w:tcBorders>
          </w:tcPr>
          <w:p w:rsidR="00487D64" w:rsidRDefault="006F0D93">
            <w:pPr>
              <w:pStyle w:val="TableParagraph"/>
              <w:spacing w:before="70"/>
              <w:ind w:left="375"/>
              <w:rPr>
                <w:sz w:val="23"/>
              </w:rPr>
            </w:pPr>
            <w:r>
              <w:rPr>
                <w:spacing w:val="-2"/>
                <w:w w:val="105"/>
                <w:sz w:val="23"/>
              </w:rPr>
              <w:t>0.104</w:t>
            </w:r>
          </w:p>
        </w:tc>
        <w:tc>
          <w:tcPr>
            <w:tcW w:w="1481" w:type="dxa"/>
            <w:tcBorders>
              <w:bottom w:val="single" w:sz="4" w:space="0" w:color="000000"/>
            </w:tcBorders>
          </w:tcPr>
          <w:p w:rsidR="00487D64" w:rsidRDefault="006F0D93">
            <w:pPr>
              <w:pStyle w:val="TableParagraph"/>
              <w:spacing w:before="70"/>
              <w:ind w:left="485"/>
              <w:rPr>
                <w:sz w:val="23"/>
              </w:rPr>
            </w:pPr>
            <w:r>
              <w:rPr>
                <w:spacing w:val="-2"/>
                <w:w w:val="105"/>
                <w:sz w:val="23"/>
              </w:rPr>
              <w:t>0.194</w:t>
            </w:r>
          </w:p>
        </w:tc>
        <w:tc>
          <w:tcPr>
            <w:tcW w:w="1445" w:type="dxa"/>
            <w:tcBorders>
              <w:bottom w:val="single" w:sz="4" w:space="0" w:color="000000"/>
            </w:tcBorders>
          </w:tcPr>
          <w:p w:rsidR="00487D64" w:rsidRDefault="006F0D93">
            <w:pPr>
              <w:pStyle w:val="TableParagraph"/>
              <w:spacing w:before="70"/>
              <w:ind w:left="452"/>
              <w:rPr>
                <w:sz w:val="23"/>
              </w:rPr>
            </w:pPr>
            <w:r>
              <w:rPr>
                <w:spacing w:val="-2"/>
                <w:w w:val="105"/>
                <w:sz w:val="23"/>
              </w:rPr>
              <w:t>0.046</w:t>
            </w:r>
          </w:p>
        </w:tc>
        <w:tc>
          <w:tcPr>
            <w:tcW w:w="1441" w:type="dxa"/>
            <w:tcBorders>
              <w:bottom w:val="single" w:sz="4" w:space="0" w:color="000000"/>
            </w:tcBorders>
          </w:tcPr>
          <w:p w:rsidR="00487D64" w:rsidRDefault="006F0D93">
            <w:pPr>
              <w:pStyle w:val="TableParagraph"/>
              <w:spacing w:before="70"/>
              <w:ind w:left="448"/>
              <w:rPr>
                <w:sz w:val="23"/>
              </w:rPr>
            </w:pPr>
            <w:r>
              <w:rPr>
                <w:spacing w:val="-2"/>
                <w:w w:val="105"/>
                <w:sz w:val="23"/>
              </w:rPr>
              <w:t>0.635</w:t>
            </w:r>
          </w:p>
        </w:tc>
        <w:tc>
          <w:tcPr>
            <w:tcW w:w="1767" w:type="dxa"/>
            <w:tcBorders>
              <w:bottom w:val="single" w:sz="4" w:space="0" w:color="000000"/>
            </w:tcBorders>
          </w:tcPr>
          <w:p w:rsidR="00487D64" w:rsidRDefault="006F0D93">
            <w:pPr>
              <w:pStyle w:val="TableParagraph"/>
              <w:spacing w:before="70"/>
              <w:ind w:left="448"/>
              <w:rPr>
                <w:sz w:val="23"/>
              </w:rPr>
            </w:pPr>
            <w:r>
              <w:rPr>
                <w:spacing w:val="-2"/>
                <w:w w:val="105"/>
                <w:sz w:val="23"/>
              </w:rPr>
              <w:t>0.793</w:t>
            </w:r>
          </w:p>
        </w:tc>
      </w:tr>
    </w:tbl>
    <w:p w:rsidR="00487D64" w:rsidRDefault="00487D64">
      <w:pPr>
        <w:pStyle w:val="BodyText"/>
        <w:spacing w:before="262"/>
        <w:rPr>
          <w:b/>
        </w:rPr>
      </w:pPr>
    </w:p>
    <w:p w:rsidR="00487D64" w:rsidRDefault="006F0D93">
      <w:pPr>
        <w:pStyle w:val="ListParagraph"/>
        <w:numPr>
          <w:ilvl w:val="3"/>
          <w:numId w:val="9"/>
        </w:numPr>
        <w:tabs>
          <w:tab w:val="left" w:pos="2860"/>
        </w:tabs>
        <w:rPr>
          <w:b/>
          <w:sz w:val="23"/>
        </w:rPr>
      </w:pPr>
      <w:bookmarkStart w:id="162" w:name="4.5.3.3__Cross_Loadings"/>
      <w:bookmarkEnd w:id="162"/>
      <w:r>
        <w:rPr>
          <w:b/>
          <w:w w:val="105"/>
          <w:sz w:val="23"/>
        </w:rPr>
        <w:t>Cross</w:t>
      </w:r>
      <w:r>
        <w:rPr>
          <w:b/>
          <w:spacing w:val="-10"/>
          <w:w w:val="105"/>
          <w:sz w:val="23"/>
        </w:rPr>
        <w:t xml:space="preserve"> </w:t>
      </w:r>
      <w:r>
        <w:rPr>
          <w:b/>
          <w:spacing w:val="-2"/>
          <w:w w:val="105"/>
          <w:sz w:val="23"/>
        </w:rPr>
        <w:t>Loadings</w:t>
      </w:r>
    </w:p>
    <w:p w:rsidR="00487D64" w:rsidRDefault="00487D64">
      <w:pPr>
        <w:pStyle w:val="BodyText"/>
        <w:spacing w:before="19"/>
        <w:rPr>
          <w:b/>
        </w:rPr>
      </w:pPr>
    </w:p>
    <w:p w:rsidR="00487D64" w:rsidRDefault="006F0D93">
      <w:pPr>
        <w:pStyle w:val="BodyText"/>
        <w:spacing w:line="499" w:lineRule="auto"/>
        <w:ind w:left="1419" w:right="861"/>
        <w:jc w:val="both"/>
      </w:pPr>
      <w:r>
        <w:rPr>
          <w:w w:val="105"/>
        </w:rPr>
        <w:t>To</w:t>
      </w:r>
      <w:r>
        <w:rPr>
          <w:spacing w:val="-12"/>
          <w:w w:val="105"/>
        </w:rPr>
        <w:t xml:space="preserve"> </w:t>
      </w:r>
      <w:r>
        <w:rPr>
          <w:w w:val="105"/>
        </w:rPr>
        <w:t>further</w:t>
      </w:r>
      <w:r>
        <w:rPr>
          <w:spacing w:val="-3"/>
          <w:w w:val="105"/>
        </w:rPr>
        <w:t xml:space="preserve"> </w:t>
      </w:r>
      <w:r>
        <w:rPr>
          <w:w w:val="105"/>
        </w:rPr>
        <w:t>support</w:t>
      </w:r>
      <w:r>
        <w:rPr>
          <w:spacing w:val="-11"/>
          <w:w w:val="105"/>
        </w:rPr>
        <w:t xml:space="preserve"> </w:t>
      </w:r>
      <w:r>
        <w:rPr>
          <w:w w:val="105"/>
        </w:rPr>
        <w:t>discriminant</w:t>
      </w:r>
      <w:r>
        <w:rPr>
          <w:spacing w:val="-4"/>
          <w:w w:val="105"/>
        </w:rPr>
        <w:t xml:space="preserve"> </w:t>
      </w:r>
      <w:r>
        <w:rPr>
          <w:w w:val="105"/>
        </w:rPr>
        <w:t>validity,</w:t>
      </w:r>
      <w:r>
        <w:rPr>
          <w:spacing w:val="-5"/>
          <w:w w:val="105"/>
        </w:rPr>
        <w:t xml:space="preserve"> </w:t>
      </w:r>
      <w:r>
        <w:rPr>
          <w:w w:val="105"/>
        </w:rPr>
        <w:t>indicator</w:t>
      </w:r>
      <w:r>
        <w:rPr>
          <w:spacing w:val="-3"/>
          <w:w w:val="105"/>
        </w:rPr>
        <w:t xml:space="preserve"> </w:t>
      </w:r>
      <w:r>
        <w:rPr>
          <w:w w:val="105"/>
        </w:rPr>
        <w:t>cross-loadings</w:t>
      </w:r>
      <w:r>
        <w:rPr>
          <w:spacing w:val="-8"/>
          <w:w w:val="105"/>
        </w:rPr>
        <w:t xml:space="preserve"> </w:t>
      </w:r>
      <w:r>
        <w:rPr>
          <w:w w:val="105"/>
        </w:rPr>
        <w:t>were</w:t>
      </w:r>
      <w:r>
        <w:rPr>
          <w:spacing w:val="-7"/>
          <w:w w:val="105"/>
        </w:rPr>
        <w:t xml:space="preserve"> </w:t>
      </w:r>
      <w:r>
        <w:rPr>
          <w:w w:val="105"/>
        </w:rPr>
        <w:t>examined.</w:t>
      </w:r>
      <w:r>
        <w:rPr>
          <w:spacing w:val="-5"/>
          <w:w w:val="105"/>
        </w:rPr>
        <w:t xml:space="preserve"> </w:t>
      </w:r>
      <w:r>
        <w:rPr>
          <w:w w:val="105"/>
        </w:rPr>
        <w:t>All items demonstrated higher loadings on their respective constructs than on any other construct,</w:t>
      </w:r>
      <w:r>
        <w:rPr>
          <w:spacing w:val="60"/>
          <w:w w:val="150"/>
        </w:rPr>
        <w:t xml:space="preserve"> </w:t>
      </w:r>
      <w:r>
        <w:rPr>
          <w:w w:val="105"/>
        </w:rPr>
        <w:t>consistent</w:t>
      </w:r>
      <w:r>
        <w:rPr>
          <w:spacing w:val="61"/>
          <w:w w:val="150"/>
        </w:rPr>
        <w:t xml:space="preserve"> </w:t>
      </w:r>
      <w:r>
        <w:rPr>
          <w:w w:val="105"/>
        </w:rPr>
        <w:t>with</w:t>
      </w:r>
      <w:r>
        <w:rPr>
          <w:spacing w:val="79"/>
          <w:w w:val="105"/>
        </w:rPr>
        <w:t xml:space="preserve"> </w:t>
      </w:r>
      <w:r>
        <w:rPr>
          <w:w w:val="105"/>
        </w:rPr>
        <w:t>recommended</w:t>
      </w:r>
      <w:r>
        <w:rPr>
          <w:spacing w:val="79"/>
          <w:w w:val="105"/>
        </w:rPr>
        <w:t xml:space="preserve"> </w:t>
      </w:r>
      <w:r>
        <w:rPr>
          <w:w w:val="105"/>
        </w:rPr>
        <w:t>guidelines</w:t>
      </w:r>
      <w:r>
        <w:rPr>
          <w:spacing w:val="76"/>
          <w:w w:val="105"/>
        </w:rPr>
        <w:t xml:space="preserve"> </w:t>
      </w:r>
      <w:r>
        <w:rPr>
          <w:w w:val="105"/>
        </w:rPr>
        <w:t>for</w:t>
      </w:r>
      <w:r>
        <w:rPr>
          <w:spacing w:val="56"/>
          <w:w w:val="150"/>
        </w:rPr>
        <w:t xml:space="preserve"> </w:t>
      </w:r>
      <w:r>
        <w:rPr>
          <w:w w:val="105"/>
        </w:rPr>
        <w:t>reflective</w:t>
      </w:r>
      <w:r>
        <w:rPr>
          <w:spacing w:val="59"/>
          <w:w w:val="150"/>
        </w:rPr>
        <w:t xml:space="preserve"> </w:t>
      </w:r>
      <w:r>
        <w:rPr>
          <w:spacing w:val="-2"/>
          <w:w w:val="105"/>
        </w:rPr>
        <w:t>measurement</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60"/>
        <w:jc w:val="both"/>
      </w:pPr>
      <w:r>
        <w:rPr>
          <w:w w:val="105"/>
        </w:rPr>
        <w:t>models (Hair et al., 2021). This indicates that each construct is empirically distinct. Table 4.11 shows the cross-loadings.</w:t>
      </w:r>
    </w:p>
    <w:p w:rsidR="00487D64" w:rsidRDefault="006F0D93">
      <w:pPr>
        <w:spacing w:before="229"/>
        <w:ind w:left="1419"/>
        <w:jc w:val="both"/>
        <w:rPr>
          <w:sz w:val="23"/>
        </w:rPr>
      </w:pPr>
      <w:r>
        <w:rPr>
          <w:b/>
          <w:w w:val="105"/>
          <w:sz w:val="23"/>
        </w:rPr>
        <w:t>Table</w:t>
      </w:r>
      <w:r>
        <w:rPr>
          <w:b/>
          <w:spacing w:val="-5"/>
          <w:w w:val="105"/>
          <w:sz w:val="23"/>
        </w:rPr>
        <w:t xml:space="preserve"> </w:t>
      </w:r>
      <w:r>
        <w:rPr>
          <w:b/>
          <w:w w:val="105"/>
          <w:sz w:val="23"/>
        </w:rPr>
        <w:t>4.</w:t>
      </w:r>
      <w:r>
        <w:rPr>
          <w:b/>
          <w:spacing w:val="-8"/>
          <w:w w:val="105"/>
          <w:sz w:val="23"/>
        </w:rPr>
        <w:t xml:space="preserve"> </w:t>
      </w:r>
      <w:r>
        <w:rPr>
          <w:b/>
          <w:w w:val="105"/>
          <w:sz w:val="23"/>
        </w:rPr>
        <w:t>11</w:t>
      </w:r>
      <w:r>
        <w:rPr>
          <w:w w:val="105"/>
          <w:sz w:val="23"/>
        </w:rPr>
        <w:t>:</w:t>
      </w:r>
      <w:r>
        <w:rPr>
          <w:spacing w:val="-8"/>
          <w:w w:val="105"/>
          <w:sz w:val="23"/>
        </w:rPr>
        <w:t xml:space="preserve"> </w:t>
      </w:r>
      <w:r>
        <w:rPr>
          <w:w w:val="105"/>
          <w:sz w:val="23"/>
        </w:rPr>
        <w:t>Cross</w:t>
      </w:r>
      <w:r>
        <w:rPr>
          <w:spacing w:val="-6"/>
          <w:w w:val="105"/>
          <w:sz w:val="23"/>
        </w:rPr>
        <w:t xml:space="preserve"> </w:t>
      </w:r>
      <w:r>
        <w:rPr>
          <w:spacing w:val="-2"/>
          <w:w w:val="105"/>
          <w:sz w:val="23"/>
        </w:rPr>
        <w:t>Loadings</w:t>
      </w:r>
    </w:p>
    <w:p w:rsidR="00487D64" w:rsidRDefault="00487D64">
      <w:pPr>
        <w:pStyle w:val="BodyText"/>
        <w:spacing w:before="7" w:after="1"/>
        <w:rPr>
          <w:sz w:val="12"/>
        </w:rPr>
      </w:pPr>
    </w:p>
    <w:tbl>
      <w:tblPr>
        <w:tblW w:w="0" w:type="auto"/>
        <w:tblInd w:w="1290" w:type="dxa"/>
        <w:tblLayout w:type="fixed"/>
        <w:tblCellMar>
          <w:left w:w="0" w:type="dxa"/>
          <w:right w:w="0" w:type="dxa"/>
        </w:tblCellMar>
        <w:tblLook w:val="01E0" w:firstRow="1" w:lastRow="1" w:firstColumn="1" w:lastColumn="1" w:noHBand="0" w:noVBand="0"/>
      </w:tblPr>
      <w:tblGrid>
        <w:gridCol w:w="1099"/>
        <w:gridCol w:w="852"/>
        <w:gridCol w:w="840"/>
        <w:gridCol w:w="840"/>
        <w:gridCol w:w="840"/>
        <w:gridCol w:w="843"/>
        <w:gridCol w:w="1073"/>
        <w:gridCol w:w="1080"/>
        <w:gridCol w:w="1016"/>
      </w:tblGrid>
      <w:tr w:rsidR="00487D64">
        <w:trPr>
          <w:trHeight w:val="292"/>
        </w:trPr>
        <w:tc>
          <w:tcPr>
            <w:tcW w:w="1099" w:type="dxa"/>
            <w:tcBorders>
              <w:top w:val="single" w:sz="4" w:space="0" w:color="000000"/>
              <w:bottom w:val="single" w:sz="4" w:space="0" w:color="000000"/>
            </w:tcBorders>
          </w:tcPr>
          <w:p w:rsidR="00487D64" w:rsidRDefault="00487D64">
            <w:pPr>
              <w:pStyle w:val="TableParagraph"/>
              <w:rPr>
                <w:sz w:val="20"/>
              </w:rPr>
            </w:pPr>
          </w:p>
        </w:tc>
        <w:tc>
          <w:tcPr>
            <w:tcW w:w="852" w:type="dxa"/>
            <w:tcBorders>
              <w:top w:val="single" w:sz="4" w:space="0" w:color="000000"/>
              <w:bottom w:val="single" w:sz="4" w:space="0" w:color="000000"/>
            </w:tcBorders>
          </w:tcPr>
          <w:p w:rsidR="00487D64" w:rsidRDefault="006F0D93">
            <w:pPr>
              <w:pStyle w:val="TableParagraph"/>
              <w:spacing w:before="2"/>
              <w:ind w:right="135"/>
              <w:jc w:val="right"/>
              <w:rPr>
                <w:b/>
              </w:rPr>
            </w:pPr>
            <w:r>
              <w:rPr>
                <w:b/>
                <w:spacing w:val="-5"/>
              </w:rPr>
              <w:t>CO</w:t>
            </w:r>
          </w:p>
        </w:tc>
        <w:tc>
          <w:tcPr>
            <w:tcW w:w="840" w:type="dxa"/>
            <w:tcBorders>
              <w:top w:val="single" w:sz="4" w:space="0" w:color="000000"/>
              <w:bottom w:val="single" w:sz="4" w:space="0" w:color="000000"/>
            </w:tcBorders>
          </w:tcPr>
          <w:p w:rsidR="00487D64" w:rsidRDefault="006F0D93">
            <w:pPr>
              <w:pStyle w:val="TableParagraph"/>
              <w:spacing w:before="2"/>
              <w:ind w:right="137"/>
              <w:jc w:val="right"/>
              <w:rPr>
                <w:b/>
              </w:rPr>
            </w:pPr>
            <w:r>
              <w:rPr>
                <w:b/>
                <w:spacing w:val="-5"/>
              </w:rPr>
              <w:t>CU</w:t>
            </w:r>
          </w:p>
        </w:tc>
        <w:tc>
          <w:tcPr>
            <w:tcW w:w="840" w:type="dxa"/>
            <w:tcBorders>
              <w:top w:val="single" w:sz="4" w:space="0" w:color="000000"/>
              <w:bottom w:val="single" w:sz="4" w:space="0" w:color="000000"/>
            </w:tcBorders>
          </w:tcPr>
          <w:p w:rsidR="00487D64" w:rsidRDefault="006F0D93">
            <w:pPr>
              <w:pStyle w:val="TableParagraph"/>
              <w:spacing w:before="2"/>
              <w:ind w:right="131"/>
              <w:jc w:val="right"/>
              <w:rPr>
                <w:b/>
              </w:rPr>
            </w:pPr>
            <w:r>
              <w:rPr>
                <w:b/>
                <w:spacing w:val="-5"/>
              </w:rPr>
              <w:t>FC</w:t>
            </w:r>
          </w:p>
        </w:tc>
        <w:tc>
          <w:tcPr>
            <w:tcW w:w="840" w:type="dxa"/>
            <w:tcBorders>
              <w:top w:val="single" w:sz="4" w:space="0" w:color="000000"/>
              <w:bottom w:val="single" w:sz="4" w:space="0" w:color="000000"/>
            </w:tcBorders>
          </w:tcPr>
          <w:p w:rsidR="00487D64" w:rsidRDefault="006F0D93">
            <w:pPr>
              <w:pStyle w:val="TableParagraph"/>
              <w:spacing w:before="2"/>
              <w:ind w:right="138"/>
              <w:jc w:val="right"/>
              <w:rPr>
                <w:b/>
              </w:rPr>
            </w:pPr>
            <w:r>
              <w:rPr>
                <w:b/>
                <w:spacing w:val="-5"/>
              </w:rPr>
              <w:t>SC</w:t>
            </w:r>
          </w:p>
        </w:tc>
        <w:tc>
          <w:tcPr>
            <w:tcW w:w="843" w:type="dxa"/>
            <w:tcBorders>
              <w:top w:val="single" w:sz="4" w:space="0" w:color="000000"/>
              <w:bottom w:val="single" w:sz="4" w:space="0" w:color="000000"/>
            </w:tcBorders>
          </w:tcPr>
          <w:p w:rsidR="00487D64" w:rsidRDefault="006F0D93">
            <w:pPr>
              <w:pStyle w:val="TableParagraph"/>
              <w:spacing w:before="2"/>
              <w:ind w:right="141"/>
              <w:jc w:val="right"/>
              <w:rPr>
                <w:b/>
              </w:rPr>
            </w:pPr>
            <w:r>
              <w:rPr>
                <w:b/>
                <w:spacing w:val="-5"/>
              </w:rPr>
              <w:t>SF</w:t>
            </w:r>
          </w:p>
        </w:tc>
        <w:tc>
          <w:tcPr>
            <w:tcW w:w="1073" w:type="dxa"/>
            <w:tcBorders>
              <w:top w:val="single" w:sz="4" w:space="0" w:color="000000"/>
              <w:bottom w:val="single" w:sz="4" w:space="0" w:color="000000"/>
            </w:tcBorders>
          </w:tcPr>
          <w:p w:rsidR="00487D64" w:rsidRDefault="006F0D93">
            <w:pPr>
              <w:pStyle w:val="TableParagraph"/>
              <w:spacing w:before="2"/>
              <w:ind w:right="136"/>
              <w:jc w:val="right"/>
              <w:rPr>
                <w:b/>
              </w:rPr>
            </w:pPr>
            <w:r>
              <w:rPr>
                <w:b/>
              </w:rPr>
              <w:t>SF</w:t>
            </w:r>
            <w:r>
              <w:rPr>
                <w:b/>
                <w:spacing w:val="2"/>
              </w:rPr>
              <w:t xml:space="preserve"> </w:t>
            </w:r>
            <w:r>
              <w:rPr>
                <w:b/>
              </w:rPr>
              <w:t>x</w:t>
            </w:r>
            <w:r>
              <w:rPr>
                <w:b/>
                <w:spacing w:val="-1"/>
              </w:rPr>
              <w:t xml:space="preserve"> </w:t>
            </w:r>
            <w:r>
              <w:rPr>
                <w:b/>
                <w:spacing w:val="-5"/>
              </w:rPr>
              <w:t>CU</w:t>
            </w:r>
          </w:p>
        </w:tc>
        <w:tc>
          <w:tcPr>
            <w:tcW w:w="1080" w:type="dxa"/>
            <w:tcBorders>
              <w:top w:val="single" w:sz="4" w:space="0" w:color="000000"/>
              <w:bottom w:val="single" w:sz="4" w:space="0" w:color="000000"/>
            </w:tcBorders>
          </w:tcPr>
          <w:p w:rsidR="00487D64" w:rsidRDefault="006F0D93">
            <w:pPr>
              <w:pStyle w:val="TableParagraph"/>
              <w:spacing w:before="2"/>
              <w:ind w:right="131"/>
              <w:jc w:val="right"/>
              <w:rPr>
                <w:b/>
              </w:rPr>
            </w:pPr>
            <w:r>
              <w:rPr>
                <w:b/>
              </w:rPr>
              <w:t>SF</w:t>
            </w:r>
            <w:r>
              <w:rPr>
                <w:b/>
                <w:spacing w:val="2"/>
              </w:rPr>
              <w:t xml:space="preserve"> </w:t>
            </w:r>
            <w:r>
              <w:rPr>
                <w:b/>
              </w:rPr>
              <w:t>x</w:t>
            </w:r>
            <w:r>
              <w:rPr>
                <w:b/>
                <w:spacing w:val="-1"/>
              </w:rPr>
              <w:t xml:space="preserve"> </w:t>
            </w:r>
            <w:r>
              <w:rPr>
                <w:b/>
                <w:spacing w:val="-5"/>
              </w:rPr>
              <w:t>CO</w:t>
            </w:r>
          </w:p>
        </w:tc>
        <w:tc>
          <w:tcPr>
            <w:tcW w:w="1016" w:type="dxa"/>
            <w:tcBorders>
              <w:top w:val="single" w:sz="4" w:space="0" w:color="000000"/>
              <w:bottom w:val="single" w:sz="4" w:space="0" w:color="000000"/>
            </w:tcBorders>
          </w:tcPr>
          <w:p w:rsidR="00487D64" w:rsidRDefault="006F0D93">
            <w:pPr>
              <w:pStyle w:val="TableParagraph"/>
              <w:spacing w:before="2"/>
              <w:ind w:right="108"/>
              <w:jc w:val="right"/>
              <w:rPr>
                <w:b/>
              </w:rPr>
            </w:pPr>
            <w:r>
              <w:rPr>
                <w:b/>
              </w:rPr>
              <w:t>SF</w:t>
            </w:r>
            <w:r>
              <w:rPr>
                <w:b/>
                <w:spacing w:val="2"/>
              </w:rPr>
              <w:t xml:space="preserve"> </w:t>
            </w:r>
            <w:r>
              <w:rPr>
                <w:b/>
              </w:rPr>
              <w:t>x</w:t>
            </w:r>
            <w:r>
              <w:rPr>
                <w:b/>
                <w:spacing w:val="-1"/>
              </w:rPr>
              <w:t xml:space="preserve"> </w:t>
            </w:r>
            <w:r>
              <w:rPr>
                <w:b/>
                <w:spacing w:val="-5"/>
              </w:rPr>
              <w:t>FC</w:t>
            </w:r>
          </w:p>
        </w:tc>
      </w:tr>
      <w:tr w:rsidR="00487D64">
        <w:trPr>
          <w:trHeight w:val="272"/>
        </w:trPr>
        <w:tc>
          <w:tcPr>
            <w:tcW w:w="1099" w:type="dxa"/>
            <w:tcBorders>
              <w:top w:val="single" w:sz="4" w:space="0" w:color="000000"/>
            </w:tcBorders>
          </w:tcPr>
          <w:p w:rsidR="00487D64" w:rsidRDefault="006F0D93">
            <w:pPr>
              <w:pStyle w:val="TableParagraph"/>
              <w:spacing w:line="248" w:lineRule="exact"/>
              <w:ind w:left="136"/>
              <w:rPr>
                <w:b/>
              </w:rPr>
            </w:pPr>
            <w:r>
              <w:rPr>
                <w:b/>
                <w:spacing w:val="-5"/>
              </w:rPr>
              <w:t>CO1</w:t>
            </w:r>
          </w:p>
        </w:tc>
        <w:tc>
          <w:tcPr>
            <w:tcW w:w="852" w:type="dxa"/>
            <w:tcBorders>
              <w:top w:val="single" w:sz="4" w:space="0" w:color="000000"/>
            </w:tcBorders>
          </w:tcPr>
          <w:p w:rsidR="00487D64" w:rsidRDefault="006F0D93">
            <w:pPr>
              <w:pStyle w:val="TableParagraph"/>
              <w:spacing w:line="248" w:lineRule="exact"/>
              <w:ind w:right="130"/>
              <w:jc w:val="right"/>
            </w:pPr>
            <w:r>
              <w:rPr>
                <w:spacing w:val="-2"/>
              </w:rPr>
              <w:t>0.904</w:t>
            </w:r>
          </w:p>
        </w:tc>
        <w:tc>
          <w:tcPr>
            <w:tcW w:w="840" w:type="dxa"/>
            <w:tcBorders>
              <w:top w:val="single" w:sz="4" w:space="0" w:color="000000"/>
            </w:tcBorders>
          </w:tcPr>
          <w:p w:rsidR="00487D64" w:rsidRDefault="006F0D93">
            <w:pPr>
              <w:pStyle w:val="TableParagraph"/>
              <w:spacing w:line="248" w:lineRule="exact"/>
              <w:ind w:right="135"/>
              <w:jc w:val="right"/>
            </w:pPr>
            <w:r>
              <w:rPr>
                <w:spacing w:val="-2"/>
              </w:rPr>
              <w:t>0.210</w:t>
            </w:r>
          </w:p>
        </w:tc>
        <w:tc>
          <w:tcPr>
            <w:tcW w:w="840" w:type="dxa"/>
            <w:tcBorders>
              <w:top w:val="single" w:sz="4" w:space="0" w:color="000000"/>
            </w:tcBorders>
          </w:tcPr>
          <w:p w:rsidR="00487D64" w:rsidRDefault="006F0D93">
            <w:pPr>
              <w:pStyle w:val="TableParagraph"/>
              <w:spacing w:line="248" w:lineRule="exact"/>
              <w:ind w:right="132"/>
              <w:jc w:val="right"/>
            </w:pPr>
            <w:r>
              <w:rPr>
                <w:spacing w:val="-4"/>
              </w:rPr>
              <w:t>-</w:t>
            </w:r>
            <w:r>
              <w:rPr>
                <w:spacing w:val="-2"/>
              </w:rPr>
              <w:t>0.039</w:t>
            </w:r>
          </w:p>
        </w:tc>
        <w:tc>
          <w:tcPr>
            <w:tcW w:w="840" w:type="dxa"/>
            <w:tcBorders>
              <w:top w:val="single" w:sz="4" w:space="0" w:color="000000"/>
            </w:tcBorders>
          </w:tcPr>
          <w:p w:rsidR="00487D64" w:rsidRDefault="006F0D93">
            <w:pPr>
              <w:pStyle w:val="TableParagraph"/>
              <w:spacing w:line="248" w:lineRule="exact"/>
              <w:ind w:right="135"/>
              <w:jc w:val="right"/>
            </w:pPr>
            <w:r>
              <w:rPr>
                <w:spacing w:val="-2"/>
              </w:rPr>
              <w:t>0.329</w:t>
            </w:r>
          </w:p>
        </w:tc>
        <w:tc>
          <w:tcPr>
            <w:tcW w:w="843" w:type="dxa"/>
            <w:tcBorders>
              <w:top w:val="single" w:sz="4" w:space="0" w:color="000000"/>
            </w:tcBorders>
          </w:tcPr>
          <w:p w:rsidR="00487D64" w:rsidRDefault="006F0D93">
            <w:pPr>
              <w:pStyle w:val="TableParagraph"/>
              <w:spacing w:line="248" w:lineRule="exact"/>
              <w:ind w:right="136"/>
              <w:jc w:val="right"/>
            </w:pPr>
            <w:r>
              <w:rPr>
                <w:spacing w:val="-2"/>
              </w:rPr>
              <w:t>0.135</w:t>
            </w:r>
          </w:p>
        </w:tc>
        <w:tc>
          <w:tcPr>
            <w:tcW w:w="1073" w:type="dxa"/>
            <w:tcBorders>
              <w:top w:val="single" w:sz="4" w:space="0" w:color="000000"/>
            </w:tcBorders>
          </w:tcPr>
          <w:p w:rsidR="00487D64" w:rsidRDefault="006F0D93">
            <w:pPr>
              <w:pStyle w:val="TableParagraph"/>
              <w:spacing w:line="248" w:lineRule="exact"/>
              <w:ind w:right="143"/>
              <w:jc w:val="right"/>
            </w:pPr>
            <w:r>
              <w:rPr>
                <w:spacing w:val="-4"/>
              </w:rPr>
              <w:t>-</w:t>
            </w:r>
            <w:r>
              <w:rPr>
                <w:spacing w:val="-2"/>
              </w:rPr>
              <w:t>0.100</w:t>
            </w:r>
          </w:p>
        </w:tc>
        <w:tc>
          <w:tcPr>
            <w:tcW w:w="1080" w:type="dxa"/>
            <w:tcBorders>
              <w:top w:val="single" w:sz="4" w:space="0" w:color="000000"/>
            </w:tcBorders>
          </w:tcPr>
          <w:p w:rsidR="00487D64" w:rsidRDefault="006F0D93">
            <w:pPr>
              <w:pStyle w:val="TableParagraph"/>
              <w:spacing w:line="248" w:lineRule="exact"/>
              <w:ind w:right="135"/>
              <w:jc w:val="right"/>
            </w:pPr>
            <w:r>
              <w:rPr>
                <w:spacing w:val="-2"/>
              </w:rPr>
              <w:t>0.059</w:t>
            </w:r>
          </w:p>
        </w:tc>
        <w:tc>
          <w:tcPr>
            <w:tcW w:w="1016" w:type="dxa"/>
            <w:tcBorders>
              <w:top w:val="single" w:sz="4" w:space="0" w:color="000000"/>
            </w:tcBorders>
          </w:tcPr>
          <w:p w:rsidR="00487D64" w:rsidRDefault="006F0D93">
            <w:pPr>
              <w:pStyle w:val="TableParagraph"/>
              <w:spacing w:line="248" w:lineRule="exact"/>
              <w:ind w:right="113"/>
              <w:jc w:val="right"/>
            </w:pPr>
            <w:r>
              <w:rPr>
                <w:spacing w:val="-2"/>
              </w:rPr>
              <w:t>0.007</w:t>
            </w:r>
          </w:p>
        </w:tc>
      </w:tr>
      <w:tr w:rsidR="00487D64">
        <w:trPr>
          <w:trHeight w:val="291"/>
        </w:trPr>
        <w:tc>
          <w:tcPr>
            <w:tcW w:w="1099" w:type="dxa"/>
          </w:tcPr>
          <w:p w:rsidR="00487D64" w:rsidRDefault="006F0D93">
            <w:pPr>
              <w:pStyle w:val="TableParagraph"/>
              <w:spacing w:before="17"/>
              <w:ind w:left="136"/>
              <w:rPr>
                <w:b/>
              </w:rPr>
            </w:pPr>
            <w:r>
              <w:rPr>
                <w:b/>
                <w:spacing w:val="-5"/>
              </w:rPr>
              <w:t>CO2</w:t>
            </w:r>
          </w:p>
        </w:tc>
        <w:tc>
          <w:tcPr>
            <w:tcW w:w="852" w:type="dxa"/>
          </w:tcPr>
          <w:p w:rsidR="00487D64" w:rsidRDefault="006F0D93">
            <w:pPr>
              <w:pStyle w:val="TableParagraph"/>
              <w:spacing w:before="17"/>
              <w:ind w:right="130"/>
              <w:jc w:val="right"/>
            </w:pPr>
            <w:r>
              <w:rPr>
                <w:spacing w:val="-2"/>
              </w:rPr>
              <w:t>0.904</w:t>
            </w:r>
          </w:p>
        </w:tc>
        <w:tc>
          <w:tcPr>
            <w:tcW w:w="840" w:type="dxa"/>
          </w:tcPr>
          <w:p w:rsidR="00487D64" w:rsidRDefault="006F0D93">
            <w:pPr>
              <w:pStyle w:val="TableParagraph"/>
              <w:spacing w:before="17"/>
              <w:ind w:right="135"/>
              <w:jc w:val="right"/>
            </w:pPr>
            <w:r>
              <w:rPr>
                <w:spacing w:val="-2"/>
              </w:rPr>
              <w:t>0.131</w:t>
            </w:r>
          </w:p>
        </w:tc>
        <w:tc>
          <w:tcPr>
            <w:tcW w:w="840" w:type="dxa"/>
          </w:tcPr>
          <w:p w:rsidR="00487D64" w:rsidRDefault="006F0D93">
            <w:pPr>
              <w:pStyle w:val="TableParagraph"/>
              <w:spacing w:before="17"/>
              <w:ind w:right="132"/>
              <w:jc w:val="right"/>
            </w:pPr>
            <w:r>
              <w:rPr>
                <w:spacing w:val="-4"/>
              </w:rPr>
              <w:t>-</w:t>
            </w:r>
            <w:r>
              <w:rPr>
                <w:spacing w:val="-2"/>
              </w:rPr>
              <w:t>0.032</w:t>
            </w:r>
          </w:p>
        </w:tc>
        <w:tc>
          <w:tcPr>
            <w:tcW w:w="840" w:type="dxa"/>
          </w:tcPr>
          <w:p w:rsidR="00487D64" w:rsidRDefault="006F0D93">
            <w:pPr>
              <w:pStyle w:val="TableParagraph"/>
              <w:spacing w:before="17"/>
              <w:ind w:right="136"/>
              <w:jc w:val="right"/>
            </w:pPr>
            <w:r>
              <w:rPr>
                <w:spacing w:val="-2"/>
              </w:rPr>
              <w:t>0.276</w:t>
            </w:r>
          </w:p>
        </w:tc>
        <w:tc>
          <w:tcPr>
            <w:tcW w:w="843" w:type="dxa"/>
          </w:tcPr>
          <w:p w:rsidR="00487D64" w:rsidRDefault="006F0D93">
            <w:pPr>
              <w:pStyle w:val="TableParagraph"/>
              <w:spacing w:before="17"/>
              <w:ind w:right="136"/>
              <w:jc w:val="right"/>
            </w:pPr>
            <w:r>
              <w:rPr>
                <w:spacing w:val="-2"/>
              </w:rPr>
              <w:t>0.103</w:t>
            </w:r>
          </w:p>
        </w:tc>
        <w:tc>
          <w:tcPr>
            <w:tcW w:w="1073" w:type="dxa"/>
          </w:tcPr>
          <w:p w:rsidR="00487D64" w:rsidRDefault="006F0D93">
            <w:pPr>
              <w:pStyle w:val="TableParagraph"/>
              <w:spacing w:before="17"/>
              <w:ind w:right="143"/>
              <w:jc w:val="right"/>
            </w:pPr>
            <w:r>
              <w:rPr>
                <w:spacing w:val="-4"/>
              </w:rPr>
              <w:t>-</w:t>
            </w:r>
            <w:r>
              <w:rPr>
                <w:spacing w:val="-2"/>
              </w:rPr>
              <w:t>0.051</w:t>
            </w:r>
          </w:p>
        </w:tc>
        <w:tc>
          <w:tcPr>
            <w:tcW w:w="1080" w:type="dxa"/>
          </w:tcPr>
          <w:p w:rsidR="00487D64" w:rsidRDefault="006F0D93">
            <w:pPr>
              <w:pStyle w:val="TableParagraph"/>
              <w:spacing w:before="17"/>
              <w:ind w:right="135"/>
              <w:jc w:val="right"/>
            </w:pPr>
            <w:r>
              <w:rPr>
                <w:spacing w:val="-2"/>
              </w:rPr>
              <w:t>0.072</w:t>
            </w:r>
          </w:p>
        </w:tc>
        <w:tc>
          <w:tcPr>
            <w:tcW w:w="1016" w:type="dxa"/>
          </w:tcPr>
          <w:p w:rsidR="00487D64" w:rsidRDefault="006F0D93">
            <w:pPr>
              <w:pStyle w:val="TableParagraph"/>
              <w:spacing w:before="17"/>
              <w:ind w:right="113"/>
              <w:jc w:val="right"/>
            </w:pPr>
            <w:r>
              <w:rPr>
                <w:spacing w:val="-2"/>
              </w:rPr>
              <w:t>0.039</w:t>
            </w:r>
          </w:p>
        </w:tc>
      </w:tr>
      <w:tr w:rsidR="00487D64">
        <w:trPr>
          <w:trHeight w:val="291"/>
        </w:trPr>
        <w:tc>
          <w:tcPr>
            <w:tcW w:w="1099" w:type="dxa"/>
          </w:tcPr>
          <w:p w:rsidR="00487D64" w:rsidRDefault="006F0D93">
            <w:pPr>
              <w:pStyle w:val="TableParagraph"/>
              <w:spacing w:before="14"/>
              <w:ind w:left="136"/>
              <w:rPr>
                <w:b/>
              </w:rPr>
            </w:pPr>
            <w:r>
              <w:rPr>
                <w:b/>
                <w:spacing w:val="-5"/>
              </w:rPr>
              <w:t>CO3</w:t>
            </w:r>
          </w:p>
        </w:tc>
        <w:tc>
          <w:tcPr>
            <w:tcW w:w="852" w:type="dxa"/>
          </w:tcPr>
          <w:p w:rsidR="00487D64" w:rsidRDefault="006F0D93">
            <w:pPr>
              <w:pStyle w:val="TableParagraph"/>
              <w:spacing w:before="14"/>
              <w:ind w:right="130"/>
              <w:jc w:val="right"/>
            </w:pPr>
            <w:r>
              <w:rPr>
                <w:spacing w:val="-2"/>
              </w:rPr>
              <w:t>0.713</w:t>
            </w:r>
          </w:p>
        </w:tc>
        <w:tc>
          <w:tcPr>
            <w:tcW w:w="840" w:type="dxa"/>
          </w:tcPr>
          <w:p w:rsidR="00487D64" w:rsidRDefault="006F0D93">
            <w:pPr>
              <w:pStyle w:val="TableParagraph"/>
              <w:spacing w:before="14"/>
              <w:ind w:right="135"/>
              <w:jc w:val="right"/>
            </w:pPr>
            <w:r>
              <w:rPr>
                <w:spacing w:val="-2"/>
              </w:rPr>
              <w:t>0.165</w:t>
            </w:r>
          </w:p>
        </w:tc>
        <w:tc>
          <w:tcPr>
            <w:tcW w:w="840" w:type="dxa"/>
          </w:tcPr>
          <w:p w:rsidR="00487D64" w:rsidRDefault="006F0D93">
            <w:pPr>
              <w:pStyle w:val="TableParagraph"/>
              <w:spacing w:before="14"/>
              <w:ind w:right="132"/>
              <w:jc w:val="right"/>
            </w:pPr>
            <w:r>
              <w:rPr>
                <w:spacing w:val="-2"/>
              </w:rPr>
              <w:t>0.065</w:t>
            </w:r>
          </w:p>
        </w:tc>
        <w:tc>
          <w:tcPr>
            <w:tcW w:w="840" w:type="dxa"/>
          </w:tcPr>
          <w:p w:rsidR="00487D64" w:rsidRDefault="006F0D93">
            <w:pPr>
              <w:pStyle w:val="TableParagraph"/>
              <w:spacing w:before="14"/>
              <w:ind w:right="136"/>
              <w:jc w:val="right"/>
            </w:pPr>
            <w:r>
              <w:rPr>
                <w:spacing w:val="-2"/>
              </w:rPr>
              <w:t>0.291</w:t>
            </w:r>
          </w:p>
        </w:tc>
        <w:tc>
          <w:tcPr>
            <w:tcW w:w="843" w:type="dxa"/>
          </w:tcPr>
          <w:p w:rsidR="00487D64" w:rsidRDefault="006F0D93">
            <w:pPr>
              <w:pStyle w:val="TableParagraph"/>
              <w:spacing w:before="14"/>
              <w:ind w:right="136"/>
              <w:jc w:val="right"/>
            </w:pPr>
            <w:r>
              <w:rPr>
                <w:spacing w:val="-2"/>
              </w:rPr>
              <w:t>0.060</w:t>
            </w:r>
          </w:p>
        </w:tc>
        <w:tc>
          <w:tcPr>
            <w:tcW w:w="1073" w:type="dxa"/>
          </w:tcPr>
          <w:p w:rsidR="00487D64" w:rsidRDefault="006F0D93">
            <w:pPr>
              <w:pStyle w:val="TableParagraph"/>
              <w:spacing w:before="14"/>
              <w:ind w:right="143"/>
              <w:jc w:val="right"/>
            </w:pPr>
            <w:r>
              <w:rPr>
                <w:spacing w:val="-4"/>
              </w:rPr>
              <w:t>-</w:t>
            </w:r>
            <w:r>
              <w:rPr>
                <w:spacing w:val="-2"/>
              </w:rPr>
              <w:t>0.061</w:t>
            </w:r>
          </w:p>
        </w:tc>
        <w:tc>
          <w:tcPr>
            <w:tcW w:w="1080" w:type="dxa"/>
          </w:tcPr>
          <w:p w:rsidR="00487D64" w:rsidRDefault="006F0D93">
            <w:pPr>
              <w:pStyle w:val="TableParagraph"/>
              <w:spacing w:before="14"/>
              <w:ind w:right="135"/>
              <w:jc w:val="right"/>
            </w:pPr>
            <w:r>
              <w:rPr>
                <w:spacing w:val="-2"/>
              </w:rPr>
              <w:t>0.011</w:t>
            </w:r>
          </w:p>
        </w:tc>
        <w:tc>
          <w:tcPr>
            <w:tcW w:w="1016" w:type="dxa"/>
          </w:tcPr>
          <w:p w:rsidR="00487D64" w:rsidRDefault="006F0D93">
            <w:pPr>
              <w:pStyle w:val="TableParagraph"/>
              <w:spacing w:before="14"/>
              <w:ind w:right="113"/>
              <w:jc w:val="right"/>
            </w:pPr>
            <w:r>
              <w:rPr>
                <w:spacing w:val="-2"/>
              </w:rPr>
              <w:t>0.008</w:t>
            </w:r>
          </w:p>
        </w:tc>
      </w:tr>
      <w:tr w:rsidR="00487D64">
        <w:trPr>
          <w:trHeight w:val="291"/>
        </w:trPr>
        <w:tc>
          <w:tcPr>
            <w:tcW w:w="1099" w:type="dxa"/>
          </w:tcPr>
          <w:p w:rsidR="00487D64" w:rsidRDefault="006F0D93">
            <w:pPr>
              <w:pStyle w:val="TableParagraph"/>
              <w:spacing w:before="17"/>
              <w:ind w:left="136"/>
              <w:rPr>
                <w:b/>
              </w:rPr>
            </w:pPr>
            <w:r>
              <w:rPr>
                <w:b/>
                <w:spacing w:val="-5"/>
              </w:rPr>
              <w:t>CO4</w:t>
            </w:r>
          </w:p>
        </w:tc>
        <w:tc>
          <w:tcPr>
            <w:tcW w:w="852" w:type="dxa"/>
          </w:tcPr>
          <w:p w:rsidR="00487D64" w:rsidRDefault="006F0D93">
            <w:pPr>
              <w:pStyle w:val="TableParagraph"/>
              <w:spacing w:before="17"/>
              <w:ind w:right="130"/>
              <w:jc w:val="right"/>
            </w:pPr>
            <w:r>
              <w:rPr>
                <w:spacing w:val="-2"/>
              </w:rPr>
              <w:t>0.891</w:t>
            </w:r>
          </w:p>
        </w:tc>
        <w:tc>
          <w:tcPr>
            <w:tcW w:w="840" w:type="dxa"/>
          </w:tcPr>
          <w:p w:rsidR="00487D64" w:rsidRDefault="006F0D93">
            <w:pPr>
              <w:pStyle w:val="TableParagraph"/>
              <w:spacing w:before="17"/>
              <w:ind w:right="135"/>
              <w:jc w:val="right"/>
            </w:pPr>
            <w:r>
              <w:rPr>
                <w:spacing w:val="-2"/>
              </w:rPr>
              <w:t>0.123</w:t>
            </w:r>
          </w:p>
        </w:tc>
        <w:tc>
          <w:tcPr>
            <w:tcW w:w="840" w:type="dxa"/>
          </w:tcPr>
          <w:p w:rsidR="00487D64" w:rsidRDefault="006F0D93">
            <w:pPr>
              <w:pStyle w:val="TableParagraph"/>
              <w:spacing w:before="17"/>
              <w:ind w:right="132"/>
              <w:jc w:val="right"/>
            </w:pPr>
            <w:r>
              <w:rPr>
                <w:spacing w:val="-4"/>
              </w:rPr>
              <w:t>-</w:t>
            </w:r>
            <w:r>
              <w:rPr>
                <w:spacing w:val="-2"/>
              </w:rPr>
              <w:t>0.043</w:t>
            </w:r>
          </w:p>
        </w:tc>
        <w:tc>
          <w:tcPr>
            <w:tcW w:w="840" w:type="dxa"/>
          </w:tcPr>
          <w:p w:rsidR="00487D64" w:rsidRDefault="006F0D93">
            <w:pPr>
              <w:pStyle w:val="TableParagraph"/>
              <w:spacing w:before="17"/>
              <w:ind w:right="136"/>
              <w:jc w:val="right"/>
            </w:pPr>
            <w:r>
              <w:rPr>
                <w:spacing w:val="-2"/>
              </w:rPr>
              <w:t>0.294</w:t>
            </w:r>
          </w:p>
        </w:tc>
        <w:tc>
          <w:tcPr>
            <w:tcW w:w="843" w:type="dxa"/>
          </w:tcPr>
          <w:p w:rsidR="00487D64" w:rsidRDefault="006F0D93">
            <w:pPr>
              <w:pStyle w:val="TableParagraph"/>
              <w:spacing w:before="17"/>
              <w:ind w:right="136"/>
              <w:jc w:val="right"/>
            </w:pPr>
            <w:r>
              <w:rPr>
                <w:spacing w:val="-2"/>
              </w:rPr>
              <w:t>0.099</w:t>
            </w:r>
          </w:p>
        </w:tc>
        <w:tc>
          <w:tcPr>
            <w:tcW w:w="1073" w:type="dxa"/>
          </w:tcPr>
          <w:p w:rsidR="00487D64" w:rsidRDefault="006F0D93">
            <w:pPr>
              <w:pStyle w:val="TableParagraph"/>
              <w:spacing w:before="17"/>
              <w:ind w:right="143"/>
              <w:jc w:val="right"/>
            </w:pPr>
            <w:r>
              <w:rPr>
                <w:spacing w:val="-4"/>
              </w:rPr>
              <w:t>-</w:t>
            </w:r>
            <w:r>
              <w:rPr>
                <w:spacing w:val="-2"/>
              </w:rPr>
              <w:t>0.070</w:t>
            </w:r>
          </w:p>
        </w:tc>
        <w:tc>
          <w:tcPr>
            <w:tcW w:w="1080" w:type="dxa"/>
          </w:tcPr>
          <w:p w:rsidR="00487D64" w:rsidRDefault="006F0D93">
            <w:pPr>
              <w:pStyle w:val="TableParagraph"/>
              <w:spacing w:before="17"/>
              <w:ind w:right="135"/>
              <w:jc w:val="right"/>
            </w:pPr>
            <w:r>
              <w:rPr>
                <w:spacing w:val="-2"/>
              </w:rPr>
              <w:t>0.059</w:t>
            </w:r>
          </w:p>
        </w:tc>
        <w:tc>
          <w:tcPr>
            <w:tcW w:w="1016" w:type="dxa"/>
          </w:tcPr>
          <w:p w:rsidR="00487D64" w:rsidRDefault="006F0D93">
            <w:pPr>
              <w:pStyle w:val="TableParagraph"/>
              <w:spacing w:before="17"/>
              <w:ind w:right="113"/>
              <w:jc w:val="right"/>
            </w:pPr>
            <w:r>
              <w:rPr>
                <w:spacing w:val="-2"/>
              </w:rPr>
              <w:t>0.046</w:t>
            </w:r>
          </w:p>
        </w:tc>
      </w:tr>
      <w:tr w:rsidR="00487D64">
        <w:trPr>
          <w:trHeight w:val="288"/>
        </w:trPr>
        <w:tc>
          <w:tcPr>
            <w:tcW w:w="1099" w:type="dxa"/>
          </w:tcPr>
          <w:p w:rsidR="00487D64" w:rsidRDefault="006F0D93">
            <w:pPr>
              <w:pStyle w:val="TableParagraph"/>
              <w:spacing w:before="14"/>
              <w:ind w:left="136"/>
              <w:rPr>
                <w:b/>
              </w:rPr>
            </w:pPr>
            <w:r>
              <w:rPr>
                <w:b/>
                <w:spacing w:val="-5"/>
              </w:rPr>
              <w:t>CO5</w:t>
            </w:r>
          </w:p>
        </w:tc>
        <w:tc>
          <w:tcPr>
            <w:tcW w:w="852" w:type="dxa"/>
          </w:tcPr>
          <w:p w:rsidR="00487D64" w:rsidRDefault="006F0D93">
            <w:pPr>
              <w:pStyle w:val="TableParagraph"/>
              <w:spacing w:before="14"/>
              <w:ind w:right="130"/>
              <w:jc w:val="right"/>
            </w:pPr>
            <w:r>
              <w:rPr>
                <w:spacing w:val="-2"/>
              </w:rPr>
              <w:t>0.927</w:t>
            </w:r>
          </w:p>
        </w:tc>
        <w:tc>
          <w:tcPr>
            <w:tcW w:w="840" w:type="dxa"/>
          </w:tcPr>
          <w:p w:rsidR="00487D64" w:rsidRDefault="006F0D93">
            <w:pPr>
              <w:pStyle w:val="TableParagraph"/>
              <w:spacing w:before="14"/>
              <w:ind w:right="135"/>
              <w:jc w:val="right"/>
            </w:pPr>
            <w:r>
              <w:rPr>
                <w:spacing w:val="-2"/>
              </w:rPr>
              <w:t>0.146</w:t>
            </w:r>
          </w:p>
        </w:tc>
        <w:tc>
          <w:tcPr>
            <w:tcW w:w="840" w:type="dxa"/>
          </w:tcPr>
          <w:p w:rsidR="00487D64" w:rsidRDefault="006F0D93">
            <w:pPr>
              <w:pStyle w:val="TableParagraph"/>
              <w:spacing w:before="14"/>
              <w:ind w:right="132"/>
              <w:jc w:val="right"/>
            </w:pPr>
            <w:r>
              <w:rPr>
                <w:spacing w:val="-4"/>
              </w:rPr>
              <w:t>-</w:t>
            </w:r>
            <w:r>
              <w:rPr>
                <w:spacing w:val="-2"/>
              </w:rPr>
              <w:t>0.042</w:t>
            </w:r>
          </w:p>
        </w:tc>
        <w:tc>
          <w:tcPr>
            <w:tcW w:w="840" w:type="dxa"/>
          </w:tcPr>
          <w:p w:rsidR="00487D64" w:rsidRDefault="006F0D93">
            <w:pPr>
              <w:pStyle w:val="TableParagraph"/>
              <w:spacing w:before="14"/>
              <w:ind w:right="136"/>
              <w:jc w:val="right"/>
            </w:pPr>
            <w:r>
              <w:rPr>
                <w:spacing w:val="-2"/>
              </w:rPr>
              <w:t>0.301</w:t>
            </w:r>
          </w:p>
        </w:tc>
        <w:tc>
          <w:tcPr>
            <w:tcW w:w="843" w:type="dxa"/>
          </w:tcPr>
          <w:p w:rsidR="00487D64" w:rsidRDefault="006F0D93">
            <w:pPr>
              <w:pStyle w:val="TableParagraph"/>
              <w:spacing w:before="14"/>
              <w:ind w:right="136"/>
              <w:jc w:val="right"/>
            </w:pPr>
            <w:r>
              <w:rPr>
                <w:spacing w:val="-2"/>
              </w:rPr>
              <w:t>0.059</w:t>
            </w:r>
          </w:p>
        </w:tc>
        <w:tc>
          <w:tcPr>
            <w:tcW w:w="1073" w:type="dxa"/>
          </w:tcPr>
          <w:p w:rsidR="00487D64" w:rsidRDefault="006F0D93">
            <w:pPr>
              <w:pStyle w:val="TableParagraph"/>
              <w:spacing w:before="14"/>
              <w:ind w:right="143"/>
              <w:jc w:val="right"/>
            </w:pPr>
            <w:r>
              <w:rPr>
                <w:spacing w:val="-4"/>
              </w:rPr>
              <w:t>-</w:t>
            </w:r>
            <w:r>
              <w:rPr>
                <w:spacing w:val="-2"/>
              </w:rPr>
              <w:t>0.063</w:t>
            </w:r>
          </w:p>
        </w:tc>
        <w:tc>
          <w:tcPr>
            <w:tcW w:w="1080" w:type="dxa"/>
          </w:tcPr>
          <w:p w:rsidR="00487D64" w:rsidRDefault="006F0D93">
            <w:pPr>
              <w:pStyle w:val="TableParagraph"/>
              <w:spacing w:before="14"/>
              <w:ind w:right="135"/>
              <w:jc w:val="right"/>
            </w:pPr>
            <w:r>
              <w:rPr>
                <w:spacing w:val="-2"/>
              </w:rPr>
              <w:t>0.101</w:t>
            </w:r>
          </w:p>
        </w:tc>
        <w:tc>
          <w:tcPr>
            <w:tcW w:w="1016" w:type="dxa"/>
          </w:tcPr>
          <w:p w:rsidR="00487D64" w:rsidRDefault="006F0D93">
            <w:pPr>
              <w:pStyle w:val="TableParagraph"/>
              <w:spacing w:before="14"/>
              <w:ind w:right="113"/>
              <w:jc w:val="right"/>
            </w:pPr>
            <w:r>
              <w:rPr>
                <w:spacing w:val="-2"/>
              </w:rPr>
              <w:t>0.055</w:t>
            </w:r>
          </w:p>
        </w:tc>
      </w:tr>
      <w:tr w:rsidR="00487D64">
        <w:trPr>
          <w:trHeight w:val="291"/>
        </w:trPr>
        <w:tc>
          <w:tcPr>
            <w:tcW w:w="1099" w:type="dxa"/>
          </w:tcPr>
          <w:p w:rsidR="00487D64" w:rsidRDefault="006F0D93">
            <w:pPr>
              <w:pStyle w:val="TableParagraph"/>
              <w:spacing w:before="14"/>
              <w:ind w:left="136"/>
              <w:rPr>
                <w:b/>
              </w:rPr>
            </w:pPr>
            <w:r>
              <w:rPr>
                <w:b/>
                <w:spacing w:val="-5"/>
              </w:rPr>
              <w:t>CO6</w:t>
            </w:r>
          </w:p>
        </w:tc>
        <w:tc>
          <w:tcPr>
            <w:tcW w:w="852" w:type="dxa"/>
          </w:tcPr>
          <w:p w:rsidR="00487D64" w:rsidRDefault="006F0D93">
            <w:pPr>
              <w:pStyle w:val="TableParagraph"/>
              <w:spacing w:before="14"/>
              <w:ind w:right="130"/>
              <w:jc w:val="right"/>
            </w:pPr>
            <w:r>
              <w:rPr>
                <w:spacing w:val="-2"/>
              </w:rPr>
              <w:t>0.823</w:t>
            </w:r>
          </w:p>
        </w:tc>
        <w:tc>
          <w:tcPr>
            <w:tcW w:w="840" w:type="dxa"/>
          </w:tcPr>
          <w:p w:rsidR="00487D64" w:rsidRDefault="006F0D93">
            <w:pPr>
              <w:pStyle w:val="TableParagraph"/>
              <w:spacing w:before="14"/>
              <w:ind w:right="135"/>
              <w:jc w:val="right"/>
            </w:pPr>
            <w:r>
              <w:rPr>
                <w:spacing w:val="-2"/>
              </w:rPr>
              <w:t>0.085</w:t>
            </w:r>
          </w:p>
        </w:tc>
        <w:tc>
          <w:tcPr>
            <w:tcW w:w="840" w:type="dxa"/>
          </w:tcPr>
          <w:p w:rsidR="00487D64" w:rsidRDefault="006F0D93">
            <w:pPr>
              <w:pStyle w:val="TableParagraph"/>
              <w:spacing w:before="14"/>
              <w:ind w:right="132"/>
              <w:jc w:val="right"/>
            </w:pPr>
            <w:r>
              <w:rPr>
                <w:spacing w:val="-2"/>
              </w:rPr>
              <w:t>0.042</w:t>
            </w:r>
          </w:p>
        </w:tc>
        <w:tc>
          <w:tcPr>
            <w:tcW w:w="840" w:type="dxa"/>
          </w:tcPr>
          <w:p w:rsidR="00487D64" w:rsidRDefault="006F0D93">
            <w:pPr>
              <w:pStyle w:val="TableParagraph"/>
              <w:spacing w:before="14"/>
              <w:ind w:right="136"/>
              <w:jc w:val="right"/>
            </w:pPr>
            <w:r>
              <w:rPr>
                <w:spacing w:val="-2"/>
              </w:rPr>
              <w:t>0.292</w:t>
            </w:r>
          </w:p>
        </w:tc>
        <w:tc>
          <w:tcPr>
            <w:tcW w:w="843" w:type="dxa"/>
          </w:tcPr>
          <w:p w:rsidR="00487D64" w:rsidRDefault="006F0D93">
            <w:pPr>
              <w:pStyle w:val="TableParagraph"/>
              <w:spacing w:before="14"/>
              <w:ind w:right="136"/>
              <w:jc w:val="right"/>
            </w:pPr>
            <w:r>
              <w:rPr>
                <w:spacing w:val="-2"/>
              </w:rPr>
              <w:t>0.077</w:t>
            </w:r>
          </w:p>
        </w:tc>
        <w:tc>
          <w:tcPr>
            <w:tcW w:w="1073" w:type="dxa"/>
          </w:tcPr>
          <w:p w:rsidR="00487D64" w:rsidRDefault="006F0D93">
            <w:pPr>
              <w:pStyle w:val="TableParagraph"/>
              <w:spacing w:before="14"/>
              <w:ind w:right="143"/>
              <w:jc w:val="right"/>
            </w:pPr>
            <w:r>
              <w:rPr>
                <w:spacing w:val="-4"/>
              </w:rPr>
              <w:t>-</w:t>
            </w:r>
            <w:r>
              <w:rPr>
                <w:spacing w:val="-2"/>
              </w:rPr>
              <w:t>0.032</w:t>
            </w:r>
          </w:p>
        </w:tc>
        <w:tc>
          <w:tcPr>
            <w:tcW w:w="1080" w:type="dxa"/>
          </w:tcPr>
          <w:p w:rsidR="00487D64" w:rsidRDefault="006F0D93">
            <w:pPr>
              <w:pStyle w:val="TableParagraph"/>
              <w:spacing w:before="14"/>
              <w:ind w:right="135"/>
              <w:jc w:val="right"/>
            </w:pPr>
            <w:r>
              <w:rPr>
                <w:spacing w:val="-2"/>
              </w:rPr>
              <w:t>0.062</w:t>
            </w:r>
          </w:p>
        </w:tc>
        <w:tc>
          <w:tcPr>
            <w:tcW w:w="1016" w:type="dxa"/>
          </w:tcPr>
          <w:p w:rsidR="00487D64" w:rsidRDefault="006F0D93">
            <w:pPr>
              <w:pStyle w:val="TableParagraph"/>
              <w:spacing w:before="14"/>
              <w:ind w:right="113"/>
              <w:jc w:val="right"/>
            </w:pPr>
            <w:r>
              <w:rPr>
                <w:spacing w:val="-2"/>
              </w:rPr>
              <w:t>0.017</w:t>
            </w:r>
          </w:p>
        </w:tc>
      </w:tr>
      <w:tr w:rsidR="00487D64">
        <w:trPr>
          <w:trHeight w:val="291"/>
        </w:trPr>
        <w:tc>
          <w:tcPr>
            <w:tcW w:w="1099" w:type="dxa"/>
          </w:tcPr>
          <w:p w:rsidR="00487D64" w:rsidRDefault="006F0D93">
            <w:pPr>
              <w:pStyle w:val="TableParagraph"/>
              <w:spacing w:before="17"/>
              <w:ind w:left="136"/>
              <w:rPr>
                <w:b/>
              </w:rPr>
            </w:pPr>
            <w:r>
              <w:rPr>
                <w:b/>
                <w:spacing w:val="-5"/>
              </w:rPr>
              <w:t>CU1</w:t>
            </w:r>
          </w:p>
        </w:tc>
        <w:tc>
          <w:tcPr>
            <w:tcW w:w="852" w:type="dxa"/>
          </w:tcPr>
          <w:p w:rsidR="00487D64" w:rsidRDefault="006F0D93">
            <w:pPr>
              <w:pStyle w:val="TableParagraph"/>
              <w:spacing w:before="17"/>
              <w:ind w:right="130"/>
              <w:jc w:val="right"/>
            </w:pPr>
            <w:r>
              <w:rPr>
                <w:spacing w:val="-2"/>
              </w:rPr>
              <w:t>0.062</w:t>
            </w:r>
          </w:p>
        </w:tc>
        <w:tc>
          <w:tcPr>
            <w:tcW w:w="840" w:type="dxa"/>
          </w:tcPr>
          <w:p w:rsidR="00487D64" w:rsidRDefault="006F0D93">
            <w:pPr>
              <w:pStyle w:val="TableParagraph"/>
              <w:spacing w:before="17"/>
              <w:ind w:right="135"/>
              <w:jc w:val="right"/>
            </w:pPr>
            <w:r>
              <w:rPr>
                <w:spacing w:val="-2"/>
              </w:rPr>
              <w:t>0.713</w:t>
            </w:r>
          </w:p>
        </w:tc>
        <w:tc>
          <w:tcPr>
            <w:tcW w:w="840" w:type="dxa"/>
          </w:tcPr>
          <w:p w:rsidR="00487D64" w:rsidRDefault="006F0D93">
            <w:pPr>
              <w:pStyle w:val="TableParagraph"/>
              <w:spacing w:before="17"/>
              <w:ind w:right="132"/>
              <w:jc w:val="right"/>
            </w:pPr>
            <w:r>
              <w:rPr>
                <w:spacing w:val="-2"/>
              </w:rPr>
              <w:t>0.003</w:t>
            </w:r>
          </w:p>
        </w:tc>
        <w:tc>
          <w:tcPr>
            <w:tcW w:w="840" w:type="dxa"/>
          </w:tcPr>
          <w:p w:rsidR="00487D64" w:rsidRDefault="006F0D93">
            <w:pPr>
              <w:pStyle w:val="TableParagraph"/>
              <w:spacing w:before="17"/>
              <w:ind w:right="136"/>
              <w:jc w:val="right"/>
            </w:pPr>
            <w:r>
              <w:rPr>
                <w:spacing w:val="-2"/>
              </w:rPr>
              <w:t>0.230</w:t>
            </w:r>
          </w:p>
        </w:tc>
        <w:tc>
          <w:tcPr>
            <w:tcW w:w="843" w:type="dxa"/>
          </w:tcPr>
          <w:p w:rsidR="00487D64" w:rsidRDefault="006F0D93">
            <w:pPr>
              <w:pStyle w:val="TableParagraph"/>
              <w:spacing w:before="17"/>
              <w:ind w:right="136"/>
              <w:jc w:val="right"/>
            </w:pPr>
            <w:r>
              <w:rPr>
                <w:spacing w:val="-2"/>
              </w:rPr>
              <w:t>0.135</w:t>
            </w:r>
          </w:p>
        </w:tc>
        <w:tc>
          <w:tcPr>
            <w:tcW w:w="1073" w:type="dxa"/>
          </w:tcPr>
          <w:p w:rsidR="00487D64" w:rsidRDefault="006F0D93">
            <w:pPr>
              <w:pStyle w:val="TableParagraph"/>
              <w:spacing w:before="17"/>
              <w:ind w:right="143"/>
              <w:jc w:val="right"/>
            </w:pPr>
            <w:r>
              <w:rPr>
                <w:spacing w:val="-2"/>
              </w:rPr>
              <w:t>0.029</w:t>
            </w:r>
          </w:p>
        </w:tc>
        <w:tc>
          <w:tcPr>
            <w:tcW w:w="1080" w:type="dxa"/>
          </w:tcPr>
          <w:p w:rsidR="00487D64" w:rsidRDefault="006F0D93">
            <w:pPr>
              <w:pStyle w:val="TableParagraph"/>
              <w:spacing w:before="17"/>
              <w:ind w:right="135"/>
              <w:jc w:val="right"/>
            </w:pPr>
            <w:r>
              <w:rPr>
                <w:spacing w:val="-4"/>
              </w:rPr>
              <w:t>-</w:t>
            </w:r>
            <w:r>
              <w:rPr>
                <w:spacing w:val="-2"/>
              </w:rPr>
              <w:t>0.004</w:t>
            </w:r>
          </w:p>
        </w:tc>
        <w:tc>
          <w:tcPr>
            <w:tcW w:w="1016" w:type="dxa"/>
          </w:tcPr>
          <w:p w:rsidR="00487D64" w:rsidRDefault="006F0D93">
            <w:pPr>
              <w:pStyle w:val="TableParagraph"/>
              <w:spacing w:before="17"/>
              <w:ind w:right="113"/>
              <w:jc w:val="right"/>
            </w:pPr>
            <w:r>
              <w:rPr>
                <w:spacing w:val="-4"/>
              </w:rPr>
              <w:t>-</w:t>
            </w:r>
            <w:r>
              <w:rPr>
                <w:spacing w:val="-2"/>
              </w:rPr>
              <w:t>0.004</w:t>
            </w:r>
          </w:p>
        </w:tc>
      </w:tr>
      <w:tr w:rsidR="00487D64">
        <w:trPr>
          <w:trHeight w:val="291"/>
        </w:trPr>
        <w:tc>
          <w:tcPr>
            <w:tcW w:w="1099" w:type="dxa"/>
          </w:tcPr>
          <w:p w:rsidR="00487D64" w:rsidRDefault="006F0D93">
            <w:pPr>
              <w:pStyle w:val="TableParagraph"/>
              <w:spacing w:before="14"/>
              <w:ind w:left="136"/>
              <w:rPr>
                <w:b/>
              </w:rPr>
            </w:pPr>
            <w:r>
              <w:rPr>
                <w:b/>
                <w:spacing w:val="-5"/>
              </w:rPr>
              <w:t>CU2</w:t>
            </w:r>
          </w:p>
        </w:tc>
        <w:tc>
          <w:tcPr>
            <w:tcW w:w="852" w:type="dxa"/>
          </w:tcPr>
          <w:p w:rsidR="00487D64" w:rsidRDefault="006F0D93">
            <w:pPr>
              <w:pStyle w:val="TableParagraph"/>
              <w:spacing w:before="14"/>
              <w:ind w:right="130"/>
              <w:jc w:val="right"/>
            </w:pPr>
            <w:r>
              <w:rPr>
                <w:spacing w:val="-2"/>
              </w:rPr>
              <w:t>0.140</w:t>
            </w:r>
          </w:p>
        </w:tc>
        <w:tc>
          <w:tcPr>
            <w:tcW w:w="840" w:type="dxa"/>
          </w:tcPr>
          <w:p w:rsidR="00487D64" w:rsidRDefault="006F0D93">
            <w:pPr>
              <w:pStyle w:val="TableParagraph"/>
              <w:spacing w:before="14"/>
              <w:ind w:right="135"/>
              <w:jc w:val="right"/>
            </w:pPr>
            <w:r>
              <w:rPr>
                <w:spacing w:val="-2"/>
              </w:rPr>
              <w:t>0.857</w:t>
            </w:r>
          </w:p>
        </w:tc>
        <w:tc>
          <w:tcPr>
            <w:tcW w:w="840" w:type="dxa"/>
          </w:tcPr>
          <w:p w:rsidR="00487D64" w:rsidRDefault="006F0D93">
            <w:pPr>
              <w:pStyle w:val="TableParagraph"/>
              <w:spacing w:before="14"/>
              <w:ind w:right="132"/>
              <w:jc w:val="right"/>
            </w:pPr>
            <w:r>
              <w:rPr>
                <w:spacing w:val="-2"/>
              </w:rPr>
              <w:t>0.078</w:t>
            </w:r>
          </w:p>
        </w:tc>
        <w:tc>
          <w:tcPr>
            <w:tcW w:w="840" w:type="dxa"/>
          </w:tcPr>
          <w:p w:rsidR="00487D64" w:rsidRDefault="006F0D93">
            <w:pPr>
              <w:pStyle w:val="TableParagraph"/>
              <w:spacing w:before="14"/>
              <w:ind w:right="136"/>
              <w:jc w:val="right"/>
            </w:pPr>
            <w:r>
              <w:rPr>
                <w:spacing w:val="-2"/>
              </w:rPr>
              <w:t>0.277</w:t>
            </w:r>
          </w:p>
        </w:tc>
        <w:tc>
          <w:tcPr>
            <w:tcW w:w="843" w:type="dxa"/>
          </w:tcPr>
          <w:p w:rsidR="00487D64" w:rsidRDefault="006F0D93">
            <w:pPr>
              <w:pStyle w:val="TableParagraph"/>
              <w:spacing w:before="14"/>
              <w:ind w:right="136"/>
              <w:jc w:val="right"/>
            </w:pPr>
            <w:r>
              <w:rPr>
                <w:spacing w:val="-2"/>
              </w:rPr>
              <w:t>0.161</w:t>
            </w:r>
          </w:p>
        </w:tc>
        <w:tc>
          <w:tcPr>
            <w:tcW w:w="1073" w:type="dxa"/>
          </w:tcPr>
          <w:p w:rsidR="00487D64" w:rsidRDefault="006F0D93">
            <w:pPr>
              <w:pStyle w:val="TableParagraph"/>
              <w:spacing w:before="14"/>
              <w:ind w:right="143"/>
              <w:jc w:val="right"/>
            </w:pPr>
            <w:r>
              <w:rPr>
                <w:spacing w:val="-2"/>
              </w:rPr>
              <w:t>0.007</w:t>
            </w:r>
          </w:p>
        </w:tc>
        <w:tc>
          <w:tcPr>
            <w:tcW w:w="1080" w:type="dxa"/>
          </w:tcPr>
          <w:p w:rsidR="00487D64" w:rsidRDefault="006F0D93">
            <w:pPr>
              <w:pStyle w:val="TableParagraph"/>
              <w:spacing w:before="14"/>
              <w:ind w:right="135"/>
              <w:jc w:val="right"/>
            </w:pPr>
            <w:r>
              <w:rPr>
                <w:spacing w:val="-4"/>
              </w:rPr>
              <w:t>-</w:t>
            </w:r>
            <w:r>
              <w:rPr>
                <w:spacing w:val="-2"/>
              </w:rPr>
              <w:t>0.044</w:t>
            </w:r>
          </w:p>
        </w:tc>
        <w:tc>
          <w:tcPr>
            <w:tcW w:w="1016" w:type="dxa"/>
          </w:tcPr>
          <w:p w:rsidR="00487D64" w:rsidRDefault="006F0D93">
            <w:pPr>
              <w:pStyle w:val="TableParagraph"/>
              <w:spacing w:before="14"/>
              <w:ind w:right="113"/>
              <w:jc w:val="right"/>
            </w:pPr>
            <w:r>
              <w:rPr>
                <w:spacing w:val="-4"/>
              </w:rPr>
              <w:t>-</w:t>
            </w:r>
            <w:r>
              <w:rPr>
                <w:spacing w:val="-2"/>
              </w:rPr>
              <w:t>0.041</w:t>
            </w:r>
          </w:p>
        </w:tc>
      </w:tr>
      <w:tr w:rsidR="00487D64">
        <w:trPr>
          <w:trHeight w:val="291"/>
        </w:trPr>
        <w:tc>
          <w:tcPr>
            <w:tcW w:w="1099" w:type="dxa"/>
          </w:tcPr>
          <w:p w:rsidR="00487D64" w:rsidRDefault="006F0D93">
            <w:pPr>
              <w:pStyle w:val="TableParagraph"/>
              <w:spacing w:before="17"/>
              <w:ind w:left="136"/>
              <w:rPr>
                <w:b/>
              </w:rPr>
            </w:pPr>
            <w:r>
              <w:rPr>
                <w:b/>
                <w:spacing w:val="-5"/>
              </w:rPr>
              <w:t>CU3</w:t>
            </w:r>
          </w:p>
        </w:tc>
        <w:tc>
          <w:tcPr>
            <w:tcW w:w="852" w:type="dxa"/>
          </w:tcPr>
          <w:p w:rsidR="00487D64" w:rsidRDefault="006F0D93">
            <w:pPr>
              <w:pStyle w:val="TableParagraph"/>
              <w:spacing w:before="17"/>
              <w:ind w:right="130"/>
              <w:jc w:val="right"/>
            </w:pPr>
            <w:r>
              <w:rPr>
                <w:spacing w:val="-2"/>
              </w:rPr>
              <w:t>0.177</w:t>
            </w:r>
          </w:p>
        </w:tc>
        <w:tc>
          <w:tcPr>
            <w:tcW w:w="840" w:type="dxa"/>
          </w:tcPr>
          <w:p w:rsidR="00487D64" w:rsidRDefault="006F0D93">
            <w:pPr>
              <w:pStyle w:val="TableParagraph"/>
              <w:spacing w:before="17"/>
              <w:ind w:right="135"/>
              <w:jc w:val="right"/>
            </w:pPr>
            <w:r>
              <w:rPr>
                <w:spacing w:val="-2"/>
              </w:rPr>
              <w:t>0.921</w:t>
            </w:r>
          </w:p>
        </w:tc>
        <w:tc>
          <w:tcPr>
            <w:tcW w:w="840" w:type="dxa"/>
          </w:tcPr>
          <w:p w:rsidR="00487D64" w:rsidRDefault="006F0D93">
            <w:pPr>
              <w:pStyle w:val="TableParagraph"/>
              <w:spacing w:before="17"/>
              <w:ind w:right="132"/>
              <w:jc w:val="right"/>
            </w:pPr>
            <w:r>
              <w:rPr>
                <w:spacing w:val="-2"/>
              </w:rPr>
              <w:t>0.080</w:t>
            </w:r>
          </w:p>
        </w:tc>
        <w:tc>
          <w:tcPr>
            <w:tcW w:w="840" w:type="dxa"/>
          </w:tcPr>
          <w:p w:rsidR="00487D64" w:rsidRDefault="006F0D93">
            <w:pPr>
              <w:pStyle w:val="TableParagraph"/>
              <w:spacing w:before="17"/>
              <w:ind w:right="136"/>
              <w:jc w:val="right"/>
            </w:pPr>
            <w:r>
              <w:rPr>
                <w:spacing w:val="-2"/>
              </w:rPr>
              <w:t>0.390</w:t>
            </w:r>
          </w:p>
        </w:tc>
        <w:tc>
          <w:tcPr>
            <w:tcW w:w="843" w:type="dxa"/>
          </w:tcPr>
          <w:p w:rsidR="00487D64" w:rsidRDefault="006F0D93">
            <w:pPr>
              <w:pStyle w:val="TableParagraph"/>
              <w:spacing w:before="17"/>
              <w:ind w:right="136"/>
              <w:jc w:val="right"/>
            </w:pPr>
            <w:r>
              <w:rPr>
                <w:spacing w:val="-2"/>
              </w:rPr>
              <w:t>0.172</w:t>
            </w:r>
          </w:p>
        </w:tc>
        <w:tc>
          <w:tcPr>
            <w:tcW w:w="1073" w:type="dxa"/>
          </w:tcPr>
          <w:p w:rsidR="00487D64" w:rsidRDefault="006F0D93">
            <w:pPr>
              <w:pStyle w:val="TableParagraph"/>
              <w:spacing w:before="17"/>
              <w:ind w:right="143"/>
              <w:jc w:val="right"/>
            </w:pPr>
            <w:r>
              <w:rPr>
                <w:spacing w:val="-4"/>
              </w:rPr>
              <w:t>-</w:t>
            </w:r>
            <w:r>
              <w:rPr>
                <w:spacing w:val="-2"/>
              </w:rPr>
              <w:t>0.013</w:t>
            </w:r>
          </w:p>
        </w:tc>
        <w:tc>
          <w:tcPr>
            <w:tcW w:w="1080" w:type="dxa"/>
          </w:tcPr>
          <w:p w:rsidR="00487D64" w:rsidRDefault="006F0D93">
            <w:pPr>
              <w:pStyle w:val="TableParagraph"/>
              <w:spacing w:before="17"/>
              <w:ind w:right="135"/>
              <w:jc w:val="right"/>
            </w:pPr>
            <w:r>
              <w:rPr>
                <w:spacing w:val="-4"/>
              </w:rPr>
              <w:t>-</w:t>
            </w:r>
            <w:r>
              <w:rPr>
                <w:spacing w:val="-2"/>
              </w:rPr>
              <w:t>0.114</w:t>
            </w:r>
          </w:p>
        </w:tc>
        <w:tc>
          <w:tcPr>
            <w:tcW w:w="1016" w:type="dxa"/>
          </w:tcPr>
          <w:p w:rsidR="00487D64" w:rsidRDefault="006F0D93">
            <w:pPr>
              <w:pStyle w:val="TableParagraph"/>
              <w:spacing w:before="17"/>
              <w:ind w:right="113"/>
              <w:jc w:val="right"/>
            </w:pPr>
            <w:r>
              <w:rPr>
                <w:spacing w:val="-2"/>
              </w:rPr>
              <w:t>0.021</w:t>
            </w:r>
          </w:p>
        </w:tc>
      </w:tr>
      <w:tr w:rsidR="00487D64">
        <w:trPr>
          <w:trHeight w:val="288"/>
        </w:trPr>
        <w:tc>
          <w:tcPr>
            <w:tcW w:w="1099" w:type="dxa"/>
          </w:tcPr>
          <w:p w:rsidR="00487D64" w:rsidRDefault="006F0D93">
            <w:pPr>
              <w:pStyle w:val="TableParagraph"/>
              <w:spacing w:before="14"/>
              <w:ind w:left="136"/>
              <w:rPr>
                <w:b/>
              </w:rPr>
            </w:pPr>
            <w:r>
              <w:rPr>
                <w:b/>
                <w:spacing w:val="-5"/>
              </w:rPr>
              <w:t>CU4</w:t>
            </w:r>
          </w:p>
        </w:tc>
        <w:tc>
          <w:tcPr>
            <w:tcW w:w="852" w:type="dxa"/>
          </w:tcPr>
          <w:p w:rsidR="00487D64" w:rsidRDefault="006F0D93">
            <w:pPr>
              <w:pStyle w:val="TableParagraph"/>
              <w:spacing w:before="14"/>
              <w:ind w:right="130"/>
              <w:jc w:val="right"/>
            </w:pPr>
            <w:r>
              <w:rPr>
                <w:spacing w:val="-2"/>
              </w:rPr>
              <w:t>0.199</w:t>
            </w:r>
          </w:p>
        </w:tc>
        <w:tc>
          <w:tcPr>
            <w:tcW w:w="840" w:type="dxa"/>
          </w:tcPr>
          <w:p w:rsidR="00487D64" w:rsidRDefault="006F0D93">
            <w:pPr>
              <w:pStyle w:val="TableParagraph"/>
              <w:spacing w:before="14"/>
              <w:ind w:right="135"/>
              <w:jc w:val="right"/>
            </w:pPr>
            <w:r>
              <w:rPr>
                <w:spacing w:val="-2"/>
              </w:rPr>
              <w:t>0.832</w:t>
            </w:r>
          </w:p>
        </w:tc>
        <w:tc>
          <w:tcPr>
            <w:tcW w:w="840" w:type="dxa"/>
          </w:tcPr>
          <w:p w:rsidR="00487D64" w:rsidRDefault="006F0D93">
            <w:pPr>
              <w:pStyle w:val="TableParagraph"/>
              <w:spacing w:before="14"/>
              <w:ind w:right="132"/>
              <w:jc w:val="right"/>
            </w:pPr>
            <w:r>
              <w:rPr>
                <w:spacing w:val="-2"/>
              </w:rPr>
              <w:t>0.064</w:t>
            </w:r>
          </w:p>
        </w:tc>
        <w:tc>
          <w:tcPr>
            <w:tcW w:w="840" w:type="dxa"/>
          </w:tcPr>
          <w:p w:rsidR="00487D64" w:rsidRDefault="006F0D93">
            <w:pPr>
              <w:pStyle w:val="TableParagraph"/>
              <w:spacing w:before="14"/>
              <w:ind w:right="136"/>
              <w:jc w:val="right"/>
            </w:pPr>
            <w:r>
              <w:rPr>
                <w:spacing w:val="-2"/>
              </w:rPr>
              <w:t>0.298</w:t>
            </w:r>
          </w:p>
        </w:tc>
        <w:tc>
          <w:tcPr>
            <w:tcW w:w="843" w:type="dxa"/>
          </w:tcPr>
          <w:p w:rsidR="00487D64" w:rsidRDefault="006F0D93">
            <w:pPr>
              <w:pStyle w:val="TableParagraph"/>
              <w:spacing w:before="14"/>
              <w:ind w:right="136"/>
              <w:jc w:val="right"/>
            </w:pPr>
            <w:r>
              <w:rPr>
                <w:spacing w:val="-2"/>
              </w:rPr>
              <w:t>0.133</w:t>
            </w:r>
          </w:p>
        </w:tc>
        <w:tc>
          <w:tcPr>
            <w:tcW w:w="1073" w:type="dxa"/>
          </w:tcPr>
          <w:p w:rsidR="00487D64" w:rsidRDefault="006F0D93">
            <w:pPr>
              <w:pStyle w:val="TableParagraph"/>
              <w:spacing w:before="14"/>
              <w:ind w:right="143"/>
              <w:jc w:val="right"/>
            </w:pPr>
            <w:r>
              <w:rPr>
                <w:spacing w:val="-2"/>
              </w:rPr>
              <w:t>0.099</w:t>
            </w:r>
          </w:p>
        </w:tc>
        <w:tc>
          <w:tcPr>
            <w:tcW w:w="1080" w:type="dxa"/>
          </w:tcPr>
          <w:p w:rsidR="00487D64" w:rsidRDefault="006F0D93">
            <w:pPr>
              <w:pStyle w:val="TableParagraph"/>
              <w:spacing w:before="14"/>
              <w:ind w:right="135"/>
              <w:jc w:val="right"/>
            </w:pPr>
            <w:r>
              <w:rPr>
                <w:spacing w:val="-4"/>
              </w:rPr>
              <w:t>-</w:t>
            </w:r>
            <w:r>
              <w:rPr>
                <w:spacing w:val="-2"/>
              </w:rPr>
              <w:t>0.070</w:t>
            </w:r>
          </w:p>
        </w:tc>
        <w:tc>
          <w:tcPr>
            <w:tcW w:w="1016" w:type="dxa"/>
          </w:tcPr>
          <w:p w:rsidR="00487D64" w:rsidRDefault="006F0D93">
            <w:pPr>
              <w:pStyle w:val="TableParagraph"/>
              <w:spacing w:before="14"/>
              <w:ind w:right="113"/>
              <w:jc w:val="right"/>
            </w:pPr>
            <w:r>
              <w:rPr>
                <w:spacing w:val="-2"/>
              </w:rPr>
              <w:t>0.033</w:t>
            </w:r>
          </w:p>
        </w:tc>
      </w:tr>
      <w:tr w:rsidR="00487D64">
        <w:trPr>
          <w:trHeight w:val="291"/>
        </w:trPr>
        <w:tc>
          <w:tcPr>
            <w:tcW w:w="1099" w:type="dxa"/>
          </w:tcPr>
          <w:p w:rsidR="00487D64" w:rsidRDefault="006F0D93">
            <w:pPr>
              <w:pStyle w:val="TableParagraph"/>
              <w:spacing w:before="14"/>
              <w:ind w:left="136"/>
              <w:rPr>
                <w:b/>
              </w:rPr>
            </w:pPr>
            <w:r>
              <w:rPr>
                <w:b/>
                <w:spacing w:val="-5"/>
              </w:rPr>
              <w:t>CU5</w:t>
            </w:r>
          </w:p>
        </w:tc>
        <w:tc>
          <w:tcPr>
            <w:tcW w:w="852" w:type="dxa"/>
          </w:tcPr>
          <w:p w:rsidR="00487D64" w:rsidRDefault="006F0D93">
            <w:pPr>
              <w:pStyle w:val="TableParagraph"/>
              <w:spacing w:before="14"/>
              <w:ind w:right="130"/>
              <w:jc w:val="right"/>
            </w:pPr>
            <w:r>
              <w:rPr>
                <w:spacing w:val="-2"/>
              </w:rPr>
              <w:t>0.131</w:t>
            </w:r>
          </w:p>
        </w:tc>
        <w:tc>
          <w:tcPr>
            <w:tcW w:w="840" w:type="dxa"/>
          </w:tcPr>
          <w:p w:rsidR="00487D64" w:rsidRDefault="006F0D93">
            <w:pPr>
              <w:pStyle w:val="TableParagraph"/>
              <w:spacing w:before="14"/>
              <w:ind w:right="135"/>
              <w:jc w:val="right"/>
            </w:pPr>
            <w:r>
              <w:rPr>
                <w:spacing w:val="-2"/>
              </w:rPr>
              <w:t>0.866</w:t>
            </w:r>
          </w:p>
        </w:tc>
        <w:tc>
          <w:tcPr>
            <w:tcW w:w="840" w:type="dxa"/>
          </w:tcPr>
          <w:p w:rsidR="00487D64" w:rsidRDefault="006F0D93">
            <w:pPr>
              <w:pStyle w:val="TableParagraph"/>
              <w:spacing w:before="14"/>
              <w:ind w:right="132"/>
              <w:jc w:val="right"/>
            </w:pPr>
            <w:r>
              <w:rPr>
                <w:spacing w:val="-2"/>
              </w:rPr>
              <w:t>0.089</w:t>
            </w:r>
          </w:p>
        </w:tc>
        <w:tc>
          <w:tcPr>
            <w:tcW w:w="840" w:type="dxa"/>
          </w:tcPr>
          <w:p w:rsidR="00487D64" w:rsidRDefault="006F0D93">
            <w:pPr>
              <w:pStyle w:val="TableParagraph"/>
              <w:spacing w:before="14"/>
              <w:ind w:right="136"/>
              <w:jc w:val="right"/>
            </w:pPr>
            <w:r>
              <w:rPr>
                <w:spacing w:val="-2"/>
              </w:rPr>
              <w:t>0.318</w:t>
            </w:r>
          </w:p>
        </w:tc>
        <w:tc>
          <w:tcPr>
            <w:tcW w:w="843" w:type="dxa"/>
          </w:tcPr>
          <w:p w:rsidR="00487D64" w:rsidRDefault="006F0D93">
            <w:pPr>
              <w:pStyle w:val="TableParagraph"/>
              <w:spacing w:before="14"/>
              <w:ind w:right="136"/>
              <w:jc w:val="right"/>
            </w:pPr>
            <w:r>
              <w:rPr>
                <w:spacing w:val="-2"/>
              </w:rPr>
              <w:t>0.147</w:t>
            </w:r>
          </w:p>
        </w:tc>
        <w:tc>
          <w:tcPr>
            <w:tcW w:w="1073" w:type="dxa"/>
          </w:tcPr>
          <w:p w:rsidR="00487D64" w:rsidRDefault="006F0D93">
            <w:pPr>
              <w:pStyle w:val="TableParagraph"/>
              <w:spacing w:before="14"/>
              <w:ind w:right="143"/>
              <w:jc w:val="right"/>
            </w:pPr>
            <w:r>
              <w:rPr>
                <w:spacing w:val="-2"/>
              </w:rPr>
              <w:t>0.034</w:t>
            </w:r>
          </w:p>
        </w:tc>
        <w:tc>
          <w:tcPr>
            <w:tcW w:w="1080" w:type="dxa"/>
          </w:tcPr>
          <w:p w:rsidR="00487D64" w:rsidRDefault="006F0D93">
            <w:pPr>
              <w:pStyle w:val="TableParagraph"/>
              <w:spacing w:before="14"/>
              <w:ind w:right="135"/>
              <w:jc w:val="right"/>
            </w:pPr>
            <w:r>
              <w:rPr>
                <w:spacing w:val="-4"/>
              </w:rPr>
              <w:t>-</w:t>
            </w:r>
            <w:r>
              <w:rPr>
                <w:spacing w:val="-2"/>
              </w:rPr>
              <w:t>0.069</w:t>
            </w:r>
          </w:p>
        </w:tc>
        <w:tc>
          <w:tcPr>
            <w:tcW w:w="1016" w:type="dxa"/>
          </w:tcPr>
          <w:p w:rsidR="00487D64" w:rsidRDefault="006F0D93">
            <w:pPr>
              <w:pStyle w:val="TableParagraph"/>
              <w:spacing w:before="14"/>
              <w:ind w:right="113"/>
              <w:jc w:val="right"/>
            </w:pPr>
            <w:r>
              <w:rPr>
                <w:spacing w:val="-2"/>
              </w:rPr>
              <w:t>0.043</w:t>
            </w:r>
          </w:p>
        </w:tc>
      </w:tr>
      <w:tr w:rsidR="00487D64">
        <w:trPr>
          <w:trHeight w:val="291"/>
        </w:trPr>
        <w:tc>
          <w:tcPr>
            <w:tcW w:w="1099" w:type="dxa"/>
          </w:tcPr>
          <w:p w:rsidR="00487D64" w:rsidRDefault="006F0D93">
            <w:pPr>
              <w:pStyle w:val="TableParagraph"/>
              <w:spacing w:before="17"/>
              <w:ind w:left="136"/>
              <w:rPr>
                <w:b/>
              </w:rPr>
            </w:pPr>
            <w:r>
              <w:rPr>
                <w:b/>
                <w:spacing w:val="-5"/>
              </w:rPr>
              <w:t>CU6</w:t>
            </w:r>
          </w:p>
        </w:tc>
        <w:tc>
          <w:tcPr>
            <w:tcW w:w="852" w:type="dxa"/>
          </w:tcPr>
          <w:p w:rsidR="00487D64" w:rsidRDefault="006F0D93">
            <w:pPr>
              <w:pStyle w:val="TableParagraph"/>
              <w:spacing w:before="17"/>
              <w:ind w:right="130"/>
              <w:jc w:val="right"/>
            </w:pPr>
            <w:r>
              <w:rPr>
                <w:spacing w:val="-2"/>
              </w:rPr>
              <w:t>0.130</w:t>
            </w:r>
          </w:p>
        </w:tc>
        <w:tc>
          <w:tcPr>
            <w:tcW w:w="840" w:type="dxa"/>
          </w:tcPr>
          <w:p w:rsidR="00487D64" w:rsidRDefault="006F0D93">
            <w:pPr>
              <w:pStyle w:val="TableParagraph"/>
              <w:spacing w:before="17"/>
              <w:ind w:right="135"/>
              <w:jc w:val="right"/>
            </w:pPr>
            <w:r>
              <w:rPr>
                <w:spacing w:val="-2"/>
              </w:rPr>
              <w:t>0.904</w:t>
            </w:r>
          </w:p>
        </w:tc>
        <w:tc>
          <w:tcPr>
            <w:tcW w:w="840" w:type="dxa"/>
          </w:tcPr>
          <w:p w:rsidR="00487D64" w:rsidRDefault="006F0D93">
            <w:pPr>
              <w:pStyle w:val="TableParagraph"/>
              <w:spacing w:before="17"/>
              <w:ind w:right="132"/>
              <w:jc w:val="right"/>
            </w:pPr>
            <w:r>
              <w:rPr>
                <w:spacing w:val="-2"/>
              </w:rPr>
              <w:t>0.027</w:t>
            </w:r>
          </w:p>
        </w:tc>
        <w:tc>
          <w:tcPr>
            <w:tcW w:w="840" w:type="dxa"/>
          </w:tcPr>
          <w:p w:rsidR="00487D64" w:rsidRDefault="006F0D93">
            <w:pPr>
              <w:pStyle w:val="TableParagraph"/>
              <w:spacing w:before="17"/>
              <w:ind w:right="136"/>
              <w:jc w:val="right"/>
            </w:pPr>
            <w:r>
              <w:rPr>
                <w:spacing w:val="-2"/>
              </w:rPr>
              <w:t>0.341</w:t>
            </w:r>
          </w:p>
        </w:tc>
        <w:tc>
          <w:tcPr>
            <w:tcW w:w="843" w:type="dxa"/>
          </w:tcPr>
          <w:p w:rsidR="00487D64" w:rsidRDefault="006F0D93">
            <w:pPr>
              <w:pStyle w:val="TableParagraph"/>
              <w:spacing w:before="17"/>
              <w:ind w:right="136"/>
              <w:jc w:val="right"/>
            </w:pPr>
            <w:r>
              <w:rPr>
                <w:spacing w:val="-2"/>
              </w:rPr>
              <w:t>0.232</w:t>
            </w:r>
          </w:p>
        </w:tc>
        <w:tc>
          <w:tcPr>
            <w:tcW w:w="1073" w:type="dxa"/>
          </w:tcPr>
          <w:p w:rsidR="00487D64" w:rsidRDefault="006F0D93">
            <w:pPr>
              <w:pStyle w:val="TableParagraph"/>
              <w:spacing w:before="17"/>
              <w:ind w:right="143"/>
              <w:jc w:val="right"/>
            </w:pPr>
            <w:r>
              <w:rPr>
                <w:spacing w:val="-2"/>
              </w:rPr>
              <w:t>0.007</w:t>
            </w:r>
          </w:p>
        </w:tc>
        <w:tc>
          <w:tcPr>
            <w:tcW w:w="1080" w:type="dxa"/>
          </w:tcPr>
          <w:p w:rsidR="00487D64" w:rsidRDefault="006F0D93">
            <w:pPr>
              <w:pStyle w:val="TableParagraph"/>
              <w:spacing w:before="17"/>
              <w:ind w:right="135"/>
              <w:jc w:val="right"/>
            </w:pPr>
            <w:r>
              <w:rPr>
                <w:spacing w:val="-4"/>
              </w:rPr>
              <w:t>-</w:t>
            </w:r>
            <w:r>
              <w:rPr>
                <w:spacing w:val="-2"/>
              </w:rPr>
              <w:t>0.083</w:t>
            </w:r>
          </w:p>
        </w:tc>
        <w:tc>
          <w:tcPr>
            <w:tcW w:w="1016" w:type="dxa"/>
          </w:tcPr>
          <w:p w:rsidR="00487D64" w:rsidRDefault="006F0D93">
            <w:pPr>
              <w:pStyle w:val="TableParagraph"/>
              <w:spacing w:before="17"/>
              <w:ind w:right="113"/>
              <w:jc w:val="right"/>
            </w:pPr>
            <w:r>
              <w:rPr>
                <w:spacing w:val="-2"/>
              </w:rPr>
              <w:t>0.024</w:t>
            </w:r>
          </w:p>
        </w:tc>
      </w:tr>
      <w:tr w:rsidR="00487D64">
        <w:trPr>
          <w:trHeight w:val="291"/>
        </w:trPr>
        <w:tc>
          <w:tcPr>
            <w:tcW w:w="1099" w:type="dxa"/>
          </w:tcPr>
          <w:p w:rsidR="00487D64" w:rsidRDefault="006F0D93">
            <w:pPr>
              <w:pStyle w:val="TableParagraph"/>
              <w:spacing w:before="14"/>
              <w:ind w:left="136"/>
              <w:rPr>
                <w:b/>
              </w:rPr>
            </w:pPr>
            <w:r>
              <w:rPr>
                <w:b/>
                <w:spacing w:val="-5"/>
              </w:rPr>
              <w:t>FC1</w:t>
            </w:r>
          </w:p>
        </w:tc>
        <w:tc>
          <w:tcPr>
            <w:tcW w:w="852" w:type="dxa"/>
          </w:tcPr>
          <w:p w:rsidR="00487D64" w:rsidRDefault="006F0D93">
            <w:pPr>
              <w:pStyle w:val="TableParagraph"/>
              <w:spacing w:before="14"/>
              <w:ind w:right="130"/>
              <w:jc w:val="right"/>
            </w:pPr>
            <w:r>
              <w:rPr>
                <w:spacing w:val="-4"/>
              </w:rPr>
              <w:t>-</w:t>
            </w:r>
            <w:r>
              <w:rPr>
                <w:spacing w:val="-2"/>
              </w:rPr>
              <w:t>0.035</w:t>
            </w:r>
          </w:p>
        </w:tc>
        <w:tc>
          <w:tcPr>
            <w:tcW w:w="840" w:type="dxa"/>
          </w:tcPr>
          <w:p w:rsidR="00487D64" w:rsidRDefault="006F0D93">
            <w:pPr>
              <w:pStyle w:val="TableParagraph"/>
              <w:spacing w:before="14"/>
              <w:ind w:right="135"/>
              <w:jc w:val="right"/>
            </w:pPr>
            <w:r>
              <w:rPr>
                <w:spacing w:val="-2"/>
              </w:rPr>
              <w:t>0.026</w:t>
            </w:r>
          </w:p>
        </w:tc>
        <w:tc>
          <w:tcPr>
            <w:tcW w:w="840" w:type="dxa"/>
          </w:tcPr>
          <w:p w:rsidR="00487D64" w:rsidRDefault="006F0D93">
            <w:pPr>
              <w:pStyle w:val="TableParagraph"/>
              <w:spacing w:before="14"/>
              <w:ind w:right="132"/>
              <w:jc w:val="right"/>
            </w:pPr>
            <w:r>
              <w:rPr>
                <w:spacing w:val="-2"/>
              </w:rPr>
              <w:t>0.918</w:t>
            </w:r>
          </w:p>
        </w:tc>
        <w:tc>
          <w:tcPr>
            <w:tcW w:w="840" w:type="dxa"/>
          </w:tcPr>
          <w:p w:rsidR="00487D64" w:rsidRDefault="006F0D93">
            <w:pPr>
              <w:pStyle w:val="TableParagraph"/>
              <w:spacing w:before="14"/>
              <w:ind w:right="136"/>
              <w:jc w:val="right"/>
            </w:pPr>
            <w:r>
              <w:rPr>
                <w:spacing w:val="-2"/>
              </w:rPr>
              <w:t>0.047</w:t>
            </w:r>
          </w:p>
        </w:tc>
        <w:tc>
          <w:tcPr>
            <w:tcW w:w="843" w:type="dxa"/>
          </w:tcPr>
          <w:p w:rsidR="00487D64" w:rsidRDefault="006F0D93">
            <w:pPr>
              <w:pStyle w:val="TableParagraph"/>
              <w:spacing w:before="14"/>
              <w:ind w:right="136"/>
              <w:jc w:val="right"/>
            </w:pPr>
            <w:r>
              <w:rPr>
                <w:spacing w:val="-2"/>
              </w:rPr>
              <w:t>0.025</w:t>
            </w:r>
          </w:p>
        </w:tc>
        <w:tc>
          <w:tcPr>
            <w:tcW w:w="1073" w:type="dxa"/>
          </w:tcPr>
          <w:p w:rsidR="00487D64" w:rsidRDefault="006F0D93">
            <w:pPr>
              <w:pStyle w:val="TableParagraph"/>
              <w:spacing w:before="14"/>
              <w:ind w:right="143"/>
              <w:jc w:val="right"/>
            </w:pPr>
            <w:r>
              <w:rPr>
                <w:spacing w:val="-2"/>
              </w:rPr>
              <w:t>0.024</w:t>
            </w:r>
          </w:p>
        </w:tc>
        <w:tc>
          <w:tcPr>
            <w:tcW w:w="1080" w:type="dxa"/>
          </w:tcPr>
          <w:p w:rsidR="00487D64" w:rsidRDefault="006F0D93">
            <w:pPr>
              <w:pStyle w:val="TableParagraph"/>
              <w:spacing w:before="14"/>
              <w:ind w:right="135"/>
              <w:jc w:val="right"/>
            </w:pPr>
            <w:r>
              <w:rPr>
                <w:spacing w:val="-2"/>
              </w:rPr>
              <w:t>0.065</w:t>
            </w:r>
          </w:p>
        </w:tc>
        <w:tc>
          <w:tcPr>
            <w:tcW w:w="1016" w:type="dxa"/>
          </w:tcPr>
          <w:p w:rsidR="00487D64" w:rsidRDefault="006F0D93">
            <w:pPr>
              <w:pStyle w:val="TableParagraph"/>
              <w:spacing w:before="14"/>
              <w:ind w:right="113"/>
              <w:jc w:val="right"/>
            </w:pPr>
            <w:r>
              <w:rPr>
                <w:spacing w:val="-4"/>
              </w:rPr>
              <w:t>-</w:t>
            </w:r>
            <w:r>
              <w:rPr>
                <w:spacing w:val="-2"/>
              </w:rPr>
              <w:t>0.012</w:t>
            </w:r>
          </w:p>
        </w:tc>
      </w:tr>
      <w:tr w:rsidR="00487D64">
        <w:trPr>
          <w:trHeight w:val="291"/>
        </w:trPr>
        <w:tc>
          <w:tcPr>
            <w:tcW w:w="1099" w:type="dxa"/>
          </w:tcPr>
          <w:p w:rsidR="00487D64" w:rsidRDefault="006F0D93">
            <w:pPr>
              <w:pStyle w:val="TableParagraph"/>
              <w:spacing w:before="17"/>
              <w:ind w:left="136"/>
              <w:rPr>
                <w:b/>
              </w:rPr>
            </w:pPr>
            <w:r>
              <w:rPr>
                <w:b/>
                <w:spacing w:val="-5"/>
              </w:rPr>
              <w:t>FC2</w:t>
            </w:r>
          </w:p>
        </w:tc>
        <w:tc>
          <w:tcPr>
            <w:tcW w:w="852" w:type="dxa"/>
          </w:tcPr>
          <w:p w:rsidR="00487D64" w:rsidRDefault="006F0D93">
            <w:pPr>
              <w:pStyle w:val="TableParagraph"/>
              <w:spacing w:before="17"/>
              <w:ind w:right="130"/>
              <w:jc w:val="right"/>
            </w:pPr>
            <w:r>
              <w:rPr>
                <w:spacing w:val="-2"/>
              </w:rPr>
              <w:t>0.003</w:t>
            </w:r>
          </w:p>
        </w:tc>
        <w:tc>
          <w:tcPr>
            <w:tcW w:w="840" w:type="dxa"/>
          </w:tcPr>
          <w:p w:rsidR="00487D64" w:rsidRDefault="006F0D93">
            <w:pPr>
              <w:pStyle w:val="TableParagraph"/>
              <w:spacing w:before="17"/>
              <w:ind w:right="135"/>
              <w:jc w:val="right"/>
            </w:pPr>
            <w:r>
              <w:rPr>
                <w:spacing w:val="-2"/>
              </w:rPr>
              <w:t>0.076</w:t>
            </w:r>
          </w:p>
        </w:tc>
        <w:tc>
          <w:tcPr>
            <w:tcW w:w="840" w:type="dxa"/>
          </w:tcPr>
          <w:p w:rsidR="00487D64" w:rsidRDefault="006F0D93">
            <w:pPr>
              <w:pStyle w:val="TableParagraph"/>
              <w:spacing w:before="17"/>
              <w:ind w:right="132"/>
              <w:jc w:val="right"/>
            </w:pPr>
            <w:r>
              <w:rPr>
                <w:spacing w:val="-2"/>
              </w:rPr>
              <w:t>0.688</w:t>
            </w:r>
          </w:p>
        </w:tc>
        <w:tc>
          <w:tcPr>
            <w:tcW w:w="840" w:type="dxa"/>
          </w:tcPr>
          <w:p w:rsidR="00487D64" w:rsidRDefault="006F0D93">
            <w:pPr>
              <w:pStyle w:val="TableParagraph"/>
              <w:spacing w:before="17"/>
              <w:ind w:right="136"/>
              <w:jc w:val="right"/>
            </w:pPr>
            <w:r>
              <w:rPr>
                <w:spacing w:val="-2"/>
              </w:rPr>
              <w:t>0.047</w:t>
            </w:r>
          </w:p>
        </w:tc>
        <w:tc>
          <w:tcPr>
            <w:tcW w:w="843" w:type="dxa"/>
          </w:tcPr>
          <w:p w:rsidR="00487D64" w:rsidRDefault="006F0D93">
            <w:pPr>
              <w:pStyle w:val="TableParagraph"/>
              <w:spacing w:before="17"/>
              <w:ind w:right="136"/>
              <w:jc w:val="right"/>
            </w:pPr>
            <w:r>
              <w:rPr>
                <w:spacing w:val="-2"/>
              </w:rPr>
              <w:t>0.067</w:t>
            </w:r>
          </w:p>
        </w:tc>
        <w:tc>
          <w:tcPr>
            <w:tcW w:w="1073" w:type="dxa"/>
          </w:tcPr>
          <w:p w:rsidR="00487D64" w:rsidRDefault="006F0D93">
            <w:pPr>
              <w:pStyle w:val="TableParagraph"/>
              <w:spacing w:before="17"/>
              <w:ind w:right="143"/>
              <w:jc w:val="right"/>
            </w:pPr>
            <w:r>
              <w:rPr>
                <w:spacing w:val="-4"/>
              </w:rPr>
              <w:t>-</w:t>
            </w:r>
            <w:r>
              <w:rPr>
                <w:spacing w:val="-2"/>
              </w:rPr>
              <w:t>0.015</w:t>
            </w:r>
          </w:p>
        </w:tc>
        <w:tc>
          <w:tcPr>
            <w:tcW w:w="1080" w:type="dxa"/>
          </w:tcPr>
          <w:p w:rsidR="00487D64" w:rsidRDefault="006F0D93">
            <w:pPr>
              <w:pStyle w:val="TableParagraph"/>
              <w:spacing w:before="17"/>
              <w:ind w:right="135"/>
              <w:jc w:val="right"/>
            </w:pPr>
            <w:r>
              <w:rPr>
                <w:spacing w:val="-2"/>
              </w:rPr>
              <w:t>0.080</w:t>
            </w:r>
          </w:p>
        </w:tc>
        <w:tc>
          <w:tcPr>
            <w:tcW w:w="1016" w:type="dxa"/>
          </w:tcPr>
          <w:p w:rsidR="00487D64" w:rsidRDefault="006F0D93">
            <w:pPr>
              <w:pStyle w:val="TableParagraph"/>
              <w:spacing w:before="17"/>
              <w:ind w:right="113"/>
              <w:jc w:val="right"/>
            </w:pPr>
            <w:r>
              <w:rPr>
                <w:spacing w:val="-2"/>
              </w:rPr>
              <w:t>0.025</w:t>
            </w:r>
          </w:p>
        </w:tc>
      </w:tr>
      <w:tr w:rsidR="00487D64">
        <w:trPr>
          <w:trHeight w:val="288"/>
        </w:trPr>
        <w:tc>
          <w:tcPr>
            <w:tcW w:w="1099" w:type="dxa"/>
          </w:tcPr>
          <w:p w:rsidR="00487D64" w:rsidRDefault="006F0D93">
            <w:pPr>
              <w:pStyle w:val="TableParagraph"/>
              <w:spacing w:before="14"/>
              <w:ind w:left="136"/>
              <w:rPr>
                <w:b/>
              </w:rPr>
            </w:pPr>
            <w:r>
              <w:rPr>
                <w:b/>
                <w:spacing w:val="-5"/>
              </w:rPr>
              <w:t>FC3</w:t>
            </w:r>
          </w:p>
        </w:tc>
        <w:tc>
          <w:tcPr>
            <w:tcW w:w="852" w:type="dxa"/>
          </w:tcPr>
          <w:p w:rsidR="00487D64" w:rsidRDefault="006F0D93">
            <w:pPr>
              <w:pStyle w:val="TableParagraph"/>
              <w:spacing w:before="14"/>
              <w:ind w:right="130"/>
              <w:jc w:val="right"/>
            </w:pPr>
            <w:r>
              <w:rPr>
                <w:spacing w:val="-4"/>
              </w:rPr>
              <w:t>-</w:t>
            </w:r>
            <w:r>
              <w:rPr>
                <w:spacing w:val="-2"/>
              </w:rPr>
              <w:t>0.032</w:t>
            </w:r>
          </w:p>
        </w:tc>
        <w:tc>
          <w:tcPr>
            <w:tcW w:w="840" w:type="dxa"/>
          </w:tcPr>
          <w:p w:rsidR="00487D64" w:rsidRDefault="006F0D93">
            <w:pPr>
              <w:pStyle w:val="TableParagraph"/>
              <w:spacing w:before="14"/>
              <w:ind w:right="135"/>
              <w:jc w:val="right"/>
            </w:pPr>
            <w:r>
              <w:rPr>
                <w:spacing w:val="-2"/>
              </w:rPr>
              <w:t>0.046</w:t>
            </w:r>
          </w:p>
        </w:tc>
        <w:tc>
          <w:tcPr>
            <w:tcW w:w="840" w:type="dxa"/>
          </w:tcPr>
          <w:p w:rsidR="00487D64" w:rsidRDefault="006F0D93">
            <w:pPr>
              <w:pStyle w:val="TableParagraph"/>
              <w:spacing w:before="14"/>
              <w:ind w:right="132"/>
              <w:jc w:val="right"/>
            </w:pPr>
            <w:r>
              <w:rPr>
                <w:spacing w:val="-2"/>
              </w:rPr>
              <w:t>0.870</w:t>
            </w:r>
          </w:p>
        </w:tc>
        <w:tc>
          <w:tcPr>
            <w:tcW w:w="840" w:type="dxa"/>
          </w:tcPr>
          <w:p w:rsidR="00487D64" w:rsidRDefault="006F0D93">
            <w:pPr>
              <w:pStyle w:val="TableParagraph"/>
              <w:spacing w:before="14"/>
              <w:ind w:right="136"/>
              <w:jc w:val="right"/>
            </w:pPr>
            <w:r>
              <w:rPr>
                <w:spacing w:val="-2"/>
              </w:rPr>
              <w:t>0.064</w:t>
            </w:r>
          </w:p>
        </w:tc>
        <w:tc>
          <w:tcPr>
            <w:tcW w:w="843" w:type="dxa"/>
          </w:tcPr>
          <w:p w:rsidR="00487D64" w:rsidRDefault="006F0D93">
            <w:pPr>
              <w:pStyle w:val="TableParagraph"/>
              <w:spacing w:before="14"/>
              <w:ind w:right="136"/>
              <w:jc w:val="right"/>
            </w:pPr>
            <w:r>
              <w:rPr>
                <w:spacing w:val="-2"/>
              </w:rPr>
              <w:t>0.052</w:t>
            </w:r>
          </w:p>
        </w:tc>
        <w:tc>
          <w:tcPr>
            <w:tcW w:w="1073" w:type="dxa"/>
          </w:tcPr>
          <w:p w:rsidR="00487D64" w:rsidRDefault="006F0D93">
            <w:pPr>
              <w:pStyle w:val="TableParagraph"/>
              <w:spacing w:before="14"/>
              <w:ind w:right="143"/>
              <w:jc w:val="right"/>
            </w:pPr>
            <w:r>
              <w:rPr>
                <w:spacing w:val="-2"/>
              </w:rPr>
              <w:t>0.031</w:t>
            </w:r>
          </w:p>
        </w:tc>
        <w:tc>
          <w:tcPr>
            <w:tcW w:w="1080" w:type="dxa"/>
          </w:tcPr>
          <w:p w:rsidR="00487D64" w:rsidRDefault="006F0D93">
            <w:pPr>
              <w:pStyle w:val="TableParagraph"/>
              <w:spacing w:before="14"/>
              <w:ind w:right="135"/>
              <w:jc w:val="right"/>
            </w:pPr>
            <w:r>
              <w:rPr>
                <w:spacing w:val="-2"/>
              </w:rPr>
              <w:t>0.066</w:t>
            </w:r>
          </w:p>
        </w:tc>
        <w:tc>
          <w:tcPr>
            <w:tcW w:w="1016" w:type="dxa"/>
          </w:tcPr>
          <w:p w:rsidR="00487D64" w:rsidRDefault="006F0D93">
            <w:pPr>
              <w:pStyle w:val="TableParagraph"/>
              <w:spacing w:before="14"/>
              <w:ind w:right="113"/>
              <w:jc w:val="right"/>
            </w:pPr>
            <w:r>
              <w:rPr>
                <w:spacing w:val="-4"/>
              </w:rPr>
              <w:t>-</w:t>
            </w:r>
            <w:r>
              <w:rPr>
                <w:spacing w:val="-2"/>
              </w:rPr>
              <w:t>0.014</w:t>
            </w:r>
          </w:p>
        </w:tc>
      </w:tr>
      <w:tr w:rsidR="00487D64">
        <w:trPr>
          <w:trHeight w:val="291"/>
        </w:trPr>
        <w:tc>
          <w:tcPr>
            <w:tcW w:w="1099" w:type="dxa"/>
          </w:tcPr>
          <w:p w:rsidR="00487D64" w:rsidRDefault="006F0D93">
            <w:pPr>
              <w:pStyle w:val="TableParagraph"/>
              <w:spacing w:before="14"/>
              <w:ind w:left="136"/>
              <w:rPr>
                <w:b/>
              </w:rPr>
            </w:pPr>
            <w:r>
              <w:rPr>
                <w:b/>
                <w:spacing w:val="-5"/>
              </w:rPr>
              <w:t>FC4</w:t>
            </w:r>
          </w:p>
        </w:tc>
        <w:tc>
          <w:tcPr>
            <w:tcW w:w="852" w:type="dxa"/>
          </w:tcPr>
          <w:p w:rsidR="00487D64" w:rsidRDefault="006F0D93">
            <w:pPr>
              <w:pStyle w:val="TableParagraph"/>
              <w:spacing w:before="14"/>
              <w:ind w:right="130"/>
              <w:jc w:val="right"/>
            </w:pPr>
            <w:r>
              <w:rPr>
                <w:spacing w:val="-4"/>
              </w:rPr>
              <w:t>-</w:t>
            </w:r>
            <w:r>
              <w:rPr>
                <w:spacing w:val="-2"/>
              </w:rPr>
              <w:t>0.034</w:t>
            </w:r>
          </w:p>
        </w:tc>
        <w:tc>
          <w:tcPr>
            <w:tcW w:w="840" w:type="dxa"/>
          </w:tcPr>
          <w:p w:rsidR="00487D64" w:rsidRDefault="006F0D93">
            <w:pPr>
              <w:pStyle w:val="TableParagraph"/>
              <w:spacing w:before="14"/>
              <w:ind w:right="135"/>
              <w:jc w:val="right"/>
            </w:pPr>
            <w:r>
              <w:rPr>
                <w:spacing w:val="-2"/>
              </w:rPr>
              <w:t>0.042</w:t>
            </w:r>
          </w:p>
        </w:tc>
        <w:tc>
          <w:tcPr>
            <w:tcW w:w="840" w:type="dxa"/>
          </w:tcPr>
          <w:p w:rsidR="00487D64" w:rsidRDefault="006F0D93">
            <w:pPr>
              <w:pStyle w:val="TableParagraph"/>
              <w:spacing w:before="14"/>
              <w:ind w:right="132"/>
              <w:jc w:val="right"/>
            </w:pPr>
            <w:r>
              <w:rPr>
                <w:spacing w:val="-2"/>
              </w:rPr>
              <w:t>0.716</w:t>
            </w:r>
          </w:p>
        </w:tc>
        <w:tc>
          <w:tcPr>
            <w:tcW w:w="840" w:type="dxa"/>
          </w:tcPr>
          <w:p w:rsidR="00487D64" w:rsidRDefault="006F0D93">
            <w:pPr>
              <w:pStyle w:val="TableParagraph"/>
              <w:spacing w:before="14"/>
              <w:ind w:right="136"/>
              <w:jc w:val="right"/>
            </w:pPr>
            <w:r>
              <w:rPr>
                <w:spacing w:val="-2"/>
              </w:rPr>
              <w:t>0.049</w:t>
            </w:r>
          </w:p>
        </w:tc>
        <w:tc>
          <w:tcPr>
            <w:tcW w:w="843" w:type="dxa"/>
          </w:tcPr>
          <w:p w:rsidR="00487D64" w:rsidRDefault="006F0D93">
            <w:pPr>
              <w:pStyle w:val="TableParagraph"/>
              <w:spacing w:before="14"/>
              <w:ind w:right="136"/>
              <w:jc w:val="right"/>
            </w:pPr>
            <w:r>
              <w:rPr>
                <w:spacing w:val="-2"/>
              </w:rPr>
              <w:t>0.039</w:t>
            </w:r>
          </w:p>
        </w:tc>
        <w:tc>
          <w:tcPr>
            <w:tcW w:w="1073" w:type="dxa"/>
          </w:tcPr>
          <w:p w:rsidR="00487D64" w:rsidRDefault="006F0D93">
            <w:pPr>
              <w:pStyle w:val="TableParagraph"/>
              <w:spacing w:before="14"/>
              <w:ind w:right="143"/>
              <w:jc w:val="right"/>
            </w:pPr>
            <w:r>
              <w:rPr>
                <w:spacing w:val="-4"/>
              </w:rPr>
              <w:t>-</w:t>
            </w:r>
            <w:r>
              <w:rPr>
                <w:spacing w:val="-2"/>
              </w:rPr>
              <w:t>0.036</w:t>
            </w:r>
          </w:p>
        </w:tc>
        <w:tc>
          <w:tcPr>
            <w:tcW w:w="1080" w:type="dxa"/>
          </w:tcPr>
          <w:p w:rsidR="00487D64" w:rsidRDefault="006F0D93">
            <w:pPr>
              <w:pStyle w:val="TableParagraph"/>
              <w:spacing w:before="14"/>
              <w:ind w:right="135"/>
              <w:jc w:val="right"/>
            </w:pPr>
            <w:r>
              <w:rPr>
                <w:spacing w:val="-2"/>
              </w:rPr>
              <w:t>0.039</w:t>
            </w:r>
          </w:p>
        </w:tc>
        <w:tc>
          <w:tcPr>
            <w:tcW w:w="1016" w:type="dxa"/>
          </w:tcPr>
          <w:p w:rsidR="00487D64" w:rsidRDefault="006F0D93">
            <w:pPr>
              <w:pStyle w:val="TableParagraph"/>
              <w:spacing w:before="14"/>
              <w:ind w:right="113"/>
              <w:jc w:val="right"/>
            </w:pPr>
            <w:r>
              <w:rPr>
                <w:spacing w:val="-2"/>
              </w:rPr>
              <w:t>0.032</w:t>
            </w:r>
          </w:p>
        </w:tc>
      </w:tr>
      <w:tr w:rsidR="00487D64">
        <w:trPr>
          <w:trHeight w:val="291"/>
        </w:trPr>
        <w:tc>
          <w:tcPr>
            <w:tcW w:w="1099" w:type="dxa"/>
          </w:tcPr>
          <w:p w:rsidR="00487D64" w:rsidRDefault="006F0D93">
            <w:pPr>
              <w:pStyle w:val="TableParagraph"/>
              <w:spacing w:before="17"/>
              <w:ind w:left="136"/>
              <w:rPr>
                <w:b/>
              </w:rPr>
            </w:pPr>
            <w:r>
              <w:rPr>
                <w:b/>
                <w:spacing w:val="-5"/>
              </w:rPr>
              <w:t>FC5</w:t>
            </w:r>
          </w:p>
        </w:tc>
        <w:tc>
          <w:tcPr>
            <w:tcW w:w="852" w:type="dxa"/>
          </w:tcPr>
          <w:p w:rsidR="00487D64" w:rsidRDefault="006F0D93">
            <w:pPr>
              <w:pStyle w:val="TableParagraph"/>
              <w:spacing w:before="17"/>
              <w:ind w:right="130"/>
              <w:jc w:val="right"/>
            </w:pPr>
            <w:r>
              <w:rPr>
                <w:spacing w:val="-2"/>
              </w:rPr>
              <w:t>0.020</w:t>
            </w:r>
          </w:p>
        </w:tc>
        <w:tc>
          <w:tcPr>
            <w:tcW w:w="840" w:type="dxa"/>
          </w:tcPr>
          <w:p w:rsidR="00487D64" w:rsidRDefault="006F0D93">
            <w:pPr>
              <w:pStyle w:val="TableParagraph"/>
              <w:spacing w:before="17"/>
              <w:ind w:right="135"/>
              <w:jc w:val="right"/>
            </w:pPr>
            <w:r>
              <w:rPr>
                <w:spacing w:val="-2"/>
              </w:rPr>
              <w:t>0.074</w:t>
            </w:r>
          </w:p>
        </w:tc>
        <w:tc>
          <w:tcPr>
            <w:tcW w:w="840" w:type="dxa"/>
          </w:tcPr>
          <w:p w:rsidR="00487D64" w:rsidRDefault="006F0D93">
            <w:pPr>
              <w:pStyle w:val="TableParagraph"/>
              <w:spacing w:before="17"/>
              <w:ind w:right="132"/>
              <w:jc w:val="right"/>
            </w:pPr>
            <w:r>
              <w:rPr>
                <w:spacing w:val="-2"/>
              </w:rPr>
              <w:t>0.857</w:t>
            </w:r>
          </w:p>
        </w:tc>
        <w:tc>
          <w:tcPr>
            <w:tcW w:w="840" w:type="dxa"/>
          </w:tcPr>
          <w:p w:rsidR="00487D64" w:rsidRDefault="006F0D93">
            <w:pPr>
              <w:pStyle w:val="TableParagraph"/>
              <w:spacing w:before="17"/>
              <w:ind w:right="136"/>
              <w:jc w:val="right"/>
            </w:pPr>
            <w:r>
              <w:rPr>
                <w:spacing w:val="-2"/>
              </w:rPr>
              <w:t>0.121</w:t>
            </w:r>
          </w:p>
        </w:tc>
        <w:tc>
          <w:tcPr>
            <w:tcW w:w="843" w:type="dxa"/>
          </w:tcPr>
          <w:p w:rsidR="00487D64" w:rsidRDefault="006F0D93">
            <w:pPr>
              <w:pStyle w:val="TableParagraph"/>
              <w:spacing w:before="17"/>
              <w:ind w:right="136"/>
              <w:jc w:val="right"/>
            </w:pPr>
            <w:r>
              <w:rPr>
                <w:spacing w:val="-2"/>
              </w:rPr>
              <w:t>0.023</w:t>
            </w:r>
          </w:p>
        </w:tc>
        <w:tc>
          <w:tcPr>
            <w:tcW w:w="1073" w:type="dxa"/>
          </w:tcPr>
          <w:p w:rsidR="00487D64" w:rsidRDefault="006F0D93">
            <w:pPr>
              <w:pStyle w:val="TableParagraph"/>
              <w:spacing w:before="17"/>
              <w:ind w:right="143"/>
              <w:jc w:val="right"/>
            </w:pPr>
            <w:r>
              <w:rPr>
                <w:spacing w:val="-2"/>
              </w:rPr>
              <w:t>0.029</w:t>
            </w:r>
          </w:p>
        </w:tc>
        <w:tc>
          <w:tcPr>
            <w:tcW w:w="1080" w:type="dxa"/>
          </w:tcPr>
          <w:p w:rsidR="00487D64" w:rsidRDefault="006F0D93">
            <w:pPr>
              <w:pStyle w:val="TableParagraph"/>
              <w:spacing w:before="17"/>
              <w:ind w:right="135"/>
              <w:jc w:val="right"/>
            </w:pPr>
            <w:r>
              <w:rPr>
                <w:spacing w:val="-4"/>
              </w:rPr>
              <w:t>-</w:t>
            </w:r>
            <w:r>
              <w:rPr>
                <w:spacing w:val="-2"/>
              </w:rPr>
              <w:t>0.036</w:t>
            </w:r>
          </w:p>
        </w:tc>
        <w:tc>
          <w:tcPr>
            <w:tcW w:w="1016" w:type="dxa"/>
          </w:tcPr>
          <w:p w:rsidR="00487D64" w:rsidRDefault="006F0D93">
            <w:pPr>
              <w:pStyle w:val="TableParagraph"/>
              <w:spacing w:before="17"/>
              <w:ind w:right="113"/>
              <w:jc w:val="right"/>
            </w:pPr>
            <w:r>
              <w:rPr>
                <w:spacing w:val="-2"/>
              </w:rPr>
              <w:t>0.022</w:t>
            </w:r>
          </w:p>
        </w:tc>
      </w:tr>
      <w:tr w:rsidR="00487D64">
        <w:trPr>
          <w:trHeight w:val="291"/>
        </w:trPr>
        <w:tc>
          <w:tcPr>
            <w:tcW w:w="1099" w:type="dxa"/>
          </w:tcPr>
          <w:p w:rsidR="00487D64" w:rsidRDefault="006F0D93">
            <w:pPr>
              <w:pStyle w:val="TableParagraph"/>
              <w:spacing w:before="14"/>
              <w:ind w:left="136"/>
              <w:rPr>
                <w:b/>
              </w:rPr>
            </w:pPr>
            <w:r>
              <w:rPr>
                <w:b/>
                <w:spacing w:val="-5"/>
              </w:rPr>
              <w:t>SC1</w:t>
            </w:r>
          </w:p>
        </w:tc>
        <w:tc>
          <w:tcPr>
            <w:tcW w:w="852" w:type="dxa"/>
          </w:tcPr>
          <w:p w:rsidR="00487D64" w:rsidRDefault="006F0D93">
            <w:pPr>
              <w:pStyle w:val="TableParagraph"/>
              <w:spacing w:before="14"/>
              <w:ind w:right="130"/>
              <w:jc w:val="right"/>
            </w:pPr>
            <w:r>
              <w:rPr>
                <w:spacing w:val="-2"/>
              </w:rPr>
              <w:t>0.311</w:t>
            </w:r>
          </w:p>
        </w:tc>
        <w:tc>
          <w:tcPr>
            <w:tcW w:w="840" w:type="dxa"/>
          </w:tcPr>
          <w:p w:rsidR="00487D64" w:rsidRDefault="006F0D93">
            <w:pPr>
              <w:pStyle w:val="TableParagraph"/>
              <w:spacing w:before="14"/>
              <w:ind w:right="135"/>
              <w:jc w:val="right"/>
            </w:pPr>
            <w:r>
              <w:rPr>
                <w:spacing w:val="-2"/>
              </w:rPr>
              <w:t>0.338</w:t>
            </w:r>
          </w:p>
        </w:tc>
        <w:tc>
          <w:tcPr>
            <w:tcW w:w="840" w:type="dxa"/>
          </w:tcPr>
          <w:p w:rsidR="00487D64" w:rsidRDefault="006F0D93">
            <w:pPr>
              <w:pStyle w:val="TableParagraph"/>
              <w:spacing w:before="14"/>
              <w:ind w:right="132"/>
              <w:jc w:val="right"/>
            </w:pPr>
            <w:r>
              <w:rPr>
                <w:spacing w:val="-2"/>
              </w:rPr>
              <w:t>0.082</w:t>
            </w:r>
          </w:p>
        </w:tc>
        <w:tc>
          <w:tcPr>
            <w:tcW w:w="840" w:type="dxa"/>
          </w:tcPr>
          <w:p w:rsidR="00487D64" w:rsidRDefault="006F0D93">
            <w:pPr>
              <w:pStyle w:val="TableParagraph"/>
              <w:spacing w:before="14"/>
              <w:ind w:right="136"/>
              <w:jc w:val="right"/>
            </w:pPr>
            <w:r>
              <w:rPr>
                <w:spacing w:val="-2"/>
              </w:rPr>
              <w:t>0.807</w:t>
            </w:r>
          </w:p>
        </w:tc>
        <w:tc>
          <w:tcPr>
            <w:tcW w:w="843" w:type="dxa"/>
          </w:tcPr>
          <w:p w:rsidR="00487D64" w:rsidRDefault="006F0D93">
            <w:pPr>
              <w:pStyle w:val="TableParagraph"/>
              <w:spacing w:before="14"/>
              <w:ind w:right="136"/>
              <w:jc w:val="right"/>
            </w:pPr>
            <w:r>
              <w:rPr>
                <w:spacing w:val="-2"/>
              </w:rPr>
              <w:t>0.467</w:t>
            </w:r>
          </w:p>
        </w:tc>
        <w:tc>
          <w:tcPr>
            <w:tcW w:w="1073" w:type="dxa"/>
          </w:tcPr>
          <w:p w:rsidR="00487D64" w:rsidRDefault="006F0D93">
            <w:pPr>
              <w:pStyle w:val="TableParagraph"/>
              <w:spacing w:before="14"/>
              <w:ind w:right="143"/>
              <w:jc w:val="right"/>
            </w:pPr>
            <w:r>
              <w:rPr>
                <w:spacing w:val="-4"/>
              </w:rPr>
              <w:t>-</w:t>
            </w:r>
            <w:r>
              <w:rPr>
                <w:spacing w:val="-2"/>
              </w:rPr>
              <w:t>0.126</w:t>
            </w:r>
          </w:p>
        </w:tc>
        <w:tc>
          <w:tcPr>
            <w:tcW w:w="1080" w:type="dxa"/>
          </w:tcPr>
          <w:p w:rsidR="00487D64" w:rsidRDefault="006F0D93">
            <w:pPr>
              <w:pStyle w:val="TableParagraph"/>
              <w:spacing w:before="14"/>
              <w:ind w:right="135"/>
              <w:jc w:val="right"/>
            </w:pPr>
            <w:r>
              <w:rPr>
                <w:spacing w:val="-4"/>
              </w:rPr>
              <w:t>-</w:t>
            </w:r>
            <w:r>
              <w:rPr>
                <w:spacing w:val="-2"/>
              </w:rPr>
              <w:t>0.154</w:t>
            </w:r>
          </w:p>
        </w:tc>
        <w:tc>
          <w:tcPr>
            <w:tcW w:w="1016" w:type="dxa"/>
          </w:tcPr>
          <w:p w:rsidR="00487D64" w:rsidRDefault="006F0D93">
            <w:pPr>
              <w:pStyle w:val="TableParagraph"/>
              <w:spacing w:before="14"/>
              <w:ind w:right="113"/>
              <w:jc w:val="right"/>
            </w:pPr>
            <w:r>
              <w:rPr>
                <w:spacing w:val="-4"/>
              </w:rPr>
              <w:t>-</w:t>
            </w:r>
            <w:r>
              <w:rPr>
                <w:spacing w:val="-2"/>
              </w:rPr>
              <w:t>0.028</w:t>
            </w:r>
          </w:p>
        </w:tc>
      </w:tr>
      <w:tr w:rsidR="00487D64">
        <w:trPr>
          <w:trHeight w:val="291"/>
        </w:trPr>
        <w:tc>
          <w:tcPr>
            <w:tcW w:w="1099" w:type="dxa"/>
          </w:tcPr>
          <w:p w:rsidR="00487D64" w:rsidRDefault="006F0D93">
            <w:pPr>
              <w:pStyle w:val="TableParagraph"/>
              <w:spacing w:before="18"/>
              <w:ind w:left="136"/>
              <w:rPr>
                <w:b/>
              </w:rPr>
            </w:pPr>
            <w:r>
              <w:rPr>
                <w:b/>
                <w:spacing w:val="-5"/>
              </w:rPr>
              <w:t>SC2</w:t>
            </w:r>
          </w:p>
        </w:tc>
        <w:tc>
          <w:tcPr>
            <w:tcW w:w="852" w:type="dxa"/>
          </w:tcPr>
          <w:p w:rsidR="00487D64" w:rsidRDefault="006F0D93">
            <w:pPr>
              <w:pStyle w:val="TableParagraph"/>
              <w:spacing w:before="18"/>
              <w:ind w:right="130"/>
              <w:jc w:val="right"/>
            </w:pPr>
            <w:r>
              <w:rPr>
                <w:spacing w:val="-2"/>
              </w:rPr>
              <w:t>0.290</w:t>
            </w:r>
          </w:p>
        </w:tc>
        <w:tc>
          <w:tcPr>
            <w:tcW w:w="840" w:type="dxa"/>
          </w:tcPr>
          <w:p w:rsidR="00487D64" w:rsidRDefault="006F0D93">
            <w:pPr>
              <w:pStyle w:val="TableParagraph"/>
              <w:spacing w:before="18"/>
              <w:ind w:right="135"/>
              <w:jc w:val="right"/>
            </w:pPr>
            <w:r>
              <w:rPr>
                <w:spacing w:val="-2"/>
              </w:rPr>
              <w:t>0.303</w:t>
            </w:r>
          </w:p>
        </w:tc>
        <w:tc>
          <w:tcPr>
            <w:tcW w:w="840" w:type="dxa"/>
          </w:tcPr>
          <w:p w:rsidR="00487D64" w:rsidRDefault="006F0D93">
            <w:pPr>
              <w:pStyle w:val="TableParagraph"/>
              <w:spacing w:before="18"/>
              <w:ind w:right="132"/>
              <w:jc w:val="right"/>
            </w:pPr>
            <w:r>
              <w:rPr>
                <w:spacing w:val="-2"/>
              </w:rPr>
              <w:t>0.069</w:t>
            </w:r>
          </w:p>
        </w:tc>
        <w:tc>
          <w:tcPr>
            <w:tcW w:w="840" w:type="dxa"/>
          </w:tcPr>
          <w:p w:rsidR="00487D64" w:rsidRDefault="006F0D93">
            <w:pPr>
              <w:pStyle w:val="TableParagraph"/>
              <w:spacing w:before="18"/>
              <w:ind w:right="136"/>
              <w:jc w:val="right"/>
            </w:pPr>
            <w:r>
              <w:rPr>
                <w:spacing w:val="-2"/>
              </w:rPr>
              <w:t>0.847</w:t>
            </w:r>
          </w:p>
        </w:tc>
        <w:tc>
          <w:tcPr>
            <w:tcW w:w="843" w:type="dxa"/>
          </w:tcPr>
          <w:p w:rsidR="00487D64" w:rsidRDefault="006F0D93">
            <w:pPr>
              <w:pStyle w:val="TableParagraph"/>
              <w:spacing w:before="18"/>
              <w:ind w:right="136"/>
              <w:jc w:val="right"/>
            </w:pPr>
            <w:r>
              <w:rPr>
                <w:spacing w:val="-2"/>
              </w:rPr>
              <w:t>0.549</w:t>
            </w:r>
          </w:p>
        </w:tc>
        <w:tc>
          <w:tcPr>
            <w:tcW w:w="1073" w:type="dxa"/>
          </w:tcPr>
          <w:p w:rsidR="00487D64" w:rsidRDefault="006F0D93">
            <w:pPr>
              <w:pStyle w:val="TableParagraph"/>
              <w:spacing w:before="18"/>
              <w:ind w:right="143"/>
              <w:jc w:val="right"/>
            </w:pPr>
            <w:r>
              <w:rPr>
                <w:spacing w:val="-4"/>
              </w:rPr>
              <w:t>-</w:t>
            </w:r>
            <w:r>
              <w:rPr>
                <w:spacing w:val="-2"/>
              </w:rPr>
              <w:t>0.153</w:t>
            </w:r>
          </w:p>
        </w:tc>
        <w:tc>
          <w:tcPr>
            <w:tcW w:w="1080" w:type="dxa"/>
          </w:tcPr>
          <w:p w:rsidR="00487D64" w:rsidRDefault="006F0D93">
            <w:pPr>
              <w:pStyle w:val="TableParagraph"/>
              <w:spacing w:before="18"/>
              <w:ind w:right="135"/>
              <w:jc w:val="right"/>
            </w:pPr>
            <w:r>
              <w:rPr>
                <w:spacing w:val="-4"/>
              </w:rPr>
              <w:t>-</w:t>
            </w:r>
            <w:r>
              <w:rPr>
                <w:spacing w:val="-2"/>
              </w:rPr>
              <w:t>0.199</w:t>
            </w:r>
          </w:p>
        </w:tc>
        <w:tc>
          <w:tcPr>
            <w:tcW w:w="1016" w:type="dxa"/>
          </w:tcPr>
          <w:p w:rsidR="00487D64" w:rsidRDefault="006F0D93">
            <w:pPr>
              <w:pStyle w:val="TableParagraph"/>
              <w:spacing w:before="18"/>
              <w:ind w:right="113"/>
              <w:jc w:val="right"/>
            </w:pPr>
            <w:r>
              <w:rPr>
                <w:spacing w:val="-2"/>
              </w:rPr>
              <w:t>0.058</w:t>
            </w:r>
          </w:p>
        </w:tc>
      </w:tr>
      <w:tr w:rsidR="00487D64">
        <w:trPr>
          <w:trHeight w:val="288"/>
        </w:trPr>
        <w:tc>
          <w:tcPr>
            <w:tcW w:w="1099" w:type="dxa"/>
          </w:tcPr>
          <w:p w:rsidR="00487D64" w:rsidRDefault="006F0D93">
            <w:pPr>
              <w:pStyle w:val="TableParagraph"/>
              <w:spacing w:before="14"/>
              <w:ind w:left="136"/>
              <w:rPr>
                <w:b/>
              </w:rPr>
            </w:pPr>
            <w:r>
              <w:rPr>
                <w:b/>
                <w:spacing w:val="-5"/>
              </w:rPr>
              <w:t>SC3</w:t>
            </w:r>
          </w:p>
        </w:tc>
        <w:tc>
          <w:tcPr>
            <w:tcW w:w="852" w:type="dxa"/>
          </w:tcPr>
          <w:p w:rsidR="00487D64" w:rsidRDefault="006F0D93">
            <w:pPr>
              <w:pStyle w:val="TableParagraph"/>
              <w:spacing w:before="14"/>
              <w:ind w:right="130"/>
              <w:jc w:val="right"/>
            </w:pPr>
            <w:r>
              <w:rPr>
                <w:spacing w:val="-2"/>
              </w:rPr>
              <w:t>0.346</w:t>
            </w:r>
          </w:p>
        </w:tc>
        <w:tc>
          <w:tcPr>
            <w:tcW w:w="840" w:type="dxa"/>
          </w:tcPr>
          <w:p w:rsidR="00487D64" w:rsidRDefault="006F0D93">
            <w:pPr>
              <w:pStyle w:val="TableParagraph"/>
              <w:spacing w:before="14"/>
              <w:ind w:right="134"/>
              <w:jc w:val="right"/>
            </w:pPr>
            <w:r>
              <w:rPr>
                <w:spacing w:val="-2"/>
              </w:rPr>
              <w:t>0.372</w:t>
            </w:r>
          </w:p>
        </w:tc>
        <w:tc>
          <w:tcPr>
            <w:tcW w:w="840" w:type="dxa"/>
          </w:tcPr>
          <w:p w:rsidR="00487D64" w:rsidRDefault="006F0D93">
            <w:pPr>
              <w:pStyle w:val="TableParagraph"/>
              <w:spacing w:before="14"/>
              <w:ind w:right="132"/>
              <w:jc w:val="right"/>
            </w:pPr>
            <w:r>
              <w:rPr>
                <w:spacing w:val="-2"/>
              </w:rPr>
              <w:t>0.080</w:t>
            </w:r>
          </w:p>
        </w:tc>
        <w:tc>
          <w:tcPr>
            <w:tcW w:w="840" w:type="dxa"/>
          </w:tcPr>
          <w:p w:rsidR="00487D64" w:rsidRDefault="006F0D93">
            <w:pPr>
              <w:pStyle w:val="TableParagraph"/>
              <w:spacing w:before="14"/>
              <w:ind w:right="136"/>
              <w:jc w:val="right"/>
            </w:pPr>
            <w:r>
              <w:rPr>
                <w:spacing w:val="-2"/>
              </w:rPr>
              <w:t>0.946</w:t>
            </w:r>
          </w:p>
        </w:tc>
        <w:tc>
          <w:tcPr>
            <w:tcW w:w="843" w:type="dxa"/>
          </w:tcPr>
          <w:p w:rsidR="00487D64" w:rsidRDefault="006F0D93">
            <w:pPr>
              <w:pStyle w:val="TableParagraph"/>
              <w:spacing w:before="14"/>
              <w:ind w:right="136"/>
              <w:jc w:val="right"/>
            </w:pPr>
            <w:r>
              <w:rPr>
                <w:spacing w:val="-2"/>
              </w:rPr>
              <w:t>0.663</w:t>
            </w:r>
          </w:p>
        </w:tc>
        <w:tc>
          <w:tcPr>
            <w:tcW w:w="1073" w:type="dxa"/>
          </w:tcPr>
          <w:p w:rsidR="00487D64" w:rsidRDefault="006F0D93">
            <w:pPr>
              <w:pStyle w:val="TableParagraph"/>
              <w:spacing w:before="14"/>
              <w:ind w:right="143"/>
              <w:jc w:val="right"/>
            </w:pPr>
            <w:r>
              <w:rPr>
                <w:spacing w:val="-4"/>
              </w:rPr>
              <w:t>-</w:t>
            </w:r>
            <w:r>
              <w:rPr>
                <w:spacing w:val="-2"/>
              </w:rPr>
              <w:t>0.214</w:t>
            </w:r>
          </w:p>
        </w:tc>
        <w:tc>
          <w:tcPr>
            <w:tcW w:w="1080" w:type="dxa"/>
          </w:tcPr>
          <w:p w:rsidR="00487D64" w:rsidRDefault="006F0D93">
            <w:pPr>
              <w:pStyle w:val="TableParagraph"/>
              <w:spacing w:before="14"/>
              <w:ind w:right="135"/>
              <w:jc w:val="right"/>
            </w:pPr>
            <w:r>
              <w:rPr>
                <w:spacing w:val="-4"/>
              </w:rPr>
              <w:t>-</w:t>
            </w:r>
            <w:r>
              <w:rPr>
                <w:spacing w:val="-2"/>
              </w:rPr>
              <w:t>0.235</w:t>
            </w:r>
          </w:p>
        </w:tc>
        <w:tc>
          <w:tcPr>
            <w:tcW w:w="1016" w:type="dxa"/>
          </w:tcPr>
          <w:p w:rsidR="00487D64" w:rsidRDefault="006F0D93">
            <w:pPr>
              <w:pStyle w:val="TableParagraph"/>
              <w:spacing w:before="14"/>
              <w:ind w:right="113"/>
              <w:jc w:val="right"/>
            </w:pPr>
            <w:r>
              <w:rPr>
                <w:spacing w:val="-2"/>
              </w:rPr>
              <w:t>0.012</w:t>
            </w:r>
          </w:p>
        </w:tc>
      </w:tr>
      <w:tr w:rsidR="00487D64">
        <w:trPr>
          <w:trHeight w:val="291"/>
        </w:trPr>
        <w:tc>
          <w:tcPr>
            <w:tcW w:w="1099" w:type="dxa"/>
          </w:tcPr>
          <w:p w:rsidR="00487D64" w:rsidRDefault="006F0D93">
            <w:pPr>
              <w:pStyle w:val="TableParagraph"/>
              <w:spacing w:before="14"/>
              <w:ind w:left="136"/>
              <w:rPr>
                <w:b/>
              </w:rPr>
            </w:pPr>
            <w:r>
              <w:rPr>
                <w:b/>
                <w:spacing w:val="-5"/>
              </w:rPr>
              <w:t>SC4</w:t>
            </w:r>
          </w:p>
        </w:tc>
        <w:tc>
          <w:tcPr>
            <w:tcW w:w="852" w:type="dxa"/>
          </w:tcPr>
          <w:p w:rsidR="00487D64" w:rsidRDefault="006F0D93">
            <w:pPr>
              <w:pStyle w:val="TableParagraph"/>
              <w:spacing w:before="14"/>
              <w:ind w:right="130"/>
              <w:jc w:val="right"/>
            </w:pPr>
            <w:r>
              <w:rPr>
                <w:spacing w:val="-2"/>
              </w:rPr>
              <w:t>0.208</w:t>
            </w:r>
          </w:p>
        </w:tc>
        <w:tc>
          <w:tcPr>
            <w:tcW w:w="840" w:type="dxa"/>
          </w:tcPr>
          <w:p w:rsidR="00487D64" w:rsidRDefault="006F0D93">
            <w:pPr>
              <w:pStyle w:val="TableParagraph"/>
              <w:spacing w:before="14"/>
              <w:ind w:right="135"/>
              <w:jc w:val="right"/>
            </w:pPr>
            <w:r>
              <w:rPr>
                <w:spacing w:val="-2"/>
              </w:rPr>
              <w:t>0.189</w:t>
            </w:r>
          </w:p>
        </w:tc>
        <w:tc>
          <w:tcPr>
            <w:tcW w:w="840" w:type="dxa"/>
          </w:tcPr>
          <w:p w:rsidR="00487D64" w:rsidRDefault="006F0D93">
            <w:pPr>
              <w:pStyle w:val="TableParagraph"/>
              <w:spacing w:before="14"/>
              <w:ind w:right="132"/>
              <w:jc w:val="right"/>
            </w:pPr>
            <w:r>
              <w:rPr>
                <w:spacing w:val="-2"/>
              </w:rPr>
              <w:t>0.099</w:t>
            </w:r>
          </w:p>
        </w:tc>
        <w:tc>
          <w:tcPr>
            <w:tcW w:w="840" w:type="dxa"/>
          </w:tcPr>
          <w:p w:rsidR="00487D64" w:rsidRDefault="006F0D93">
            <w:pPr>
              <w:pStyle w:val="TableParagraph"/>
              <w:spacing w:before="14"/>
              <w:ind w:right="136"/>
              <w:jc w:val="right"/>
            </w:pPr>
            <w:r>
              <w:rPr>
                <w:spacing w:val="-2"/>
              </w:rPr>
              <w:t>0.701</w:t>
            </w:r>
          </w:p>
        </w:tc>
        <w:tc>
          <w:tcPr>
            <w:tcW w:w="843" w:type="dxa"/>
          </w:tcPr>
          <w:p w:rsidR="00487D64" w:rsidRDefault="006F0D93">
            <w:pPr>
              <w:pStyle w:val="TableParagraph"/>
              <w:spacing w:before="14"/>
              <w:ind w:right="136"/>
              <w:jc w:val="right"/>
            </w:pPr>
            <w:r>
              <w:rPr>
                <w:spacing w:val="-2"/>
              </w:rPr>
              <w:t>0.411</w:t>
            </w:r>
          </w:p>
        </w:tc>
        <w:tc>
          <w:tcPr>
            <w:tcW w:w="1073" w:type="dxa"/>
          </w:tcPr>
          <w:p w:rsidR="00487D64" w:rsidRDefault="006F0D93">
            <w:pPr>
              <w:pStyle w:val="TableParagraph"/>
              <w:spacing w:before="14"/>
              <w:ind w:right="143"/>
              <w:jc w:val="right"/>
            </w:pPr>
            <w:r>
              <w:rPr>
                <w:spacing w:val="-4"/>
              </w:rPr>
              <w:t>-</w:t>
            </w:r>
            <w:r>
              <w:rPr>
                <w:spacing w:val="-2"/>
              </w:rPr>
              <w:t>0.148</w:t>
            </w:r>
          </w:p>
        </w:tc>
        <w:tc>
          <w:tcPr>
            <w:tcW w:w="1080" w:type="dxa"/>
          </w:tcPr>
          <w:p w:rsidR="00487D64" w:rsidRDefault="006F0D93">
            <w:pPr>
              <w:pStyle w:val="TableParagraph"/>
              <w:spacing w:before="14"/>
              <w:ind w:right="135"/>
              <w:jc w:val="right"/>
            </w:pPr>
            <w:r>
              <w:rPr>
                <w:spacing w:val="-4"/>
              </w:rPr>
              <w:t>-</w:t>
            </w:r>
            <w:r>
              <w:rPr>
                <w:spacing w:val="-2"/>
              </w:rPr>
              <w:t>0.145</w:t>
            </w:r>
          </w:p>
        </w:tc>
        <w:tc>
          <w:tcPr>
            <w:tcW w:w="1016" w:type="dxa"/>
          </w:tcPr>
          <w:p w:rsidR="00487D64" w:rsidRDefault="006F0D93">
            <w:pPr>
              <w:pStyle w:val="TableParagraph"/>
              <w:spacing w:before="14"/>
              <w:ind w:right="113"/>
              <w:jc w:val="right"/>
            </w:pPr>
            <w:r>
              <w:rPr>
                <w:spacing w:val="-2"/>
              </w:rPr>
              <w:t>0.029</w:t>
            </w:r>
          </w:p>
        </w:tc>
      </w:tr>
      <w:tr w:rsidR="00487D64">
        <w:trPr>
          <w:trHeight w:val="291"/>
        </w:trPr>
        <w:tc>
          <w:tcPr>
            <w:tcW w:w="1099" w:type="dxa"/>
          </w:tcPr>
          <w:p w:rsidR="00487D64" w:rsidRDefault="006F0D93">
            <w:pPr>
              <w:pStyle w:val="TableParagraph"/>
              <w:spacing w:before="17"/>
              <w:ind w:left="136"/>
              <w:rPr>
                <w:b/>
              </w:rPr>
            </w:pPr>
            <w:r>
              <w:rPr>
                <w:b/>
                <w:spacing w:val="-5"/>
              </w:rPr>
              <w:t>SC5</w:t>
            </w:r>
          </w:p>
        </w:tc>
        <w:tc>
          <w:tcPr>
            <w:tcW w:w="852" w:type="dxa"/>
          </w:tcPr>
          <w:p w:rsidR="00487D64" w:rsidRDefault="006F0D93">
            <w:pPr>
              <w:pStyle w:val="TableParagraph"/>
              <w:spacing w:before="17"/>
              <w:ind w:right="130"/>
              <w:jc w:val="right"/>
            </w:pPr>
            <w:r>
              <w:rPr>
                <w:spacing w:val="-2"/>
              </w:rPr>
              <w:t>0.264</w:t>
            </w:r>
          </w:p>
        </w:tc>
        <w:tc>
          <w:tcPr>
            <w:tcW w:w="840" w:type="dxa"/>
          </w:tcPr>
          <w:p w:rsidR="00487D64" w:rsidRDefault="006F0D93">
            <w:pPr>
              <w:pStyle w:val="TableParagraph"/>
              <w:spacing w:before="17"/>
              <w:ind w:right="135"/>
              <w:jc w:val="right"/>
            </w:pPr>
            <w:r>
              <w:rPr>
                <w:spacing w:val="-2"/>
              </w:rPr>
              <w:t>0.306</w:t>
            </w:r>
          </w:p>
        </w:tc>
        <w:tc>
          <w:tcPr>
            <w:tcW w:w="840" w:type="dxa"/>
          </w:tcPr>
          <w:p w:rsidR="00487D64" w:rsidRDefault="006F0D93">
            <w:pPr>
              <w:pStyle w:val="TableParagraph"/>
              <w:spacing w:before="17"/>
              <w:ind w:right="132"/>
              <w:jc w:val="right"/>
            </w:pPr>
            <w:r>
              <w:rPr>
                <w:spacing w:val="-2"/>
              </w:rPr>
              <w:t>0.073</w:t>
            </w:r>
          </w:p>
        </w:tc>
        <w:tc>
          <w:tcPr>
            <w:tcW w:w="840" w:type="dxa"/>
          </w:tcPr>
          <w:p w:rsidR="00487D64" w:rsidRDefault="006F0D93">
            <w:pPr>
              <w:pStyle w:val="TableParagraph"/>
              <w:spacing w:before="17"/>
              <w:ind w:right="136"/>
              <w:jc w:val="right"/>
            </w:pPr>
            <w:r>
              <w:rPr>
                <w:spacing w:val="-2"/>
              </w:rPr>
              <w:t>0.836</w:t>
            </w:r>
          </w:p>
        </w:tc>
        <w:tc>
          <w:tcPr>
            <w:tcW w:w="843" w:type="dxa"/>
          </w:tcPr>
          <w:p w:rsidR="00487D64" w:rsidRDefault="006F0D93">
            <w:pPr>
              <w:pStyle w:val="TableParagraph"/>
              <w:spacing w:before="17"/>
              <w:ind w:right="136"/>
              <w:jc w:val="right"/>
            </w:pPr>
            <w:r>
              <w:rPr>
                <w:spacing w:val="-2"/>
              </w:rPr>
              <w:t>0.511</w:t>
            </w:r>
          </w:p>
        </w:tc>
        <w:tc>
          <w:tcPr>
            <w:tcW w:w="1073" w:type="dxa"/>
          </w:tcPr>
          <w:p w:rsidR="00487D64" w:rsidRDefault="006F0D93">
            <w:pPr>
              <w:pStyle w:val="TableParagraph"/>
              <w:spacing w:before="17"/>
              <w:ind w:right="143"/>
              <w:jc w:val="right"/>
            </w:pPr>
            <w:r>
              <w:rPr>
                <w:spacing w:val="-4"/>
              </w:rPr>
              <w:t>-</w:t>
            </w:r>
            <w:r>
              <w:rPr>
                <w:spacing w:val="-2"/>
              </w:rPr>
              <w:t>0.156</w:t>
            </w:r>
          </w:p>
        </w:tc>
        <w:tc>
          <w:tcPr>
            <w:tcW w:w="1080" w:type="dxa"/>
          </w:tcPr>
          <w:p w:rsidR="00487D64" w:rsidRDefault="006F0D93">
            <w:pPr>
              <w:pStyle w:val="TableParagraph"/>
              <w:spacing w:before="17"/>
              <w:ind w:right="135"/>
              <w:jc w:val="right"/>
            </w:pPr>
            <w:r>
              <w:rPr>
                <w:spacing w:val="-4"/>
              </w:rPr>
              <w:t>-</w:t>
            </w:r>
            <w:r>
              <w:rPr>
                <w:spacing w:val="-2"/>
              </w:rPr>
              <w:t>0.182</w:t>
            </w:r>
          </w:p>
        </w:tc>
        <w:tc>
          <w:tcPr>
            <w:tcW w:w="1016" w:type="dxa"/>
          </w:tcPr>
          <w:p w:rsidR="00487D64" w:rsidRDefault="006F0D93">
            <w:pPr>
              <w:pStyle w:val="TableParagraph"/>
              <w:spacing w:before="17"/>
              <w:ind w:right="113"/>
              <w:jc w:val="right"/>
            </w:pPr>
            <w:r>
              <w:rPr>
                <w:spacing w:val="-4"/>
              </w:rPr>
              <w:t>-</w:t>
            </w:r>
            <w:r>
              <w:rPr>
                <w:spacing w:val="-2"/>
              </w:rPr>
              <w:t>0.007</w:t>
            </w:r>
          </w:p>
        </w:tc>
      </w:tr>
      <w:tr w:rsidR="00487D64">
        <w:trPr>
          <w:trHeight w:val="291"/>
        </w:trPr>
        <w:tc>
          <w:tcPr>
            <w:tcW w:w="1099" w:type="dxa"/>
          </w:tcPr>
          <w:p w:rsidR="00487D64" w:rsidRDefault="006F0D93">
            <w:pPr>
              <w:pStyle w:val="TableParagraph"/>
              <w:spacing w:before="14"/>
              <w:ind w:left="136"/>
              <w:rPr>
                <w:b/>
              </w:rPr>
            </w:pPr>
            <w:r>
              <w:rPr>
                <w:b/>
                <w:spacing w:val="-5"/>
              </w:rPr>
              <w:t>SFC</w:t>
            </w:r>
          </w:p>
        </w:tc>
        <w:tc>
          <w:tcPr>
            <w:tcW w:w="852" w:type="dxa"/>
          </w:tcPr>
          <w:p w:rsidR="00487D64" w:rsidRDefault="006F0D93">
            <w:pPr>
              <w:pStyle w:val="TableParagraph"/>
              <w:spacing w:before="14"/>
              <w:ind w:right="130"/>
              <w:jc w:val="right"/>
            </w:pPr>
            <w:r>
              <w:rPr>
                <w:spacing w:val="-2"/>
              </w:rPr>
              <w:t>0.046</w:t>
            </w:r>
          </w:p>
        </w:tc>
        <w:tc>
          <w:tcPr>
            <w:tcW w:w="840" w:type="dxa"/>
          </w:tcPr>
          <w:p w:rsidR="00487D64" w:rsidRDefault="006F0D93">
            <w:pPr>
              <w:pStyle w:val="TableParagraph"/>
              <w:spacing w:before="14"/>
              <w:ind w:right="135"/>
              <w:jc w:val="right"/>
            </w:pPr>
            <w:r>
              <w:rPr>
                <w:spacing w:val="-2"/>
              </w:rPr>
              <w:t>0.073</w:t>
            </w:r>
          </w:p>
        </w:tc>
        <w:tc>
          <w:tcPr>
            <w:tcW w:w="840" w:type="dxa"/>
          </w:tcPr>
          <w:p w:rsidR="00487D64" w:rsidRDefault="006F0D93">
            <w:pPr>
              <w:pStyle w:val="TableParagraph"/>
              <w:spacing w:before="14"/>
              <w:ind w:right="132"/>
              <w:jc w:val="right"/>
            </w:pPr>
            <w:r>
              <w:rPr>
                <w:spacing w:val="-2"/>
              </w:rPr>
              <w:t>0.022</w:t>
            </w:r>
          </w:p>
        </w:tc>
        <w:tc>
          <w:tcPr>
            <w:tcW w:w="840" w:type="dxa"/>
          </w:tcPr>
          <w:p w:rsidR="00487D64" w:rsidRDefault="006F0D93">
            <w:pPr>
              <w:pStyle w:val="TableParagraph"/>
              <w:spacing w:before="14"/>
              <w:ind w:right="136"/>
              <w:jc w:val="right"/>
            </w:pPr>
            <w:r>
              <w:rPr>
                <w:spacing w:val="-2"/>
              </w:rPr>
              <w:t>0.246</w:t>
            </w:r>
          </w:p>
        </w:tc>
        <w:tc>
          <w:tcPr>
            <w:tcW w:w="843" w:type="dxa"/>
          </w:tcPr>
          <w:p w:rsidR="00487D64" w:rsidRDefault="006F0D93">
            <w:pPr>
              <w:pStyle w:val="TableParagraph"/>
              <w:spacing w:before="14"/>
              <w:ind w:right="136"/>
              <w:jc w:val="right"/>
            </w:pPr>
            <w:r>
              <w:rPr>
                <w:spacing w:val="-2"/>
              </w:rPr>
              <w:t>0.494</w:t>
            </w:r>
          </w:p>
        </w:tc>
        <w:tc>
          <w:tcPr>
            <w:tcW w:w="1073" w:type="dxa"/>
          </w:tcPr>
          <w:p w:rsidR="00487D64" w:rsidRDefault="006F0D93">
            <w:pPr>
              <w:pStyle w:val="TableParagraph"/>
              <w:spacing w:before="14"/>
              <w:ind w:right="143"/>
              <w:jc w:val="right"/>
            </w:pPr>
            <w:r>
              <w:rPr>
                <w:spacing w:val="-4"/>
              </w:rPr>
              <w:t>-</w:t>
            </w:r>
            <w:r>
              <w:rPr>
                <w:spacing w:val="-2"/>
              </w:rPr>
              <w:t>0.094</w:t>
            </w:r>
          </w:p>
        </w:tc>
        <w:tc>
          <w:tcPr>
            <w:tcW w:w="1080" w:type="dxa"/>
          </w:tcPr>
          <w:p w:rsidR="00487D64" w:rsidRDefault="006F0D93">
            <w:pPr>
              <w:pStyle w:val="TableParagraph"/>
              <w:spacing w:before="14"/>
              <w:ind w:right="135"/>
              <w:jc w:val="right"/>
            </w:pPr>
            <w:r>
              <w:rPr>
                <w:spacing w:val="-4"/>
              </w:rPr>
              <w:t>-</w:t>
            </w:r>
            <w:r>
              <w:rPr>
                <w:spacing w:val="-2"/>
              </w:rPr>
              <w:t>0.041</w:t>
            </w:r>
          </w:p>
        </w:tc>
        <w:tc>
          <w:tcPr>
            <w:tcW w:w="1016" w:type="dxa"/>
          </w:tcPr>
          <w:p w:rsidR="00487D64" w:rsidRDefault="006F0D93">
            <w:pPr>
              <w:pStyle w:val="TableParagraph"/>
              <w:spacing w:before="14"/>
              <w:ind w:right="113"/>
              <w:jc w:val="right"/>
            </w:pPr>
            <w:r>
              <w:rPr>
                <w:spacing w:val="-2"/>
              </w:rPr>
              <w:t>0.022</w:t>
            </w:r>
          </w:p>
        </w:tc>
      </w:tr>
      <w:tr w:rsidR="00487D64">
        <w:trPr>
          <w:trHeight w:val="291"/>
        </w:trPr>
        <w:tc>
          <w:tcPr>
            <w:tcW w:w="1099" w:type="dxa"/>
          </w:tcPr>
          <w:p w:rsidR="00487D64" w:rsidRDefault="006F0D93">
            <w:pPr>
              <w:pStyle w:val="TableParagraph"/>
              <w:spacing w:before="17"/>
              <w:ind w:left="136"/>
              <w:rPr>
                <w:b/>
              </w:rPr>
            </w:pPr>
            <w:r>
              <w:rPr>
                <w:b/>
                <w:spacing w:val="-5"/>
              </w:rPr>
              <w:t>SFP</w:t>
            </w:r>
          </w:p>
        </w:tc>
        <w:tc>
          <w:tcPr>
            <w:tcW w:w="852" w:type="dxa"/>
          </w:tcPr>
          <w:p w:rsidR="00487D64" w:rsidRDefault="006F0D93">
            <w:pPr>
              <w:pStyle w:val="TableParagraph"/>
              <w:spacing w:before="17"/>
              <w:ind w:right="130"/>
              <w:jc w:val="right"/>
            </w:pPr>
            <w:r>
              <w:rPr>
                <w:spacing w:val="-2"/>
              </w:rPr>
              <w:t>0.120</w:t>
            </w:r>
          </w:p>
        </w:tc>
        <w:tc>
          <w:tcPr>
            <w:tcW w:w="840" w:type="dxa"/>
          </w:tcPr>
          <w:p w:rsidR="00487D64" w:rsidRDefault="006F0D93">
            <w:pPr>
              <w:pStyle w:val="TableParagraph"/>
              <w:spacing w:before="17"/>
              <w:ind w:right="135"/>
              <w:jc w:val="right"/>
            </w:pPr>
            <w:r>
              <w:rPr>
                <w:spacing w:val="-2"/>
              </w:rPr>
              <w:t>0.197</w:t>
            </w:r>
          </w:p>
        </w:tc>
        <w:tc>
          <w:tcPr>
            <w:tcW w:w="840" w:type="dxa"/>
          </w:tcPr>
          <w:p w:rsidR="00487D64" w:rsidRDefault="006F0D93">
            <w:pPr>
              <w:pStyle w:val="TableParagraph"/>
              <w:spacing w:before="17"/>
              <w:ind w:right="132"/>
              <w:jc w:val="right"/>
            </w:pPr>
            <w:r>
              <w:rPr>
                <w:spacing w:val="-2"/>
              </w:rPr>
              <w:t>0.019</w:t>
            </w:r>
          </w:p>
        </w:tc>
        <w:tc>
          <w:tcPr>
            <w:tcW w:w="840" w:type="dxa"/>
          </w:tcPr>
          <w:p w:rsidR="00487D64" w:rsidRDefault="006F0D93">
            <w:pPr>
              <w:pStyle w:val="TableParagraph"/>
              <w:spacing w:before="17"/>
              <w:ind w:right="136"/>
              <w:jc w:val="right"/>
            </w:pPr>
            <w:r>
              <w:rPr>
                <w:spacing w:val="-2"/>
              </w:rPr>
              <w:t>0.602</w:t>
            </w:r>
          </w:p>
        </w:tc>
        <w:tc>
          <w:tcPr>
            <w:tcW w:w="843" w:type="dxa"/>
          </w:tcPr>
          <w:p w:rsidR="00487D64" w:rsidRDefault="006F0D93">
            <w:pPr>
              <w:pStyle w:val="TableParagraph"/>
              <w:spacing w:before="17"/>
              <w:ind w:right="136"/>
              <w:jc w:val="right"/>
            </w:pPr>
            <w:r>
              <w:rPr>
                <w:spacing w:val="-2"/>
              </w:rPr>
              <w:t>0.903</w:t>
            </w:r>
          </w:p>
        </w:tc>
        <w:tc>
          <w:tcPr>
            <w:tcW w:w="1073" w:type="dxa"/>
          </w:tcPr>
          <w:p w:rsidR="00487D64" w:rsidRDefault="006F0D93">
            <w:pPr>
              <w:pStyle w:val="TableParagraph"/>
              <w:spacing w:before="17"/>
              <w:ind w:right="143"/>
              <w:jc w:val="right"/>
            </w:pPr>
            <w:r>
              <w:rPr>
                <w:spacing w:val="-4"/>
              </w:rPr>
              <w:t>-</w:t>
            </w:r>
            <w:r>
              <w:rPr>
                <w:spacing w:val="-2"/>
              </w:rPr>
              <w:t>0.164</w:t>
            </w:r>
          </w:p>
        </w:tc>
        <w:tc>
          <w:tcPr>
            <w:tcW w:w="1080" w:type="dxa"/>
          </w:tcPr>
          <w:p w:rsidR="00487D64" w:rsidRDefault="006F0D93">
            <w:pPr>
              <w:pStyle w:val="TableParagraph"/>
              <w:spacing w:before="17"/>
              <w:ind w:right="135"/>
              <w:jc w:val="right"/>
            </w:pPr>
            <w:r>
              <w:rPr>
                <w:spacing w:val="-4"/>
              </w:rPr>
              <w:t>-</w:t>
            </w:r>
            <w:r>
              <w:rPr>
                <w:spacing w:val="-2"/>
              </w:rPr>
              <w:t>0.150</w:t>
            </w:r>
          </w:p>
        </w:tc>
        <w:tc>
          <w:tcPr>
            <w:tcW w:w="1016" w:type="dxa"/>
          </w:tcPr>
          <w:p w:rsidR="00487D64" w:rsidRDefault="006F0D93">
            <w:pPr>
              <w:pStyle w:val="TableParagraph"/>
              <w:spacing w:before="17"/>
              <w:ind w:right="113"/>
              <w:jc w:val="right"/>
            </w:pPr>
            <w:r>
              <w:rPr>
                <w:spacing w:val="-2"/>
              </w:rPr>
              <w:t>0.013</w:t>
            </w:r>
          </w:p>
        </w:tc>
      </w:tr>
      <w:tr w:rsidR="00487D64">
        <w:trPr>
          <w:trHeight w:val="288"/>
        </w:trPr>
        <w:tc>
          <w:tcPr>
            <w:tcW w:w="1099" w:type="dxa"/>
          </w:tcPr>
          <w:p w:rsidR="00487D64" w:rsidRDefault="006F0D93">
            <w:pPr>
              <w:pStyle w:val="TableParagraph"/>
              <w:spacing w:before="14"/>
              <w:ind w:left="136"/>
              <w:rPr>
                <w:b/>
              </w:rPr>
            </w:pPr>
            <w:r>
              <w:rPr>
                <w:b/>
                <w:spacing w:val="-5"/>
              </w:rPr>
              <w:t>SFR</w:t>
            </w:r>
          </w:p>
        </w:tc>
        <w:tc>
          <w:tcPr>
            <w:tcW w:w="852" w:type="dxa"/>
          </w:tcPr>
          <w:p w:rsidR="00487D64" w:rsidRDefault="006F0D93">
            <w:pPr>
              <w:pStyle w:val="TableParagraph"/>
              <w:spacing w:before="14"/>
              <w:ind w:right="130"/>
              <w:jc w:val="right"/>
            </w:pPr>
            <w:r>
              <w:rPr>
                <w:spacing w:val="-2"/>
              </w:rPr>
              <w:t>0.069</w:t>
            </w:r>
          </w:p>
        </w:tc>
        <w:tc>
          <w:tcPr>
            <w:tcW w:w="840" w:type="dxa"/>
          </w:tcPr>
          <w:p w:rsidR="00487D64" w:rsidRDefault="006F0D93">
            <w:pPr>
              <w:pStyle w:val="TableParagraph"/>
              <w:spacing w:before="14"/>
              <w:ind w:right="135"/>
              <w:jc w:val="right"/>
            </w:pPr>
            <w:r>
              <w:rPr>
                <w:spacing w:val="-2"/>
              </w:rPr>
              <w:t>0.162</w:t>
            </w:r>
          </w:p>
        </w:tc>
        <w:tc>
          <w:tcPr>
            <w:tcW w:w="840" w:type="dxa"/>
          </w:tcPr>
          <w:p w:rsidR="00487D64" w:rsidRDefault="006F0D93">
            <w:pPr>
              <w:pStyle w:val="TableParagraph"/>
              <w:spacing w:before="14"/>
              <w:ind w:right="132"/>
              <w:jc w:val="right"/>
            </w:pPr>
            <w:r>
              <w:rPr>
                <w:spacing w:val="-2"/>
              </w:rPr>
              <w:t>0.065</w:t>
            </w:r>
          </w:p>
        </w:tc>
        <w:tc>
          <w:tcPr>
            <w:tcW w:w="840" w:type="dxa"/>
          </w:tcPr>
          <w:p w:rsidR="00487D64" w:rsidRDefault="006F0D93">
            <w:pPr>
              <w:pStyle w:val="TableParagraph"/>
              <w:spacing w:before="14"/>
              <w:ind w:right="136"/>
              <w:jc w:val="right"/>
            </w:pPr>
            <w:r>
              <w:rPr>
                <w:spacing w:val="-2"/>
              </w:rPr>
              <w:t>0.576</w:t>
            </w:r>
          </w:p>
        </w:tc>
        <w:tc>
          <w:tcPr>
            <w:tcW w:w="843" w:type="dxa"/>
          </w:tcPr>
          <w:p w:rsidR="00487D64" w:rsidRDefault="006F0D93">
            <w:pPr>
              <w:pStyle w:val="TableParagraph"/>
              <w:spacing w:before="14"/>
              <w:ind w:right="136"/>
              <w:jc w:val="right"/>
            </w:pPr>
            <w:r>
              <w:rPr>
                <w:spacing w:val="-2"/>
              </w:rPr>
              <w:t>0.908</w:t>
            </w:r>
          </w:p>
        </w:tc>
        <w:tc>
          <w:tcPr>
            <w:tcW w:w="1073" w:type="dxa"/>
          </w:tcPr>
          <w:p w:rsidR="00487D64" w:rsidRDefault="006F0D93">
            <w:pPr>
              <w:pStyle w:val="TableParagraph"/>
              <w:spacing w:before="14"/>
              <w:ind w:right="143"/>
              <w:jc w:val="right"/>
            </w:pPr>
            <w:r>
              <w:rPr>
                <w:spacing w:val="-4"/>
              </w:rPr>
              <w:t>-</w:t>
            </w:r>
            <w:r>
              <w:rPr>
                <w:spacing w:val="-2"/>
              </w:rPr>
              <w:t>0.207</w:t>
            </w:r>
          </w:p>
        </w:tc>
        <w:tc>
          <w:tcPr>
            <w:tcW w:w="1080" w:type="dxa"/>
          </w:tcPr>
          <w:p w:rsidR="00487D64" w:rsidRDefault="006F0D93">
            <w:pPr>
              <w:pStyle w:val="TableParagraph"/>
              <w:spacing w:before="14"/>
              <w:ind w:right="135"/>
              <w:jc w:val="right"/>
            </w:pPr>
            <w:r>
              <w:rPr>
                <w:spacing w:val="-4"/>
              </w:rPr>
              <w:t>-</w:t>
            </w:r>
            <w:r>
              <w:rPr>
                <w:spacing w:val="-2"/>
              </w:rPr>
              <w:t>0.137</w:t>
            </w:r>
          </w:p>
        </w:tc>
        <w:tc>
          <w:tcPr>
            <w:tcW w:w="1016" w:type="dxa"/>
          </w:tcPr>
          <w:p w:rsidR="00487D64" w:rsidRDefault="006F0D93">
            <w:pPr>
              <w:pStyle w:val="TableParagraph"/>
              <w:spacing w:before="14"/>
              <w:ind w:right="113"/>
              <w:jc w:val="right"/>
            </w:pPr>
            <w:r>
              <w:rPr>
                <w:spacing w:val="-4"/>
              </w:rPr>
              <w:t>-</w:t>
            </w:r>
            <w:r>
              <w:rPr>
                <w:spacing w:val="-2"/>
              </w:rPr>
              <w:t>0.032</w:t>
            </w:r>
          </w:p>
        </w:tc>
      </w:tr>
      <w:tr w:rsidR="00487D64">
        <w:trPr>
          <w:trHeight w:val="291"/>
        </w:trPr>
        <w:tc>
          <w:tcPr>
            <w:tcW w:w="1099" w:type="dxa"/>
          </w:tcPr>
          <w:p w:rsidR="00487D64" w:rsidRDefault="006F0D93">
            <w:pPr>
              <w:pStyle w:val="TableParagraph"/>
              <w:spacing w:before="14"/>
              <w:ind w:left="136"/>
              <w:rPr>
                <w:b/>
              </w:rPr>
            </w:pPr>
            <w:r>
              <w:rPr>
                <w:b/>
              </w:rPr>
              <w:t>SF</w:t>
            </w:r>
            <w:r>
              <w:rPr>
                <w:b/>
                <w:spacing w:val="2"/>
              </w:rPr>
              <w:t xml:space="preserve"> </w:t>
            </w:r>
            <w:r>
              <w:rPr>
                <w:b/>
              </w:rPr>
              <w:t>x</w:t>
            </w:r>
            <w:r>
              <w:rPr>
                <w:b/>
                <w:spacing w:val="-1"/>
              </w:rPr>
              <w:t xml:space="preserve"> </w:t>
            </w:r>
            <w:r>
              <w:rPr>
                <w:b/>
                <w:spacing w:val="-5"/>
              </w:rPr>
              <w:t>CU</w:t>
            </w:r>
          </w:p>
        </w:tc>
        <w:tc>
          <w:tcPr>
            <w:tcW w:w="852" w:type="dxa"/>
          </w:tcPr>
          <w:p w:rsidR="00487D64" w:rsidRDefault="006F0D93">
            <w:pPr>
              <w:pStyle w:val="TableParagraph"/>
              <w:spacing w:before="14"/>
              <w:ind w:right="130"/>
              <w:jc w:val="right"/>
            </w:pPr>
            <w:r>
              <w:rPr>
                <w:spacing w:val="-4"/>
              </w:rPr>
              <w:t>-</w:t>
            </w:r>
            <w:r>
              <w:rPr>
                <w:spacing w:val="-2"/>
              </w:rPr>
              <w:t>0.074</w:t>
            </w:r>
          </w:p>
        </w:tc>
        <w:tc>
          <w:tcPr>
            <w:tcW w:w="840" w:type="dxa"/>
          </w:tcPr>
          <w:p w:rsidR="00487D64" w:rsidRDefault="006F0D93">
            <w:pPr>
              <w:pStyle w:val="TableParagraph"/>
              <w:spacing w:before="14"/>
              <w:ind w:right="135"/>
              <w:jc w:val="right"/>
            </w:pPr>
            <w:r>
              <w:rPr>
                <w:spacing w:val="-2"/>
              </w:rPr>
              <w:t>0.029</w:t>
            </w:r>
          </w:p>
        </w:tc>
        <w:tc>
          <w:tcPr>
            <w:tcW w:w="840" w:type="dxa"/>
          </w:tcPr>
          <w:p w:rsidR="00487D64" w:rsidRDefault="006F0D93">
            <w:pPr>
              <w:pStyle w:val="TableParagraph"/>
              <w:spacing w:before="14"/>
              <w:ind w:right="132"/>
              <w:jc w:val="right"/>
            </w:pPr>
            <w:r>
              <w:rPr>
                <w:spacing w:val="-2"/>
              </w:rPr>
              <w:t>0.016</w:t>
            </w:r>
          </w:p>
        </w:tc>
        <w:tc>
          <w:tcPr>
            <w:tcW w:w="840" w:type="dxa"/>
          </w:tcPr>
          <w:p w:rsidR="00487D64" w:rsidRDefault="006F0D93">
            <w:pPr>
              <w:pStyle w:val="TableParagraph"/>
              <w:spacing w:before="14"/>
              <w:ind w:right="136"/>
              <w:jc w:val="right"/>
            </w:pPr>
            <w:r>
              <w:rPr>
                <w:spacing w:val="-2"/>
              </w:rPr>
              <w:t>-0.194</w:t>
            </w:r>
          </w:p>
        </w:tc>
        <w:tc>
          <w:tcPr>
            <w:tcW w:w="843" w:type="dxa"/>
          </w:tcPr>
          <w:p w:rsidR="00487D64" w:rsidRDefault="006F0D93">
            <w:pPr>
              <w:pStyle w:val="TableParagraph"/>
              <w:spacing w:before="14"/>
              <w:ind w:right="136"/>
              <w:jc w:val="right"/>
            </w:pPr>
            <w:r>
              <w:rPr>
                <w:spacing w:val="-4"/>
              </w:rPr>
              <w:t>-</w:t>
            </w:r>
            <w:r>
              <w:rPr>
                <w:spacing w:val="-2"/>
              </w:rPr>
              <w:t>0.203</w:t>
            </w:r>
          </w:p>
        </w:tc>
        <w:tc>
          <w:tcPr>
            <w:tcW w:w="1073" w:type="dxa"/>
          </w:tcPr>
          <w:p w:rsidR="00487D64" w:rsidRDefault="006F0D93">
            <w:pPr>
              <w:pStyle w:val="TableParagraph"/>
              <w:spacing w:before="14"/>
              <w:ind w:right="143"/>
              <w:jc w:val="right"/>
            </w:pPr>
            <w:r>
              <w:rPr>
                <w:spacing w:val="-2"/>
              </w:rPr>
              <w:t>1.000</w:t>
            </w:r>
          </w:p>
        </w:tc>
        <w:tc>
          <w:tcPr>
            <w:tcW w:w="1080" w:type="dxa"/>
          </w:tcPr>
          <w:p w:rsidR="00487D64" w:rsidRDefault="006F0D93">
            <w:pPr>
              <w:pStyle w:val="TableParagraph"/>
              <w:spacing w:before="14"/>
              <w:ind w:right="135"/>
              <w:jc w:val="right"/>
            </w:pPr>
            <w:r>
              <w:rPr>
                <w:spacing w:val="-2"/>
              </w:rPr>
              <w:t>0.125</w:t>
            </w:r>
          </w:p>
        </w:tc>
        <w:tc>
          <w:tcPr>
            <w:tcW w:w="1016" w:type="dxa"/>
          </w:tcPr>
          <w:p w:rsidR="00487D64" w:rsidRDefault="006F0D93">
            <w:pPr>
              <w:pStyle w:val="TableParagraph"/>
              <w:spacing w:before="14"/>
              <w:ind w:right="113"/>
              <w:jc w:val="right"/>
            </w:pPr>
            <w:r>
              <w:rPr>
                <w:spacing w:val="-2"/>
              </w:rPr>
              <w:t>0.077</w:t>
            </w:r>
          </w:p>
        </w:tc>
      </w:tr>
      <w:tr w:rsidR="00487D64">
        <w:trPr>
          <w:trHeight w:val="291"/>
        </w:trPr>
        <w:tc>
          <w:tcPr>
            <w:tcW w:w="1099" w:type="dxa"/>
          </w:tcPr>
          <w:p w:rsidR="00487D64" w:rsidRDefault="006F0D93">
            <w:pPr>
              <w:pStyle w:val="TableParagraph"/>
              <w:spacing w:before="17"/>
              <w:ind w:left="136"/>
              <w:rPr>
                <w:b/>
              </w:rPr>
            </w:pPr>
            <w:r>
              <w:rPr>
                <w:b/>
              </w:rPr>
              <w:t>SF</w:t>
            </w:r>
            <w:r>
              <w:rPr>
                <w:b/>
                <w:spacing w:val="2"/>
              </w:rPr>
              <w:t xml:space="preserve"> </w:t>
            </w:r>
            <w:r>
              <w:rPr>
                <w:b/>
              </w:rPr>
              <w:t>x</w:t>
            </w:r>
            <w:r>
              <w:rPr>
                <w:b/>
                <w:spacing w:val="-1"/>
              </w:rPr>
              <w:t xml:space="preserve"> </w:t>
            </w:r>
            <w:r>
              <w:rPr>
                <w:b/>
                <w:spacing w:val="-5"/>
              </w:rPr>
              <w:t>CO</w:t>
            </w:r>
          </w:p>
        </w:tc>
        <w:tc>
          <w:tcPr>
            <w:tcW w:w="852" w:type="dxa"/>
          </w:tcPr>
          <w:p w:rsidR="00487D64" w:rsidRDefault="006F0D93">
            <w:pPr>
              <w:pStyle w:val="TableParagraph"/>
              <w:spacing w:before="17"/>
              <w:ind w:right="130"/>
              <w:jc w:val="right"/>
            </w:pPr>
            <w:r>
              <w:rPr>
                <w:spacing w:val="-2"/>
              </w:rPr>
              <w:t>0.070</w:t>
            </w:r>
          </w:p>
        </w:tc>
        <w:tc>
          <w:tcPr>
            <w:tcW w:w="840" w:type="dxa"/>
          </w:tcPr>
          <w:p w:rsidR="00487D64" w:rsidRDefault="006F0D93">
            <w:pPr>
              <w:pStyle w:val="TableParagraph"/>
              <w:spacing w:before="17"/>
              <w:ind w:right="135"/>
              <w:jc w:val="right"/>
            </w:pPr>
            <w:r>
              <w:rPr>
                <w:spacing w:val="-4"/>
              </w:rPr>
              <w:t>-</w:t>
            </w:r>
            <w:r>
              <w:rPr>
                <w:spacing w:val="-2"/>
              </w:rPr>
              <w:t>0.081</w:t>
            </w:r>
          </w:p>
        </w:tc>
        <w:tc>
          <w:tcPr>
            <w:tcW w:w="840" w:type="dxa"/>
          </w:tcPr>
          <w:p w:rsidR="00487D64" w:rsidRDefault="006F0D93">
            <w:pPr>
              <w:pStyle w:val="TableParagraph"/>
              <w:spacing w:before="17"/>
              <w:ind w:right="132"/>
              <w:jc w:val="right"/>
            </w:pPr>
            <w:r>
              <w:rPr>
                <w:spacing w:val="-2"/>
              </w:rPr>
              <w:t>0.032</w:t>
            </w:r>
          </w:p>
        </w:tc>
        <w:tc>
          <w:tcPr>
            <w:tcW w:w="840" w:type="dxa"/>
          </w:tcPr>
          <w:p w:rsidR="00487D64" w:rsidRDefault="006F0D93">
            <w:pPr>
              <w:pStyle w:val="TableParagraph"/>
              <w:spacing w:before="17"/>
              <w:ind w:right="136"/>
              <w:jc w:val="right"/>
            </w:pPr>
            <w:r>
              <w:rPr>
                <w:spacing w:val="-2"/>
              </w:rPr>
              <w:t>-0.224</w:t>
            </w:r>
          </w:p>
        </w:tc>
        <w:tc>
          <w:tcPr>
            <w:tcW w:w="843" w:type="dxa"/>
          </w:tcPr>
          <w:p w:rsidR="00487D64" w:rsidRDefault="006F0D93">
            <w:pPr>
              <w:pStyle w:val="TableParagraph"/>
              <w:spacing w:before="17"/>
              <w:ind w:right="136"/>
              <w:jc w:val="right"/>
            </w:pPr>
            <w:r>
              <w:rPr>
                <w:spacing w:val="-4"/>
              </w:rPr>
              <w:t>-</w:t>
            </w:r>
            <w:r>
              <w:rPr>
                <w:spacing w:val="-2"/>
              </w:rPr>
              <w:t>0.151</w:t>
            </w:r>
          </w:p>
        </w:tc>
        <w:tc>
          <w:tcPr>
            <w:tcW w:w="1073" w:type="dxa"/>
          </w:tcPr>
          <w:p w:rsidR="00487D64" w:rsidRDefault="006F0D93">
            <w:pPr>
              <w:pStyle w:val="TableParagraph"/>
              <w:spacing w:before="17"/>
              <w:ind w:right="143"/>
              <w:jc w:val="right"/>
            </w:pPr>
            <w:r>
              <w:rPr>
                <w:spacing w:val="-2"/>
              </w:rPr>
              <w:t>0.125</w:t>
            </w:r>
          </w:p>
        </w:tc>
        <w:tc>
          <w:tcPr>
            <w:tcW w:w="1080" w:type="dxa"/>
          </w:tcPr>
          <w:p w:rsidR="00487D64" w:rsidRDefault="006F0D93">
            <w:pPr>
              <w:pStyle w:val="TableParagraph"/>
              <w:spacing w:before="17"/>
              <w:ind w:right="135"/>
              <w:jc w:val="right"/>
            </w:pPr>
            <w:r>
              <w:rPr>
                <w:spacing w:val="-2"/>
              </w:rPr>
              <w:t>1.000</w:t>
            </w:r>
          </w:p>
        </w:tc>
        <w:tc>
          <w:tcPr>
            <w:tcW w:w="1016" w:type="dxa"/>
          </w:tcPr>
          <w:p w:rsidR="00487D64" w:rsidRDefault="006F0D93">
            <w:pPr>
              <w:pStyle w:val="TableParagraph"/>
              <w:spacing w:before="17"/>
              <w:ind w:right="113"/>
              <w:jc w:val="right"/>
            </w:pPr>
            <w:r>
              <w:rPr>
                <w:spacing w:val="-4"/>
              </w:rPr>
              <w:t>-</w:t>
            </w:r>
            <w:r>
              <w:rPr>
                <w:spacing w:val="-2"/>
              </w:rPr>
              <w:t>0.080</w:t>
            </w:r>
          </w:p>
        </w:tc>
      </w:tr>
      <w:tr w:rsidR="00487D64">
        <w:trPr>
          <w:trHeight w:val="311"/>
        </w:trPr>
        <w:tc>
          <w:tcPr>
            <w:tcW w:w="1099" w:type="dxa"/>
            <w:tcBorders>
              <w:bottom w:val="single" w:sz="4" w:space="0" w:color="000000"/>
            </w:tcBorders>
          </w:tcPr>
          <w:p w:rsidR="00487D64" w:rsidRDefault="006F0D93">
            <w:pPr>
              <w:pStyle w:val="TableParagraph"/>
              <w:spacing w:before="14"/>
              <w:ind w:left="136"/>
              <w:rPr>
                <w:b/>
              </w:rPr>
            </w:pPr>
            <w:r>
              <w:rPr>
                <w:b/>
              </w:rPr>
              <w:t>SF</w:t>
            </w:r>
            <w:r>
              <w:rPr>
                <w:b/>
                <w:spacing w:val="2"/>
              </w:rPr>
              <w:t xml:space="preserve"> </w:t>
            </w:r>
            <w:r>
              <w:rPr>
                <w:b/>
              </w:rPr>
              <w:t>x</w:t>
            </w:r>
            <w:r>
              <w:rPr>
                <w:b/>
                <w:spacing w:val="-1"/>
              </w:rPr>
              <w:t xml:space="preserve"> </w:t>
            </w:r>
            <w:r>
              <w:rPr>
                <w:b/>
                <w:spacing w:val="-5"/>
              </w:rPr>
              <w:t>FC</w:t>
            </w:r>
          </w:p>
        </w:tc>
        <w:tc>
          <w:tcPr>
            <w:tcW w:w="852" w:type="dxa"/>
            <w:tcBorders>
              <w:bottom w:val="single" w:sz="4" w:space="0" w:color="000000"/>
            </w:tcBorders>
          </w:tcPr>
          <w:p w:rsidR="00487D64" w:rsidRDefault="006F0D93">
            <w:pPr>
              <w:pStyle w:val="TableParagraph"/>
              <w:spacing w:before="14"/>
              <w:ind w:right="130"/>
              <w:jc w:val="right"/>
            </w:pPr>
            <w:r>
              <w:rPr>
                <w:spacing w:val="-2"/>
              </w:rPr>
              <w:t>0.033</w:t>
            </w:r>
          </w:p>
        </w:tc>
        <w:tc>
          <w:tcPr>
            <w:tcW w:w="840" w:type="dxa"/>
            <w:tcBorders>
              <w:bottom w:val="single" w:sz="4" w:space="0" w:color="000000"/>
            </w:tcBorders>
          </w:tcPr>
          <w:p w:rsidR="00487D64" w:rsidRDefault="006F0D93">
            <w:pPr>
              <w:pStyle w:val="TableParagraph"/>
              <w:spacing w:before="14"/>
              <w:ind w:right="135"/>
              <w:jc w:val="right"/>
            </w:pPr>
            <w:r>
              <w:rPr>
                <w:spacing w:val="-2"/>
              </w:rPr>
              <w:t>0.017</w:t>
            </w:r>
          </w:p>
        </w:tc>
        <w:tc>
          <w:tcPr>
            <w:tcW w:w="840" w:type="dxa"/>
            <w:tcBorders>
              <w:bottom w:val="single" w:sz="4" w:space="0" w:color="000000"/>
            </w:tcBorders>
          </w:tcPr>
          <w:p w:rsidR="00487D64" w:rsidRDefault="006F0D93">
            <w:pPr>
              <w:pStyle w:val="TableParagraph"/>
              <w:spacing w:before="14"/>
              <w:ind w:right="132"/>
              <w:jc w:val="right"/>
            </w:pPr>
            <w:r>
              <w:rPr>
                <w:spacing w:val="-2"/>
              </w:rPr>
              <w:t>0.014</w:t>
            </w:r>
          </w:p>
        </w:tc>
        <w:tc>
          <w:tcPr>
            <w:tcW w:w="840" w:type="dxa"/>
            <w:tcBorders>
              <w:bottom w:val="single" w:sz="4" w:space="0" w:color="000000"/>
            </w:tcBorders>
          </w:tcPr>
          <w:p w:rsidR="00487D64" w:rsidRDefault="006F0D93">
            <w:pPr>
              <w:pStyle w:val="TableParagraph"/>
              <w:spacing w:before="14"/>
              <w:ind w:right="136"/>
              <w:jc w:val="right"/>
            </w:pPr>
            <w:r>
              <w:rPr>
                <w:spacing w:val="-2"/>
              </w:rPr>
              <w:t>0.015</w:t>
            </w:r>
          </w:p>
        </w:tc>
        <w:tc>
          <w:tcPr>
            <w:tcW w:w="843" w:type="dxa"/>
            <w:tcBorders>
              <w:bottom w:val="single" w:sz="4" w:space="0" w:color="000000"/>
            </w:tcBorders>
          </w:tcPr>
          <w:p w:rsidR="00487D64" w:rsidRDefault="006F0D93">
            <w:pPr>
              <w:pStyle w:val="TableParagraph"/>
              <w:spacing w:before="14"/>
              <w:ind w:right="136"/>
              <w:jc w:val="right"/>
            </w:pPr>
            <w:r>
              <w:rPr>
                <w:spacing w:val="-4"/>
              </w:rPr>
              <w:t>-</w:t>
            </w:r>
            <w:r>
              <w:rPr>
                <w:spacing w:val="-2"/>
              </w:rPr>
              <w:t>0.005</w:t>
            </w:r>
          </w:p>
        </w:tc>
        <w:tc>
          <w:tcPr>
            <w:tcW w:w="1073" w:type="dxa"/>
            <w:tcBorders>
              <w:bottom w:val="single" w:sz="4" w:space="0" w:color="000000"/>
            </w:tcBorders>
          </w:tcPr>
          <w:p w:rsidR="00487D64" w:rsidRDefault="006F0D93">
            <w:pPr>
              <w:pStyle w:val="TableParagraph"/>
              <w:spacing w:before="14"/>
              <w:ind w:right="143"/>
              <w:jc w:val="right"/>
            </w:pPr>
            <w:r>
              <w:rPr>
                <w:spacing w:val="-2"/>
              </w:rPr>
              <w:t>0.077</w:t>
            </w:r>
          </w:p>
        </w:tc>
        <w:tc>
          <w:tcPr>
            <w:tcW w:w="1080" w:type="dxa"/>
            <w:tcBorders>
              <w:bottom w:val="single" w:sz="4" w:space="0" w:color="000000"/>
            </w:tcBorders>
          </w:tcPr>
          <w:p w:rsidR="00487D64" w:rsidRDefault="006F0D93">
            <w:pPr>
              <w:pStyle w:val="TableParagraph"/>
              <w:spacing w:before="14"/>
              <w:ind w:right="135"/>
              <w:jc w:val="right"/>
            </w:pPr>
            <w:r>
              <w:rPr>
                <w:spacing w:val="-4"/>
              </w:rPr>
              <w:t>-</w:t>
            </w:r>
            <w:r>
              <w:rPr>
                <w:spacing w:val="-2"/>
              </w:rPr>
              <w:t>0.080</w:t>
            </w:r>
          </w:p>
        </w:tc>
        <w:tc>
          <w:tcPr>
            <w:tcW w:w="1016" w:type="dxa"/>
            <w:tcBorders>
              <w:bottom w:val="single" w:sz="4" w:space="0" w:color="000000"/>
            </w:tcBorders>
          </w:tcPr>
          <w:p w:rsidR="00487D64" w:rsidRDefault="006F0D93">
            <w:pPr>
              <w:pStyle w:val="TableParagraph"/>
              <w:spacing w:before="14"/>
              <w:ind w:right="113"/>
              <w:jc w:val="right"/>
            </w:pPr>
            <w:r>
              <w:rPr>
                <w:spacing w:val="-2"/>
              </w:rPr>
              <w:t>1.000</w:t>
            </w:r>
          </w:p>
        </w:tc>
      </w:tr>
    </w:tbl>
    <w:p w:rsidR="00487D64" w:rsidRDefault="00487D64">
      <w:pPr>
        <w:pStyle w:val="BodyText"/>
      </w:pPr>
    </w:p>
    <w:p w:rsidR="00487D64" w:rsidRDefault="00487D64">
      <w:pPr>
        <w:pStyle w:val="BodyText"/>
        <w:spacing w:before="48"/>
      </w:pPr>
    </w:p>
    <w:p w:rsidR="00487D64" w:rsidRDefault="006F0D93">
      <w:pPr>
        <w:pStyle w:val="BodyText"/>
        <w:spacing w:before="1" w:line="501" w:lineRule="auto"/>
        <w:ind w:left="1419" w:right="848"/>
        <w:jc w:val="both"/>
      </w:pPr>
      <w:r>
        <w:rPr>
          <w:w w:val="105"/>
        </w:rPr>
        <w:t>The results confirm that each item loaded most strongly on its respective construct. For example, the items measuring Customer Orientation (CO1–CO6) had loadings ranging from</w:t>
      </w:r>
      <w:r>
        <w:rPr>
          <w:spacing w:val="-6"/>
          <w:w w:val="105"/>
        </w:rPr>
        <w:t xml:space="preserve"> </w:t>
      </w:r>
      <w:r>
        <w:rPr>
          <w:w w:val="105"/>
        </w:rPr>
        <w:t>0.713 to</w:t>
      </w:r>
      <w:r>
        <w:rPr>
          <w:spacing w:val="-5"/>
          <w:w w:val="105"/>
        </w:rPr>
        <w:t xml:space="preserve"> </w:t>
      </w:r>
      <w:r>
        <w:rPr>
          <w:w w:val="105"/>
        </w:rPr>
        <w:t>0.927 on</w:t>
      </w:r>
      <w:r>
        <w:rPr>
          <w:spacing w:val="-5"/>
          <w:w w:val="105"/>
        </w:rPr>
        <w:t xml:space="preserve"> </w:t>
      </w:r>
      <w:r>
        <w:rPr>
          <w:w w:val="105"/>
        </w:rPr>
        <w:t>the CO construct,</w:t>
      </w:r>
      <w:r>
        <w:rPr>
          <w:spacing w:val="-3"/>
          <w:w w:val="105"/>
        </w:rPr>
        <w:t xml:space="preserve"> </w:t>
      </w:r>
      <w:r>
        <w:rPr>
          <w:w w:val="105"/>
        </w:rPr>
        <w:t>all of</w:t>
      </w:r>
      <w:r>
        <w:rPr>
          <w:spacing w:val="-1"/>
          <w:w w:val="105"/>
        </w:rPr>
        <w:t xml:space="preserve"> </w:t>
      </w:r>
      <w:r>
        <w:rPr>
          <w:w w:val="105"/>
        </w:rPr>
        <w:t>which were higher</w:t>
      </w:r>
      <w:r>
        <w:rPr>
          <w:spacing w:val="-1"/>
          <w:w w:val="105"/>
        </w:rPr>
        <w:t xml:space="preserve"> </w:t>
      </w:r>
      <w:r>
        <w:rPr>
          <w:w w:val="105"/>
        </w:rPr>
        <w:t>than their loadings</w:t>
      </w:r>
      <w:r>
        <w:rPr>
          <w:spacing w:val="40"/>
          <w:w w:val="105"/>
        </w:rPr>
        <w:t xml:space="preserve"> </w:t>
      </w:r>
      <w:r>
        <w:rPr>
          <w:w w:val="105"/>
        </w:rPr>
        <w:t>on</w:t>
      </w:r>
      <w:r>
        <w:rPr>
          <w:spacing w:val="40"/>
          <w:w w:val="105"/>
        </w:rPr>
        <w:t xml:space="preserve"> </w:t>
      </w:r>
      <w:r>
        <w:rPr>
          <w:w w:val="105"/>
        </w:rPr>
        <w:t>other</w:t>
      </w:r>
      <w:r>
        <w:rPr>
          <w:spacing w:val="40"/>
          <w:w w:val="105"/>
        </w:rPr>
        <w:t xml:space="preserve"> </w:t>
      </w:r>
      <w:r>
        <w:rPr>
          <w:w w:val="105"/>
        </w:rPr>
        <w:t>constructs</w:t>
      </w:r>
      <w:r>
        <w:rPr>
          <w:spacing w:val="40"/>
          <w:w w:val="105"/>
        </w:rPr>
        <w:t xml:space="preserve"> </w:t>
      </w:r>
      <w:r>
        <w:rPr>
          <w:w w:val="105"/>
        </w:rPr>
        <w:t>such</w:t>
      </w:r>
      <w:r>
        <w:rPr>
          <w:spacing w:val="40"/>
          <w:w w:val="105"/>
        </w:rPr>
        <w:t xml:space="preserve"> </w:t>
      </w:r>
      <w:r>
        <w:rPr>
          <w:w w:val="105"/>
        </w:rPr>
        <w:t>as</w:t>
      </w:r>
      <w:r>
        <w:rPr>
          <w:spacing w:val="40"/>
          <w:w w:val="105"/>
        </w:rPr>
        <w:t xml:space="preserve"> </w:t>
      </w:r>
      <w:r>
        <w:rPr>
          <w:w w:val="105"/>
        </w:rPr>
        <w:t>Customer</w:t>
      </w:r>
      <w:r>
        <w:rPr>
          <w:spacing w:val="66"/>
          <w:w w:val="105"/>
        </w:rPr>
        <w:t xml:space="preserve"> </w:t>
      </w:r>
      <w:r>
        <w:rPr>
          <w:w w:val="105"/>
        </w:rPr>
        <w:t>Understanding</w:t>
      </w:r>
      <w:r>
        <w:rPr>
          <w:spacing w:val="40"/>
          <w:w w:val="105"/>
        </w:rPr>
        <w:t xml:space="preserve"> </w:t>
      </w:r>
      <w:r>
        <w:rPr>
          <w:w w:val="105"/>
        </w:rPr>
        <w:t>(CU),</w:t>
      </w:r>
      <w:r>
        <w:rPr>
          <w:spacing w:val="40"/>
          <w:w w:val="105"/>
        </w:rPr>
        <w:t xml:space="preserve"> </w:t>
      </w:r>
      <w:r>
        <w:rPr>
          <w:w w:val="105"/>
        </w:rPr>
        <w:t>Functional</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1"/>
        <w:jc w:val="both"/>
      </w:pPr>
      <w:r>
        <w:rPr>
          <w:w w:val="105"/>
        </w:rPr>
        <w:t>Coordination</w:t>
      </w:r>
      <w:r>
        <w:rPr>
          <w:spacing w:val="-9"/>
          <w:w w:val="105"/>
        </w:rPr>
        <w:t xml:space="preserve"> </w:t>
      </w:r>
      <w:r>
        <w:rPr>
          <w:w w:val="105"/>
        </w:rPr>
        <w:t>(FC),</w:t>
      </w:r>
      <w:r>
        <w:rPr>
          <w:spacing w:val="-1"/>
          <w:w w:val="105"/>
        </w:rPr>
        <w:t xml:space="preserve"> </w:t>
      </w:r>
      <w:r>
        <w:rPr>
          <w:w w:val="105"/>
        </w:rPr>
        <w:t>Sustainable</w:t>
      </w:r>
      <w:r>
        <w:rPr>
          <w:spacing w:val="-3"/>
          <w:w w:val="105"/>
        </w:rPr>
        <w:t xml:space="preserve"> </w:t>
      </w:r>
      <w:r>
        <w:rPr>
          <w:w w:val="105"/>
        </w:rPr>
        <w:t>Competitiveness</w:t>
      </w:r>
      <w:r>
        <w:rPr>
          <w:spacing w:val="-10"/>
          <w:w w:val="105"/>
        </w:rPr>
        <w:t xml:space="preserve"> </w:t>
      </w:r>
      <w:r>
        <w:rPr>
          <w:w w:val="105"/>
        </w:rPr>
        <w:t>(SC),</w:t>
      </w:r>
      <w:r>
        <w:rPr>
          <w:spacing w:val="-1"/>
          <w:w w:val="105"/>
        </w:rPr>
        <w:t xml:space="preserve"> </w:t>
      </w:r>
      <w:r>
        <w:rPr>
          <w:w w:val="105"/>
        </w:rPr>
        <w:t>Strategic</w:t>
      </w:r>
      <w:r>
        <w:rPr>
          <w:spacing w:val="-3"/>
          <w:w w:val="105"/>
        </w:rPr>
        <w:t xml:space="preserve"> </w:t>
      </w:r>
      <w:r>
        <w:rPr>
          <w:w w:val="105"/>
        </w:rPr>
        <w:t>Flexibility</w:t>
      </w:r>
      <w:r>
        <w:rPr>
          <w:spacing w:val="-3"/>
          <w:w w:val="105"/>
        </w:rPr>
        <w:t xml:space="preserve"> </w:t>
      </w:r>
      <w:r>
        <w:rPr>
          <w:w w:val="105"/>
        </w:rPr>
        <w:t>(SF),</w:t>
      </w:r>
      <w:r>
        <w:rPr>
          <w:spacing w:val="-7"/>
          <w:w w:val="105"/>
        </w:rPr>
        <w:t xml:space="preserve"> </w:t>
      </w:r>
      <w:r>
        <w:rPr>
          <w:w w:val="105"/>
        </w:rPr>
        <w:t>and the interaction terms (SF × CU, SF × CO, and SF × FC). Similarly, CU indicators (</w:t>
      </w:r>
      <w:r>
        <w:rPr>
          <w:w w:val="105"/>
        </w:rPr>
        <w:t>CU1–CU6) showed strong primary loadings between 0.713 and 0.921 on the CU construct, with lower loadings on all other constructs. This pattern held across FC, SC, and SF indicators as well. While some moderate cross-loadings were observed, particularly bet</w:t>
      </w:r>
      <w:r>
        <w:rPr>
          <w:w w:val="105"/>
        </w:rPr>
        <w:t>ween SF and SC indicators</w:t>
      </w:r>
      <w:r>
        <w:rPr>
          <w:spacing w:val="-2"/>
          <w:w w:val="105"/>
        </w:rPr>
        <w:t xml:space="preserve"> </w:t>
      </w:r>
      <w:r>
        <w:rPr>
          <w:w w:val="105"/>
        </w:rPr>
        <w:t>(e.g., SC3 and SFR),</w:t>
      </w:r>
      <w:r>
        <w:rPr>
          <w:spacing w:val="-4"/>
          <w:w w:val="105"/>
        </w:rPr>
        <w:t xml:space="preserve"> </w:t>
      </w:r>
      <w:r>
        <w:rPr>
          <w:w w:val="105"/>
        </w:rPr>
        <w:t>all primary loadings exceeded secondary loadings, thereby satisfying the discriminant validity condition. Overall, the cross-loading assessment supports the construct distinctiveness in the measurement model.</w:t>
      </w:r>
    </w:p>
    <w:p w:rsidR="00487D64" w:rsidRDefault="00487D64">
      <w:pPr>
        <w:pStyle w:val="BodyText"/>
        <w:spacing w:before="250"/>
      </w:pPr>
    </w:p>
    <w:p w:rsidR="00487D64" w:rsidRDefault="006F0D93">
      <w:pPr>
        <w:pStyle w:val="ListParagraph"/>
        <w:numPr>
          <w:ilvl w:val="3"/>
          <w:numId w:val="9"/>
        </w:numPr>
        <w:tabs>
          <w:tab w:val="left" w:pos="2137"/>
        </w:tabs>
        <w:ind w:left="2137" w:hanging="718"/>
        <w:jc w:val="both"/>
        <w:rPr>
          <w:b/>
          <w:sz w:val="23"/>
        </w:rPr>
      </w:pPr>
      <w:bookmarkStart w:id="163" w:name="4.5.3.4_Multicollinearity_Assessment_wit"/>
      <w:bookmarkEnd w:id="163"/>
      <w:r>
        <w:rPr>
          <w:b/>
          <w:sz w:val="23"/>
        </w:rPr>
        <w:t>Multicollinearity</w:t>
      </w:r>
      <w:r>
        <w:rPr>
          <w:b/>
          <w:spacing w:val="39"/>
          <w:sz w:val="23"/>
        </w:rPr>
        <w:t xml:space="preserve"> </w:t>
      </w:r>
      <w:r>
        <w:rPr>
          <w:b/>
          <w:sz w:val="23"/>
        </w:rPr>
        <w:t>Assessment</w:t>
      </w:r>
      <w:r>
        <w:rPr>
          <w:b/>
          <w:spacing w:val="44"/>
          <w:sz w:val="23"/>
        </w:rPr>
        <w:t xml:space="preserve"> </w:t>
      </w:r>
      <w:r>
        <w:rPr>
          <w:b/>
          <w:sz w:val="23"/>
        </w:rPr>
        <w:t>within</w:t>
      </w:r>
      <w:r>
        <w:rPr>
          <w:b/>
          <w:spacing w:val="27"/>
          <w:sz w:val="23"/>
        </w:rPr>
        <w:t xml:space="preserve"> </w:t>
      </w:r>
      <w:r>
        <w:rPr>
          <w:b/>
          <w:sz w:val="23"/>
        </w:rPr>
        <w:t>the</w:t>
      </w:r>
      <w:r>
        <w:rPr>
          <w:b/>
          <w:spacing w:val="35"/>
          <w:sz w:val="23"/>
        </w:rPr>
        <w:t xml:space="preserve"> </w:t>
      </w:r>
      <w:r>
        <w:rPr>
          <w:b/>
          <w:sz w:val="23"/>
        </w:rPr>
        <w:t>Measurement</w:t>
      </w:r>
      <w:r>
        <w:rPr>
          <w:b/>
          <w:spacing w:val="43"/>
          <w:sz w:val="23"/>
        </w:rPr>
        <w:t xml:space="preserve"> </w:t>
      </w:r>
      <w:r>
        <w:rPr>
          <w:b/>
          <w:spacing w:val="-2"/>
          <w:sz w:val="23"/>
        </w:rPr>
        <w:t>Model</w:t>
      </w:r>
    </w:p>
    <w:p w:rsidR="00487D64" w:rsidRDefault="00487D64">
      <w:pPr>
        <w:pStyle w:val="BodyText"/>
        <w:spacing w:before="18"/>
        <w:rPr>
          <w:b/>
        </w:rPr>
      </w:pPr>
    </w:p>
    <w:p w:rsidR="00487D64" w:rsidRDefault="006F0D93">
      <w:pPr>
        <w:pStyle w:val="BodyText"/>
        <w:spacing w:before="1" w:line="501" w:lineRule="auto"/>
        <w:ind w:left="1419" w:right="853"/>
        <w:jc w:val="both"/>
      </w:pPr>
      <w:r>
        <w:rPr>
          <w:w w:val="105"/>
        </w:rPr>
        <w:t>As</w:t>
      </w:r>
      <w:r>
        <w:rPr>
          <w:spacing w:val="-10"/>
          <w:w w:val="105"/>
        </w:rPr>
        <w:t xml:space="preserve"> </w:t>
      </w:r>
      <w:r>
        <w:rPr>
          <w:w w:val="105"/>
        </w:rPr>
        <w:t>part</w:t>
      </w:r>
      <w:r>
        <w:rPr>
          <w:spacing w:val="-6"/>
          <w:w w:val="105"/>
        </w:rPr>
        <w:t xml:space="preserve"> </w:t>
      </w:r>
      <w:r>
        <w:rPr>
          <w:w w:val="105"/>
        </w:rPr>
        <w:t>of</w:t>
      </w:r>
      <w:r>
        <w:rPr>
          <w:spacing w:val="-10"/>
          <w:w w:val="105"/>
        </w:rPr>
        <w:t xml:space="preserve"> </w:t>
      </w:r>
      <w:r>
        <w:rPr>
          <w:w w:val="105"/>
        </w:rPr>
        <w:t>the</w:t>
      </w:r>
      <w:r>
        <w:rPr>
          <w:spacing w:val="-9"/>
          <w:w w:val="105"/>
        </w:rPr>
        <w:t xml:space="preserve"> </w:t>
      </w:r>
      <w:r>
        <w:rPr>
          <w:w w:val="105"/>
        </w:rPr>
        <w:t>measurement</w:t>
      </w:r>
      <w:r>
        <w:rPr>
          <w:spacing w:val="-6"/>
          <w:w w:val="105"/>
        </w:rPr>
        <w:t xml:space="preserve"> </w:t>
      </w:r>
      <w:r>
        <w:rPr>
          <w:w w:val="105"/>
        </w:rPr>
        <w:t>model assessment</w:t>
      </w:r>
      <w:r>
        <w:rPr>
          <w:spacing w:val="-3"/>
          <w:w w:val="105"/>
        </w:rPr>
        <w:t xml:space="preserve"> </w:t>
      </w:r>
      <w:r>
        <w:rPr>
          <w:w w:val="105"/>
        </w:rPr>
        <w:t>in</w:t>
      </w:r>
      <w:r>
        <w:rPr>
          <w:spacing w:val="-8"/>
          <w:w w:val="105"/>
        </w:rPr>
        <w:t xml:space="preserve"> </w:t>
      </w:r>
      <w:r>
        <w:rPr>
          <w:w w:val="105"/>
        </w:rPr>
        <w:t>PLS-SEM,</w:t>
      </w:r>
      <w:r>
        <w:rPr>
          <w:spacing w:val="-6"/>
          <w:w w:val="105"/>
        </w:rPr>
        <w:t xml:space="preserve"> </w:t>
      </w:r>
      <w:r>
        <w:rPr>
          <w:w w:val="105"/>
        </w:rPr>
        <w:t>it</w:t>
      </w:r>
      <w:r>
        <w:rPr>
          <w:spacing w:val="-6"/>
          <w:w w:val="105"/>
        </w:rPr>
        <w:t xml:space="preserve"> </w:t>
      </w:r>
      <w:r>
        <w:rPr>
          <w:w w:val="105"/>
        </w:rPr>
        <w:t>is</w:t>
      </w:r>
      <w:r>
        <w:rPr>
          <w:spacing w:val="-10"/>
          <w:w w:val="105"/>
        </w:rPr>
        <w:t xml:space="preserve"> </w:t>
      </w:r>
      <w:r>
        <w:rPr>
          <w:w w:val="105"/>
        </w:rPr>
        <w:t>essential</w:t>
      </w:r>
      <w:r>
        <w:rPr>
          <w:spacing w:val="-6"/>
          <w:w w:val="105"/>
        </w:rPr>
        <w:t xml:space="preserve"> </w:t>
      </w:r>
      <w:r>
        <w:rPr>
          <w:w w:val="105"/>
        </w:rPr>
        <w:t>to</w:t>
      </w:r>
      <w:r>
        <w:rPr>
          <w:spacing w:val="-8"/>
          <w:w w:val="105"/>
        </w:rPr>
        <w:t xml:space="preserve"> </w:t>
      </w:r>
      <w:r>
        <w:rPr>
          <w:w w:val="105"/>
        </w:rPr>
        <w:t>examine the extent of multicollinearity among reflective indicators to ensure the stability and interpretability</w:t>
      </w:r>
      <w:r>
        <w:rPr>
          <w:spacing w:val="-6"/>
          <w:w w:val="105"/>
        </w:rPr>
        <w:t xml:space="preserve"> </w:t>
      </w:r>
      <w:r>
        <w:rPr>
          <w:w w:val="105"/>
        </w:rPr>
        <w:t>of</w:t>
      </w:r>
      <w:r>
        <w:rPr>
          <w:spacing w:val="-3"/>
          <w:w w:val="105"/>
        </w:rPr>
        <w:t xml:space="preserve"> </w:t>
      </w:r>
      <w:r>
        <w:rPr>
          <w:w w:val="105"/>
        </w:rPr>
        <w:t>construct estimates.</w:t>
      </w:r>
      <w:r>
        <w:rPr>
          <w:spacing w:val="-5"/>
          <w:w w:val="105"/>
        </w:rPr>
        <w:t xml:space="preserve"> </w:t>
      </w:r>
      <w:r>
        <w:rPr>
          <w:w w:val="105"/>
        </w:rPr>
        <w:t>One</w:t>
      </w:r>
      <w:r>
        <w:rPr>
          <w:spacing w:val="-14"/>
          <w:w w:val="105"/>
        </w:rPr>
        <w:t xml:space="preserve"> </w:t>
      </w:r>
      <w:r>
        <w:rPr>
          <w:w w:val="105"/>
        </w:rPr>
        <w:t>key diagnostic</w:t>
      </w:r>
      <w:r>
        <w:rPr>
          <w:spacing w:val="-7"/>
          <w:w w:val="105"/>
        </w:rPr>
        <w:t xml:space="preserve"> </w:t>
      </w:r>
      <w:r>
        <w:rPr>
          <w:w w:val="105"/>
        </w:rPr>
        <w:t>used</w:t>
      </w:r>
      <w:r>
        <w:rPr>
          <w:spacing w:val="-6"/>
          <w:w w:val="105"/>
        </w:rPr>
        <w:t xml:space="preserve"> </w:t>
      </w:r>
      <w:r>
        <w:rPr>
          <w:w w:val="105"/>
        </w:rPr>
        <w:t>for</w:t>
      </w:r>
      <w:r>
        <w:rPr>
          <w:spacing w:val="-3"/>
          <w:w w:val="105"/>
        </w:rPr>
        <w:t xml:space="preserve"> </w:t>
      </w:r>
      <w:r>
        <w:rPr>
          <w:w w:val="105"/>
        </w:rPr>
        <w:t>this</w:t>
      </w:r>
      <w:r>
        <w:rPr>
          <w:spacing w:val="-9"/>
          <w:w w:val="105"/>
        </w:rPr>
        <w:t xml:space="preserve"> </w:t>
      </w:r>
      <w:r>
        <w:rPr>
          <w:w w:val="105"/>
        </w:rPr>
        <w:t>purpose</w:t>
      </w:r>
      <w:r>
        <w:rPr>
          <w:spacing w:val="-7"/>
          <w:w w:val="105"/>
        </w:rPr>
        <w:t xml:space="preserve"> </w:t>
      </w:r>
      <w:r>
        <w:rPr>
          <w:w w:val="105"/>
        </w:rPr>
        <w:t>is</w:t>
      </w:r>
      <w:r>
        <w:rPr>
          <w:spacing w:val="-9"/>
          <w:w w:val="105"/>
        </w:rPr>
        <w:t xml:space="preserve"> </w:t>
      </w:r>
      <w:r>
        <w:rPr>
          <w:w w:val="105"/>
        </w:rPr>
        <w:t>the Variance Inflation Factor (VIF). According to Hair et al. (2021), VIF values below the conservative threshold of 5.0 indicate that indicators do not exhibit problematic levels of collinea</w:t>
      </w:r>
      <w:r>
        <w:rPr>
          <w:w w:val="105"/>
        </w:rPr>
        <w:t>rity.</w:t>
      </w:r>
    </w:p>
    <w:p w:rsidR="00487D64" w:rsidRDefault="006F0D93">
      <w:pPr>
        <w:pStyle w:val="BodyText"/>
        <w:spacing w:before="241" w:line="496" w:lineRule="auto"/>
        <w:ind w:left="1419" w:right="867"/>
        <w:jc w:val="both"/>
      </w:pPr>
      <w:r>
        <w:rPr>
          <w:w w:val="105"/>
        </w:rPr>
        <w:t>In the present study, VIF values were calculated for all reflective items and are presented</w:t>
      </w:r>
      <w:r>
        <w:rPr>
          <w:spacing w:val="30"/>
          <w:w w:val="105"/>
        </w:rPr>
        <w:t xml:space="preserve"> </w:t>
      </w:r>
      <w:r>
        <w:rPr>
          <w:w w:val="105"/>
        </w:rPr>
        <w:t>in</w:t>
      </w:r>
      <w:r>
        <w:rPr>
          <w:spacing w:val="33"/>
          <w:w w:val="105"/>
        </w:rPr>
        <w:t xml:space="preserve"> </w:t>
      </w:r>
      <w:r>
        <w:rPr>
          <w:w w:val="105"/>
        </w:rPr>
        <w:t>Table</w:t>
      </w:r>
      <w:r>
        <w:rPr>
          <w:spacing w:val="29"/>
          <w:w w:val="105"/>
        </w:rPr>
        <w:t xml:space="preserve"> </w:t>
      </w:r>
      <w:r>
        <w:rPr>
          <w:w w:val="105"/>
        </w:rPr>
        <w:t>4.12.</w:t>
      </w:r>
      <w:r>
        <w:rPr>
          <w:spacing w:val="32"/>
          <w:w w:val="105"/>
        </w:rPr>
        <w:t xml:space="preserve"> </w:t>
      </w:r>
      <w:r>
        <w:rPr>
          <w:w w:val="105"/>
        </w:rPr>
        <w:t>The</w:t>
      </w:r>
      <w:r>
        <w:rPr>
          <w:spacing w:val="30"/>
          <w:w w:val="105"/>
        </w:rPr>
        <w:t xml:space="preserve"> </w:t>
      </w:r>
      <w:r>
        <w:rPr>
          <w:w w:val="105"/>
        </w:rPr>
        <w:t>results</w:t>
      </w:r>
      <w:r>
        <w:rPr>
          <w:spacing w:val="28"/>
          <w:w w:val="105"/>
        </w:rPr>
        <w:t xml:space="preserve"> </w:t>
      </w:r>
      <w:r>
        <w:rPr>
          <w:w w:val="105"/>
        </w:rPr>
        <w:t>revealed</w:t>
      </w:r>
      <w:r>
        <w:rPr>
          <w:spacing w:val="30"/>
          <w:w w:val="105"/>
        </w:rPr>
        <w:t xml:space="preserve"> </w:t>
      </w:r>
      <w:r>
        <w:rPr>
          <w:w w:val="105"/>
        </w:rPr>
        <w:t>that</w:t>
      </w:r>
      <w:r>
        <w:rPr>
          <w:spacing w:val="34"/>
          <w:w w:val="105"/>
        </w:rPr>
        <w:t xml:space="preserve"> </w:t>
      </w:r>
      <w:r>
        <w:rPr>
          <w:w w:val="105"/>
        </w:rPr>
        <w:t>all</w:t>
      </w:r>
      <w:r>
        <w:rPr>
          <w:spacing w:val="39"/>
          <w:w w:val="105"/>
        </w:rPr>
        <w:t xml:space="preserve"> </w:t>
      </w:r>
      <w:r>
        <w:rPr>
          <w:w w:val="105"/>
        </w:rPr>
        <w:t>VIF</w:t>
      </w:r>
      <w:r>
        <w:rPr>
          <w:spacing w:val="39"/>
          <w:w w:val="105"/>
        </w:rPr>
        <w:t xml:space="preserve"> </w:t>
      </w:r>
      <w:r>
        <w:rPr>
          <w:w w:val="105"/>
        </w:rPr>
        <w:t>values</w:t>
      </w:r>
      <w:r>
        <w:rPr>
          <w:spacing w:val="35"/>
          <w:w w:val="105"/>
        </w:rPr>
        <w:t xml:space="preserve"> </w:t>
      </w:r>
      <w:r>
        <w:rPr>
          <w:w w:val="105"/>
        </w:rPr>
        <w:t>ranged</w:t>
      </w:r>
      <w:r>
        <w:rPr>
          <w:spacing w:val="37"/>
          <w:w w:val="105"/>
        </w:rPr>
        <w:t xml:space="preserve"> </w:t>
      </w:r>
      <w:r>
        <w:rPr>
          <w:spacing w:val="-2"/>
          <w:w w:val="105"/>
        </w:rPr>
        <w:t>between</w:t>
      </w:r>
    </w:p>
    <w:p w:rsidR="00487D64" w:rsidRDefault="006F0D93">
      <w:pPr>
        <w:pStyle w:val="BodyText"/>
        <w:spacing w:before="8" w:line="501" w:lineRule="auto"/>
        <w:ind w:left="1419" w:right="856"/>
        <w:jc w:val="both"/>
      </w:pPr>
      <w:r>
        <w:rPr>
          <w:w w:val="105"/>
        </w:rPr>
        <w:t>1.555 and 3.907</w:t>
      </w:r>
      <w:r>
        <w:rPr>
          <w:b/>
          <w:w w:val="105"/>
        </w:rPr>
        <w:t xml:space="preserve">, </w:t>
      </w:r>
      <w:r>
        <w:rPr>
          <w:w w:val="105"/>
        </w:rPr>
        <w:t>confirming that multicollinearity is not a threat to the reliability of the outer model. Including VIF at the measurement model stage is particularly important because collinearity among indicators can artificially inflate factor loadings,</w:t>
      </w:r>
      <w:r>
        <w:rPr>
          <w:spacing w:val="26"/>
          <w:w w:val="105"/>
        </w:rPr>
        <w:t xml:space="preserve"> </w:t>
      </w:r>
      <w:r>
        <w:rPr>
          <w:w w:val="105"/>
        </w:rPr>
        <w:t>distort</w:t>
      </w:r>
      <w:r>
        <w:rPr>
          <w:spacing w:val="27"/>
          <w:w w:val="105"/>
        </w:rPr>
        <w:t xml:space="preserve"> </w:t>
      </w:r>
      <w:r>
        <w:rPr>
          <w:w w:val="105"/>
        </w:rPr>
        <w:t>construc</w:t>
      </w:r>
      <w:r>
        <w:rPr>
          <w:w w:val="105"/>
        </w:rPr>
        <w:t>t</w:t>
      </w:r>
      <w:r>
        <w:rPr>
          <w:spacing w:val="27"/>
          <w:w w:val="105"/>
        </w:rPr>
        <w:t xml:space="preserve"> </w:t>
      </w:r>
      <w:r>
        <w:rPr>
          <w:w w:val="105"/>
        </w:rPr>
        <w:t>validity</w:t>
      </w:r>
      <w:r>
        <w:rPr>
          <w:spacing w:val="23"/>
          <w:w w:val="105"/>
        </w:rPr>
        <w:t xml:space="preserve"> </w:t>
      </w:r>
      <w:r>
        <w:rPr>
          <w:w w:val="105"/>
        </w:rPr>
        <w:t>assessments, and ultimately affect the</w:t>
      </w:r>
      <w:r>
        <w:rPr>
          <w:spacing w:val="23"/>
          <w:w w:val="105"/>
        </w:rPr>
        <w:t xml:space="preserve"> </w:t>
      </w:r>
      <w:r>
        <w:rPr>
          <w:w w:val="105"/>
        </w:rPr>
        <w:t>structural</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6"/>
        <w:jc w:val="both"/>
      </w:pPr>
      <w:r>
        <w:rPr>
          <w:w w:val="105"/>
        </w:rPr>
        <w:t>model outcomes. Therefore, the acceptable VIF results further reinforce the robustness of the reflective measurement model and justify the retention of all indicators for su</w:t>
      </w:r>
      <w:r>
        <w:rPr>
          <w:w w:val="105"/>
        </w:rPr>
        <w:t>bsequent analysis. Table</w:t>
      </w:r>
      <w:r>
        <w:rPr>
          <w:spacing w:val="-2"/>
          <w:w w:val="105"/>
        </w:rPr>
        <w:t xml:space="preserve"> </w:t>
      </w:r>
      <w:r>
        <w:rPr>
          <w:w w:val="105"/>
        </w:rPr>
        <w:t>4.12 shows the collinearity statistics (VIF) outer model list.</w:t>
      </w:r>
    </w:p>
    <w:p w:rsidR="00487D64" w:rsidRDefault="006F0D93">
      <w:pPr>
        <w:spacing w:before="246"/>
        <w:ind w:left="1419"/>
        <w:jc w:val="both"/>
        <w:rPr>
          <w:b/>
          <w:sz w:val="23"/>
        </w:rPr>
      </w:pPr>
      <w:r>
        <w:rPr>
          <w:b/>
          <w:w w:val="105"/>
          <w:sz w:val="23"/>
        </w:rPr>
        <w:t>Table</w:t>
      </w:r>
      <w:r>
        <w:rPr>
          <w:b/>
          <w:spacing w:val="-10"/>
          <w:w w:val="105"/>
          <w:sz w:val="23"/>
        </w:rPr>
        <w:t xml:space="preserve"> </w:t>
      </w:r>
      <w:r>
        <w:rPr>
          <w:b/>
          <w:w w:val="105"/>
          <w:sz w:val="23"/>
        </w:rPr>
        <w:t>4.</w:t>
      </w:r>
      <w:r>
        <w:rPr>
          <w:b/>
          <w:spacing w:val="-13"/>
          <w:w w:val="105"/>
          <w:sz w:val="23"/>
        </w:rPr>
        <w:t xml:space="preserve"> </w:t>
      </w:r>
      <w:r>
        <w:rPr>
          <w:b/>
          <w:w w:val="105"/>
          <w:sz w:val="23"/>
        </w:rPr>
        <w:t>12:</w:t>
      </w:r>
      <w:r>
        <w:rPr>
          <w:b/>
          <w:spacing w:val="-12"/>
          <w:w w:val="105"/>
          <w:sz w:val="23"/>
        </w:rPr>
        <w:t xml:space="preserve"> </w:t>
      </w:r>
      <w:r>
        <w:rPr>
          <w:b/>
          <w:w w:val="105"/>
          <w:sz w:val="23"/>
        </w:rPr>
        <w:t>Collinearity</w:t>
      </w:r>
      <w:r>
        <w:rPr>
          <w:b/>
          <w:spacing w:val="-9"/>
          <w:w w:val="105"/>
          <w:sz w:val="23"/>
        </w:rPr>
        <w:t xml:space="preserve"> </w:t>
      </w:r>
      <w:r>
        <w:rPr>
          <w:b/>
          <w:w w:val="105"/>
          <w:sz w:val="23"/>
        </w:rPr>
        <w:t>Statistics</w:t>
      </w:r>
      <w:r>
        <w:rPr>
          <w:b/>
          <w:spacing w:val="-12"/>
          <w:w w:val="105"/>
          <w:sz w:val="23"/>
        </w:rPr>
        <w:t xml:space="preserve"> </w:t>
      </w:r>
      <w:r>
        <w:rPr>
          <w:b/>
          <w:w w:val="105"/>
          <w:sz w:val="23"/>
        </w:rPr>
        <w:t>(VIF)</w:t>
      </w:r>
      <w:r>
        <w:rPr>
          <w:b/>
          <w:spacing w:val="-5"/>
          <w:w w:val="105"/>
          <w:sz w:val="23"/>
        </w:rPr>
        <w:t xml:space="preserve"> </w:t>
      </w:r>
      <w:r>
        <w:rPr>
          <w:b/>
          <w:w w:val="105"/>
          <w:sz w:val="23"/>
        </w:rPr>
        <w:t>Outer</w:t>
      </w:r>
      <w:r>
        <w:rPr>
          <w:b/>
          <w:spacing w:val="-10"/>
          <w:w w:val="105"/>
          <w:sz w:val="23"/>
        </w:rPr>
        <w:t xml:space="preserve"> </w:t>
      </w:r>
      <w:r>
        <w:rPr>
          <w:b/>
          <w:w w:val="105"/>
          <w:sz w:val="23"/>
        </w:rPr>
        <w:t>Model</w:t>
      </w:r>
      <w:r>
        <w:rPr>
          <w:b/>
          <w:spacing w:val="-14"/>
          <w:w w:val="105"/>
          <w:sz w:val="23"/>
        </w:rPr>
        <w:t xml:space="preserve"> </w:t>
      </w:r>
      <w:r>
        <w:rPr>
          <w:b/>
          <w:spacing w:val="-4"/>
          <w:w w:val="105"/>
          <w:sz w:val="23"/>
        </w:rPr>
        <w:t>List</w:t>
      </w:r>
    </w:p>
    <w:p w:rsidR="00487D64" w:rsidRDefault="00487D64">
      <w:pPr>
        <w:pStyle w:val="BodyText"/>
        <w:spacing w:before="4"/>
        <w:rPr>
          <w:b/>
          <w:sz w:val="11"/>
        </w:rPr>
      </w:pPr>
    </w:p>
    <w:tbl>
      <w:tblPr>
        <w:tblW w:w="0" w:type="auto"/>
        <w:tblInd w:w="1347" w:type="dxa"/>
        <w:tblLayout w:type="fixed"/>
        <w:tblCellMar>
          <w:left w:w="0" w:type="dxa"/>
          <w:right w:w="0" w:type="dxa"/>
        </w:tblCellMar>
        <w:tblLook w:val="01E0" w:firstRow="1" w:lastRow="1" w:firstColumn="1" w:lastColumn="1" w:noHBand="0" w:noVBand="0"/>
      </w:tblPr>
      <w:tblGrid>
        <w:gridCol w:w="3430"/>
        <w:gridCol w:w="2227"/>
        <w:gridCol w:w="2714"/>
      </w:tblGrid>
      <w:tr w:rsidR="00487D64">
        <w:trPr>
          <w:trHeight w:val="306"/>
        </w:trPr>
        <w:tc>
          <w:tcPr>
            <w:tcW w:w="3430" w:type="dxa"/>
            <w:tcBorders>
              <w:top w:val="single" w:sz="4" w:space="0" w:color="000000"/>
              <w:bottom w:val="single" w:sz="4" w:space="0" w:color="000000"/>
            </w:tcBorders>
          </w:tcPr>
          <w:p w:rsidR="00487D64" w:rsidRDefault="006F0D93">
            <w:pPr>
              <w:pStyle w:val="TableParagraph"/>
              <w:spacing w:before="28" w:line="258" w:lineRule="exact"/>
              <w:ind w:left="28"/>
              <w:rPr>
                <w:b/>
                <w:sz w:val="23"/>
              </w:rPr>
            </w:pPr>
            <w:r>
              <w:rPr>
                <w:b/>
                <w:spacing w:val="-2"/>
                <w:w w:val="105"/>
                <w:sz w:val="23"/>
              </w:rPr>
              <w:t>Construct</w:t>
            </w:r>
          </w:p>
        </w:tc>
        <w:tc>
          <w:tcPr>
            <w:tcW w:w="2227" w:type="dxa"/>
            <w:tcBorders>
              <w:top w:val="single" w:sz="4" w:space="0" w:color="000000"/>
              <w:bottom w:val="single" w:sz="4" w:space="0" w:color="000000"/>
            </w:tcBorders>
          </w:tcPr>
          <w:p w:rsidR="00487D64" w:rsidRDefault="006F0D93">
            <w:pPr>
              <w:pStyle w:val="TableParagraph"/>
              <w:spacing w:before="28" w:line="258" w:lineRule="exact"/>
              <w:ind w:left="1" w:right="307"/>
              <w:jc w:val="center"/>
              <w:rPr>
                <w:b/>
                <w:sz w:val="23"/>
              </w:rPr>
            </w:pPr>
            <w:r>
              <w:rPr>
                <w:b/>
                <w:spacing w:val="-2"/>
                <w:w w:val="105"/>
                <w:sz w:val="23"/>
              </w:rPr>
              <w:t>Indicator</w:t>
            </w:r>
          </w:p>
        </w:tc>
        <w:tc>
          <w:tcPr>
            <w:tcW w:w="2714" w:type="dxa"/>
            <w:tcBorders>
              <w:top w:val="single" w:sz="4" w:space="0" w:color="000000"/>
              <w:bottom w:val="single" w:sz="4" w:space="0" w:color="000000"/>
            </w:tcBorders>
          </w:tcPr>
          <w:p w:rsidR="00487D64" w:rsidRDefault="006F0D93">
            <w:pPr>
              <w:pStyle w:val="TableParagraph"/>
              <w:spacing w:before="28" w:line="258" w:lineRule="exact"/>
              <w:ind w:left="855"/>
              <w:rPr>
                <w:b/>
                <w:sz w:val="23"/>
              </w:rPr>
            </w:pPr>
            <w:r>
              <w:rPr>
                <w:b/>
                <w:spacing w:val="-5"/>
                <w:w w:val="105"/>
                <w:sz w:val="23"/>
              </w:rPr>
              <w:t>VIF</w:t>
            </w:r>
          </w:p>
        </w:tc>
      </w:tr>
      <w:tr w:rsidR="00487D64">
        <w:trPr>
          <w:trHeight w:val="310"/>
        </w:trPr>
        <w:tc>
          <w:tcPr>
            <w:tcW w:w="3430" w:type="dxa"/>
            <w:tcBorders>
              <w:top w:val="single" w:sz="4" w:space="0" w:color="000000"/>
            </w:tcBorders>
          </w:tcPr>
          <w:p w:rsidR="00487D64" w:rsidRDefault="006F0D93">
            <w:pPr>
              <w:pStyle w:val="TableParagraph"/>
              <w:spacing w:before="28" w:line="262" w:lineRule="exact"/>
              <w:ind w:left="28"/>
              <w:rPr>
                <w:b/>
                <w:sz w:val="23"/>
              </w:rPr>
            </w:pPr>
            <w:r>
              <w:rPr>
                <w:b/>
                <w:sz w:val="23"/>
              </w:rPr>
              <w:t>Competitor</w:t>
            </w:r>
            <w:r>
              <w:rPr>
                <w:b/>
                <w:spacing w:val="35"/>
                <w:sz w:val="23"/>
              </w:rPr>
              <w:t xml:space="preserve"> </w:t>
            </w:r>
            <w:r>
              <w:rPr>
                <w:b/>
                <w:spacing w:val="-2"/>
                <w:sz w:val="23"/>
              </w:rPr>
              <w:t>Orientation</w:t>
            </w:r>
          </w:p>
        </w:tc>
        <w:tc>
          <w:tcPr>
            <w:tcW w:w="2227" w:type="dxa"/>
            <w:tcBorders>
              <w:top w:val="single" w:sz="4" w:space="0" w:color="000000"/>
            </w:tcBorders>
          </w:tcPr>
          <w:p w:rsidR="00487D64" w:rsidRDefault="006F0D93">
            <w:pPr>
              <w:pStyle w:val="TableParagraph"/>
              <w:spacing w:before="28" w:line="262" w:lineRule="exact"/>
              <w:ind w:right="307"/>
              <w:jc w:val="center"/>
              <w:rPr>
                <w:b/>
                <w:sz w:val="23"/>
              </w:rPr>
            </w:pPr>
            <w:r>
              <w:rPr>
                <w:b/>
                <w:spacing w:val="-5"/>
                <w:w w:val="105"/>
                <w:sz w:val="23"/>
              </w:rPr>
              <w:t>CO1</w:t>
            </w:r>
          </w:p>
        </w:tc>
        <w:tc>
          <w:tcPr>
            <w:tcW w:w="2714" w:type="dxa"/>
            <w:tcBorders>
              <w:top w:val="single" w:sz="4" w:space="0" w:color="000000"/>
            </w:tcBorders>
          </w:tcPr>
          <w:p w:rsidR="00487D64" w:rsidRDefault="006F0D93">
            <w:pPr>
              <w:pStyle w:val="TableParagraph"/>
              <w:spacing w:before="21"/>
              <w:ind w:left="790"/>
              <w:rPr>
                <w:sz w:val="23"/>
              </w:rPr>
            </w:pPr>
            <w:r>
              <w:rPr>
                <w:spacing w:val="-2"/>
                <w:w w:val="105"/>
                <w:sz w:val="23"/>
              </w:rPr>
              <w:t>3.193</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0"/>
              <w:ind w:right="307"/>
              <w:jc w:val="center"/>
              <w:rPr>
                <w:b/>
                <w:sz w:val="23"/>
              </w:rPr>
            </w:pPr>
            <w:r>
              <w:rPr>
                <w:b/>
                <w:spacing w:val="-5"/>
                <w:w w:val="105"/>
                <w:sz w:val="23"/>
              </w:rPr>
              <w:t>CO2</w:t>
            </w:r>
          </w:p>
        </w:tc>
        <w:tc>
          <w:tcPr>
            <w:tcW w:w="2714" w:type="dxa"/>
          </w:tcPr>
          <w:p w:rsidR="00487D64" w:rsidRDefault="006F0D93">
            <w:pPr>
              <w:pStyle w:val="TableParagraph"/>
              <w:spacing w:before="13"/>
              <w:ind w:left="790"/>
              <w:rPr>
                <w:sz w:val="23"/>
              </w:rPr>
            </w:pPr>
            <w:r>
              <w:rPr>
                <w:spacing w:val="-2"/>
                <w:w w:val="105"/>
                <w:sz w:val="23"/>
              </w:rPr>
              <w:t>2.353</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4" w:line="262" w:lineRule="exact"/>
              <w:ind w:right="307"/>
              <w:jc w:val="center"/>
              <w:rPr>
                <w:b/>
                <w:sz w:val="23"/>
              </w:rPr>
            </w:pPr>
            <w:r>
              <w:rPr>
                <w:b/>
                <w:spacing w:val="-5"/>
                <w:w w:val="105"/>
                <w:sz w:val="23"/>
              </w:rPr>
              <w:t>CO3</w:t>
            </w:r>
          </w:p>
        </w:tc>
        <w:tc>
          <w:tcPr>
            <w:tcW w:w="2714" w:type="dxa"/>
          </w:tcPr>
          <w:p w:rsidR="00487D64" w:rsidRDefault="006F0D93">
            <w:pPr>
              <w:pStyle w:val="TableParagraph"/>
              <w:spacing w:before="17"/>
              <w:ind w:left="790"/>
              <w:rPr>
                <w:sz w:val="23"/>
              </w:rPr>
            </w:pPr>
            <w:r>
              <w:rPr>
                <w:spacing w:val="-2"/>
                <w:w w:val="105"/>
                <w:sz w:val="23"/>
              </w:rPr>
              <w:t>1.595</w:t>
            </w:r>
          </w:p>
        </w:tc>
      </w:tr>
      <w:tr w:rsidR="00487D64">
        <w:trPr>
          <w:trHeight w:val="305"/>
        </w:trPr>
        <w:tc>
          <w:tcPr>
            <w:tcW w:w="3430" w:type="dxa"/>
          </w:tcPr>
          <w:p w:rsidR="00487D64" w:rsidRDefault="00487D64">
            <w:pPr>
              <w:pStyle w:val="TableParagraph"/>
            </w:pPr>
          </w:p>
        </w:tc>
        <w:tc>
          <w:tcPr>
            <w:tcW w:w="2227" w:type="dxa"/>
          </w:tcPr>
          <w:p w:rsidR="00487D64" w:rsidRDefault="006F0D93">
            <w:pPr>
              <w:pStyle w:val="TableParagraph"/>
              <w:spacing w:before="20"/>
              <w:ind w:right="307"/>
              <w:jc w:val="center"/>
              <w:rPr>
                <w:b/>
                <w:sz w:val="23"/>
              </w:rPr>
            </w:pPr>
            <w:r>
              <w:rPr>
                <w:b/>
                <w:spacing w:val="-5"/>
                <w:w w:val="105"/>
                <w:sz w:val="23"/>
              </w:rPr>
              <w:t>CO4</w:t>
            </w:r>
          </w:p>
        </w:tc>
        <w:tc>
          <w:tcPr>
            <w:tcW w:w="2714" w:type="dxa"/>
          </w:tcPr>
          <w:p w:rsidR="00487D64" w:rsidRDefault="006F0D93">
            <w:pPr>
              <w:pStyle w:val="TableParagraph"/>
              <w:spacing w:before="13"/>
              <w:ind w:left="790"/>
              <w:rPr>
                <w:sz w:val="23"/>
              </w:rPr>
            </w:pPr>
            <w:r>
              <w:rPr>
                <w:spacing w:val="-2"/>
                <w:w w:val="105"/>
                <w:sz w:val="23"/>
              </w:rPr>
              <w:t>3.079</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4" w:line="262" w:lineRule="exact"/>
              <w:ind w:right="307"/>
              <w:jc w:val="center"/>
              <w:rPr>
                <w:b/>
                <w:sz w:val="23"/>
              </w:rPr>
            </w:pPr>
            <w:r>
              <w:rPr>
                <w:b/>
                <w:spacing w:val="-5"/>
                <w:w w:val="105"/>
                <w:sz w:val="23"/>
              </w:rPr>
              <w:t>CO5</w:t>
            </w:r>
          </w:p>
        </w:tc>
        <w:tc>
          <w:tcPr>
            <w:tcW w:w="2714" w:type="dxa"/>
          </w:tcPr>
          <w:p w:rsidR="00487D64" w:rsidRDefault="006F0D93">
            <w:pPr>
              <w:pStyle w:val="TableParagraph"/>
              <w:spacing w:before="16"/>
              <w:ind w:left="790"/>
              <w:rPr>
                <w:sz w:val="23"/>
              </w:rPr>
            </w:pPr>
            <w:r>
              <w:rPr>
                <w:spacing w:val="-2"/>
                <w:w w:val="105"/>
                <w:sz w:val="23"/>
              </w:rPr>
              <w:t>3.026</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0"/>
              <w:ind w:right="307"/>
              <w:jc w:val="center"/>
              <w:rPr>
                <w:b/>
                <w:sz w:val="23"/>
              </w:rPr>
            </w:pPr>
            <w:r>
              <w:rPr>
                <w:b/>
                <w:spacing w:val="-5"/>
                <w:w w:val="105"/>
                <w:sz w:val="23"/>
              </w:rPr>
              <w:t>CO6</w:t>
            </w:r>
          </w:p>
        </w:tc>
        <w:tc>
          <w:tcPr>
            <w:tcW w:w="2714" w:type="dxa"/>
          </w:tcPr>
          <w:p w:rsidR="00487D64" w:rsidRDefault="006F0D93">
            <w:pPr>
              <w:pStyle w:val="TableParagraph"/>
              <w:spacing w:before="13"/>
              <w:ind w:left="790"/>
              <w:rPr>
                <w:sz w:val="23"/>
              </w:rPr>
            </w:pPr>
            <w:r>
              <w:rPr>
                <w:spacing w:val="-2"/>
                <w:w w:val="105"/>
                <w:sz w:val="23"/>
              </w:rPr>
              <w:t>2.497</w:t>
            </w:r>
          </w:p>
        </w:tc>
      </w:tr>
      <w:tr w:rsidR="00487D64">
        <w:trPr>
          <w:trHeight w:val="306"/>
        </w:trPr>
        <w:tc>
          <w:tcPr>
            <w:tcW w:w="3430" w:type="dxa"/>
          </w:tcPr>
          <w:p w:rsidR="00487D64" w:rsidRDefault="006F0D93">
            <w:pPr>
              <w:pStyle w:val="TableParagraph"/>
              <w:spacing w:before="24" w:line="262" w:lineRule="exact"/>
              <w:ind w:left="28"/>
              <w:rPr>
                <w:b/>
                <w:sz w:val="23"/>
              </w:rPr>
            </w:pPr>
            <w:r>
              <w:rPr>
                <w:b/>
                <w:sz w:val="23"/>
              </w:rPr>
              <w:t>Customer</w:t>
            </w:r>
            <w:r>
              <w:rPr>
                <w:b/>
                <w:spacing w:val="29"/>
                <w:sz w:val="23"/>
              </w:rPr>
              <w:t xml:space="preserve"> </w:t>
            </w:r>
            <w:r>
              <w:rPr>
                <w:b/>
                <w:spacing w:val="-2"/>
                <w:sz w:val="23"/>
              </w:rPr>
              <w:t>Orientation</w:t>
            </w:r>
          </w:p>
        </w:tc>
        <w:tc>
          <w:tcPr>
            <w:tcW w:w="2227" w:type="dxa"/>
          </w:tcPr>
          <w:p w:rsidR="00487D64" w:rsidRDefault="006F0D93">
            <w:pPr>
              <w:pStyle w:val="TableParagraph"/>
              <w:spacing w:before="24" w:line="262" w:lineRule="exact"/>
              <w:ind w:left="2" w:right="307"/>
              <w:jc w:val="center"/>
              <w:rPr>
                <w:b/>
                <w:sz w:val="23"/>
              </w:rPr>
            </w:pPr>
            <w:r>
              <w:rPr>
                <w:b/>
                <w:spacing w:val="-5"/>
                <w:w w:val="105"/>
                <w:sz w:val="23"/>
              </w:rPr>
              <w:t>CU1</w:t>
            </w:r>
          </w:p>
        </w:tc>
        <w:tc>
          <w:tcPr>
            <w:tcW w:w="2714" w:type="dxa"/>
          </w:tcPr>
          <w:p w:rsidR="00487D64" w:rsidRDefault="006F0D93">
            <w:pPr>
              <w:pStyle w:val="TableParagraph"/>
              <w:spacing w:before="17"/>
              <w:ind w:left="790"/>
              <w:rPr>
                <w:sz w:val="23"/>
              </w:rPr>
            </w:pPr>
            <w:r>
              <w:rPr>
                <w:spacing w:val="-2"/>
                <w:w w:val="105"/>
                <w:sz w:val="23"/>
              </w:rPr>
              <w:t>1.667</w:t>
            </w:r>
          </w:p>
        </w:tc>
      </w:tr>
      <w:tr w:rsidR="00487D64">
        <w:trPr>
          <w:trHeight w:val="305"/>
        </w:trPr>
        <w:tc>
          <w:tcPr>
            <w:tcW w:w="3430" w:type="dxa"/>
          </w:tcPr>
          <w:p w:rsidR="00487D64" w:rsidRDefault="00487D64">
            <w:pPr>
              <w:pStyle w:val="TableParagraph"/>
            </w:pPr>
          </w:p>
        </w:tc>
        <w:tc>
          <w:tcPr>
            <w:tcW w:w="2227" w:type="dxa"/>
          </w:tcPr>
          <w:p w:rsidR="00487D64" w:rsidRDefault="006F0D93">
            <w:pPr>
              <w:pStyle w:val="TableParagraph"/>
              <w:spacing w:before="20"/>
              <w:ind w:left="2" w:right="307"/>
              <w:jc w:val="center"/>
              <w:rPr>
                <w:b/>
                <w:sz w:val="23"/>
              </w:rPr>
            </w:pPr>
            <w:r>
              <w:rPr>
                <w:b/>
                <w:spacing w:val="-5"/>
                <w:w w:val="105"/>
                <w:sz w:val="23"/>
              </w:rPr>
              <w:t>CU2</w:t>
            </w:r>
          </w:p>
        </w:tc>
        <w:tc>
          <w:tcPr>
            <w:tcW w:w="2714" w:type="dxa"/>
          </w:tcPr>
          <w:p w:rsidR="00487D64" w:rsidRDefault="006F0D93">
            <w:pPr>
              <w:pStyle w:val="TableParagraph"/>
              <w:spacing w:before="13"/>
              <w:ind w:left="790"/>
              <w:rPr>
                <w:sz w:val="23"/>
              </w:rPr>
            </w:pPr>
            <w:r>
              <w:rPr>
                <w:spacing w:val="-2"/>
                <w:w w:val="105"/>
                <w:sz w:val="23"/>
              </w:rPr>
              <w:t>2.893</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4" w:line="262" w:lineRule="exact"/>
              <w:ind w:left="2" w:right="307"/>
              <w:jc w:val="center"/>
              <w:rPr>
                <w:b/>
                <w:sz w:val="23"/>
              </w:rPr>
            </w:pPr>
            <w:r>
              <w:rPr>
                <w:b/>
                <w:spacing w:val="-5"/>
                <w:w w:val="105"/>
                <w:sz w:val="23"/>
              </w:rPr>
              <w:t>CU3</w:t>
            </w:r>
          </w:p>
        </w:tc>
        <w:tc>
          <w:tcPr>
            <w:tcW w:w="2714" w:type="dxa"/>
          </w:tcPr>
          <w:p w:rsidR="00487D64" w:rsidRDefault="006F0D93">
            <w:pPr>
              <w:pStyle w:val="TableParagraph"/>
              <w:spacing w:before="16"/>
              <w:ind w:left="790"/>
              <w:rPr>
                <w:sz w:val="23"/>
              </w:rPr>
            </w:pPr>
            <w:r>
              <w:rPr>
                <w:spacing w:val="-2"/>
                <w:w w:val="105"/>
                <w:sz w:val="23"/>
              </w:rPr>
              <w:t>3.862</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0"/>
              <w:ind w:left="2" w:right="307"/>
              <w:jc w:val="center"/>
              <w:rPr>
                <w:b/>
                <w:sz w:val="23"/>
              </w:rPr>
            </w:pPr>
            <w:r>
              <w:rPr>
                <w:b/>
                <w:spacing w:val="-5"/>
                <w:w w:val="105"/>
                <w:sz w:val="23"/>
              </w:rPr>
              <w:t>CU4</w:t>
            </w:r>
          </w:p>
        </w:tc>
        <w:tc>
          <w:tcPr>
            <w:tcW w:w="2714" w:type="dxa"/>
          </w:tcPr>
          <w:p w:rsidR="00487D64" w:rsidRDefault="006F0D93">
            <w:pPr>
              <w:pStyle w:val="TableParagraph"/>
              <w:spacing w:before="13"/>
              <w:ind w:left="790"/>
              <w:rPr>
                <w:sz w:val="23"/>
              </w:rPr>
            </w:pPr>
            <w:r>
              <w:rPr>
                <w:spacing w:val="-2"/>
                <w:w w:val="105"/>
                <w:sz w:val="23"/>
              </w:rPr>
              <w:t>2.540</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4" w:line="262" w:lineRule="exact"/>
              <w:ind w:left="2" w:right="307"/>
              <w:jc w:val="center"/>
              <w:rPr>
                <w:b/>
                <w:sz w:val="23"/>
              </w:rPr>
            </w:pPr>
            <w:r>
              <w:rPr>
                <w:b/>
                <w:spacing w:val="-5"/>
                <w:w w:val="105"/>
                <w:sz w:val="23"/>
              </w:rPr>
              <w:t>CU5</w:t>
            </w:r>
          </w:p>
        </w:tc>
        <w:tc>
          <w:tcPr>
            <w:tcW w:w="2714" w:type="dxa"/>
          </w:tcPr>
          <w:p w:rsidR="00487D64" w:rsidRDefault="006F0D93">
            <w:pPr>
              <w:pStyle w:val="TableParagraph"/>
              <w:spacing w:before="16"/>
              <w:ind w:left="790"/>
              <w:rPr>
                <w:sz w:val="23"/>
              </w:rPr>
            </w:pPr>
            <w:r>
              <w:rPr>
                <w:spacing w:val="-2"/>
                <w:w w:val="105"/>
                <w:sz w:val="23"/>
              </w:rPr>
              <w:t>3.265</w:t>
            </w:r>
          </w:p>
        </w:tc>
      </w:tr>
      <w:tr w:rsidR="00487D64">
        <w:trPr>
          <w:trHeight w:val="305"/>
        </w:trPr>
        <w:tc>
          <w:tcPr>
            <w:tcW w:w="3430" w:type="dxa"/>
          </w:tcPr>
          <w:p w:rsidR="00487D64" w:rsidRDefault="00487D64">
            <w:pPr>
              <w:pStyle w:val="TableParagraph"/>
            </w:pPr>
          </w:p>
        </w:tc>
        <w:tc>
          <w:tcPr>
            <w:tcW w:w="2227" w:type="dxa"/>
          </w:tcPr>
          <w:p w:rsidR="00487D64" w:rsidRDefault="006F0D93">
            <w:pPr>
              <w:pStyle w:val="TableParagraph"/>
              <w:spacing w:before="20"/>
              <w:ind w:left="2" w:right="307"/>
              <w:jc w:val="center"/>
              <w:rPr>
                <w:b/>
                <w:sz w:val="23"/>
              </w:rPr>
            </w:pPr>
            <w:r>
              <w:rPr>
                <w:b/>
                <w:spacing w:val="-5"/>
                <w:w w:val="105"/>
                <w:sz w:val="23"/>
              </w:rPr>
              <w:t>CU6</w:t>
            </w:r>
          </w:p>
        </w:tc>
        <w:tc>
          <w:tcPr>
            <w:tcW w:w="2714" w:type="dxa"/>
          </w:tcPr>
          <w:p w:rsidR="00487D64" w:rsidRDefault="006F0D93">
            <w:pPr>
              <w:pStyle w:val="TableParagraph"/>
              <w:spacing w:before="13"/>
              <w:ind w:left="790"/>
              <w:rPr>
                <w:sz w:val="23"/>
              </w:rPr>
            </w:pPr>
            <w:r>
              <w:rPr>
                <w:spacing w:val="-2"/>
                <w:w w:val="105"/>
                <w:sz w:val="23"/>
              </w:rPr>
              <w:t>3.907</w:t>
            </w:r>
          </w:p>
        </w:tc>
      </w:tr>
      <w:tr w:rsidR="00487D64">
        <w:trPr>
          <w:trHeight w:val="306"/>
        </w:trPr>
        <w:tc>
          <w:tcPr>
            <w:tcW w:w="3430" w:type="dxa"/>
          </w:tcPr>
          <w:p w:rsidR="00487D64" w:rsidRDefault="006F0D93">
            <w:pPr>
              <w:pStyle w:val="TableParagraph"/>
              <w:spacing w:before="24" w:line="262" w:lineRule="exact"/>
              <w:ind w:left="28"/>
              <w:rPr>
                <w:b/>
                <w:sz w:val="23"/>
              </w:rPr>
            </w:pPr>
            <w:r>
              <w:rPr>
                <w:b/>
                <w:sz w:val="23"/>
              </w:rPr>
              <w:t>Functional</w:t>
            </w:r>
            <w:r>
              <w:rPr>
                <w:b/>
                <w:spacing w:val="31"/>
                <w:sz w:val="23"/>
              </w:rPr>
              <w:t xml:space="preserve"> </w:t>
            </w:r>
            <w:r>
              <w:rPr>
                <w:b/>
                <w:spacing w:val="-2"/>
                <w:sz w:val="23"/>
              </w:rPr>
              <w:t>Coordination</w:t>
            </w:r>
          </w:p>
        </w:tc>
        <w:tc>
          <w:tcPr>
            <w:tcW w:w="2227" w:type="dxa"/>
          </w:tcPr>
          <w:p w:rsidR="00487D64" w:rsidRDefault="006F0D93">
            <w:pPr>
              <w:pStyle w:val="TableParagraph"/>
              <w:spacing w:before="24" w:line="262" w:lineRule="exact"/>
              <w:ind w:right="307"/>
              <w:jc w:val="center"/>
              <w:rPr>
                <w:b/>
                <w:sz w:val="23"/>
              </w:rPr>
            </w:pPr>
            <w:r>
              <w:rPr>
                <w:b/>
                <w:spacing w:val="-5"/>
                <w:w w:val="105"/>
                <w:sz w:val="23"/>
              </w:rPr>
              <w:t>FC1</w:t>
            </w:r>
          </w:p>
        </w:tc>
        <w:tc>
          <w:tcPr>
            <w:tcW w:w="2714" w:type="dxa"/>
          </w:tcPr>
          <w:p w:rsidR="00487D64" w:rsidRDefault="006F0D93">
            <w:pPr>
              <w:pStyle w:val="TableParagraph"/>
              <w:spacing w:before="16"/>
              <w:ind w:left="790"/>
              <w:rPr>
                <w:sz w:val="23"/>
              </w:rPr>
            </w:pPr>
            <w:r>
              <w:rPr>
                <w:spacing w:val="-2"/>
                <w:w w:val="105"/>
                <w:sz w:val="23"/>
              </w:rPr>
              <w:t>3.087</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0"/>
              <w:ind w:right="307"/>
              <w:jc w:val="center"/>
              <w:rPr>
                <w:b/>
                <w:sz w:val="23"/>
              </w:rPr>
            </w:pPr>
            <w:r>
              <w:rPr>
                <w:b/>
                <w:spacing w:val="-5"/>
                <w:w w:val="105"/>
                <w:sz w:val="23"/>
              </w:rPr>
              <w:t>FC2</w:t>
            </w:r>
          </w:p>
        </w:tc>
        <w:tc>
          <w:tcPr>
            <w:tcW w:w="2714" w:type="dxa"/>
          </w:tcPr>
          <w:p w:rsidR="00487D64" w:rsidRDefault="006F0D93">
            <w:pPr>
              <w:pStyle w:val="TableParagraph"/>
              <w:spacing w:before="13"/>
              <w:ind w:left="790"/>
              <w:rPr>
                <w:sz w:val="23"/>
              </w:rPr>
            </w:pPr>
            <w:r>
              <w:rPr>
                <w:spacing w:val="-2"/>
                <w:w w:val="105"/>
                <w:sz w:val="23"/>
              </w:rPr>
              <w:t>1.686</w:t>
            </w:r>
          </w:p>
        </w:tc>
      </w:tr>
      <w:tr w:rsidR="00487D64">
        <w:trPr>
          <w:trHeight w:val="305"/>
        </w:trPr>
        <w:tc>
          <w:tcPr>
            <w:tcW w:w="3430" w:type="dxa"/>
          </w:tcPr>
          <w:p w:rsidR="00487D64" w:rsidRDefault="00487D64">
            <w:pPr>
              <w:pStyle w:val="TableParagraph"/>
            </w:pPr>
          </w:p>
        </w:tc>
        <w:tc>
          <w:tcPr>
            <w:tcW w:w="2227" w:type="dxa"/>
          </w:tcPr>
          <w:p w:rsidR="00487D64" w:rsidRDefault="006F0D93">
            <w:pPr>
              <w:pStyle w:val="TableParagraph"/>
              <w:spacing w:before="24" w:line="262" w:lineRule="exact"/>
              <w:ind w:right="307"/>
              <w:jc w:val="center"/>
              <w:rPr>
                <w:b/>
                <w:sz w:val="23"/>
              </w:rPr>
            </w:pPr>
            <w:r>
              <w:rPr>
                <w:b/>
                <w:spacing w:val="-5"/>
                <w:w w:val="105"/>
                <w:sz w:val="23"/>
              </w:rPr>
              <w:t>FC3</w:t>
            </w:r>
          </w:p>
        </w:tc>
        <w:tc>
          <w:tcPr>
            <w:tcW w:w="2714" w:type="dxa"/>
          </w:tcPr>
          <w:p w:rsidR="00487D64" w:rsidRDefault="006F0D93">
            <w:pPr>
              <w:pStyle w:val="TableParagraph"/>
              <w:spacing w:before="16"/>
              <w:ind w:left="790"/>
              <w:rPr>
                <w:sz w:val="23"/>
              </w:rPr>
            </w:pPr>
            <w:r>
              <w:rPr>
                <w:spacing w:val="-2"/>
                <w:w w:val="105"/>
                <w:sz w:val="23"/>
              </w:rPr>
              <w:t>3.456</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0"/>
              <w:ind w:right="307"/>
              <w:jc w:val="center"/>
              <w:rPr>
                <w:b/>
                <w:sz w:val="23"/>
              </w:rPr>
            </w:pPr>
            <w:r>
              <w:rPr>
                <w:b/>
                <w:spacing w:val="-5"/>
                <w:w w:val="105"/>
                <w:sz w:val="23"/>
              </w:rPr>
              <w:t>FC4</w:t>
            </w:r>
          </w:p>
        </w:tc>
        <w:tc>
          <w:tcPr>
            <w:tcW w:w="2714" w:type="dxa"/>
          </w:tcPr>
          <w:p w:rsidR="00487D64" w:rsidRDefault="006F0D93">
            <w:pPr>
              <w:pStyle w:val="TableParagraph"/>
              <w:spacing w:before="13"/>
              <w:ind w:left="790"/>
              <w:rPr>
                <w:sz w:val="23"/>
              </w:rPr>
            </w:pPr>
            <w:r>
              <w:rPr>
                <w:spacing w:val="-2"/>
                <w:w w:val="105"/>
                <w:sz w:val="23"/>
              </w:rPr>
              <w:t>1.879</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4" w:line="262" w:lineRule="exact"/>
              <w:ind w:right="307"/>
              <w:jc w:val="center"/>
              <w:rPr>
                <w:b/>
                <w:sz w:val="23"/>
              </w:rPr>
            </w:pPr>
            <w:r>
              <w:rPr>
                <w:b/>
                <w:spacing w:val="-5"/>
                <w:w w:val="105"/>
                <w:sz w:val="23"/>
              </w:rPr>
              <w:t>FC5</w:t>
            </w:r>
          </w:p>
        </w:tc>
        <w:tc>
          <w:tcPr>
            <w:tcW w:w="2714" w:type="dxa"/>
          </w:tcPr>
          <w:p w:rsidR="00487D64" w:rsidRDefault="006F0D93">
            <w:pPr>
              <w:pStyle w:val="TableParagraph"/>
              <w:spacing w:before="16"/>
              <w:ind w:left="790"/>
              <w:rPr>
                <w:sz w:val="23"/>
              </w:rPr>
            </w:pPr>
            <w:r>
              <w:rPr>
                <w:spacing w:val="-2"/>
                <w:w w:val="105"/>
                <w:sz w:val="23"/>
              </w:rPr>
              <w:t>1.761</w:t>
            </w:r>
          </w:p>
        </w:tc>
      </w:tr>
      <w:tr w:rsidR="00487D64">
        <w:trPr>
          <w:trHeight w:val="306"/>
        </w:trPr>
        <w:tc>
          <w:tcPr>
            <w:tcW w:w="3430" w:type="dxa"/>
          </w:tcPr>
          <w:p w:rsidR="00487D64" w:rsidRDefault="006F0D93">
            <w:pPr>
              <w:pStyle w:val="TableParagraph"/>
              <w:spacing w:before="20"/>
              <w:ind w:left="28"/>
              <w:rPr>
                <w:b/>
                <w:sz w:val="23"/>
              </w:rPr>
            </w:pPr>
            <w:r>
              <w:rPr>
                <w:b/>
                <w:sz w:val="23"/>
              </w:rPr>
              <w:t>Sustainable</w:t>
            </w:r>
            <w:r>
              <w:rPr>
                <w:b/>
                <w:spacing w:val="33"/>
                <w:sz w:val="23"/>
              </w:rPr>
              <w:t xml:space="preserve"> </w:t>
            </w:r>
            <w:r>
              <w:rPr>
                <w:b/>
                <w:spacing w:val="-2"/>
                <w:sz w:val="23"/>
              </w:rPr>
              <w:t>Competitiveness</w:t>
            </w:r>
          </w:p>
        </w:tc>
        <w:tc>
          <w:tcPr>
            <w:tcW w:w="2227" w:type="dxa"/>
          </w:tcPr>
          <w:p w:rsidR="00487D64" w:rsidRDefault="006F0D93">
            <w:pPr>
              <w:pStyle w:val="TableParagraph"/>
              <w:spacing w:before="20"/>
              <w:ind w:right="307"/>
              <w:jc w:val="center"/>
              <w:rPr>
                <w:b/>
                <w:sz w:val="23"/>
              </w:rPr>
            </w:pPr>
            <w:r>
              <w:rPr>
                <w:b/>
                <w:spacing w:val="-5"/>
                <w:w w:val="105"/>
                <w:sz w:val="23"/>
              </w:rPr>
              <w:t>SC1</w:t>
            </w:r>
          </w:p>
        </w:tc>
        <w:tc>
          <w:tcPr>
            <w:tcW w:w="2714" w:type="dxa"/>
          </w:tcPr>
          <w:p w:rsidR="00487D64" w:rsidRDefault="006F0D93">
            <w:pPr>
              <w:pStyle w:val="TableParagraph"/>
              <w:spacing w:before="13"/>
              <w:ind w:left="790"/>
              <w:rPr>
                <w:sz w:val="23"/>
              </w:rPr>
            </w:pPr>
            <w:r>
              <w:rPr>
                <w:spacing w:val="-2"/>
                <w:w w:val="105"/>
                <w:sz w:val="23"/>
              </w:rPr>
              <w:t>2.125</w:t>
            </w:r>
          </w:p>
        </w:tc>
      </w:tr>
      <w:tr w:rsidR="00487D64">
        <w:trPr>
          <w:trHeight w:val="305"/>
        </w:trPr>
        <w:tc>
          <w:tcPr>
            <w:tcW w:w="3430" w:type="dxa"/>
          </w:tcPr>
          <w:p w:rsidR="00487D64" w:rsidRDefault="00487D64">
            <w:pPr>
              <w:pStyle w:val="TableParagraph"/>
            </w:pPr>
          </w:p>
        </w:tc>
        <w:tc>
          <w:tcPr>
            <w:tcW w:w="2227" w:type="dxa"/>
          </w:tcPr>
          <w:p w:rsidR="00487D64" w:rsidRDefault="006F0D93">
            <w:pPr>
              <w:pStyle w:val="TableParagraph"/>
              <w:spacing w:before="24" w:line="262" w:lineRule="exact"/>
              <w:ind w:right="307"/>
              <w:jc w:val="center"/>
              <w:rPr>
                <w:b/>
                <w:sz w:val="23"/>
              </w:rPr>
            </w:pPr>
            <w:r>
              <w:rPr>
                <w:b/>
                <w:spacing w:val="-5"/>
                <w:w w:val="105"/>
                <w:sz w:val="23"/>
              </w:rPr>
              <w:t>SC2</w:t>
            </w:r>
          </w:p>
        </w:tc>
        <w:tc>
          <w:tcPr>
            <w:tcW w:w="2714" w:type="dxa"/>
          </w:tcPr>
          <w:p w:rsidR="00487D64" w:rsidRDefault="006F0D93">
            <w:pPr>
              <w:pStyle w:val="TableParagraph"/>
              <w:spacing w:before="16"/>
              <w:ind w:left="790"/>
              <w:rPr>
                <w:sz w:val="23"/>
              </w:rPr>
            </w:pPr>
            <w:r>
              <w:rPr>
                <w:spacing w:val="-2"/>
                <w:w w:val="105"/>
                <w:sz w:val="23"/>
              </w:rPr>
              <w:t>2.677</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0"/>
              <w:ind w:right="307"/>
              <w:jc w:val="center"/>
              <w:rPr>
                <w:b/>
                <w:sz w:val="23"/>
              </w:rPr>
            </w:pPr>
            <w:r>
              <w:rPr>
                <w:b/>
                <w:spacing w:val="-5"/>
                <w:w w:val="105"/>
                <w:sz w:val="23"/>
              </w:rPr>
              <w:t>SC3</w:t>
            </w:r>
          </w:p>
        </w:tc>
        <w:tc>
          <w:tcPr>
            <w:tcW w:w="2714" w:type="dxa"/>
          </w:tcPr>
          <w:p w:rsidR="00487D64" w:rsidRDefault="006F0D93">
            <w:pPr>
              <w:pStyle w:val="TableParagraph"/>
              <w:spacing w:before="13"/>
              <w:ind w:left="790"/>
              <w:rPr>
                <w:sz w:val="23"/>
              </w:rPr>
            </w:pPr>
            <w:r>
              <w:rPr>
                <w:spacing w:val="-2"/>
                <w:w w:val="105"/>
                <w:sz w:val="23"/>
              </w:rPr>
              <w:t>3.239</w:t>
            </w:r>
          </w:p>
        </w:tc>
      </w:tr>
      <w:tr w:rsidR="00487D64">
        <w:trPr>
          <w:trHeight w:val="306"/>
        </w:trPr>
        <w:tc>
          <w:tcPr>
            <w:tcW w:w="3430" w:type="dxa"/>
          </w:tcPr>
          <w:p w:rsidR="00487D64" w:rsidRDefault="00487D64">
            <w:pPr>
              <w:pStyle w:val="TableParagraph"/>
            </w:pPr>
          </w:p>
        </w:tc>
        <w:tc>
          <w:tcPr>
            <w:tcW w:w="2227" w:type="dxa"/>
          </w:tcPr>
          <w:p w:rsidR="00487D64" w:rsidRDefault="006F0D93">
            <w:pPr>
              <w:pStyle w:val="TableParagraph"/>
              <w:spacing w:before="24" w:line="262" w:lineRule="exact"/>
              <w:ind w:right="307"/>
              <w:jc w:val="center"/>
              <w:rPr>
                <w:b/>
                <w:sz w:val="23"/>
              </w:rPr>
            </w:pPr>
            <w:r>
              <w:rPr>
                <w:b/>
                <w:spacing w:val="-5"/>
                <w:w w:val="105"/>
                <w:sz w:val="23"/>
              </w:rPr>
              <w:t>SC4</w:t>
            </w:r>
          </w:p>
        </w:tc>
        <w:tc>
          <w:tcPr>
            <w:tcW w:w="2714" w:type="dxa"/>
          </w:tcPr>
          <w:p w:rsidR="00487D64" w:rsidRDefault="006F0D93">
            <w:pPr>
              <w:pStyle w:val="TableParagraph"/>
              <w:spacing w:before="17"/>
              <w:ind w:left="790"/>
              <w:rPr>
                <w:sz w:val="23"/>
              </w:rPr>
            </w:pPr>
            <w:r>
              <w:rPr>
                <w:spacing w:val="-2"/>
                <w:w w:val="105"/>
                <w:sz w:val="23"/>
              </w:rPr>
              <w:t>1.555</w:t>
            </w:r>
          </w:p>
        </w:tc>
      </w:tr>
      <w:tr w:rsidR="00487D64">
        <w:trPr>
          <w:trHeight w:val="305"/>
        </w:trPr>
        <w:tc>
          <w:tcPr>
            <w:tcW w:w="3430" w:type="dxa"/>
            <w:tcBorders>
              <w:bottom w:val="single" w:sz="4" w:space="0" w:color="000000"/>
            </w:tcBorders>
          </w:tcPr>
          <w:p w:rsidR="00487D64" w:rsidRDefault="00487D64">
            <w:pPr>
              <w:pStyle w:val="TableParagraph"/>
            </w:pPr>
          </w:p>
        </w:tc>
        <w:tc>
          <w:tcPr>
            <w:tcW w:w="2227" w:type="dxa"/>
            <w:tcBorders>
              <w:bottom w:val="single" w:sz="4" w:space="0" w:color="000000"/>
            </w:tcBorders>
          </w:tcPr>
          <w:p w:rsidR="00487D64" w:rsidRDefault="006F0D93">
            <w:pPr>
              <w:pStyle w:val="TableParagraph"/>
              <w:spacing w:before="20"/>
              <w:ind w:right="307"/>
              <w:jc w:val="center"/>
              <w:rPr>
                <w:b/>
                <w:sz w:val="23"/>
              </w:rPr>
            </w:pPr>
            <w:r>
              <w:rPr>
                <w:b/>
                <w:spacing w:val="-5"/>
                <w:w w:val="105"/>
                <w:sz w:val="23"/>
              </w:rPr>
              <w:t>SC5</w:t>
            </w:r>
          </w:p>
        </w:tc>
        <w:tc>
          <w:tcPr>
            <w:tcW w:w="2714" w:type="dxa"/>
            <w:tcBorders>
              <w:bottom w:val="single" w:sz="4" w:space="0" w:color="000000"/>
            </w:tcBorders>
          </w:tcPr>
          <w:p w:rsidR="00487D64" w:rsidRDefault="006F0D93">
            <w:pPr>
              <w:pStyle w:val="TableParagraph"/>
              <w:spacing w:before="13"/>
              <w:ind w:left="790"/>
              <w:rPr>
                <w:sz w:val="23"/>
              </w:rPr>
            </w:pPr>
            <w:r>
              <w:rPr>
                <w:spacing w:val="-2"/>
                <w:w w:val="105"/>
                <w:sz w:val="23"/>
              </w:rPr>
              <w:t>2.435</w:t>
            </w:r>
          </w:p>
        </w:tc>
      </w:tr>
    </w:tbl>
    <w:p w:rsidR="00487D64" w:rsidRDefault="00487D64">
      <w:pPr>
        <w:pStyle w:val="BodyText"/>
        <w:rPr>
          <w:b/>
        </w:rPr>
      </w:pPr>
    </w:p>
    <w:p w:rsidR="00487D64" w:rsidRDefault="00487D64">
      <w:pPr>
        <w:pStyle w:val="BodyText"/>
        <w:spacing w:before="48"/>
        <w:rPr>
          <w:b/>
        </w:rPr>
      </w:pPr>
    </w:p>
    <w:p w:rsidR="00487D64" w:rsidRDefault="006F0D93">
      <w:pPr>
        <w:pStyle w:val="ListParagraph"/>
        <w:numPr>
          <w:ilvl w:val="1"/>
          <w:numId w:val="9"/>
        </w:numPr>
        <w:tabs>
          <w:tab w:val="left" w:pos="1778"/>
        </w:tabs>
        <w:spacing w:before="1"/>
        <w:ind w:left="1778" w:hanging="359"/>
        <w:rPr>
          <w:b/>
          <w:sz w:val="23"/>
        </w:rPr>
      </w:pPr>
      <w:bookmarkStart w:id="164" w:name="4.6_Structural_Model"/>
      <w:bookmarkStart w:id="165" w:name="_bookmark79"/>
      <w:bookmarkEnd w:id="164"/>
      <w:bookmarkEnd w:id="165"/>
      <w:r>
        <w:rPr>
          <w:b/>
          <w:sz w:val="23"/>
        </w:rPr>
        <w:t>Structural</w:t>
      </w:r>
      <w:r>
        <w:rPr>
          <w:b/>
          <w:spacing w:val="28"/>
          <w:sz w:val="23"/>
        </w:rPr>
        <w:t xml:space="preserve"> </w:t>
      </w:r>
      <w:r>
        <w:rPr>
          <w:b/>
          <w:spacing w:val="-4"/>
          <w:sz w:val="23"/>
        </w:rPr>
        <w:t>Model</w:t>
      </w:r>
    </w:p>
    <w:p w:rsidR="00487D64" w:rsidRDefault="00487D64">
      <w:pPr>
        <w:pStyle w:val="BodyText"/>
        <w:spacing w:before="18"/>
        <w:rPr>
          <w:b/>
        </w:rPr>
      </w:pPr>
    </w:p>
    <w:p w:rsidR="00487D64" w:rsidRDefault="006F0D93">
      <w:pPr>
        <w:pStyle w:val="ListParagraph"/>
        <w:numPr>
          <w:ilvl w:val="2"/>
          <w:numId w:val="9"/>
        </w:numPr>
        <w:tabs>
          <w:tab w:val="left" w:pos="1956"/>
        </w:tabs>
        <w:ind w:left="1956" w:hanging="537"/>
        <w:rPr>
          <w:b/>
          <w:sz w:val="23"/>
        </w:rPr>
      </w:pPr>
      <w:bookmarkStart w:id="166" w:name="4.6.1_Collinearity_Statistics_VIF_Inner_"/>
      <w:bookmarkStart w:id="167" w:name="_bookmark80"/>
      <w:bookmarkEnd w:id="166"/>
      <w:bookmarkEnd w:id="167"/>
      <w:r>
        <w:rPr>
          <w:b/>
          <w:w w:val="105"/>
          <w:sz w:val="23"/>
        </w:rPr>
        <w:t>Collinearity</w:t>
      </w:r>
      <w:r>
        <w:rPr>
          <w:b/>
          <w:spacing w:val="-12"/>
          <w:w w:val="105"/>
          <w:sz w:val="23"/>
        </w:rPr>
        <w:t xml:space="preserve"> </w:t>
      </w:r>
      <w:r>
        <w:rPr>
          <w:b/>
          <w:w w:val="105"/>
          <w:sz w:val="23"/>
        </w:rPr>
        <w:t>Statistics</w:t>
      </w:r>
      <w:r>
        <w:rPr>
          <w:b/>
          <w:spacing w:val="-8"/>
          <w:w w:val="105"/>
          <w:sz w:val="23"/>
        </w:rPr>
        <w:t xml:space="preserve"> </w:t>
      </w:r>
      <w:r>
        <w:rPr>
          <w:b/>
          <w:w w:val="105"/>
          <w:sz w:val="23"/>
        </w:rPr>
        <w:t>VIF</w:t>
      </w:r>
      <w:r>
        <w:rPr>
          <w:b/>
          <w:spacing w:val="-15"/>
          <w:w w:val="105"/>
          <w:sz w:val="23"/>
        </w:rPr>
        <w:t xml:space="preserve"> </w:t>
      </w:r>
      <w:r>
        <w:rPr>
          <w:b/>
          <w:w w:val="105"/>
          <w:sz w:val="23"/>
        </w:rPr>
        <w:t>Inner</w:t>
      </w:r>
      <w:r>
        <w:rPr>
          <w:b/>
          <w:spacing w:val="-14"/>
          <w:w w:val="105"/>
          <w:sz w:val="23"/>
        </w:rPr>
        <w:t xml:space="preserve"> </w:t>
      </w:r>
      <w:r>
        <w:rPr>
          <w:b/>
          <w:w w:val="105"/>
          <w:sz w:val="23"/>
        </w:rPr>
        <w:t>Model</w:t>
      </w:r>
      <w:r>
        <w:rPr>
          <w:b/>
          <w:spacing w:val="-10"/>
          <w:w w:val="105"/>
          <w:sz w:val="23"/>
        </w:rPr>
        <w:t xml:space="preserve"> </w:t>
      </w:r>
      <w:r>
        <w:rPr>
          <w:b/>
          <w:spacing w:val="-2"/>
          <w:w w:val="105"/>
          <w:sz w:val="23"/>
        </w:rPr>
        <w:t>Statistics</w:t>
      </w:r>
    </w:p>
    <w:p w:rsidR="00487D64" w:rsidRDefault="00487D64">
      <w:pPr>
        <w:pStyle w:val="BodyText"/>
        <w:spacing w:before="18"/>
        <w:rPr>
          <w:b/>
        </w:rPr>
      </w:pPr>
    </w:p>
    <w:p w:rsidR="00487D64" w:rsidRDefault="006F0D93">
      <w:pPr>
        <w:pStyle w:val="BodyText"/>
        <w:spacing w:before="1" w:line="499" w:lineRule="auto"/>
        <w:ind w:left="1419" w:right="862"/>
        <w:jc w:val="both"/>
      </w:pPr>
      <w:r>
        <w:rPr>
          <w:w w:val="105"/>
        </w:rPr>
        <w:t>From the findings, the VIF values for all constructs and their interaction terms ranged from 1.009 to 1.110. Specifically, the main constructs,</w:t>
      </w:r>
      <w:r>
        <w:rPr>
          <w:w w:val="105"/>
        </w:rPr>
        <w:t xml:space="preserve"> Competitor Orientation</w:t>
      </w:r>
      <w:r>
        <w:rPr>
          <w:spacing w:val="62"/>
          <w:w w:val="150"/>
        </w:rPr>
        <w:t xml:space="preserve"> </w:t>
      </w:r>
      <w:r>
        <w:rPr>
          <w:w w:val="105"/>
        </w:rPr>
        <w:t>(CO),</w:t>
      </w:r>
      <w:r>
        <w:rPr>
          <w:spacing w:val="71"/>
          <w:w w:val="150"/>
        </w:rPr>
        <w:t xml:space="preserve"> </w:t>
      </w:r>
      <w:r>
        <w:rPr>
          <w:w w:val="105"/>
        </w:rPr>
        <w:t>Customer</w:t>
      </w:r>
      <w:r>
        <w:rPr>
          <w:spacing w:val="72"/>
          <w:w w:val="150"/>
        </w:rPr>
        <w:t xml:space="preserve"> </w:t>
      </w:r>
      <w:r>
        <w:rPr>
          <w:w w:val="105"/>
        </w:rPr>
        <w:t>Orientation</w:t>
      </w:r>
      <w:r>
        <w:rPr>
          <w:spacing w:val="63"/>
          <w:w w:val="150"/>
        </w:rPr>
        <w:t xml:space="preserve"> </w:t>
      </w:r>
      <w:r>
        <w:rPr>
          <w:w w:val="105"/>
        </w:rPr>
        <w:t>(CU),</w:t>
      </w:r>
      <w:r>
        <w:rPr>
          <w:spacing w:val="71"/>
          <w:w w:val="150"/>
        </w:rPr>
        <w:t xml:space="preserve"> </w:t>
      </w:r>
      <w:r>
        <w:rPr>
          <w:w w:val="105"/>
        </w:rPr>
        <w:t>Functional</w:t>
      </w:r>
      <w:r>
        <w:rPr>
          <w:spacing w:val="70"/>
          <w:w w:val="150"/>
        </w:rPr>
        <w:t xml:space="preserve"> </w:t>
      </w:r>
      <w:r>
        <w:rPr>
          <w:w w:val="105"/>
        </w:rPr>
        <w:t>Coordination</w:t>
      </w:r>
      <w:r>
        <w:rPr>
          <w:spacing w:val="69"/>
          <w:w w:val="150"/>
        </w:rPr>
        <w:t xml:space="preserve"> </w:t>
      </w:r>
      <w:r>
        <w:rPr>
          <w:spacing w:val="-2"/>
          <w:w w:val="105"/>
        </w:rPr>
        <w:t>(FC),</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6"/>
        <w:jc w:val="both"/>
      </w:pPr>
      <w:r>
        <w:rPr>
          <w:w w:val="105"/>
        </w:rPr>
        <w:t>Strategic Flexibility (SF), and their respective interaction terms (SF x CO, SF x CU, SF x FC), exhibited VIF values consistently close to 1, which</w:t>
      </w:r>
      <w:r>
        <w:rPr>
          <w:w w:val="105"/>
        </w:rPr>
        <w:t xml:space="preserve"> indicates negligible multicollinearity. The absence of any VIF value exceeding 5 confirms that multicollinearity does not pose a threat to the validity and interpretability of the structural model estimates. These findings amplify that the predictor varia</w:t>
      </w:r>
      <w:r>
        <w:rPr>
          <w:w w:val="105"/>
        </w:rPr>
        <w:t>bles and their interactions included in the model are sufficiently</w:t>
      </w:r>
      <w:r>
        <w:rPr>
          <w:spacing w:val="-2"/>
          <w:w w:val="105"/>
        </w:rPr>
        <w:t xml:space="preserve"> </w:t>
      </w:r>
      <w:r>
        <w:rPr>
          <w:w w:val="105"/>
        </w:rPr>
        <w:t>independent, ensuring stable and reliable estimation of path coefficients within the structural model. Collinearity statistics are shown in Table 4.13 below.</w:t>
      </w:r>
    </w:p>
    <w:p w:rsidR="00487D64" w:rsidRDefault="00487D64">
      <w:pPr>
        <w:pStyle w:val="BodyText"/>
        <w:spacing w:before="255"/>
      </w:pPr>
    </w:p>
    <w:p w:rsidR="00487D64" w:rsidRDefault="006F0D93">
      <w:pPr>
        <w:spacing w:before="1"/>
        <w:ind w:left="1419"/>
        <w:jc w:val="both"/>
        <w:rPr>
          <w:b/>
          <w:sz w:val="23"/>
        </w:rPr>
      </w:pPr>
      <w:r>
        <w:rPr>
          <w:b/>
          <w:w w:val="105"/>
          <w:sz w:val="23"/>
        </w:rPr>
        <w:t>Table</w:t>
      </w:r>
      <w:r>
        <w:rPr>
          <w:b/>
          <w:spacing w:val="-8"/>
          <w:w w:val="105"/>
          <w:sz w:val="23"/>
        </w:rPr>
        <w:t xml:space="preserve"> </w:t>
      </w:r>
      <w:r>
        <w:rPr>
          <w:b/>
          <w:w w:val="105"/>
          <w:sz w:val="23"/>
        </w:rPr>
        <w:t>4.</w:t>
      </w:r>
      <w:r>
        <w:rPr>
          <w:b/>
          <w:spacing w:val="-11"/>
          <w:w w:val="105"/>
          <w:sz w:val="23"/>
        </w:rPr>
        <w:t xml:space="preserve"> </w:t>
      </w:r>
      <w:r>
        <w:rPr>
          <w:b/>
          <w:w w:val="105"/>
          <w:sz w:val="23"/>
        </w:rPr>
        <w:t>13:</w:t>
      </w:r>
      <w:r>
        <w:rPr>
          <w:b/>
          <w:spacing w:val="-3"/>
          <w:w w:val="105"/>
          <w:sz w:val="23"/>
        </w:rPr>
        <w:t xml:space="preserve"> </w:t>
      </w:r>
      <w:r>
        <w:rPr>
          <w:b/>
          <w:w w:val="105"/>
          <w:sz w:val="23"/>
        </w:rPr>
        <w:t>VIF</w:t>
      </w:r>
      <w:r>
        <w:rPr>
          <w:b/>
          <w:spacing w:val="-5"/>
          <w:w w:val="105"/>
          <w:sz w:val="23"/>
        </w:rPr>
        <w:t xml:space="preserve"> </w:t>
      </w:r>
      <w:r>
        <w:rPr>
          <w:b/>
          <w:w w:val="105"/>
          <w:sz w:val="23"/>
        </w:rPr>
        <w:t>Inner</w:t>
      </w:r>
      <w:r>
        <w:rPr>
          <w:b/>
          <w:spacing w:val="-8"/>
          <w:w w:val="105"/>
          <w:sz w:val="23"/>
        </w:rPr>
        <w:t xml:space="preserve"> </w:t>
      </w:r>
      <w:r>
        <w:rPr>
          <w:b/>
          <w:w w:val="105"/>
          <w:sz w:val="23"/>
        </w:rPr>
        <w:t>Model</w:t>
      </w:r>
      <w:r>
        <w:rPr>
          <w:b/>
          <w:spacing w:val="-11"/>
          <w:w w:val="105"/>
          <w:sz w:val="23"/>
        </w:rPr>
        <w:t xml:space="preserve"> </w:t>
      </w:r>
      <w:r>
        <w:rPr>
          <w:b/>
          <w:spacing w:val="-2"/>
          <w:w w:val="105"/>
          <w:sz w:val="23"/>
        </w:rPr>
        <w:t>S</w:t>
      </w:r>
      <w:r>
        <w:rPr>
          <w:b/>
          <w:spacing w:val="-2"/>
          <w:w w:val="105"/>
          <w:sz w:val="23"/>
        </w:rPr>
        <w:t>tatistics</w:t>
      </w:r>
    </w:p>
    <w:p w:rsidR="00487D64" w:rsidRDefault="00487D64">
      <w:pPr>
        <w:pStyle w:val="BodyText"/>
        <w:spacing w:before="3"/>
        <w:rPr>
          <w:b/>
          <w:sz w:val="11"/>
        </w:rPr>
      </w:pPr>
    </w:p>
    <w:tbl>
      <w:tblPr>
        <w:tblW w:w="0" w:type="auto"/>
        <w:tblInd w:w="1290" w:type="dxa"/>
        <w:tblLayout w:type="fixed"/>
        <w:tblCellMar>
          <w:left w:w="0" w:type="dxa"/>
          <w:right w:w="0" w:type="dxa"/>
        </w:tblCellMar>
        <w:tblLook w:val="01E0" w:firstRow="1" w:lastRow="1" w:firstColumn="1" w:lastColumn="1" w:noHBand="0" w:noVBand="0"/>
      </w:tblPr>
      <w:tblGrid>
        <w:gridCol w:w="3954"/>
        <w:gridCol w:w="4525"/>
      </w:tblGrid>
      <w:tr w:rsidR="00487D64">
        <w:trPr>
          <w:trHeight w:val="414"/>
        </w:trPr>
        <w:tc>
          <w:tcPr>
            <w:tcW w:w="3954" w:type="dxa"/>
            <w:tcBorders>
              <w:top w:val="single" w:sz="4" w:space="0" w:color="000000"/>
              <w:bottom w:val="single" w:sz="4" w:space="0" w:color="000000"/>
            </w:tcBorders>
          </w:tcPr>
          <w:p w:rsidR="00487D64" w:rsidRDefault="006F0D93">
            <w:pPr>
              <w:pStyle w:val="TableParagraph"/>
              <w:spacing w:before="14"/>
              <w:ind w:left="136"/>
              <w:rPr>
                <w:b/>
                <w:sz w:val="23"/>
              </w:rPr>
            </w:pPr>
            <w:r>
              <w:rPr>
                <w:b/>
                <w:spacing w:val="-2"/>
                <w:w w:val="105"/>
                <w:sz w:val="23"/>
              </w:rPr>
              <w:t>Construct</w:t>
            </w:r>
          </w:p>
        </w:tc>
        <w:tc>
          <w:tcPr>
            <w:tcW w:w="4525" w:type="dxa"/>
            <w:tcBorders>
              <w:top w:val="single" w:sz="4" w:space="0" w:color="000000"/>
              <w:bottom w:val="single" w:sz="4" w:space="0" w:color="000000"/>
            </w:tcBorders>
          </w:tcPr>
          <w:p w:rsidR="00487D64" w:rsidRDefault="006F0D93">
            <w:pPr>
              <w:pStyle w:val="TableParagraph"/>
              <w:spacing w:before="14"/>
              <w:ind w:right="1257"/>
              <w:jc w:val="right"/>
              <w:rPr>
                <w:b/>
                <w:sz w:val="23"/>
              </w:rPr>
            </w:pPr>
            <w:r>
              <w:rPr>
                <w:b/>
                <w:spacing w:val="-5"/>
                <w:w w:val="105"/>
                <w:sz w:val="23"/>
              </w:rPr>
              <w:t>VIF</w:t>
            </w:r>
          </w:p>
        </w:tc>
      </w:tr>
      <w:tr w:rsidR="00487D64">
        <w:trPr>
          <w:trHeight w:val="350"/>
        </w:trPr>
        <w:tc>
          <w:tcPr>
            <w:tcW w:w="3954" w:type="dxa"/>
            <w:tcBorders>
              <w:top w:val="single" w:sz="4" w:space="0" w:color="000000"/>
            </w:tcBorders>
          </w:tcPr>
          <w:p w:rsidR="00487D64" w:rsidRDefault="006F0D93">
            <w:pPr>
              <w:pStyle w:val="TableParagraph"/>
              <w:spacing w:before="14"/>
              <w:ind w:left="136"/>
              <w:rPr>
                <w:b/>
                <w:sz w:val="23"/>
              </w:rPr>
            </w:pPr>
            <w:r>
              <w:rPr>
                <w:b/>
                <w:spacing w:val="-5"/>
                <w:w w:val="105"/>
                <w:sz w:val="23"/>
              </w:rPr>
              <w:t>CO</w:t>
            </w:r>
          </w:p>
        </w:tc>
        <w:tc>
          <w:tcPr>
            <w:tcW w:w="4525" w:type="dxa"/>
            <w:tcBorders>
              <w:top w:val="single" w:sz="4" w:space="0" w:color="000000"/>
            </w:tcBorders>
          </w:tcPr>
          <w:p w:rsidR="00487D64" w:rsidRDefault="006F0D93">
            <w:pPr>
              <w:pStyle w:val="TableParagraph"/>
              <w:spacing w:before="7"/>
              <w:ind w:right="1180"/>
              <w:jc w:val="right"/>
              <w:rPr>
                <w:sz w:val="23"/>
              </w:rPr>
            </w:pPr>
            <w:r>
              <w:rPr>
                <w:spacing w:val="-2"/>
                <w:w w:val="105"/>
                <w:sz w:val="23"/>
              </w:rPr>
              <w:t>1.054</w:t>
            </w:r>
          </w:p>
        </w:tc>
      </w:tr>
      <w:tr w:rsidR="00487D64">
        <w:trPr>
          <w:trHeight w:val="414"/>
        </w:trPr>
        <w:tc>
          <w:tcPr>
            <w:tcW w:w="3954" w:type="dxa"/>
          </w:tcPr>
          <w:p w:rsidR="00487D64" w:rsidRDefault="006F0D93">
            <w:pPr>
              <w:pStyle w:val="TableParagraph"/>
              <w:spacing w:before="74"/>
              <w:ind w:left="136"/>
              <w:rPr>
                <w:b/>
                <w:sz w:val="23"/>
              </w:rPr>
            </w:pPr>
            <w:r>
              <w:rPr>
                <w:b/>
                <w:spacing w:val="-5"/>
                <w:w w:val="105"/>
                <w:sz w:val="23"/>
              </w:rPr>
              <w:t>CU</w:t>
            </w:r>
          </w:p>
        </w:tc>
        <w:tc>
          <w:tcPr>
            <w:tcW w:w="4525" w:type="dxa"/>
          </w:tcPr>
          <w:p w:rsidR="00487D64" w:rsidRDefault="006F0D93">
            <w:pPr>
              <w:pStyle w:val="TableParagraph"/>
              <w:spacing w:before="67"/>
              <w:ind w:right="1184"/>
              <w:jc w:val="right"/>
              <w:rPr>
                <w:sz w:val="23"/>
              </w:rPr>
            </w:pPr>
            <w:r>
              <w:rPr>
                <w:spacing w:val="-2"/>
                <w:w w:val="105"/>
                <w:sz w:val="23"/>
              </w:rPr>
              <w:t>1.081</w:t>
            </w:r>
          </w:p>
        </w:tc>
      </w:tr>
      <w:tr w:rsidR="00487D64">
        <w:trPr>
          <w:trHeight w:val="417"/>
        </w:trPr>
        <w:tc>
          <w:tcPr>
            <w:tcW w:w="3954" w:type="dxa"/>
          </w:tcPr>
          <w:p w:rsidR="00487D64" w:rsidRDefault="006F0D93">
            <w:pPr>
              <w:pStyle w:val="TableParagraph"/>
              <w:spacing w:before="78"/>
              <w:ind w:left="136"/>
              <w:rPr>
                <w:b/>
                <w:sz w:val="23"/>
              </w:rPr>
            </w:pPr>
            <w:r>
              <w:rPr>
                <w:b/>
                <w:spacing w:val="-5"/>
                <w:w w:val="105"/>
                <w:sz w:val="23"/>
              </w:rPr>
              <w:t>FC</w:t>
            </w:r>
          </w:p>
        </w:tc>
        <w:tc>
          <w:tcPr>
            <w:tcW w:w="4525" w:type="dxa"/>
          </w:tcPr>
          <w:p w:rsidR="00487D64" w:rsidRDefault="006F0D93">
            <w:pPr>
              <w:pStyle w:val="TableParagraph"/>
              <w:spacing w:before="70"/>
              <w:ind w:right="1184"/>
              <w:jc w:val="right"/>
              <w:rPr>
                <w:sz w:val="23"/>
              </w:rPr>
            </w:pPr>
            <w:r>
              <w:rPr>
                <w:spacing w:val="-2"/>
                <w:w w:val="105"/>
                <w:sz w:val="23"/>
              </w:rPr>
              <w:t>1.009</w:t>
            </w:r>
          </w:p>
        </w:tc>
      </w:tr>
      <w:tr w:rsidR="00487D64">
        <w:trPr>
          <w:trHeight w:val="410"/>
        </w:trPr>
        <w:tc>
          <w:tcPr>
            <w:tcW w:w="3954" w:type="dxa"/>
          </w:tcPr>
          <w:p w:rsidR="00487D64" w:rsidRDefault="006F0D93">
            <w:pPr>
              <w:pStyle w:val="TableParagraph"/>
              <w:spacing w:before="71"/>
              <w:ind w:left="136"/>
              <w:rPr>
                <w:b/>
                <w:sz w:val="23"/>
              </w:rPr>
            </w:pPr>
            <w:r>
              <w:rPr>
                <w:b/>
                <w:spacing w:val="-5"/>
                <w:w w:val="105"/>
                <w:sz w:val="23"/>
              </w:rPr>
              <w:t>SC</w:t>
            </w:r>
          </w:p>
        </w:tc>
        <w:tc>
          <w:tcPr>
            <w:tcW w:w="4525" w:type="dxa"/>
          </w:tcPr>
          <w:p w:rsidR="00487D64" w:rsidRDefault="00487D64">
            <w:pPr>
              <w:pStyle w:val="TableParagraph"/>
            </w:pPr>
          </w:p>
        </w:tc>
      </w:tr>
      <w:tr w:rsidR="00487D64">
        <w:trPr>
          <w:trHeight w:val="414"/>
        </w:trPr>
        <w:tc>
          <w:tcPr>
            <w:tcW w:w="3954" w:type="dxa"/>
          </w:tcPr>
          <w:p w:rsidR="00487D64" w:rsidRDefault="006F0D93">
            <w:pPr>
              <w:pStyle w:val="TableParagraph"/>
              <w:spacing w:before="78"/>
              <w:ind w:left="136"/>
              <w:rPr>
                <w:b/>
                <w:sz w:val="23"/>
              </w:rPr>
            </w:pPr>
            <w:r>
              <w:rPr>
                <w:b/>
                <w:spacing w:val="-5"/>
                <w:w w:val="105"/>
                <w:sz w:val="23"/>
              </w:rPr>
              <w:t>SF</w:t>
            </w:r>
          </w:p>
        </w:tc>
        <w:tc>
          <w:tcPr>
            <w:tcW w:w="4525" w:type="dxa"/>
          </w:tcPr>
          <w:p w:rsidR="00487D64" w:rsidRDefault="006F0D93">
            <w:pPr>
              <w:pStyle w:val="TableParagraph"/>
              <w:spacing w:before="70"/>
              <w:ind w:right="1184"/>
              <w:jc w:val="right"/>
              <w:rPr>
                <w:sz w:val="23"/>
              </w:rPr>
            </w:pPr>
            <w:r>
              <w:rPr>
                <w:spacing w:val="-2"/>
                <w:w w:val="105"/>
                <w:sz w:val="23"/>
              </w:rPr>
              <w:t>1.110</w:t>
            </w:r>
          </w:p>
        </w:tc>
      </w:tr>
      <w:tr w:rsidR="00487D64">
        <w:trPr>
          <w:trHeight w:val="414"/>
        </w:trPr>
        <w:tc>
          <w:tcPr>
            <w:tcW w:w="3954" w:type="dxa"/>
          </w:tcPr>
          <w:p w:rsidR="00487D64" w:rsidRDefault="006F0D93">
            <w:pPr>
              <w:pStyle w:val="TableParagraph"/>
              <w:spacing w:before="74"/>
              <w:ind w:left="136"/>
              <w:rPr>
                <w:b/>
                <w:sz w:val="23"/>
              </w:rPr>
            </w:pPr>
            <w:r>
              <w:rPr>
                <w:b/>
                <w:w w:val="105"/>
                <w:sz w:val="23"/>
              </w:rPr>
              <w:t>SF</w:t>
            </w:r>
            <w:r>
              <w:rPr>
                <w:b/>
                <w:spacing w:val="-4"/>
                <w:w w:val="105"/>
                <w:sz w:val="23"/>
              </w:rPr>
              <w:t xml:space="preserve"> </w:t>
            </w:r>
            <w:r>
              <w:rPr>
                <w:b/>
                <w:w w:val="105"/>
                <w:sz w:val="23"/>
              </w:rPr>
              <w:t>x</w:t>
            </w:r>
            <w:r>
              <w:rPr>
                <w:b/>
                <w:spacing w:val="-12"/>
                <w:w w:val="105"/>
                <w:sz w:val="23"/>
              </w:rPr>
              <w:t xml:space="preserve"> </w:t>
            </w:r>
            <w:r>
              <w:rPr>
                <w:b/>
                <w:spacing w:val="-7"/>
                <w:w w:val="105"/>
                <w:sz w:val="23"/>
              </w:rPr>
              <w:t>CO</w:t>
            </w:r>
          </w:p>
        </w:tc>
        <w:tc>
          <w:tcPr>
            <w:tcW w:w="4525" w:type="dxa"/>
          </w:tcPr>
          <w:p w:rsidR="00487D64" w:rsidRDefault="006F0D93">
            <w:pPr>
              <w:pStyle w:val="TableParagraph"/>
              <w:spacing w:before="67"/>
              <w:ind w:right="1184"/>
              <w:jc w:val="right"/>
              <w:rPr>
                <w:sz w:val="23"/>
              </w:rPr>
            </w:pPr>
            <w:r>
              <w:rPr>
                <w:spacing w:val="-2"/>
                <w:w w:val="105"/>
                <w:sz w:val="23"/>
              </w:rPr>
              <w:t>1.060</w:t>
            </w:r>
          </w:p>
        </w:tc>
      </w:tr>
      <w:tr w:rsidR="00487D64">
        <w:trPr>
          <w:trHeight w:val="414"/>
        </w:trPr>
        <w:tc>
          <w:tcPr>
            <w:tcW w:w="3954" w:type="dxa"/>
          </w:tcPr>
          <w:p w:rsidR="00487D64" w:rsidRDefault="006F0D93">
            <w:pPr>
              <w:pStyle w:val="TableParagraph"/>
              <w:spacing w:before="78"/>
              <w:ind w:left="136"/>
              <w:rPr>
                <w:b/>
                <w:sz w:val="23"/>
              </w:rPr>
            </w:pPr>
            <w:r>
              <w:rPr>
                <w:b/>
                <w:w w:val="105"/>
                <w:sz w:val="23"/>
              </w:rPr>
              <w:t>SF</w:t>
            </w:r>
            <w:r>
              <w:rPr>
                <w:b/>
                <w:spacing w:val="-4"/>
                <w:w w:val="105"/>
                <w:sz w:val="23"/>
              </w:rPr>
              <w:t xml:space="preserve"> </w:t>
            </w:r>
            <w:r>
              <w:rPr>
                <w:b/>
                <w:w w:val="105"/>
                <w:sz w:val="23"/>
              </w:rPr>
              <w:t>x</w:t>
            </w:r>
            <w:r>
              <w:rPr>
                <w:b/>
                <w:spacing w:val="-12"/>
                <w:w w:val="105"/>
                <w:sz w:val="23"/>
              </w:rPr>
              <w:t xml:space="preserve"> </w:t>
            </w:r>
            <w:r>
              <w:rPr>
                <w:b/>
                <w:spacing w:val="-5"/>
                <w:w w:val="105"/>
                <w:sz w:val="23"/>
              </w:rPr>
              <w:t>CU</w:t>
            </w:r>
          </w:p>
        </w:tc>
        <w:tc>
          <w:tcPr>
            <w:tcW w:w="4525" w:type="dxa"/>
          </w:tcPr>
          <w:p w:rsidR="00487D64" w:rsidRDefault="006F0D93">
            <w:pPr>
              <w:pStyle w:val="TableParagraph"/>
              <w:spacing w:before="71"/>
              <w:ind w:right="1184"/>
              <w:jc w:val="right"/>
              <w:rPr>
                <w:sz w:val="23"/>
              </w:rPr>
            </w:pPr>
            <w:r>
              <w:rPr>
                <w:spacing w:val="-2"/>
                <w:w w:val="105"/>
                <w:sz w:val="23"/>
              </w:rPr>
              <w:t>1.074</w:t>
            </w:r>
          </w:p>
        </w:tc>
      </w:tr>
      <w:tr w:rsidR="00487D64">
        <w:trPr>
          <w:trHeight w:val="481"/>
        </w:trPr>
        <w:tc>
          <w:tcPr>
            <w:tcW w:w="3954" w:type="dxa"/>
            <w:tcBorders>
              <w:bottom w:val="single" w:sz="4" w:space="0" w:color="000000"/>
            </w:tcBorders>
          </w:tcPr>
          <w:p w:rsidR="00487D64" w:rsidRDefault="006F0D93">
            <w:pPr>
              <w:pStyle w:val="TableParagraph"/>
              <w:spacing w:before="74"/>
              <w:ind w:left="136"/>
              <w:rPr>
                <w:b/>
                <w:sz w:val="23"/>
              </w:rPr>
            </w:pPr>
            <w:r>
              <w:rPr>
                <w:b/>
                <w:w w:val="105"/>
                <w:sz w:val="23"/>
              </w:rPr>
              <w:t>SF</w:t>
            </w:r>
            <w:r>
              <w:rPr>
                <w:b/>
                <w:spacing w:val="-4"/>
                <w:w w:val="105"/>
                <w:sz w:val="23"/>
              </w:rPr>
              <w:t xml:space="preserve"> </w:t>
            </w:r>
            <w:r>
              <w:rPr>
                <w:b/>
                <w:w w:val="105"/>
                <w:sz w:val="23"/>
              </w:rPr>
              <w:t>x</w:t>
            </w:r>
            <w:r>
              <w:rPr>
                <w:b/>
                <w:spacing w:val="-5"/>
                <w:w w:val="105"/>
                <w:sz w:val="23"/>
              </w:rPr>
              <w:t xml:space="preserve"> FC</w:t>
            </w:r>
          </w:p>
        </w:tc>
        <w:tc>
          <w:tcPr>
            <w:tcW w:w="4525" w:type="dxa"/>
            <w:tcBorders>
              <w:bottom w:val="single" w:sz="4" w:space="0" w:color="000000"/>
            </w:tcBorders>
          </w:tcPr>
          <w:p w:rsidR="00487D64" w:rsidRDefault="006F0D93">
            <w:pPr>
              <w:pStyle w:val="TableParagraph"/>
              <w:spacing w:before="67"/>
              <w:ind w:right="1184"/>
              <w:jc w:val="right"/>
              <w:rPr>
                <w:sz w:val="23"/>
              </w:rPr>
            </w:pPr>
            <w:r>
              <w:rPr>
                <w:spacing w:val="-2"/>
                <w:w w:val="105"/>
                <w:sz w:val="23"/>
              </w:rPr>
              <w:t>1.017</w:t>
            </w:r>
          </w:p>
        </w:tc>
      </w:tr>
    </w:tbl>
    <w:p w:rsidR="00487D64" w:rsidRDefault="00487D64">
      <w:pPr>
        <w:pStyle w:val="BodyText"/>
        <w:rPr>
          <w:b/>
        </w:rPr>
      </w:pPr>
    </w:p>
    <w:p w:rsidR="00487D64" w:rsidRDefault="00487D64">
      <w:pPr>
        <w:pStyle w:val="BodyText"/>
        <w:spacing w:before="79"/>
        <w:rPr>
          <w:b/>
        </w:rPr>
      </w:pPr>
    </w:p>
    <w:p w:rsidR="00487D64" w:rsidRDefault="006F0D93">
      <w:pPr>
        <w:pStyle w:val="ListParagraph"/>
        <w:numPr>
          <w:ilvl w:val="2"/>
          <w:numId w:val="9"/>
        </w:numPr>
        <w:tabs>
          <w:tab w:val="left" w:pos="2139"/>
        </w:tabs>
        <w:ind w:left="2139" w:hanging="720"/>
        <w:rPr>
          <w:b/>
          <w:sz w:val="23"/>
        </w:rPr>
      </w:pPr>
      <w:bookmarkStart w:id="168" w:name="4.6.2___Coefficient_of_Determination_(R²"/>
      <w:bookmarkStart w:id="169" w:name="_bookmark81"/>
      <w:bookmarkEnd w:id="168"/>
      <w:bookmarkEnd w:id="169"/>
      <w:r>
        <w:rPr>
          <w:b/>
          <w:sz w:val="23"/>
        </w:rPr>
        <w:t>Coefficient</w:t>
      </w:r>
      <w:r>
        <w:rPr>
          <w:b/>
          <w:spacing w:val="30"/>
          <w:sz w:val="23"/>
        </w:rPr>
        <w:t xml:space="preserve"> </w:t>
      </w:r>
      <w:r>
        <w:rPr>
          <w:b/>
          <w:sz w:val="23"/>
        </w:rPr>
        <w:t>of</w:t>
      </w:r>
      <w:r>
        <w:rPr>
          <w:b/>
          <w:spacing w:val="34"/>
          <w:sz w:val="23"/>
        </w:rPr>
        <w:t xml:space="preserve"> </w:t>
      </w:r>
      <w:r>
        <w:rPr>
          <w:b/>
          <w:sz w:val="23"/>
        </w:rPr>
        <w:t>Determination</w:t>
      </w:r>
      <w:r>
        <w:rPr>
          <w:b/>
          <w:spacing w:val="36"/>
          <w:sz w:val="23"/>
        </w:rPr>
        <w:t xml:space="preserve"> </w:t>
      </w:r>
      <w:r>
        <w:rPr>
          <w:b/>
          <w:spacing w:val="-4"/>
          <w:sz w:val="23"/>
        </w:rPr>
        <w:t>(R²)</w:t>
      </w:r>
    </w:p>
    <w:p w:rsidR="00487D64" w:rsidRDefault="00487D64">
      <w:pPr>
        <w:pStyle w:val="BodyText"/>
        <w:spacing w:before="18"/>
        <w:rPr>
          <w:b/>
        </w:rPr>
      </w:pPr>
    </w:p>
    <w:p w:rsidR="00487D64" w:rsidRDefault="006F0D93">
      <w:pPr>
        <w:pStyle w:val="BodyText"/>
        <w:spacing w:line="501" w:lineRule="auto"/>
        <w:ind w:left="1419" w:right="845"/>
        <w:jc w:val="both"/>
      </w:pPr>
      <w:r>
        <w:rPr>
          <w:w w:val="105"/>
        </w:rPr>
        <w:t>Findings exhibited that the present study employed the PLS-SEM approach, the results indicated that the</w:t>
      </w:r>
      <w:r>
        <w:rPr>
          <w:w w:val="105"/>
        </w:rPr>
        <w:t xml:space="preserve"> model explained 56.5 % of the variance in Sustainable Competitiveness, yielding an R² value of 0.565. According to Chin’s classification, this</w:t>
      </w:r>
      <w:r>
        <w:rPr>
          <w:spacing w:val="-1"/>
          <w:w w:val="105"/>
        </w:rPr>
        <w:t xml:space="preserve"> </w:t>
      </w:r>
      <w:r>
        <w:rPr>
          <w:w w:val="105"/>
        </w:rPr>
        <w:t>reflects</w:t>
      </w:r>
      <w:r>
        <w:rPr>
          <w:spacing w:val="-1"/>
          <w:w w:val="105"/>
        </w:rPr>
        <w:t xml:space="preserve"> </w:t>
      </w:r>
      <w:r>
        <w:rPr>
          <w:w w:val="105"/>
        </w:rPr>
        <w:t>a moderate to substantial level of</w:t>
      </w:r>
      <w:r>
        <w:rPr>
          <w:spacing w:val="-2"/>
          <w:w w:val="105"/>
        </w:rPr>
        <w:t xml:space="preserve"> </w:t>
      </w:r>
      <w:r>
        <w:rPr>
          <w:w w:val="105"/>
        </w:rPr>
        <w:t>explanatory power for the endogenous construct. The</w:t>
      </w:r>
      <w:r>
        <w:rPr>
          <w:spacing w:val="-1"/>
          <w:w w:val="105"/>
        </w:rPr>
        <w:t xml:space="preserve"> </w:t>
      </w:r>
      <w:r>
        <w:rPr>
          <w:w w:val="105"/>
        </w:rPr>
        <w:t>R² values for the endogenous constructs</w:t>
      </w:r>
      <w:r>
        <w:rPr>
          <w:spacing w:val="-2"/>
          <w:w w:val="105"/>
        </w:rPr>
        <w:t xml:space="preserve"> </w:t>
      </w:r>
      <w:r>
        <w:rPr>
          <w:w w:val="105"/>
        </w:rPr>
        <w:t>are presented in Table</w:t>
      </w:r>
      <w:r>
        <w:rPr>
          <w:spacing w:val="-1"/>
          <w:w w:val="105"/>
        </w:rPr>
        <w:t xml:space="preserve"> </w:t>
      </w:r>
      <w:r>
        <w:rPr>
          <w:w w:val="105"/>
        </w:rPr>
        <w:t>4.14.</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57"/>
      </w:pPr>
    </w:p>
    <w:p w:rsidR="00487D64" w:rsidRDefault="006F0D93">
      <w:pPr>
        <w:ind w:left="1419"/>
        <w:jc w:val="both"/>
        <w:rPr>
          <w:b/>
          <w:sz w:val="23"/>
        </w:rPr>
      </w:pPr>
      <w:r>
        <w:rPr>
          <w:b/>
          <w:w w:val="105"/>
          <w:sz w:val="23"/>
        </w:rPr>
        <w:t>Table</w:t>
      </w:r>
      <w:r>
        <w:rPr>
          <w:b/>
          <w:spacing w:val="-11"/>
          <w:w w:val="105"/>
          <w:sz w:val="23"/>
        </w:rPr>
        <w:t xml:space="preserve"> </w:t>
      </w:r>
      <w:r>
        <w:rPr>
          <w:b/>
          <w:w w:val="105"/>
          <w:sz w:val="23"/>
        </w:rPr>
        <w:t>4.</w:t>
      </w:r>
      <w:r>
        <w:rPr>
          <w:b/>
          <w:spacing w:val="-13"/>
          <w:w w:val="105"/>
          <w:sz w:val="23"/>
        </w:rPr>
        <w:t xml:space="preserve"> </w:t>
      </w:r>
      <w:r>
        <w:rPr>
          <w:b/>
          <w:w w:val="105"/>
          <w:sz w:val="23"/>
        </w:rPr>
        <w:t>14:</w:t>
      </w:r>
      <w:r>
        <w:rPr>
          <w:b/>
          <w:spacing w:val="-7"/>
          <w:w w:val="105"/>
          <w:sz w:val="23"/>
        </w:rPr>
        <w:t xml:space="preserve"> </w:t>
      </w:r>
      <w:r>
        <w:rPr>
          <w:b/>
          <w:w w:val="105"/>
          <w:sz w:val="23"/>
        </w:rPr>
        <w:t>Variance</w:t>
      </w:r>
      <w:r>
        <w:rPr>
          <w:b/>
          <w:spacing w:val="-9"/>
          <w:w w:val="105"/>
          <w:sz w:val="23"/>
        </w:rPr>
        <w:t xml:space="preserve"> </w:t>
      </w:r>
      <w:r>
        <w:rPr>
          <w:b/>
          <w:w w:val="105"/>
          <w:sz w:val="23"/>
        </w:rPr>
        <w:t>Explained</w:t>
      </w:r>
      <w:r>
        <w:rPr>
          <w:b/>
          <w:spacing w:val="-9"/>
          <w:w w:val="105"/>
          <w:sz w:val="23"/>
        </w:rPr>
        <w:t xml:space="preserve"> </w:t>
      </w:r>
      <w:r>
        <w:rPr>
          <w:b/>
          <w:w w:val="105"/>
          <w:sz w:val="23"/>
        </w:rPr>
        <w:t>in</w:t>
      </w:r>
      <w:r>
        <w:rPr>
          <w:b/>
          <w:spacing w:val="-9"/>
          <w:w w:val="105"/>
          <w:sz w:val="23"/>
        </w:rPr>
        <w:t xml:space="preserve"> </w:t>
      </w:r>
      <w:r>
        <w:rPr>
          <w:b/>
          <w:w w:val="105"/>
          <w:sz w:val="23"/>
        </w:rPr>
        <w:t>the</w:t>
      </w:r>
      <w:r>
        <w:rPr>
          <w:b/>
          <w:spacing w:val="-3"/>
          <w:w w:val="105"/>
          <w:sz w:val="23"/>
        </w:rPr>
        <w:t xml:space="preserve"> </w:t>
      </w:r>
      <w:r>
        <w:rPr>
          <w:b/>
          <w:w w:val="105"/>
          <w:sz w:val="23"/>
        </w:rPr>
        <w:t>Endogenous</w:t>
      </w:r>
      <w:r>
        <w:rPr>
          <w:b/>
          <w:spacing w:val="-12"/>
          <w:w w:val="105"/>
          <w:sz w:val="23"/>
        </w:rPr>
        <w:t xml:space="preserve"> </w:t>
      </w:r>
      <w:r>
        <w:rPr>
          <w:b/>
          <w:spacing w:val="-2"/>
          <w:w w:val="105"/>
          <w:sz w:val="23"/>
        </w:rPr>
        <w:t>Construct</w:t>
      </w:r>
    </w:p>
    <w:p w:rsidR="00487D64" w:rsidRDefault="00487D64">
      <w:pPr>
        <w:pStyle w:val="BodyText"/>
        <w:rPr>
          <w:b/>
          <w:sz w:val="12"/>
        </w:rPr>
      </w:pPr>
    </w:p>
    <w:tbl>
      <w:tblPr>
        <w:tblW w:w="0" w:type="auto"/>
        <w:tblInd w:w="1297" w:type="dxa"/>
        <w:tblLayout w:type="fixed"/>
        <w:tblCellMar>
          <w:left w:w="0" w:type="dxa"/>
          <w:right w:w="0" w:type="dxa"/>
        </w:tblCellMar>
        <w:tblLook w:val="01E0" w:firstRow="1" w:lastRow="1" w:firstColumn="1" w:lastColumn="1" w:noHBand="0" w:noVBand="0"/>
      </w:tblPr>
      <w:tblGrid>
        <w:gridCol w:w="3873"/>
        <w:gridCol w:w="4600"/>
      </w:tblGrid>
      <w:tr w:rsidR="00487D64">
        <w:trPr>
          <w:trHeight w:val="746"/>
        </w:trPr>
        <w:tc>
          <w:tcPr>
            <w:tcW w:w="3873" w:type="dxa"/>
            <w:tcBorders>
              <w:top w:val="single" w:sz="4" w:space="0" w:color="000000"/>
              <w:bottom w:val="single" w:sz="4" w:space="0" w:color="000000"/>
            </w:tcBorders>
          </w:tcPr>
          <w:p w:rsidR="00487D64" w:rsidRDefault="006F0D93">
            <w:pPr>
              <w:pStyle w:val="TableParagraph"/>
              <w:spacing w:before="115"/>
              <w:ind w:left="129"/>
              <w:rPr>
                <w:b/>
                <w:sz w:val="23"/>
              </w:rPr>
            </w:pPr>
            <w:r>
              <w:rPr>
                <w:b/>
                <w:w w:val="105"/>
                <w:sz w:val="23"/>
              </w:rPr>
              <w:t>Latent</w:t>
            </w:r>
            <w:r>
              <w:rPr>
                <w:b/>
                <w:spacing w:val="-13"/>
                <w:w w:val="105"/>
                <w:sz w:val="23"/>
              </w:rPr>
              <w:t xml:space="preserve"> </w:t>
            </w:r>
            <w:r>
              <w:rPr>
                <w:b/>
                <w:spacing w:val="-2"/>
                <w:w w:val="105"/>
                <w:sz w:val="23"/>
              </w:rPr>
              <w:t>explained</w:t>
            </w:r>
          </w:p>
        </w:tc>
        <w:tc>
          <w:tcPr>
            <w:tcW w:w="4600" w:type="dxa"/>
            <w:tcBorders>
              <w:top w:val="single" w:sz="4" w:space="0" w:color="000000"/>
              <w:bottom w:val="single" w:sz="4" w:space="0" w:color="000000"/>
            </w:tcBorders>
          </w:tcPr>
          <w:p w:rsidR="00487D64" w:rsidRDefault="006F0D93">
            <w:pPr>
              <w:pStyle w:val="TableParagraph"/>
              <w:spacing w:before="115"/>
              <w:ind w:right="31"/>
              <w:jc w:val="center"/>
              <w:rPr>
                <w:b/>
                <w:sz w:val="23"/>
              </w:rPr>
            </w:pPr>
            <w:r>
              <w:rPr>
                <w:b/>
                <w:sz w:val="23"/>
              </w:rPr>
              <w:t>Variance</w:t>
            </w:r>
            <w:r>
              <w:rPr>
                <w:b/>
                <w:spacing w:val="30"/>
                <w:sz w:val="23"/>
              </w:rPr>
              <w:t xml:space="preserve"> </w:t>
            </w:r>
            <w:r>
              <w:rPr>
                <w:b/>
                <w:sz w:val="23"/>
              </w:rPr>
              <w:t>Explained</w:t>
            </w:r>
            <w:r>
              <w:rPr>
                <w:b/>
                <w:spacing w:val="34"/>
                <w:sz w:val="23"/>
              </w:rPr>
              <w:t xml:space="preserve"> </w:t>
            </w:r>
            <w:r>
              <w:rPr>
                <w:b/>
                <w:spacing w:val="-4"/>
                <w:sz w:val="23"/>
              </w:rPr>
              <w:t>(R</w:t>
            </w:r>
            <w:r>
              <w:rPr>
                <w:b/>
                <w:spacing w:val="-4"/>
                <w:sz w:val="23"/>
                <w:vertAlign w:val="superscript"/>
              </w:rPr>
              <w:t>2</w:t>
            </w:r>
            <w:r>
              <w:rPr>
                <w:b/>
                <w:spacing w:val="-4"/>
                <w:sz w:val="23"/>
              </w:rPr>
              <w:t>)</w:t>
            </w:r>
          </w:p>
        </w:tc>
      </w:tr>
      <w:tr w:rsidR="00487D64">
        <w:trPr>
          <w:trHeight w:val="774"/>
        </w:trPr>
        <w:tc>
          <w:tcPr>
            <w:tcW w:w="3873" w:type="dxa"/>
            <w:tcBorders>
              <w:top w:val="single" w:sz="4" w:space="0" w:color="000000"/>
              <w:bottom w:val="single" w:sz="4" w:space="0" w:color="000000"/>
            </w:tcBorders>
          </w:tcPr>
          <w:p w:rsidR="00487D64" w:rsidRDefault="006F0D93">
            <w:pPr>
              <w:pStyle w:val="TableParagraph"/>
              <w:spacing w:before="122"/>
              <w:ind w:left="129"/>
              <w:rPr>
                <w:sz w:val="23"/>
              </w:rPr>
            </w:pPr>
            <w:r>
              <w:rPr>
                <w:sz w:val="23"/>
              </w:rPr>
              <w:t>Sustainable</w:t>
            </w:r>
            <w:r>
              <w:rPr>
                <w:spacing w:val="38"/>
                <w:sz w:val="23"/>
              </w:rPr>
              <w:t xml:space="preserve"> </w:t>
            </w:r>
            <w:r>
              <w:rPr>
                <w:spacing w:val="-2"/>
                <w:sz w:val="23"/>
              </w:rPr>
              <w:t>competitiveness</w:t>
            </w:r>
          </w:p>
        </w:tc>
        <w:tc>
          <w:tcPr>
            <w:tcW w:w="4600" w:type="dxa"/>
            <w:tcBorders>
              <w:top w:val="single" w:sz="4" w:space="0" w:color="000000"/>
              <w:bottom w:val="single" w:sz="4" w:space="0" w:color="000000"/>
            </w:tcBorders>
          </w:tcPr>
          <w:p w:rsidR="00487D64" w:rsidRDefault="006F0D93">
            <w:pPr>
              <w:pStyle w:val="TableParagraph"/>
              <w:spacing w:before="122"/>
              <w:ind w:left="10" w:right="31"/>
              <w:jc w:val="center"/>
              <w:rPr>
                <w:sz w:val="23"/>
              </w:rPr>
            </w:pPr>
            <w:r>
              <w:rPr>
                <w:spacing w:val="-4"/>
                <w:w w:val="105"/>
                <w:sz w:val="23"/>
              </w:rPr>
              <w:t>56.5%</w:t>
            </w:r>
          </w:p>
        </w:tc>
      </w:tr>
    </w:tbl>
    <w:p w:rsidR="00487D64" w:rsidRDefault="00487D64">
      <w:pPr>
        <w:pStyle w:val="BodyText"/>
        <w:rPr>
          <w:b/>
        </w:rPr>
      </w:pPr>
    </w:p>
    <w:p w:rsidR="00487D64" w:rsidRDefault="00487D64">
      <w:pPr>
        <w:pStyle w:val="BodyText"/>
        <w:rPr>
          <w:b/>
        </w:rPr>
      </w:pPr>
    </w:p>
    <w:p w:rsidR="00487D64" w:rsidRDefault="00487D64">
      <w:pPr>
        <w:pStyle w:val="BodyText"/>
        <w:spacing w:before="49"/>
        <w:rPr>
          <w:b/>
        </w:rPr>
      </w:pPr>
    </w:p>
    <w:p w:rsidR="00487D64" w:rsidRDefault="006F0D93">
      <w:pPr>
        <w:pStyle w:val="ListParagraph"/>
        <w:numPr>
          <w:ilvl w:val="2"/>
          <w:numId w:val="9"/>
        </w:numPr>
        <w:tabs>
          <w:tab w:val="left" w:pos="2183"/>
        </w:tabs>
        <w:ind w:left="2183" w:hanging="764"/>
        <w:rPr>
          <w:b/>
          <w:sz w:val="23"/>
        </w:rPr>
      </w:pPr>
      <w:bookmarkStart w:id="170" w:name="4.6.3__Assessment_of_Effect_Size_of_Coef"/>
      <w:bookmarkStart w:id="171" w:name="_bookmark82"/>
      <w:bookmarkEnd w:id="170"/>
      <w:bookmarkEnd w:id="171"/>
      <w:r>
        <w:rPr>
          <w:b/>
          <w:w w:val="105"/>
          <w:sz w:val="23"/>
        </w:rPr>
        <w:t>Assessment</w:t>
      </w:r>
      <w:r>
        <w:rPr>
          <w:b/>
          <w:spacing w:val="-7"/>
          <w:w w:val="105"/>
          <w:sz w:val="23"/>
        </w:rPr>
        <w:t xml:space="preserve"> </w:t>
      </w:r>
      <w:r>
        <w:rPr>
          <w:b/>
          <w:w w:val="105"/>
          <w:sz w:val="23"/>
        </w:rPr>
        <w:t>of</w:t>
      </w:r>
      <w:r>
        <w:rPr>
          <w:b/>
          <w:spacing w:val="-13"/>
          <w:w w:val="105"/>
          <w:sz w:val="23"/>
        </w:rPr>
        <w:t xml:space="preserve"> </w:t>
      </w:r>
      <w:r>
        <w:rPr>
          <w:b/>
          <w:w w:val="105"/>
          <w:sz w:val="23"/>
        </w:rPr>
        <w:t>Effect</w:t>
      </w:r>
      <w:r>
        <w:rPr>
          <w:b/>
          <w:spacing w:val="-7"/>
          <w:w w:val="105"/>
          <w:sz w:val="23"/>
        </w:rPr>
        <w:t xml:space="preserve"> </w:t>
      </w:r>
      <w:r>
        <w:rPr>
          <w:b/>
          <w:w w:val="105"/>
          <w:sz w:val="23"/>
        </w:rPr>
        <w:t>Size</w:t>
      </w:r>
      <w:r>
        <w:rPr>
          <w:b/>
          <w:spacing w:val="-11"/>
          <w:w w:val="105"/>
          <w:sz w:val="23"/>
        </w:rPr>
        <w:t xml:space="preserve"> </w:t>
      </w:r>
      <w:r>
        <w:rPr>
          <w:b/>
          <w:w w:val="105"/>
          <w:sz w:val="23"/>
        </w:rPr>
        <w:t>of</w:t>
      </w:r>
      <w:r>
        <w:rPr>
          <w:b/>
          <w:spacing w:val="-13"/>
          <w:w w:val="105"/>
          <w:sz w:val="23"/>
        </w:rPr>
        <w:t xml:space="preserve"> </w:t>
      </w:r>
      <w:r>
        <w:rPr>
          <w:b/>
          <w:w w:val="105"/>
          <w:sz w:val="23"/>
        </w:rPr>
        <w:t>Coefficient</w:t>
      </w:r>
      <w:r>
        <w:rPr>
          <w:b/>
          <w:spacing w:val="-7"/>
          <w:w w:val="105"/>
          <w:sz w:val="23"/>
        </w:rPr>
        <w:t xml:space="preserve"> </w:t>
      </w:r>
      <w:r>
        <w:rPr>
          <w:b/>
          <w:w w:val="105"/>
          <w:sz w:val="23"/>
        </w:rPr>
        <w:t>of</w:t>
      </w:r>
      <w:r>
        <w:rPr>
          <w:b/>
          <w:spacing w:val="-13"/>
          <w:w w:val="105"/>
          <w:sz w:val="23"/>
        </w:rPr>
        <w:t xml:space="preserve"> </w:t>
      </w:r>
      <w:r>
        <w:rPr>
          <w:b/>
          <w:w w:val="105"/>
          <w:sz w:val="23"/>
        </w:rPr>
        <w:t>Determination</w:t>
      </w:r>
      <w:r>
        <w:rPr>
          <w:b/>
          <w:spacing w:val="-9"/>
          <w:w w:val="105"/>
          <w:sz w:val="23"/>
        </w:rPr>
        <w:t xml:space="preserve"> </w:t>
      </w:r>
      <w:r>
        <w:rPr>
          <w:b/>
          <w:spacing w:val="-4"/>
          <w:w w:val="105"/>
          <w:sz w:val="23"/>
        </w:rPr>
        <w:t>(f</w:t>
      </w:r>
      <w:r>
        <w:rPr>
          <w:b/>
          <w:spacing w:val="-4"/>
          <w:w w:val="105"/>
          <w:sz w:val="23"/>
          <w:vertAlign w:val="superscript"/>
        </w:rPr>
        <w:t>2</w:t>
      </w:r>
      <w:r>
        <w:rPr>
          <w:b/>
          <w:spacing w:val="-4"/>
          <w:w w:val="105"/>
          <w:sz w:val="23"/>
        </w:rPr>
        <w:t>)</w:t>
      </w:r>
    </w:p>
    <w:p w:rsidR="00487D64" w:rsidRDefault="00487D64">
      <w:pPr>
        <w:pStyle w:val="BodyText"/>
        <w:spacing w:before="18"/>
        <w:rPr>
          <w:b/>
        </w:rPr>
      </w:pPr>
    </w:p>
    <w:p w:rsidR="00487D64" w:rsidRDefault="006F0D93">
      <w:pPr>
        <w:pStyle w:val="BodyText"/>
        <w:spacing w:before="1" w:line="501" w:lineRule="auto"/>
        <w:ind w:left="1419" w:right="853"/>
        <w:jc w:val="both"/>
      </w:pPr>
      <w:r>
        <w:rPr>
          <w:w w:val="105"/>
        </w:rPr>
        <w:t>The findings revealed that Strategic Flexibility (SF) exerted the strongest influence on Sustainable Competitiveness, with an f² value of 0.571</w:t>
      </w:r>
      <w:r>
        <w:rPr>
          <w:b/>
          <w:w w:val="105"/>
        </w:rPr>
        <w:t xml:space="preserve">, </w:t>
      </w:r>
      <w:r>
        <w:rPr>
          <w:w w:val="105"/>
        </w:rPr>
        <w:t>signifying a large effect</w:t>
      </w:r>
      <w:r>
        <w:rPr>
          <w:b/>
          <w:w w:val="105"/>
        </w:rPr>
        <w:t xml:space="preserve">. </w:t>
      </w:r>
      <w:r>
        <w:rPr>
          <w:w w:val="105"/>
        </w:rPr>
        <w:t>This underscores the pivotal role of</w:t>
      </w:r>
      <w:r>
        <w:rPr>
          <w:w w:val="105"/>
        </w:rPr>
        <w:t xml:space="preserve"> Strategic Flexibility in shaping sustainable outcomes for special group SMEs in the context of public procurement. The result suggests</w:t>
      </w:r>
      <w:r>
        <w:rPr>
          <w:spacing w:val="-6"/>
          <w:w w:val="105"/>
        </w:rPr>
        <w:t xml:space="preserve"> </w:t>
      </w:r>
      <w:r>
        <w:rPr>
          <w:w w:val="105"/>
        </w:rPr>
        <w:t>that</w:t>
      </w:r>
      <w:r>
        <w:rPr>
          <w:spacing w:val="-3"/>
          <w:w w:val="105"/>
        </w:rPr>
        <w:t xml:space="preserve"> </w:t>
      </w:r>
      <w:r>
        <w:rPr>
          <w:w w:val="105"/>
        </w:rPr>
        <w:t>the</w:t>
      </w:r>
      <w:r>
        <w:rPr>
          <w:spacing w:val="-5"/>
          <w:w w:val="105"/>
        </w:rPr>
        <w:t xml:space="preserve"> </w:t>
      </w:r>
      <w:r>
        <w:rPr>
          <w:w w:val="105"/>
        </w:rPr>
        <w:t>adaptability</w:t>
      </w:r>
      <w:r>
        <w:rPr>
          <w:spacing w:val="-5"/>
          <w:w w:val="105"/>
        </w:rPr>
        <w:t xml:space="preserve"> </w:t>
      </w:r>
      <w:r>
        <w:rPr>
          <w:w w:val="105"/>
        </w:rPr>
        <w:t>of</w:t>
      </w:r>
      <w:r>
        <w:rPr>
          <w:spacing w:val="-1"/>
          <w:w w:val="105"/>
        </w:rPr>
        <w:t xml:space="preserve"> </w:t>
      </w:r>
      <w:r>
        <w:rPr>
          <w:w w:val="105"/>
        </w:rPr>
        <w:t>firms</w:t>
      </w:r>
      <w:r>
        <w:rPr>
          <w:spacing w:val="-6"/>
          <w:w w:val="105"/>
        </w:rPr>
        <w:t xml:space="preserve"> </w:t>
      </w:r>
      <w:r>
        <w:rPr>
          <w:w w:val="105"/>
        </w:rPr>
        <w:t>to</w:t>
      </w:r>
      <w:r>
        <w:rPr>
          <w:spacing w:val="-5"/>
          <w:w w:val="105"/>
        </w:rPr>
        <w:t xml:space="preserve"> </w:t>
      </w:r>
      <w:r>
        <w:rPr>
          <w:w w:val="105"/>
        </w:rPr>
        <w:t>respond</w:t>
      </w:r>
      <w:r>
        <w:rPr>
          <w:spacing w:val="-5"/>
          <w:w w:val="105"/>
        </w:rPr>
        <w:t xml:space="preserve"> </w:t>
      </w:r>
      <w:r>
        <w:rPr>
          <w:w w:val="105"/>
        </w:rPr>
        <w:t>to</w:t>
      </w:r>
      <w:r>
        <w:rPr>
          <w:spacing w:val="-5"/>
          <w:w w:val="105"/>
        </w:rPr>
        <w:t xml:space="preserve"> </w:t>
      </w:r>
      <w:r>
        <w:rPr>
          <w:w w:val="105"/>
        </w:rPr>
        <w:t>market changes</w:t>
      </w:r>
      <w:r>
        <w:rPr>
          <w:spacing w:val="-6"/>
          <w:w w:val="105"/>
        </w:rPr>
        <w:t xml:space="preserve"> </w:t>
      </w:r>
      <w:r>
        <w:rPr>
          <w:w w:val="105"/>
        </w:rPr>
        <w:t>and</w:t>
      </w:r>
      <w:r>
        <w:rPr>
          <w:spacing w:val="-5"/>
          <w:w w:val="105"/>
        </w:rPr>
        <w:t xml:space="preserve"> </w:t>
      </w:r>
      <w:r>
        <w:rPr>
          <w:w w:val="105"/>
        </w:rPr>
        <w:t>uncertainties significantly contributes to their sustained competitive position.</w:t>
      </w:r>
    </w:p>
    <w:p w:rsidR="00487D64" w:rsidRDefault="006F0D93">
      <w:pPr>
        <w:pStyle w:val="BodyText"/>
        <w:spacing w:before="234" w:line="501" w:lineRule="auto"/>
        <w:ind w:left="1419" w:right="852"/>
        <w:jc w:val="both"/>
      </w:pPr>
      <w:r>
        <w:rPr>
          <w:w w:val="105"/>
        </w:rPr>
        <w:t>Competitor</w:t>
      </w:r>
      <w:r>
        <w:rPr>
          <w:spacing w:val="-5"/>
          <w:w w:val="105"/>
        </w:rPr>
        <w:t xml:space="preserve"> </w:t>
      </w:r>
      <w:r>
        <w:rPr>
          <w:w w:val="105"/>
        </w:rPr>
        <w:t>Orientation</w:t>
      </w:r>
      <w:r>
        <w:rPr>
          <w:spacing w:val="-9"/>
          <w:w w:val="105"/>
        </w:rPr>
        <w:t xml:space="preserve"> </w:t>
      </w:r>
      <w:r>
        <w:rPr>
          <w:w w:val="105"/>
        </w:rPr>
        <w:t>(CO) demonstrated</w:t>
      </w:r>
      <w:r>
        <w:rPr>
          <w:spacing w:val="-9"/>
          <w:w w:val="105"/>
        </w:rPr>
        <w:t xml:space="preserve"> </w:t>
      </w:r>
      <w:r>
        <w:rPr>
          <w:w w:val="105"/>
        </w:rPr>
        <w:t>a</w:t>
      </w:r>
      <w:r>
        <w:rPr>
          <w:spacing w:val="-2"/>
          <w:w w:val="105"/>
        </w:rPr>
        <w:t xml:space="preserve"> </w:t>
      </w:r>
      <w:r>
        <w:rPr>
          <w:w w:val="105"/>
        </w:rPr>
        <w:t>small</w:t>
      </w:r>
      <w:r>
        <w:rPr>
          <w:spacing w:val="-5"/>
          <w:w w:val="105"/>
        </w:rPr>
        <w:t xml:space="preserve"> </w:t>
      </w:r>
      <w:r>
        <w:rPr>
          <w:w w:val="105"/>
        </w:rPr>
        <w:t>to</w:t>
      </w:r>
      <w:r>
        <w:rPr>
          <w:spacing w:val="-3"/>
          <w:w w:val="105"/>
        </w:rPr>
        <w:t xml:space="preserve"> </w:t>
      </w:r>
      <w:r>
        <w:rPr>
          <w:w w:val="105"/>
        </w:rPr>
        <w:t>moderate</w:t>
      </w:r>
      <w:r>
        <w:rPr>
          <w:spacing w:val="-10"/>
          <w:w w:val="105"/>
        </w:rPr>
        <w:t xml:space="preserve"> </w:t>
      </w:r>
      <w:r>
        <w:rPr>
          <w:w w:val="105"/>
        </w:rPr>
        <w:t>effect on</w:t>
      </w:r>
      <w:r>
        <w:rPr>
          <w:spacing w:val="-9"/>
          <w:w w:val="105"/>
        </w:rPr>
        <w:t xml:space="preserve"> </w:t>
      </w:r>
      <w:r>
        <w:rPr>
          <w:w w:val="105"/>
        </w:rPr>
        <w:t>Sustainable Competitiveness, with an f² value of 0.146</w:t>
      </w:r>
      <w:r>
        <w:rPr>
          <w:b/>
          <w:w w:val="105"/>
        </w:rPr>
        <w:t xml:space="preserve">, </w:t>
      </w:r>
      <w:r>
        <w:rPr>
          <w:w w:val="105"/>
        </w:rPr>
        <w:t>closely approaching the medium threshold. This i</w:t>
      </w:r>
      <w:r>
        <w:rPr>
          <w:w w:val="105"/>
        </w:rPr>
        <w:t xml:space="preserve">ndicates that firms' ability to understand and respond to customer needs plays an important, although not dominant, role in achieving sustainable competitiveness. Similarly, Customer Orientation (CU) had a small effect </w:t>
      </w:r>
      <w:r>
        <w:rPr>
          <w:b/>
          <w:w w:val="105"/>
        </w:rPr>
        <w:t>(</w:t>
      </w:r>
      <w:r>
        <w:rPr>
          <w:w w:val="105"/>
        </w:rPr>
        <w:t xml:space="preserve">f² </w:t>
      </w:r>
      <w:r>
        <w:rPr>
          <w:b/>
          <w:w w:val="105"/>
        </w:rPr>
        <w:t xml:space="preserve">= </w:t>
      </w:r>
      <w:r>
        <w:rPr>
          <w:w w:val="105"/>
        </w:rPr>
        <w:t>0.090</w:t>
      </w:r>
      <w:r>
        <w:rPr>
          <w:b/>
          <w:w w:val="105"/>
        </w:rPr>
        <w:t xml:space="preserve">), </w:t>
      </w:r>
      <w:r>
        <w:rPr>
          <w:w w:val="105"/>
        </w:rPr>
        <w:t>reflecting a modest yet</w:t>
      </w:r>
      <w:r>
        <w:rPr>
          <w:w w:val="105"/>
        </w:rPr>
        <w:t xml:space="preserve"> relevant contribution of competitive awareness and responsiveness to sustainable outcomes.</w:t>
      </w:r>
    </w:p>
    <w:p w:rsidR="00487D64" w:rsidRDefault="006F0D93">
      <w:pPr>
        <w:pStyle w:val="BodyText"/>
        <w:spacing w:before="237" w:line="504" w:lineRule="auto"/>
        <w:ind w:left="1419" w:right="844"/>
        <w:jc w:val="both"/>
      </w:pPr>
      <w:r>
        <w:rPr>
          <w:w w:val="105"/>
        </w:rPr>
        <w:t>In</w:t>
      </w:r>
      <w:r>
        <w:rPr>
          <w:spacing w:val="-7"/>
          <w:w w:val="105"/>
        </w:rPr>
        <w:t xml:space="preserve"> </w:t>
      </w:r>
      <w:r>
        <w:rPr>
          <w:w w:val="105"/>
        </w:rPr>
        <w:t>contrast, Functional</w:t>
      </w:r>
      <w:r>
        <w:rPr>
          <w:spacing w:val="-5"/>
          <w:w w:val="105"/>
        </w:rPr>
        <w:t xml:space="preserve"> </w:t>
      </w:r>
      <w:r>
        <w:rPr>
          <w:w w:val="105"/>
        </w:rPr>
        <w:t>Coordination</w:t>
      </w:r>
      <w:r>
        <w:rPr>
          <w:spacing w:val="-3"/>
          <w:w w:val="105"/>
        </w:rPr>
        <w:t xml:space="preserve"> </w:t>
      </w:r>
      <w:r>
        <w:rPr>
          <w:w w:val="105"/>
        </w:rPr>
        <w:t>(FC) showed</w:t>
      </w:r>
      <w:r>
        <w:rPr>
          <w:spacing w:val="-13"/>
          <w:w w:val="105"/>
        </w:rPr>
        <w:t xml:space="preserve"> </w:t>
      </w:r>
      <w:r>
        <w:rPr>
          <w:w w:val="105"/>
        </w:rPr>
        <w:t>an</w:t>
      </w:r>
      <w:r>
        <w:rPr>
          <w:spacing w:val="-1"/>
          <w:w w:val="105"/>
        </w:rPr>
        <w:t xml:space="preserve"> </w:t>
      </w:r>
      <w:r>
        <w:rPr>
          <w:w w:val="105"/>
        </w:rPr>
        <w:t>f²</w:t>
      </w:r>
      <w:r>
        <w:rPr>
          <w:spacing w:val="-3"/>
          <w:w w:val="105"/>
        </w:rPr>
        <w:t xml:space="preserve"> </w:t>
      </w:r>
      <w:r>
        <w:rPr>
          <w:w w:val="105"/>
        </w:rPr>
        <w:t>value</w:t>
      </w:r>
      <w:r>
        <w:rPr>
          <w:spacing w:val="-8"/>
          <w:w w:val="105"/>
        </w:rPr>
        <w:t xml:space="preserve"> </w:t>
      </w:r>
      <w:r>
        <w:rPr>
          <w:w w:val="105"/>
        </w:rPr>
        <w:t>of</w:t>
      </w:r>
      <w:r>
        <w:rPr>
          <w:spacing w:val="-6"/>
          <w:w w:val="105"/>
        </w:rPr>
        <w:t xml:space="preserve"> </w:t>
      </w:r>
      <w:r>
        <w:rPr>
          <w:w w:val="105"/>
        </w:rPr>
        <w:t>0.009,</w:t>
      </w:r>
      <w:r>
        <w:rPr>
          <w:spacing w:val="-5"/>
          <w:w w:val="105"/>
        </w:rPr>
        <w:t xml:space="preserve"> </w:t>
      </w:r>
      <w:r>
        <w:rPr>
          <w:w w:val="105"/>
        </w:rPr>
        <w:t>suggesting</w:t>
      </w:r>
      <w:r>
        <w:rPr>
          <w:spacing w:val="-4"/>
          <w:w w:val="105"/>
        </w:rPr>
        <w:t xml:space="preserve"> </w:t>
      </w:r>
      <w:r>
        <w:rPr>
          <w:w w:val="105"/>
        </w:rPr>
        <w:t>no meaningful</w:t>
      </w:r>
      <w:r>
        <w:rPr>
          <w:spacing w:val="40"/>
          <w:w w:val="105"/>
        </w:rPr>
        <w:t xml:space="preserve"> </w:t>
      </w:r>
      <w:r>
        <w:rPr>
          <w:w w:val="105"/>
        </w:rPr>
        <w:t>effect</w:t>
      </w:r>
      <w:r>
        <w:rPr>
          <w:spacing w:val="39"/>
          <w:w w:val="105"/>
        </w:rPr>
        <w:t xml:space="preserve"> </w:t>
      </w:r>
      <w:r>
        <w:rPr>
          <w:w w:val="105"/>
        </w:rPr>
        <w:t>on</w:t>
      </w:r>
      <w:r>
        <w:rPr>
          <w:spacing w:val="36"/>
          <w:w w:val="105"/>
        </w:rPr>
        <w:t xml:space="preserve"> </w:t>
      </w:r>
      <w:r>
        <w:rPr>
          <w:w w:val="105"/>
        </w:rPr>
        <w:t>Sustainable</w:t>
      </w:r>
      <w:r>
        <w:rPr>
          <w:spacing w:val="35"/>
          <w:w w:val="105"/>
        </w:rPr>
        <w:t xml:space="preserve"> </w:t>
      </w:r>
      <w:r>
        <w:rPr>
          <w:w w:val="105"/>
        </w:rPr>
        <w:t>Competitiveness</w:t>
      </w:r>
      <w:r>
        <w:rPr>
          <w:spacing w:val="27"/>
          <w:w w:val="105"/>
        </w:rPr>
        <w:t xml:space="preserve"> </w:t>
      </w:r>
      <w:r>
        <w:rPr>
          <w:w w:val="105"/>
        </w:rPr>
        <w:t>in</w:t>
      </w:r>
      <w:r>
        <w:rPr>
          <w:spacing w:val="36"/>
          <w:w w:val="105"/>
        </w:rPr>
        <w:t xml:space="preserve"> </w:t>
      </w:r>
      <w:r>
        <w:rPr>
          <w:w w:val="105"/>
        </w:rPr>
        <w:t>this</w:t>
      </w:r>
      <w:r>
        <w:rPr>
          <w:spacing w:val="40"/>
          <w:w w:val="105"/>
        </w:rPr>
        <w:t xml:space="preserve"> </w:t>
      </w:r>
      <w:r>
        <w:rPr>
          <w:w w:val="105"/>
        </w:rPr>
        <w:t>study.</w:t>
      </w:r>
      <w:r>
        <w:rPr>
          <w:spacing w:val="37"/>
          <w:w w:val="105"/>
        </w:rPr>
        <w:t xml:space="preserve"> </w:t>
      </w:r>
      <w:r>
        <w:rPr>
          <w:w w:val="105"/>
        </w:rPr>
        <w:t>This</w:t>
      </w:r>
      <w:r>
        <w:rPr>
          <w:spacing w:val="27"/>
          <w:w w:val="105"/>
        </w:rPr>
        <w:t xml:space="preserve"> </w:t>
      </w:r>
      <w:r>
        <w:rPr>
          <w:w w:val="105"/>
        </w:rPr>
        <w:t>implies</w:t>
      </w:r>
      <w:r>
        <w:rPr>
          <w:spacing w:val="27"/>
          <w:w w:val="105"/>
        </w:rPr>
        <w:t xml:space="preserve"> </w:t>
      </w:r>
      <w:r>
        <w:rPr>
          <w:w w:val="105"/>
        </w:rPr>
        <w:t>that</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64"/>
        <w:jc w:val="both"/>
      </w:pPr>
      <w:r>
        <w:rPr>
          <w:w w:val="105"/>
        </w:rPr>
        <w:t>internal coordination among functions, while operationally necessary, may not directly</w:t>
      </w:r>
      <w:r>
        <w:rPr>
          <w:spacing w:val="-8"/>
          <w:w w:val="105"/>
        </w:rPr>
        <w:t xml:space="preserve"> </w:t>
      </w:r>
      <w:r>
        <w:rPr>
          <w:w w:val="105"/>
        </w:rPr>
        <w:t>impact</w:t>
      </w:r>
      <w:r>
        <w:rPr>
          <w:spacing w:val="-6"/>
          <w:w w:val="105"/>
        </w:rPr>
        <w:t xml:space="preserve"> </w:t>
      </w:r>
      <w:r>
        <w:rPr>
          <w:w w:val="105"/>
        </w:rPr>
        <w:t>the</w:t>
      </w:r>
      <w:r>
        <w:rPr>
          <w:spacing w:val="-2"/>
          <w:w w:val="105"/>
        </w:rPr>
        <w:t xml:space="preserve"> </w:t>
      </w:r>
      <w:r>
        <w:rPr>
          <w:w w:val="105"/>
        </w:rPr>
        <w:t>strategic</w:t>
      </w:r>
      <w:r>
        <w:rPr>
          <w:spacing w:val="-2"/>
          <w:w w:val="105"/>
        </w:rPr>
        <w:t xml:space="preserve"> </w:t>
      </w:r>
      <w:r>
        <w:rPr>
          <w:w w:val="105"/>
        </w:rPr>
        <w:t>outcomes</w:t>
      </w:r>
      <w:r>
        <w:rPr>
          <w:spacing w:val="-3"/>
          <w:w w:val="105"/>
        </w:rPr>
        <w:t xml:space="preserve"> </w:t>
      </w:r>
      <w:r>
        <w:rPr>
          <w:w w:val="105"/>
        </w:rPr>
        <w:t>measured under Sustainable</w:t>
      </w:r>
      <w:r>
        <w:rPr>
          <w:spacing w:val="-2"/>
          <w:w w:val="105"/>
        </w:rPr>
        <w:t xml:space="preserve"> </w:t>
      </w:r>
      <w:r>
        <w:rPr>
          <w:w w:val="105"/>
        </w:rPr>
        <w:t>Competitiveness.</w:t>
      </w:r>
    </w:p>
    <w:p w:rsidR="00487D64" w:rsidRDefault="006F0D93">
      <w:pPr>
        <w:pStyle w:val="BodyText"/>
        <w:spacing w:before="236" w:line="501" w:lineRule="auto"/>
        <w:ind w:left="1419" w:right="844"/>
        <w:jc w:val="both"/>
      </w:pPr>
      <w:r>
        <w:rPr>
          <w:w w:val="105"/>
        </w:rPr>
        <w:t>Regarding the interaction effects, SF × CO had an f² value of 0.042,</w:t>
      </w:r>
      <w:r>
        <w:rPr>
          <w:w w:val="105"/>
        </w:rPr>
        <w:t xml:space="preserve"> indicating a small but notable moderation effect. This suggests that Strategic Flexibility slightly enhances the influence of Customer Orientation on Sustainable Competitiveness. However, SF × CU exhibited a very low f² value of 0.006, which reflects no m</w:t>
      </w:r>
      <w:r>
        <w:rPr>
          <w:w w:val="105"/>
        </w:rPr>
        <w:t>eaningful interaction effect</w:t>
      </w:r>
      <w:r>
        <w:rPr>
          <w:b/>
          <w:w w:val="105"/>
        </w:rPr>
        <w:t xml:space="preserve">, </w:t>
      </w:r>
      <w:r>
        <w:rPr>
          <w:w w:val="105"/>
        </w:rPr>
        <w:t>implying that the moderating role of Strategic Flexibility on the relationship between Competitor Orientation and Sustainable Competitiveness is negligible.</w:t>
      </w:r>
    </w:p>
    <w:p w:rsidR="00487D64" w:rsidRDefault="006F0D93">
      <w:pPr>
        <w:pStyle w:val="BodyText"/>
        <w:spacing w:before="237" w:line="499" w:lineRule="auto"/>
        <w:ind w:left="1419" w:right="851"/>
        <w:jc w:val="both"/>
      </w:pPr>
      <w:r>
        <w:rPr>
          <w:w w:val="105"/>
        </w:rPr>
        <w:t>Collectively, these findings emphasize</w:t>
      </w:r>
      <w:r>
        <w:rPr>
          <w:spacing w:val="-1"/>
          <w:w w:val="105"/>
        </w:rPr>
        <w:t xml:space="preserve"> </w:t>
      </w:r>
      <w:r>
        <w:rPr>
          <w:w w:val="105"/>
        </w:rPr>
        <w:t>the</w:t>
      </w:r>
      <w:r>
        <w:rPr>
          <w:spacing w:val="-1"/>
          <w:w w:val="105"/>
        </w:rPr>
        <w:t xml:space="preserve"> </w:t>
      </w:r>
      <w:r>
        <w:rPr>
          <w:w w:val="105"/>
        </w:rPr>
        <w:t>dominant role</w:t>
      </w:r>
      <w:r>
        <w:rPr>
          <w:spacing w:val="-1"/>
          <w:w w:val="105"/>
        </w:rPr>
        <w:t xml:space="preserve"> </w:t>
      </w:r>
      <w:r>
        <w:rPr>
          <w:w w:val="105"/>
        </w:rPr>
        <w:t>of</w:t>
      </w:r>
      <w:r>
        <w:rPr>
          <w:spacing w:val="-2"/>
          <w:w w:val="105"/>
        </w:rPr>
        <w:t xml:space="preserve"> </w:t>
      </w:r>
      <w:r>
        <w:rPr>
          <w:w w:val="105"/>
        </w:rPr>
        <w:t>Strategic</w:t>
      </w:r>
      <w:r>
        <w:rPr>
          <w:spacing w:val="-1"/>
          <w:w w:val="105"/>
        </w:rPr>
        <w:t xml:space="preserve"> </w:t>
      </w:r>
      <w:r>
        <w:rPr>
          <w:w w:val="105"/>
        </w:rPr>
        <w:t>Flexibility as</w:t>
      </w:r>
      <w:r>
        <w:rPr>
          <w:spacing w:val="-1"/>
          <w:w w:val="105"/>
        </w:rPr>
        <w:t xml:space="preserve"> </w:t>
      </w:r>
      <w:r>
        <w:rPr>
          <w:w w:val="105"/>
        </w:rPr>
        <w:t>a direct driver of Sustainable Competitiveness, while customer-related strategies also play</w:t>
      </w:r>
      <w:r>
        <w:rPr>
          <w:spacing w:val="-1"/>
          <w:w w:val="105"/>
        </w:rPr>
        <w:t xml:space="preserve"> </w:t>
      </w:r>
      <w:r>
        <w:rPr>
          <w:w w:val="105"/>
        </w:rPr>
        <w:t>supportive</w:t>
      </w:r>
      <w:r>
        <w:rPr>
          <w:spacing w:val="-8"/>
          <w:w w:val="105"/>
        </w:rPr>
        <w:t xml:space="preserve"> </w:t>
      </w:r>
      <w:r>
        <w:rPr>
          <w:w w:val="105"/>
        </w:rPr>
        <w:t>roles.</w:t>
      </w:r>
      <w:r>
        <w:rPr>
          <w:spacing w:val="-5"/>
          <w:w w:val="105"/>
        </w:rPr>
        <w:t xml:space="preserve"> </w:t>
      </w:r>
      <w:r>
        <w:rPr>
          <w:w w:val="105"/>
        </w:rPr>
        <w:t>Internal</w:t>
      </w:r>
      <w:r>
        <w:rPr>
          <w:spacing w:val="-5"/>
          <w:w w:val="105"/>
        </w:rPr>
        <w:t xml:space="preserve"> </w:t>
      </w:r>
      <w:r>
        <w:rPr>
          <w:w w:val="105"/>
        </w:rPr>
        <w:t>coordination</w:t>
      </w:r>
      <w:r>
        <w:rPr>
          <w:spacing w:val="-7"/>
          <w:w w:val="105"/>
        </w:rPr>
        <w:t xml:space="preserve"> </w:t>
      </w:r>
      <w:r>
        <w:rPr>
          <w:w w:val="105"/>
        </w:rPr>
        <w:t>and</w:t>
      </w:r>
      <w:r>
        <w:rPr>
          <w:spacing w:val="-1"/>
          <w:w w:val="105"/>
        </w:rPr>
        <w:t xml:space="preserve"> </w:t>
      </w:r>
      <w:r>
        <w:rPr>
          <w:w w:val="105"/>
        </w:rPr>
        <w:t>certain</w:t>
      </w:r>
      <w:r>
        <w:rPr>
          <w:spacing w:val="-7"/>
          <w:w w:val="105"/>
        </w:rPr>
        <w:t xml:space="preserve"> </w:t>
      </w:r>
      <w:r>
        <w:rPr>
          <w:w w:val="105"/>
        </w:rPr>
        <w:t>interaction</w:t>
      </w:r>
      <w:r>
        <w:rPr>
          <w:spacing w:val="-1"/>
          <w:w w:val="105"/>
        </w:rPr>
        <w:t xml:space="preserve"> </w:t>
      </w:r>
      <w:r>
        <w:rPr>
          <w:w w:val="105"/>
        </w:rPr>
        <w:t>effects</w:t>
      </w:r>
      <w:r>
        <w:rPr>
          <w:spacing w:val="-9"/>
          <w:w w:val="105"/>
        </w:rPr>
        <w:t xml:space="preserve"> </w:t>
      </w:r>
      <w:r>
        <w:rPr>
          <w:w w:val="105"/>
        </w:rPr>
        <w:t>appear</w:t>
      </w:r>
      <w:r>
        <w:rPr>
          <w:spacing w:val="-4"/>
          <w:w w:val="105"/>
        </w:rPr>
        <w:t xml:space="preserve"> </w:t>
      </w:r>
      <w:r>
        <w:rPr>
          <w:w w:val="105"/>
        </w:rPr>
        <w:t>less influential, pointing to the need for strategic agility over pur</w:t>
      </w:r>
      <w:r>
        <w:rPr>
          <w:w w:val="105"/>
        </w:rPr>
        <w:t>ely structural or operational capabilities in dynamic procurement environments.</w:t>
      </w:r>
    </w:p>
    <w:p w:rsidR="00487D64" w:rsidRDefault="006F0D93">
      <w:pPr>
        <w:spacing w:before="246"/>
        <w:ind w:left="1419"/>
        <w:jc w:val="both"/>
        <w:rPr>
          <w:b/>
          <w:sz w:val="23"/>
        </w:rPr>
      </w:pPr>
      <w:r>
        <w:rPr>
          <w:b/>
          <w:w w:val="105"/>
          <w:sz w:val="23"/>
        </w:rPr>
        <w:t>Table</w:t>
      </w:r>
      <w:r>
        <w:rPr>
          <w:b/>
          <w:spacing w:val="-7"/>
          <w:w w:val="105"/>
          <w:sz w:val="23"/>
        </w:rPr>
        <w:t xml:space="preserve"> </w:t>
      </w:r>
      <w:r>
        <w:rPr>
          <w:b/>
          <w:w w:val="105"/>
          <w:sz w:val="23"/>
        </w:rPr>
        <w:t>4.</w:t>
      </w:r>
      <w:r>
        <w:rPr>
          <w:b/>
          <w:spacing w:val="-9"/>
          <w:w w:val="105"/>
          <w:sz w:val="23"/>
        </w:rPr>
        <w:t xml:space="preserve"> </w:t>
      </w:r>
      <w:r>
        <w:rPr>
          <w:b/>
          <w:w w:val="105"/>
          <w:sz w:val="23"/>
        </w:rPr>
        <w:t>15:</w:t>
      </w:r>
      <w:r>
        <w:rPr>
          <w:b/>
          <w:spacing w:val="-8"/>
          <w:w w:val="105"/>
          <w:sz w:val="23"/>
        </w:rPr>
        <w:t xml:space="preserve"> </w:t>
      </w:r>
      <w:r>
        <w:rPr>
          <w:b/>
          <w:w w:val="105"/>
          <w:sz w:val="23"/>
        </w:rPr>
        <w:t>Effect</w:t>
      </w:r>
      <w:r>
        <w:rPr>
          <w:b/>
          <w:spacing w:val="-2"/>
          <w:w w:val="105"/>
          <w:sz w:val="23"/>
        </w:rPr>
        <w:t xml:space="preserve"> </w:t>
      </w:r>
      <w:r>
        <w:rPr>
          <w:b/>
          <w:w w:val="105"/>
          <w:sz w:val="23"/>
        </w:rPr>
        <w:t>Sizes</w:t>
      </w:r>
      <w:r>
        <w:rPr>
          <w:b/>
          <w:spacing w:val="-8"/>
          <w:w w:val="105"/>
          <w:sz w:val="23"/>
        </w:rPr>
        <w:t xml:space="preserve"> </w:t>
      </w:r>
      <w:r>
        <w:rPr>
          <w:b/>
          <w:w w:val="105"/>
          <w:sz w:val="23"/>
        </w:rPr>
        <w:t>of</w:t>
      </w:r>
      <w:r>
        <w:rPr>
          <w:b/>
          <w:spacing w:val="-8"/>
          <w:w w:val="105"/>
          <w:sz w:val="23"/>
        </w:rPr>
        <w:t xml:space="preserve"> </w:t>
      </w:r>
      <w:r>
        <w:rPr>
          <w:b/>
          <w:w w:val="105"/>
          <w:sz w:val="23"/>
        </w:rPr>
        <w:t>the</w:t>
      </w:r>
      <w:r>
        <w:rPr>
          <w:b/>
          <w:spacing w:val="-7"/>
          <w:w w:val="105"/>
          <w:sz w:val="23"/>
        </w:rPr>
        <w:t xml:space="preserve"> </w:t>
      </w:r>
      <w:r>
        <w:rPr>
          <w:b/>
          <w:w w:val="105"/>
          <w:sz w:val="23"/>
        </w:rPr>
        <w:t>Coefficient</w:t>
      </w:r>
      <w:r>
        <w:rPr>
          <w:b/>
          <w:spacing w:val="-2"/>
          <w:w w:val="105"/>
          <w:sz w:val="23"/>
        </w:rPr>
        <w:t xml:space="preserve"> </w:t>
      </w:r>
      <w:r>
        <w:rPr>
          <w:b/>
          <w:w w:val="105"/>
          <w:sz w:val="23"/>
        </w:rPr>
        <w:t>of</w:t>
      </w:r>
      <w:r>
        <w:rPr>
          <w:b/>
          <w:spacing w:val="-8"/>
          <w:w w:val="105"/>
          <w:sz w:val="23"/>
        </w:rPr>
        <w:t xml:space="preserve"> </w:t>
      </w:r>
      <w:r>
        <w:rPr>
          <w:b/>
          <w:spacing w:val="-2"/>
          <w:w w:val="105"/>
          <w:sz w:val="23"/>
        </w:rPr>
        <w:t>Determination</w:t>
      </w:r>
    </w:p>
    <w:p w:rsidR="00487D64" w:rsidRDefault="00487D64">
      <w:pPr>
        <w:pStyle w:val="BodyText"/>
        <w:spacing w:before="7"/>
        <w:rPr>
          <w:b/>
          <w:sz w:val="12"/>
        </w:rPr>
      </w:pPr>
    </w:p>
    <w:tbl>
      <w:tblPr>
        <w:tblW w:w="0" w:type="auto"/>
        <w:tblInd w:w="1297" w:type="dxa"/>
        <w:tblLayout w:type="fixed"/>
        <w:tblCellMar>
          <w:left w:w="0" w:type="dxa"/>
          <w:right w:w="0" w:type="dxa"/>
        </w:tblCellMar>
        <w:tblLook w:val="01E0" w:firstRow="1" w:lastRow="1" w:firstColumn="1" w:lastColumn="1" w:noHBand="0" w:noVBand="0"/>
      </w:tblPr>
      <w:tblGrid>
        <w:gridCol w:w="2568"/>
        <w:gridCol w:w="2695"/>
        <w:gridCol w:w="3109"/>
      </w:tblGrid>
      <w:tr w:rsidR="00487D64">
        <w:trPr>
          <w:trHeight w:val="486"/>
        </w:trPr>
        <w:tc>
          <w:tcPr>
            <w:tcW w:w="2568" w:type="dxa"/>
            <w:tcBorders>
              <w:top w:val="single" w:sz="4" w:space="0" w:color="000000"/>
              <w:bottom w:val="single" w:sz="4" w:space="0" w:color="000000"/>
            </w:tcBorders>
          </w:tcPr>
          <w:p w:rsidR="00487D64" w:rsidRDefault="006F0D93">
            <w:pPr>
              <w:pStyle w:val="TableParagraph"/>
              <w:spacing w:before="21"/>
              <w:ind w:left="21"/>
              <w:rPr>
                <w:b/>
                <w:sz w:val="23"/>
              </w:rPr>
            </w:pPr>
            <w:r>
              <w:rPr>
                <w:b/>
                <w:spacing w:val="-2"/>
                <w:w w:val="105"/>
                <w:sz w:val="23"/>
              </w:rPr>
              <w:t>Construct</w:t>
            </w:r>
          </w:p>
        </w:tc>
        <w:tc>
          <w:tcPr>
            <w:tcW w:w="2695" w:type="dxa"/>
            <w:tcBorders>
              <w:top w:val="single" w:sz="4" w:space="0" w:color="000000"/>
              <w:bottom w:val="single" w:sz="4" w:space="0" w:color="000000"/>
            </w:tcBorders>
          </w:tcPr>
          <w:p w:rsidR="00487D64" w:rsidRDefault="006F0D93">
            <w:pPr>
              <w:pStyle w:val="TableParagraph"/>
              <w:spacing w:before="93"/>
              <w:ind w:left="1084"/>
              <w:rPr>
                <w:b/>
                <w:sz w:val="23"/>
              </w:rPr>
            </w:pPr>
            <w:r>
              <w:rPr>
                <w:b/>
                <w:w w:val="105"/>
                <w:sz w:val="23"/>
              </w:rPr>
              <w:t>Effect</w:t>
            </w:r>
            <w:r>
              <w:rPr>
                <w:b/>
                <w:spacing w:val="-14"/>
                <w:w w:val="105"/>
                <w:sz w:val="23"/>
              </w:rPr>
              <w:t xml:space="preserve"> </w:t>
            </w:r>
            <w:r>
              <w:rPr>
                <w:b/>
                <w:w w:val="105"/>
                <w:sz w:val="23"/>
              </w:rPr>
              <w:t>size</w:t>
            </w:r>
            <w:r>
              <w:rPr>
                <w:b/>
                <w:spacing w:val="-5"/>
                <w:w w:val="105"/>
                <w:sz w:val="23"/>
              </w:rPr>
              <w:t xml:space="preserve"> f</w:t>
            </w:r>
            <w:r>
              <w:rPr>
                <w:b/>
                <w:spacing w:val="-5"/>
                <w:w w:val="105"/>
                <w:sz w:val="23"/>
                <w:vertAlign w:val="superscript"/>
              </w:rPr>
              <w:t>2</w:t>
            </w:r>
          </w:p>
        </w:tc>
        <w:tc>
          <w:tcPr>
            <w:tcW w:w="3109" w:type="dxa"/>
            <w:tcBorders>
              <w:top w:val="single" w:sz="4" w:space="0" w:color="000000"/>
              <w:bottom w:val="single" w:sz="4" w:space="0" w:color="000000"/>
            </w:tcBorders>
          </w:tcPr>
          <w:p w:rsidR="00487D64" w:rsidRDefault="006F0D93">
            <w:pPr>
              <w:pStyle w:val="TableParagraph"/>
              <w:spacing w:before="93"/>
              <w:ind w:left="349"/>
              <w:rPr>
                <w:b/>
                <w:sz w:val="23"/>
              </w:rPr>
            </w:pPr>
            <w:r>
              <w:rPr>
                <w:b/>
                <w:spacing w:val="-2"/>
                <w:w w:val="105"/>
                <w:sz w:val="23"/>
              </w:rPr>
              <w:t>Decision</w:t>
            </w:r>
          </w:p>
        </w:tc>
      </w:tr>
      <w:tr w:rsidR="00487D64">
        <w:trPr>
          <w:trHeight w:val="466"/>
        </w:trPr>
        <w:tc>
          <w:tcPr>
            <w:tcW w:w="2568" w:type="dxa"/>
            <w:tcBorders>
              <w:top w:val="single" w:sz="4" w:space="0" w:color="000000"/>
            </w:tcBorders>
          </w:tcPr>
          <w:p w:rsidR="00487D64" w:rsidRDefault="006F0D93">
            <w:pPr>
              <w:pStyle w:val="TableParagraph"/>
              <w:spacing w:before="22"/>
              <w:ind w:left="21"/>
              <w:rPr>
                <w:sz w:val="23"/>
              </w:rPr>
            </w:pPr>
            <w:r>
              <w:rPr>
                <w:w w:val="105"/>
                <w:sz w:val="23"/>
              </w:rPr>
              <w:t>CO</w:t>
            </w:r>
            <w:r>
              <w:rPr>
                <w:spacing w:val="-5"/>
                <w:w w:val="105"/>
                <w:sz w:val="23"/>
              </w:rPr>
              <w:t xml:space="preserve"> </w:t>
            </w:r>
            <w:r>
              <w:rPr>
                <w:w w:val="105"/>
                <w:sz w:val="23"/>
              </w:rPr>
              <w:t>-&gt;</w:t>
            </w:r>
            <w:r>
              <w:rPr>
                <w:spacing w:val="-10"/>
                <w:w w:val="105"/>
                <w:sz w:val="23"/>
              </w:rPr>
              <w:t xml:space="preserve"> </w:t>
            </w:r>
            <w:r>
              <w:rPr>
                <w:spacing w:val="-5"/>
                <w:w w:val="105"/>
                <w:sz w:val="23"/>
              </w:rPr>
              <w:t>SC</w:t>
            </w:r>
          </w:p>
        </w:tc>
        <w:tc>
          <w:tcPr>
            <w:tcW w:w="2695" w:type="dxa"/>
            <w:tcBorders>
              <w:top w:val="single" w:sz="4" w:space="0" w:color="000000"/>
            </w:tcBorders>
          </w:tcPr>
          <w:p w:rsidR="00487D64" w:rsidRDefault="006F0D93">
            <w:pPr>
              <w:pStyle w:val="TableParagraph"/>
              <w:spacing w:before="86"/>
              <w:ind w:left="1084"/>
              <w:rPr>
                <w:sz w:val="23"/>
              </w:rPr>
            </w:pPr>
            <w:r>
              <w:rPr>
                <w:spacing w:val="-2"/>
                <w:w w:val="105"/>
                <w:sz w:val="23"/>
              </w:rPr>
              <w:t>0.146</w:t>
            </w:r>
          </w:p>
        </w:tc>
        <w:tc>
          <w:tcPr>
            <w:tcW w:w="3109" w:type="dxa"/>
            <w:tcBorders>
              <w:top w:val="single" w:sz="4" w:space="0" w:color="000000"/>
            </w:tcBorders>
          </w:tcPr>
          <w:p w:rsidR="00487D64" w:rsidRDefault="006F0D93">
            <w:pPr>
              <w:pStyle w:val="TableParagraph"/>
              <w:spacing w:before="86"/>
              <w:ind w:left="349"/>
              <w:rPr>
                <w:sz w:val="23"/>
              </w:rPr>
            </w:pPr>
            <w:r>
              <w:rPr>
                <w:spacing w:val="-2"/>
                <w:w w:val="105"/>
                <w:sz w:val="23"/>
              </w:rPr>
              <w:t>Medium</w:t>
            </w:r>
          </w:p>
        </w:tc>
      </w:tr>
      <w:tr w:rsidR="00487D64">
        <w:trPr>
          <w:trHeight w:val="497"/>
        </w:trPr>
        <w:tc>
          <w:tcPr>
            <w:tcW w:w="2568" w:type="dxa"/>
          </w:tcPr>
          <w:p w:rsidR="00487D64" w:rsidRDefault="006F0D93">
            <w:pPr>
              <w:pStyle w:val="TableParagraph"/>
              <w:spacing w:before="110"/>
              <w:ind w:left="21"/>
              <w:rPr>
                <w:sz w:val="23"/>
              </w:rPr>
            </w:pPr>
            <w:r>
              <w:rPr>
                <w:w w:val="105"/>
                <w:sz w:val="23"/>
              </w:rPr>
              <w:t>CU</w:t>
            </w:r>
            <w:r>
              <w:rPr>
                <w:spacing w:val="-5"/>
                <w:w w:val="105"/>
                <w:sz w:val="23"/>
              </w:rPr>
              <w:t xml:space="preserve"> </w:t>
            </w:r>
            <w:r>
              <w:rPr>
                <w:w w:val="105"/>
                <w:sz w:val="23"/>
              </w:rPr>
              <w:t>-&gt;</w:t>
            </w:r>
            <w:r>
              <w:rPr>
                <w:spacing w:val="-10"/>
                <w:w w:val="105"/>
                <w:sz w:val="23"/>
              </w:rPr>
              <w:t xml:space="preserve"> </w:t>
            </w:r>
            <w:r>
              <w:rPr>
                <w:spacing w:val="-5"/>
                <w:w w:val="105"/>
                <w:sz w:val="23"/>
              </w:rPr>
              <w:t>SC</w:t>
            </w:r>
          </w:p>
        </w:tc>
        <w:tc>
          <w:tcPr>
            <w:tcW w:w="2695" w:type="dxa"/>
          </w:tcPr>
          <w:p w:rsidR="00487D64" w:rsidRDefault="006F0D93">
            <w:pPr>
              <w:pStyle w:val="TableParagraph"/>
              <w:spacing w:before="110"/>
              <w:ind w:left="1084"/>
              <w:rPr>
                <w:sz w:val="23"/>
              </w:rPr>
            </w:pPr>
            <w:r>
              <w:rPr>
                <w:spacing w:val="-2"/>
                <w:w w:val="105"/>
                <w:sz w:val="23"/>
              </w:rPr>
              <w:t>0.090</w:t>
            </w:r>
          </w:p>
        </w:tc>
        <w:tc>
          <w:tcPr>
            <w:tcW w:w="3109" w:type="dxa"/>
          </w:tcPr>
          <w:p w:rsidR="00487D64" w:rsidRDefault="006F0D93">
            <w:pPr>
              <w:pStyle w:val="TableParagraph"/>
              <w:spacing w:before="110"/>
              <w:ind w:left="349"/>
              <w:rPr>
                <w:sz w:val="23"/>
              </w:rPr>
            </w:pPr>
            <w:r>
              <w:rPr>
                <w:spacing w:val="-2"/>
                <w:w w:val="105"/>
                <w:sz w:val="23"/>
              </w:rPr>
              <w:t>Small</w:t>
            </w:r>
          </w:p>
        </w:tc>
      </w:tr>
      <w:tr w:rsidR="00487D64">
        <w:trPr>
          <w:trHeight w:val="500"/>
        </w:trPr>
        <w:tc>
          <w:tcPr>
            <w:tcW w:w="2568" w:type="dxa"/>
          </w:tcPr>
          <w:p w:rsidR="00487D64" w:rsidRDefault="006F0D93">
            <w:pPr>
              <w:pStyle w:val="TableParagraph"/>
              <w:spacing w:before="117"/>
              <w:ind w:left="21"/>
              <w:rPr>
                <w:sz w:val="23"/>
              </w:rPr>
            </w:pPr>
            <w:r>
              <w:rPr>
                <w:w w:val="105"/>
                <w:sz w:val="23"/>
              </w:rPr>
              <w:t>FC</w:t>
            </w:r>
            <w:r>
              <w:rPr>
                <w:spacing w:val="-7"/>
                <w:w w:val="105"/>
                <w:sz w:val="23"/>
              </w:rPr>
              <w:t xml:space="preserve"> </w:t>
            </w:r>
            <w:r>
              <w:rPr>
                <w:w w:val="105"/>
                <w:sz w:val="23"/>
              </w:rPr>
              <w:t>-&gt;</w:t>
            </w:r>
            <w:r>
              <w:rPr>
                <w:spacing w:val="-4"/>
                <w:w w:val="105"/>
                <w:sz w:val="23"/>
              </w:rPr>
              <w:t xml:space="preserve"> </w:t>
            </w:r>
            <w:r>
              <w:rPr>
                <w:spacing w:val="-5"/>
                <w:w w:val="105"/>
                <w:sz w:val="23"/>
              </w:rPr>
              <w:t>SC</w:t>
            </w:r>
          </w:p>
        </w:tc>
        <w:tc>
          <w:tcPr>
            <w:tcW w:w="2695" w:type="dxa"/>
          </w:tcPr>
          <w:p w:rsidR="00487D64" w:rsidRDefault="006F0D93">
            <w:pPr>
              <w:pStyle w:val="TableParagraph"/>
              <w:spacing w:before="117"/>
              <w:ind w:left="1084"/>
              <w:rPr>
                <w:sz w:val="23"/>
              </w:rPr>
            </w:pPr>
            <w:r>
              <w:rPr>
                <w:spacing w:val="-2"/>
                <w:w w:val="105"/>
                <w:sz w:val="23"/>
              </w:rPr>
              <w:t>0.009</w:t>
            </w:r>
          </w:p>
        </w:tc>
        <w:tc>
          <w:tcPr>
            <w:tcW w:w="3109" w:type="dxa"/>
          </w:tcPr>
          <w:p w:rsidR="00487D64" w:rsidRDefault="006F0D93">
            <w:pPr>
              <w:pStyle w:val="TableParagraph"/>
              <w:spacing w:before="117"/>
              <w:ind w:left="349"/>
              <w:rPr>
                <w:sz w:val="23"/>
              </w:rPr>
            </w:pPr>
            <w:r>
              <w:rPr>
                <w:spacing w:val="-5"/>
                <w:w w:val="105"/>
                <w:sz w:val="23"/>
              </w:rPr>
              <w:t>No</w:t>
            </w:r>
          </w:p>
        </w:tc>
      </w:tr>
      <w:tr w:rsidR="00487D64">
        <w:trPr>
          <w:trHeight w:val="500"/>
        </w:trPr>
        <w:tc>
          <w:tcPr>
            <w:tcW w:w="2568" w:type="dxa"/>
          </w:tcPr>
          <w:p w:rsidR="00487D64" w:rsidRDefault="006F0D93">
            <w:pPr>
              <w:pStyle w:val="TableParagraph"/>
              <w:spacing w:before="114"/>
              <w:ind w:left="21"/>
              <w:rPr>
                <w:sz w:val="23"/>
              </w:rPr>
            </w:pPr>
            <w:r>
              <w:rPr>
                <w:w w:val="105"/>
                <w:sz w:val="23"/>
              </w:rPr>
              <w:t>SF</w:t>
            </w:r>
            <w:r>
              <w:rPr>
                <w:spacing w:val="-9"/>
                <w:w w:val="105"/>
                <w:sz w:val="23"/>
              </w:rPr>
              <w:t xml:space="preserve"> </w:t>
            </w:r>
            <w:r>
              <w:rPr>
                <w:w w:val="105"/>
                <w:sz w:val="23"/>
              </w:rPr>
              <w:t>-&gt;</w:t>
            </w:r>
            <w:r>
              <w:rPr>
                <w:spacing w:val="-4"/>
                <w:w w:val="105"/>
                <w:sz w:val="23"/>
              </w:rPr>
              <w:t xml:space="preserve"> </w:t>
            </w:r>
            <w:r>
              <w:rPr>
                <w:spacing w:val="-5"/>
                <w:w w:val="105"/>
                <w:sz w:val="23"/>
              </w:rPr>
              <w:t>SC</w:t>
            </w:r>
          </w:p>
        </w:tc>
        <w:tc>
          <w:tcPr>
            <w:tcW w:w="2695" w:type="dxa"/>
          </w:tcPr>
          <w:p w:rsidR="00487D64" w:rsidRDefault="006F0D93">
            <w:pPr>
              <w:pStyle w:val="TableParagraph"/>
              <w:spacing w:before="114"/>
              <w:ind w:left="1084"/>
              <w:rPr>
                <w:sz w:val="23"/>
              </w:rPr>
            </w:pPr>
            <w:r>
              <w:rPr>
                <w:spacing w:val="-2"/>
                <w:w w:val="105"/>
                <w:sz w:val="23"/>
              </w:rPr>
              <w:t>0.571</w:t>
            </w:r>
          </w:p>
        </w:tc>
        <w:tc>
          <w:tcPr>
            <w:tcW w:w="3109" w:type="dxa"/>
          </w:tcPr>
          <w:p w:rsidR="00487D64" w:rsidRDefault="006F0D93">
            <w:pPr>
              <w:pStyle w:val="TableParagraph"/>
              <w:spacing w:before="114"/>
              <w:ind w:left="349"/>
              <w:rPr>
                <w:sz w:val="23"/>
              </w:rPr>
            </w:pPr>
            <w:r>
              <w:rPr>
                <w:spacing w:val="-4"/>
                <w:w w:val="105"/>
                <w:sz w:val="23"/>
              </w:rPr>
              <w:t>High</w:t>
            </w:r>
          </w:p>
        </w:tc>
      </w:tr>
      <w:tr w:rsidR="00487D64">
        <w:trPr>
          <w:trHeight w:val="507"/>
        </w:trPr>
        <w:tc>
          <w:tcPr>
            <w:tcW w:w="2568" w:type="dxa"/>
          </w:tcPr>
          <w:p w:rsidR="00487D64" w:rsidRDefault="006F0D93">
            <w:pPr>
              <w:pStyle w:val="TableParagraph"/>
              <w:spacing w:before="117"/>
              <w:ind w:left="21"/>
              <w:rPr>
                <w:sz w:val="23"/>
              </w:rPr>
            </w:pPr>
            <w:r>
              <w:rPr>
                <w:w w:val="105"/>
                <w:sz w:val="23"/>
              </w:rPr>
              <w:t>SF</w:t>
            </w:r>
            <w:r>
              <w:rPr>
                <w:spacing w:val="-6"/>
                <w:w w:val="105"/>
                <w:sz w:val="23"/>
              </w:rPr>
              <w:t xml:space="preserve"> </w:t>
            </w:r>
            <w:r>
              <w:rPr>
                <w:w w:val="105"/>
                <w:sz w:val="23"/>
              </w:rPr>
              <w:t>x</w:t>
            </w:r>
            <w:r>
              <w:rPr>
                <w:spacing w:val="-7"/>
                <w:w w:val="105"/>
                <w:sz w:val="23"/>
              </w:rPr>
              <w:t xml:space="preserve"> </w:t>
            </w:r>
            <w:r>
              <w:rPr>
                <w:w w:val="105"/>
                <w:sz w:val="23"/>
              </w:rPr>
              <w:t>CO</w:t>
            </w:r>
            <w:r>
              <w:rPr>
                <w:spacing w:val="-2"/>
                <w:w w:val="105"/>
                <w:sz w:val="23"/>
              </w:rPr>
              <w:t xml:space="preserve"> </w:t>
            </w:r>
            <w:r>
              <w:rPr>
                <w:w w:val="105"/>
                <w:sz w:val="23"/>
              </w:rPr>
              <w:t>-&gt;</w:t>
            </w:r>
            <w:r>
              <w:rPr>
                <w:spacing w:val="-1"/>
                <w:w w:val="105"/>
                <w:sz w:val="23"/>
              </w:rPr>
              <w:t xml:space="preserve"> </w:t>
            </w:r>
            <w:r>
              <w:rPr>
                <w:spacing w:val="-5"/>
                <w:w w:val="105"/>
                <w:sz w:val="23"/>
              </w:rPr>
              <w:t>SC</w:t>
            </w:r>
          </w:p>
        </w:tc>
        <w:tc>
          <w:tcPr>
            <w:tcW w:w="2695" w:type="dxa"/>
          </w:tcPr>
          <w:p w:rsidR="00487D64" w:rsidRDefault="006F0D93">
            <w:pPr>
              <w:pStyle w:val="TableParagraph"/>
              <w:spacing w:before="117"/>
              <w:ind w:left="1084"/>
              <w:rPr>
                <w:sz w:val="23"/>
              </w:rPr>
            </w:pPr>
            <w:r>
              <w:rPr>
                <w:spacing w:val="-2"/>
                <w:w w:val="105"/>
                <w:sz w:val="23"/>
              </w:rPr>
              <w:t>0.042</w:t>
            </w:r>
          </w:p>
        </w:tc>
        <w:tc>
          <w:tcPr>
            <w:tcW w:w="3109" w:type="dxa"/>
          </w:tcPr>
          <w:p w:rsidR="00487D64" w:rsidRDefault="006F0D93">
            <w:pPr>
              <w:pStyle w:val="TableParagraph"/>
              <w:spacing w:before="117"/>
              <w:ind w:left="349"/>
              <w:rPr>
                <w:sz w:val="23"/>
              </w:rPr>
            </w:pPr>
            <w:r>
              <w:rPr>
                <w:spacing w:val="-2"/>
                <w:w w:val="105"/>
                <w:sz w:val="23"/>
              </w:rPr>
              <w:t>Small</w:t>
            </w:r>
          </w:p>
        </w:tc>
      </w:tr>
      <w:tr w:rsidR="00487D64">
        <w:trPr>
          <w:trHeight w:val="536"/>
        </w:trPr>
        <w:tc>
          <w:tcPr>
            <w:tcW w:w="2568" w:type="dxa"/>
            <w:tcBorders>
              <w:bottom w:val="single" w:sz="4" w:space="0" w:color="000000"/>
            </w:tcBorders>
          </w:tcPr>
          <w:p w:rsidR="00487D64" w:rsidRDefault="006F0D93">
            <w:pPr>
              <w:pStyle w:val="TableParagraph"/>
              <w:spacing w:before="121"/>
              <w:ind w:left="21"/>
              <w:rPr>
                <w:sz w:val="23"/>
              </w:rPr>
            </w:pPr>
            <w:r>
              <w:rPr>
                <w:w w:val="105"/>
                <w:sz w:val="23"/>
              </w:rPr>
              <w:t>SF</w:t>
            </w:r>
            <w:r>
              <w:rPr>
                <w:spacing w:val="-5"/>
                <w:w w:val="105"/>
                <w:sz w:val="23"/>
              </w:rPr>
              <w:t xml:space="preserve"> </w:t>
            </w:r>
            <w:r>
              <w:rPr>
                <w:w w:val="105"/>
                <w:sz w:val="23"/>
              </w:rPr>
              <w:t>x</w:t>
            </w:r>
            <w:r>
              <w:rPr>
                <w:spacing w:val="-6"/>
                <w:w w:val="105"/>
                <w:sz w:val="23"/>
              </w:rPr>
              <w:t xml:space="preserve"> </w:t>
            </w:r>
            <w:r>
              <w:rPr>
                <w:w w:val="105"/>
                <w:sz w:val="23"/>
              </w:rPr>
              <w:t>CU</w:t>
            </w:r>
            <w:r>
              <w:rPr>
                <w:spacing w:val="-6"/>
                <w:w w:val="105"/>
                <w:sz w:val="23"/>
              </w:rPr>
              <w:t xml:space="preserve"> </w:t>
            </w:r>
            <w:r>
              <w:rPr>
                <w:w w:val="105"/>
                <w:sz w:val="23"/>
              </w:rPr>
              <w:t xml:space="preserve">-&gt; </w:t>
            </w:r>
            <w:r>
              <w:rPr>
                <w:spacing w:val="-7"/>
                <w:w w:val="105"/>
                <w:sz w:val="23"/>
              </w:rPr>
              <w:t>SC</w:t>
            </w:r>
          </w:p>
        </w:tc>
        <w:tc>
          <w:tcPr>
            <w:tcW w:w="2695" w:type="dxa"/>
            <w:tcBorders>
              <w:bottom w:val="single" w:sz="4" w:space="0" w:color="000000"/>
            </w:tcBorders>
          </w:tcPr>
          <w:p w:rsidR="00487D64" w:rsidRDefault="006F0D93">
            <w:pPr>
              <w:pStyle w:val="TableParagraph"/>
              <w:spacing w:before="121"/>
              <w:ind w:left="1084"/>
              <w:rPr>
                <w:sz w:val="23"/>
              </w:rPr>
            </w:pPr>
            <w:r>
              <w:rPr>
                <w:spacing w:val="-2"/>
                <w:w w:val="105"/>
                <w:sz w:val="23"/>
              </w:rPr>
              <w:t>0.006</w:t>
            </w:r>
          </w:p>
        </w:tc>
        <w:tc>
          <w:tcPr>
            <w:tcW w:w="3109" w:type="dxa"/>
            <w:tcBorders>
              <w:bottom w:val="single" w:sz="4" w:space="0" w:color="000000"/>
            </w:tcBorders>
          </w:tcPr>
          <w:p w:rsidR="00487D64" w:rsidRDefault="006F0D93">
            <w:pPr>
              <w:pStyle w:val="TableParagraph"/>
              <w:spacing w:before="121"/>
              <w:ind w:left="349"/>
              <w:rPr>
                <w:sz w:val="23"/>
              </w:rPr>
            </w:pPr>
            <w:r>
              <w:rPr>
                <w:spacing w:val="-5"/>
                <w:w w:val="105"/>
                <w:sz w:val="23"/>
              </w:rPr>
              <w:t>No</w:t>
            </w:r>
          </w:p>
        </w:tc>
      </w:tr>
    </w:tbl>
    <w:p w:rsidR="00487D64" w:rsidRDefault="00487D64">
      <w:pPr>
        <w:pStyle w:val="TableParagraph"/>
        <w:rPr>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pStyle w:val="ListParagraph"/>
        <w:numPr>
          <w:ilvl w:val="2"/>
          <w:numId w:val="9"/>
        </w:numPr>
        <w:tabs>
          <w:tab w:val="left" w:pos="2125"/>
        </w:tabs>
        <w:spacing w:before="1"/>
        <w:ind w:left="2125" w:hanging="706"/>
        <w:rPr>
          <w:b/>
          <w:sz w:val="23"/>
        </w:rPr>
      </w:pPr>
      <w:bookmarkStart w:id="172" w:name="4.6.4__Assessment_of_Predictive_Relevanc"/>
      <w:bookmarkStart w:id="173" w:name="_bookmark83"/>
      <w:bookmarkEnd w:id="172"/>
      <w:bookmarkEnd w:id="173"/>
      <w:r>
        <w:rPr>
          <w:b/>
          <w:sz w:val="23"/>
        </w:rPr>
        <w:t>Assessment</w:t>
      </w:r>
      <w:r>
        <w:rPr>
          <w:b/>
          <w:spacing w:val="27"/>
          <w:sz w:val="23"/>
        </w:rPr>
        <w:t xml:space="preserve"> </w:t>
      </w:r>
      <w:r>
        <w:rPr>
          <w:b/>
          <w:sz w:val="23"/>
        </w:rPr>
        <w:t>of</w:t>
      </w:r>
      <w:r>
        <w:rPr>
          <w:b/>
          <w:spacing w:val="36"/>
          <w:sz w:val="23"/>
        </w:rPr>
        <w:t xml:space="preserve"> </w:t>
      </w:r>
      <w:r>
        <w:rPr>
          <w:b/>
          <w:sz w:val="23"/>
        </w:rPr>
        <w:t>Predictive</w:t>
      </w:r>
      <w:r>
        <w:rPr>
          <w:b/>
          <w:spacing w:val="28"/>
          <w:sz w:val="23"/>
        </w:rPr>
        <w:t xml:space="preserve"> </w:t>
      </w:r>
      <w:r>
        <w:rPr>
          <w:b/>
          <w:sz w:val="23"/>
        </w:rPr>
        <w:t>Relevance</w:t>
      </w:r>
      <w:r>
        <w:rPr>
          <w:b/>
          <w:spacing w:val="29"/>
          <w:sz w:val="23"/>
        </w:rPr>
        <w:t xml:space="preserve"> </w:t>
      </w:r>
      <w:r>
        <w:rPr>
          <w:b/>
          <w:spacing w:val="-4"/>
          <w:sz w:val="23"/>
        </w:rPr>
        <w:t>(Q2)</w:t>
      </w:r>
    </w:p>
    <w:p w:rsidR="00487D64" w:rsidRDefault="00487D64">
      <w:pPr>
        <w:pStyle w:val="BodyText"/>
        <w:spacing w:before="18"/>
        <w:rPr>
          <w:b/>
        </w:rPr>
      </w:pPr>
    </w:p>
    <w:p w:rsidR="00487D64" w:rsidRDefault="006F0D93">
      <w:pPr>
        <w:pStyle w:val="BodyText"/>
        <w:spacing w:line="501" w:lineRule="auto"/>
        <w:ind w:left="1419" w:right="847"/>
        <w:jc w:val="both"/>
      </w:pPr>
      <w:r>
        <w:rPr>
          <w:w w:val="105"/>
        </w:rPr>
        <w:t>From</w:t>
      </w:r>
      <w:r>
        <w:rPr>
          <w:spacing w:val="-6"/>
          <w:w w:val="105"/>
        </w:rPr>
        <w:t xml:space="preserve"> </w:t>
      </w:r>
      <w:r>
        <w:rPr>
          <w:w w:val="105"/>
        </w:rPr>
        <w:t>the findings, it can be</w:t>
      </w:r>
      <w:r>
        <w:rPr>
          <w:spacing w:val="-6"/>
          <w:w w:val="105"/>
        </w:rPr>
        <w:t xml:space="preserve"> </w:t>
      </w:r>
      <w:r>
        <w:rPr>
          <w:w w:val="105"/>
        </w:rPr>
        <w:t>depicted</w:t>
      </w:r>
      <w:r>
        <w:rPr>
          <w:spacing w:val="-5"/>
          <w:w w:val="105"/>
        </w:rPr>
        <w:t xml:space="preserve"> </w:t>
      </w:r>
      <w:r>
        <w:rPr>
          <w:w w:val="105"/>
        </w:rPr>
        <w:t>that</w:t>
      </w:r>
      <w:r>
        <w:rPr>
          <w:spacing w:val="-3"/>
          <w:w w:val="105"/>
        </w:rPr>
        <w:t xml:space="preserve"> </w:t>
      </w:r>
      <w:r>
        <w:rPr>
          <w:w w:val="105"/>
        </w:rPr>
        <w:t>Q²</w:t>
      </w:r>
      <w:r>
        <w:rPr>
          <w:spacing w:val="-1"/>
          <w:w w:val="105"/>
        </w:rPr>
        <w:t xml:space="preserve"> </w:t>
      </w:r>
      <w:r>
        <w:rPr>
          <w:w w:val="105"/>
        </w:rPr>
        <w:t>values for</w:t>
      </w:r>
      <w:r>
        <w:rPr>
          <w:spacing w:val="-1"/>
          <w:w w:val="105"/>
        </w:rPr>
        <w:t xml:space="preserve"> </w:t>
      </w:r>
      <w:r>
        <w:rPr>
          <w:w w:val="105"/>
        </w:rPr>
        <w:t>all constructs</w:t>
      </w:r>
      <w:r>
        <w:rPr>
          <w:spacing w:val="-7"/>
          <w:w w:val="105"/>
        </w:rPr>
        <w:t xml:space="preserve"> </w:t>
      </w:r>
      <w:r>
        <w:rPr>
          <w:w w:val="105"/>
        </w:rPr>
        <w:t>are</w:t>
      </w:r>
      <w:r>
        <w:rPr>
          <w:spacing w:val="-6"/>
          <w:w w:val="105"/>
        </w:rPr>
        <w:t xml:space="preserve"> </w:t>
      </w:r>
      <w:r>
        <w:rPr>
          <w:w w:val="105"/>
        </w:rPr>
        <w:t>greater</w:t>
      </w:r>
      <w:r>
        <w:rPr>
          <w:spacing w:val="-1"/>
          <w:w w:val="105"/>
        </w:rPr>
        <w:t xml:space="preserve"> </w:t>
      </w:r>
      <w:r>
        <w:rPr>
          <w:w w:val="105"/>
        </w:rPr>
        <w:t>than zero, indicating that the model exhibits</w:t>
      </w:r>
      <w:r>
        <w:rPr>
          <w:w w:val="105"/>
        </w:rPr>
        <w:t xml:space="preserve"> predictive relevance across all endogenous variables. Specifically, Sustainable Competitiveness (SC) with a Q² of 0.369 and Strategic Flexibility (SF) with 0.368 demonstrate moderate-to-strong predictive relevance, highlighting the model's robustness in f</w:t>
      </w:r>
      <w:r>
        <w:rPr>
          <w:w w:val="105"/>
        </w:rPr>
        <w:t>orecasting these key outcome constructs. Customer Orientation (CU) shows a Q² value of 0.258, reflecting moderate predictive relevance and supporting the model’s adequacy in predicting this construct. Meanwhile, Competitor Orientation (CO) and Functional C</w:t>
      </w:r>
      <w:r>
        <w:rPr>
          <w:w w:val="105"/>
        </w:rPr>
        <w:t>oordination</w:t>
      </w:r>
      <w:r>
        <w:rPr>
          <w:spacing w:val="-13"/>
          <w:w w:val="105"/>
        </w:rPr>
        <w:t xml:space="preserve"> </w:t>
      </w:r>
      <w:r>
        <w:rPr>
          <w:w w:val="105"/>
        </w:rPr>
        <w:t>(FC),</w:t>
      </w:r>
      <w:r>
        <w:rPr>
          <w:spacing w:val="-5"/>
          <w:w w:val="105"/>
        </w:rPr>
        <w:t xml:space="preserve"> </w:t>
      </w:r>
      <w:r>
        <w:rPr>
          <w:w w:val="105"/>
        </w:rPr>
        <w:t>with</w:t>
      </w:r>
      <w:r>
        <w:rPr>
          <w:spacing w:val="-6"/>
          <w:w w:val="105"/>
        </w:rPr>
        <w:t xml:space="preserve"> </w:t>
      </w:r>
      <w:r>
        <w:rPr>
          <w:w w:val="105"/>
        </w:rPr>
        <w:t>Q²</w:t>
      </w:r>
      <w:r>
        <w:rPr>
          <w:spacing w:val="-3"/>
          <w:w w:val="105"/>
        </w:rPr>
        <w:t xml:space="preserve"> </w:t>
      </w:r>
      <w:r>
        <w:rPr>
          <w:w w:val="105"/>
        </w:rPr>
        <w:t>values</w:t>
      </w:r>
      <w:r>
        <w:rPr>
          <w:spacing w:val="-8"/>
          <w:w w:val="105"/>
        </w:rPr>
        <w:t xml:space="preserve"> </w:t>
      </w:r>
      <w:r>
        <w:rPr>
          <w:w w:val="105"/>
        </w:rPr>
        <w:t>of</w:t>
      </w:r>
      <w:r>
        <w:rPr>
          <w:spacing w:val="-9"/>
          <w:w w:val="105"/>
        </w:rPr>
        <w:t xml:space="preserve"> </w:t>
      </w:r>
      <w:r>
        <w:rPr>
          <w:w w:val="105"/>
        </w:rPr>
        <w:t>0.237</w:t>
      </w:r>
      <w:r>
        <w:rPr>
          <w:spacing w:val="-6"/>
          <w:w w:val="105"/>
        </w:rPr>
        <w:t xml:space="preserve"> </w:t>
      </w:r>
      <w:r>
        <w:rPr>
          <w:w w:val="105"/>
        </w:rPr>
        <w:t>and</w:t>
      </w:r>
      <w:r>
        <w:rPr>
          <w:spacing w:val="-13"/>
          <w:w w:val="105"/>
        </w:rPr>
        <w:t xml:space="preserve"> </w:t>
      </w:r>
      <w:r>
        <w:rPr>
          <w:w w:val="105"/>
        </w:rPr>
        <w:t>0.236</w:t>
      </w:r>
      <w:r>
        <w:rPr>
          <w:spacing w:val="-6"/>
          <w:w w:val="105"/>
        </w:rPr>
        <w:t xml:space="preserve"> </w:t>
      </w:r>
      <w:r>
        <w:rPr>
          <w:w w:val="105"/>
        </w:rPr>
        <w:t>respectively,</w:t>
      </w:r>
      <w:r>
        <w:rPr>
          <w:spacing w:val="-5"/>
          <w:w w:val="105"/>
        </w:rPr>
        <w:t xml:space="preserve"> </w:t>
      </w:r>
      <w:r>
        <w:rPr>
          <w:w w:val="105"/>
        </w:rPr>
        <w:t>indicate</w:t>
      </w:r>
      <w:r>
        <w:rPr>
          <w:spacing w:val="-7"/>
          <w:w w:val="105"/>
        </w:rPr>
        <w:t xml:space="preserve"> </w:t>
      </w:r>
      <w:r>
        <w:rPr>
          <w:w w:val="105"/>
        </w:rPr>
        <w:t>small</w:t>
      </w:r>
      <w:r>
        <w:rPr>
          <w:spacing w:val="-5"/>
          <w:w w:val="105"/>
        </w:rPr>
        <w:t xml:space="preserve"> </w:t>
      </w:r>
      <w:r>
        <w:rPr>
          <w:w w:val="105"/>
        </w:rPr>
        <w:t>but meaningful predictive relevance, suggesting that while the model can predict these variables to some extent, enhancements such as refining measurement items or including</w:t>
      </w:r>
      <w:r>
        <w:rPr>
          <w:spacing w:val="4"/>
          <w:w w:val="105"/>
        </w:rPr>
        <w:t xml:space="preserve"> </w:t>
      </w:r>
      <w:r>
        <w:rPr>
          <w:w w:val="105"/>
        </w:rPr>
        <w:t>a</w:t>
      </w:r>
      <w:r>
        <w:rPr>
          <w:w w:val="105"/>
        </w:rPr>
        <w:t>dditional</w:t>
      </w:r>
      <w:r>
        <w:rPr>
          <w:spacing w:val="14"/>
          <w:w w:val="105"/>
        </w:rPr>
        <w:t xml:space="preserve"> </w:t>
      </w:r>
      <w:r>
        <w:rPr>
          <w:w w:val="105"/>
        </w:rPr>
        <w:t>explanatory</w:t>
      </w:r>
      <w:r>
        <w:rPr>
          <w:spacing w:val="12"/>
          <w:w w:val="105"/>
        </w:rPr>
        <w:t xml:space="preserve"> </w:t>
      </w:r>
      <w:r>
        <w:rPr>
          <w:w w:val="105"/>
        </w:rPr>
        <w:t>variables</w:t>
      </w:r>
      <w:r>
        <w:rPr>
          <w:spacing w:val="15"/>
          <w:w w:val="105"/>
        </w:rPr>
        <w:t xml:space="preserve"> </w:t>
      </w:r>
      <w:r>
        <w:rPr>
          <w:w w:val="105"/>
        </w:rPr>
        <w:t>may</w:t>
      </w:r>
      <w:r>
        <w:rPr>
          <w:spacing w:val="11"/>
          <w:w w:val="105"/>
        </w:rPr>
        <w:t xml:space="preserve"> </w:t>
      </w:r>
      <w:r>
        <w:rPr>
          <w:w w:val="105"/>
        </w:rPr>
        <w:t>improve</w:t>
      </w:r>
      <w:r>
        <w:rPr>
          <w:spacing w:val="10"/>
          <w:w w:val="105"/>
        </w:rPr>
        <w:t xml:space="preserve"> </w:t>
      </w:r>
      <w:r>
        <w:rPr>
          <w:w w:val="105"/>
        </w:rPr>
        <w:t>its</w:t>
      </w:r>
      <w:r>
        <w:rPr>
          <w:spacing w:val="9"/>
          <w:w w:val="105"/>
        </w:rPr>
        <w:t xml:space="preserve"> </w:t>
      </w:r>
      <w:r>
        <w:rPr>
          <w:w w:val="105"/>
        </w:rPr>
        <w:t>predictive</w:t>
      </w:r>
      <w:r>
        <w:rPr>
          <w:spacing w:val="11"/>
          <w:w w:val="105"/>
        </w:rPr>
        <w:t xml:space="preserve"> </w:t>
      </w:r>
      <w:r>
        <w:rPr>
          <w:w w:val="105"/>
        </w:rPr>
        <w:t>power.</w:t>
      </w:r>
      <w:r>
        <w:rPr>
          <w:spacing w:val="23"/>
          <w:w w:val="105"/>
        </w:rPr>
        <w:t xml:space="preserve"> </w:t>
      </w:r>
      <w:r>
        <w:rPr>
          <w:spacing w:val="-2"/>
          <w:w w:val="105"/>
        </w:rPr>
        <w:t>Table</w:t>
      </w:r>
    </w:p>
    <w:p w:rsidR="00487D64" w:rsidRDefault="006F0D93">
      <w:pPr>
        <w:pStyle w:val="BodyText"/>
        <w:spacing w:line="258" w:lineRule="exact"/>
        <w:ind w:left="1419"/>
      </w:pPr>
      <w:r>
        <w:t>4.16</w:t>
      </w:r>
      <w:r>
        <w:rPr>
          <w:spacing w:val="28"/>
        </w:rPr>
        <w:t xml:space="preserve"> </w:t>
      </w:r>
      <w:r>
        <w:t>shows</w:t>
      </w:r>
      <w:r>
        <w:rPr>
          <w:spacing w:val="25"/>
        </w:rPr>
        <w:t xml:space="preserve"> </w:t>
      </w:r>
      <w:r>
        <w:t>the</w:t>
      </w:r>
      <w:r>
        <w:rPr>
          <w:spacing w:val="29"/>
        </w:rPr>
        <w:t xml:space="preserve"> </w:t>
      </w:r>
      <w:r>
        <w:t>predictive</w:t>
      </w:r>
      <w:r>
        <w:rPr>
          <w:spacing w:val="16"/>
        </w:rPr>
        <w:t xml:space="preserve"> </w:t>
      </w:r>
      <w:r>
        <w:t>relevance</w:t>
      </w:r>
      <w:r>
        <w:rPr>
          <w:spacing w:val="16"/>
        </w:rPr>
        <w:t xml:space="preserve"> </w:t>
      </w:r>
      <w:r>
        <w:rPr>
          <w:spacing w:val="-4"/>
        </w:rPr>
        <w:t>(Q2).</w:t>
      </w:r>
    </w:p>
    <w:p w:rsidR="00487D64" w:rsidRDefault="00487D64">
      <w:pPr>
        <w:pStyle w:val="BodyText"/>
        <w:spacing w:before="263"/>
      </w:pPr>
    </w:p>
    <w:p w:rsidR="00487D64" w:rsidRDefault="006F0D93">
      <w:pPr>
        <w:spacing w:line="372" w:lineRule="auto"/>
        <w:ind w:left="2982" w:right="851" w:hanging="1564"/>
        <w:rPr>
          <w:b/>
          <w:sz w:val="23"/>
        </w:rPr>
      </w:pPr>
      <w:r>
        <w:rPr>
          <w:b/>
          <w:w w:val="105"/>
          <w:sz w:val="23"/>
        </w:rPr>
        <w:t>Table</w:t>
      </w:r>
      <w:r>
        <w:rPr>
          <w:b/>
          <w:spacing w:val="40"/>
          <w:w w:val="105"/>
          <w:sz w:val="23"/>
        </w:rPr>
        <w:t xml:space="preserve"> </w:t>
      </w:r>
      <w:r>
        <w:rPr>
          <w:b/>
          <w:w w:val="105"/>
          <w:sz w:val="23"/>
        </w:rPr>
        <w:t>4.</w:t>
      </w:r>
      <w:r>
        <w:rPr>
          <w:b/>
          <w:spacing w:val="40"/>
          <w:w w:val="105"/>
          <w:sz w:val="23"/>
        </w:rPr>
        <w:t xml:space="preserve"> </w:t>
      </w:r>
      <w:r>
        <w:rPr>
          <w:b/>
          <w:w w:val="105"/>
          <w:sz w:val="23"/>
        </w:rPr>
        <w:t>16:</w:t>
      </w:r>
      <w:r>
        <w:rPr>
          <w:b/>
          <w:spacing w:val="40"/>
          <w:w w:val="105"/>
          <w:sz w:val="23"/>
        </w:rPr>
        <w:t xml:space="preserve"> </w:t>
      </w:r>
      <w:r>
        <w:rPr>
          <w:b/>
          <w:w w:val="105"/>
          <w:sz w:val="23"/>
        </w:rPr>
        <w:t>Construct</w:t>
      </w:r>
      <w:r>
        <w:rPr>
          <w:b/>
          <w:spacing w:val="40"/>
          <w:w w:val="105"/>
          <w:sz w:val="23"/>
        </w:rPr>
        <w:t xml:space="preserve"> </w:t>
      </w:r>
      <w:r>
        <w:rPr>
          <w:b/>
          <w:w w:val="105"/>
          <w:sz w:val="23"/>
        </w:rPr>
        <w:t>Cross-Validated</w:t>
      </w:r>
      <w:r>
        <w:rPr>
          <w:b/>
          <w:spacing w:val="40"/>
          <w:w w:val="105"/>
          <w:sz w:val="23"/>
        </w:rPr>
        <w:t xml:space="preserve"> </w:t>
      </w:r>
      <w:r>
        <w:rPr>
          <w:b/>
          <w:w w:val="105"/>
          <w:sz w:val="23"/>
        </w:rPr>
        <w:t>Redundancy</w:t>
      </w:r>
      <w:r>
        <w:rPr>
          <w:b/>
          <w:spacing w:val="40"/>
          <w:w w:val="105"/>
          <w:sz w:val="23"/>
        </w:rPr>
        <w:t xml:space="preserve"> </w:t>
      </w:r>
      <w:r>
        <w:rPr>
          <w:b/>
          <w:w w:val="105"/>
          <w:sz w:val="23"/>
        </w:rPr>
        <w:t>(Predictive</w:t>
      </w:r>
      <w:r>
        <w:rPr>
          <w:b/>
          <w:spacing w:val="40"/>
          <w:w w:val="105"/>
          <w:sz w:val="23"/>
        </w:rPr>
        <w:t xml:space="preserve"> </w:t>
      </w:r>
      <w:r>
        <w:rPr>
          <w:b/>
          <w:w w:val="105"/>
          <w:sz w:val="23"/>
        </w:rPr>
        <w:t xml:space="preserve">Relevance </w:t>
      </w:r>
      <w:r>
        <w:rPr>
          <w:b/>
          <w:spacing w:val="-4"/>
          <w:w w:val="105"/>
          <w:sz w:val="23"/>
        </w:rPr>
        <w:t>(Q2))</w:t>
      </w:r>
    </w:p>
    <w:tbl>
      <w:tblPr>
        <w:tblW w:w="0" w:type="auto"/>
        <w:tblInd w:w="1210" w:type="dxa"/>
        <w:tblLayout w:type="fixed"/>
        <w:tblCellMar>
          <w:left w:w="0" w:type="dxa"/>
          <w:right w:w="0" w:type="dxa"/>
        </w:tblCellMar>
        <w:tblLook w:val="01E0" w:firstRow="1" w:lastRow="1" w:firstColumn="1" w:lastColumn="1" w:noHBand="0" w:noVBand="0"/>
      </w:tblPr>
      <w:tblGrid>
        <w:gridCol w:w="1040"/>
        <w:gridCol w:w="2069"/>
        <w:gridCol w:w="2197"/>
        <w:gridCol w:w="3346"/>
      </w:tblGrid>
      <w:tr w:rsidR="00487D64">
        <w:trPr>
          <w:trHeight w:val="551"/>
        </w:trPr>
        <w:tc>
          <w:tcPr>
            <w:tcW w:w="1040" w:type="dxa"/>
            <w:tcBorders>
              <w:top w:val="single" w:sz="4" w:space="0" w:color="000000"/>
              <w:bottom w:val="single" w:sz="4" w:space="0" w:color="000000"/>
            </w:tcBorders>
          </w:tcPr>
          <w:p w:rsidR="00487D64" w:rsidRDefault="00487D64">
            <w:pPr>
              <w:pStyle w:val="TableParagraph"/>
            </w:pPr>
          </w:p>
        </w:tc>
        <w:tc>
          <w:tcPr>
            <w:tcW w:w="2069" w:type="dxa"/>
            <w:tcBorders>
              <w:top w:val="single" w:sz="4" w:space="0" w:color="000000"/>
              <w:bottom w:val="single" w:sz="4" w:space="0" w:color="000000"/>
            </w:tcBorders>
          </w:tcPr>
          <w:p w:rsidR="00487D64" w:rsidRDefault="006F0D93">
            <w:pPr>
              <w:pStyle w:val="TableParagraph"/>
              <w:spacing w:before="14"/>
              <w:ind w:left="9" w:right="11"/>
              <w:jc w:val="center"/>
              <w:rPr>
                <w:b/>
                <w:sz w:val="23"/>
              </w:rPr>
            </w:pPr>
            <w:r>
              <w:rPr>
                <w:b/>
                <w:spacing w:val="-5"/>
                <w:w w:val="105"/>
                <w:sz w:val="23"/>
              </w:rPr>
              <w:t>SSO</w:t>
            </w:r>
          </w:p>
        </w:tc>
        <w:tc>
          <w:tcPr>
            <w:tcW w:w="2197" w:type="dxa"/>
            <w:tcBorders>
              <w:top w:val="single" w:sz="4" w:space="0" w:color="000000"/>
              <w:bottom w:val="single" w:sz="4" w:space="0" w:color="000000"/>
            </w:tcBorders>
          </w:tcPr>
          <w:p w:rsidR="00487D64" w:rsidRDefault="006F0D93">
            <w:pPr>
              <w:pStyle w:val="TableParagraph"/>
              <w:spacing w:before="14"/>
              <w:ind w:right="144"/>
              <w:jc w:val="center"/>
              <w:rPr>
                <w:b/>
                <w:sz w:val="23"/>
              </w:rPr>
            </w:pPr>
            <w:r>
              <w:rPr>
                <w:b/>
                <w:spacing w:val="-5"/>
                <w:w w:val="105"/>
                <w:sz w:val="23"/>
              </w:rPr>
              <w:t>SSE</w:t>
            </w:r>
          </w:p>
        </w:tc>
        <w:tc>
          <w:tcPr>
            <w:tcW w:w="3346" w:type="dxa"/>
            <w:tcBorders>
              <w:top w:val="single" w:sz="4" w:space="0" w:color="000000"/>
              <w:bottom w:val="single" w:sz="4" w:space="0" w:color="000000"/>
            </w:tcBorders>
          </w:tcPr>
          <w:p w:rsidR="00487D64" w:rsidRDefault="006F0D93">
            <w:pPr>
              <w:pStyle w:val="TableParagraph"/>
              <w:spacing w:before="14"/>
              <w:ind w:right="154"/>
              <w:jc w:val="center"/>
              <w:rPr>
                <w:b/>
                <w:sz w:val="23"/>
              </w:rPr>
            </w:pPr>
            <w:r>
              <w:rPr>
                <w:b/>
                <w:sz w:val="23"/>
              </w:rPr>
              <w:t>Q²</w:t>
            </w:r>
            <w:r>
              <w:rPr>
                <w:b/>
                <w:spacing w:val="26"/>
                <w:sz w:val="23"/>
              </w:rPr>
              <w:t xml:space="preserve"> </w:t>
            </w:r>
            <w:r>
              <w:rPr>
                <w:b/>
                <w:sz w:val="23"/>
              </w:rPr>
              <w:t>(=1-</w:t>
            </w:r>
            <w:r>
              <w:rPr>
                <w:b/>
                <w:spacing w:val="-2"/>
                <w:sz w:val="23"/>
              </w:rPr>
              <w:t>SSE/SSO)</w:t>
            </w:r>
          </w:p>
        </w:tc>
      </w:tr>
      <w:tr w:rsidR="00487D64">
        <w:trPr>
          <w:trHeight w:val="419"/>
        </w:trPr>
        <w:tc>
          <w:tcPr>
            <w:tcW w:w="1040" w:type="dxa"/>
            <w:tcBorders>
              <w:top w:val="single" w:sz="4" w:space="0" w:color="000000"/>
            </w:tcBorders>
          </w:tcPr>
          <w:p w:rsidR="00487D64" w:rsidRDefault="006F0D93">
            <w:pPr>
              <w:pStyle w:val="TableParagraph"/>
              <w:spacing w:before="7"/>
              <w:ind w:left="122"/>
              <w:rPr>
                <w:sz w:val="23"/>
              </w:rPr>
            </w:pPr>
            <w:r>
              <w:rPr>
                <w:spacing w:val="-5"/>
                <w:w w:val="105"/>
                <w:sz w:val="23"/>
              </w:rPr>
              <w:t>CO</w:t>
            </w:r>
          </w:p>
        </w:tc>
        <w:tc>
          <w:tcPr>
            <w:tcW w:w="2069" w:type="dxa"/>
            <w:tcBorders>
              <w:top w:val="single" w:sz="4" w:space="0" w:color="000000"/>
            </w:tcBorders>
          </w:tcPr>
          <w:p w:rsidR="00487D64" w:rsidRDefault="006F0D93">
            <w:pPr>
              <w:pStyle w:val="TableParagraph"/>
              <w:spacing w:before="7"/>
              <w:ind w:left="11" w:right="2"/>
              <w:jc w:val="center"/>
              <w:rPr>
                <w:sz w:val="23"/>
              </w:rPr>
            </w:pPr>
            <w:r>
              <w:rPr>
                <w:spacing w:val="-2"/>
                <w:w w:val="105"/>
                <w:sz w:val="23"/>
              </w:rPr>
              <w:t>3080.000</w:t>
            </w:r>
          </w:p>
        </w:tc>
        <w:tc>
          <w:tcPr>
            <w:tcW w:w="2197" w:type="dxa"/>
            <w:tcBorders>
              <w:top w:val="single" w:sz="4" w:space="0" w:color="000000"/>
            </w:tcBorders>
          </w:tcPr>
          <w:p w:rsidR="00487D64" w:rsidRDefault="006F0D93">
            <w:pPr>
              <w:pStyle w:val="TableParagraph"/>
              <w:spacing w:before="7"/>
              <w:ind w:left="579"/>
              <w:rPr>
                <w:sz w:val="23"/>
              </w:rPr>
            </w:pPr>
            <w:r>
              <w:rPr>
                <w:spacing w:val="-2"/>
                <w:w w:val="105"/>
                <w:sz w:val="23"/>
              </w:rPr>
              <w:t>2349.358</w:t>
            </w:r>
          </w:p>
        </w:tc>
        <w:tc>
          <w:tcPr>
            <w:tcW w:w="3346" w:type="dxa"/>
            <w:tcBorders>
              <w:top w:val="single" w:sz="4" w:space="0" w:color="000000"/>
            </w:tcBorders>
          </w:tcPr>
          <w:p w:rsidR="00487D64" w:rsidRDefault="006F0D93">
            <w:pPr>
              <w:pStyle w:val="TableParagraph"/>
              <w:spacing w:before="7"/>
              <w:ind w:left="11" w:right="154"/>
              <w:jc w:val="center"/>
              <w:rPr>
                <w:sz w:val="23"/>
              </w:rPr>
            </w:pPr>
            <w:r>
              <w:rPr>
                <w:spacing w:val="-2"/>
                <w:w w:val="105"/>
                <w:sz w:val="23"/>
              </w:rPr>
              <w:t>0.237</w:t>
            </w:r>
          </w:p>
        </w:tc>
      </w:tr>
      <w:tr w:rsidR="00487D64">
        <w:trPr>
          <w:trHeight w:val="551"/>
        </w:trPr>
        <w:tc>
          <w:tcPr>
            <w:tcW w:w="1040" w:type="dxa"/>
          </w:tcPr>
          <w:p w:rsidR="00487D64" w:rsidRDefault="006F0D93">
            <w:pPr>
              <w:pStyle w:val="TableParagraph"/>
              <w:spacing w:before="142"/>
              <w:ind w:left="122"/>
              <w:rPr>
                <w:sz w:val="23"/>
              </w:rPr>
            </w:pPr>
            <w:r>
              <w:rPr>
                <w:spacing w:val="-5"/>
                <w:w w:val="105"/>
                <w:sz w:val="23"/>
              </w:rPr>
              <w:t>CU</w:t>
            </w:r>
          </w:p>
        </w:tc>
        <w:tc>
          <w:tcPr>
            <w:tcW w:w="2069" w:type="dxa"/>
          </w:tcPr>
          <w:p w:rsidR="00487D64" w:rsidRDefault="006F0D93">
            <w:pPr>
              <w:pStyle w:val="TableParagraph"/>
              <w:spacing w:before="142"/>
              <w:ind w:left="11" w:right="2"/>
              <w:jc w:val="center"/>
              <w:rPr>
                <w:sz w:val="23"/>
              </w:rPr>
            </w:pPr>
            <w:r>
              <w:rPr>
                <w:spacing w:val="-2"/>
                <w:w w:val="105"/>
                <w:sz w:val="23"/>
              </w:rPr>
              <w:t>1155.000</w:t>
            </w:r>
          </w:p>
        </w:tc>
        <w:tc>
          <w:tcPr>
            <w:tcW w:w="2197" w:type="dxa"/>
          </w:tcPr>
          <w:p w:rsidR="00487D64" w:rsidRDefault="006F0D93">
            <w:pPr>
              <w:pStyle w:val="TableParagraph"/>
              <w:spacing w:before="142"/>
              <w:ind w:left="637"/>
              <w:rPr>
                <w:sz w:val="23"/>
              </w:rPr>
            </w:pPr>
            <w:r>
              <w:rPr>
                <w:spacing w:val="-2"/>
                <w:w w:val="105"/>
                <w:sz w:val="23"/>
              </w:rPr>
              <w:t>856.959</w:t>
            </w:r>
          </w:p>
        </w:tc>
        <w:tc>
          <w:tcPr>
            <w:tcW w:w="3346" w:type="dxa"/>
          </w:tcPr>
          <w:p w:rsidR="00487D64" w:rsidRDefault="006F0D93">
            <w:pPr>
              <w:pStyle w:val="TableParagraph"/>
              <w:spacing w:before="142"/>
              <w:ind w:left="11" w:right="154"/>
              <w:jc w:val="center"/>
              <w:rPr>
                <w:sz w:val="23"/>
              </w:rPr>
            </w:pPr>
            <w:r>
              <w:rPr>
                <w:spacing w:val="-2"/>
                <w:w w:val="105"/>
                <w:sz w:val="23"/>
              </w:rPr>
              <w:t>0.258</w:t>
            </w:r>
          </w:p>
        </w:tc>
      </w:tr>
      <w:tr w:rsidR="00487D64">
        <w:trPr>
          <w:trHeight w:val="551"/>
        </w:trPr>
        <w:tc>
          <w:tcPr>
            <w:tcW w:w="1040" w:type="dxa"/>
          </w:tcPr>
          <w:p w:rsidR="00487D64" w:rsidRDefault="006F0D93">
            <w:pPr>
              <w:pStyle w:val="TableParagraph"/>
              <w:spacing w:before="139"/>
              <w:ind w:left="122"/>
              <w:rPr>
                <w:sz w:val="23"/>
              </w:rPr>
            </w:pPr>
            <w:r>
              <w:rPr>
                <w:spacing w:val="-5"/>
                <w:w w:val="105"/>
                <w:sz w:val="23"/>
              </w:rPr>
              <w:t>FC</w:t>
            </w:r>
          </w:p>
        </w:tc>
        <w:tc>
          <w:tcPr>
            <w:tcW w:w="2069" w:type="dxa"/>
          </w:tcPr>
          <w:p w:rsidR="00487D64" w:rsidRDefault="006F0D93">
            <w:pPr>
              <w:pStyle w:val="TableParagraph"/>
              <w:spacing w:before="139"/>
              <w:ind w:left="11" w:right="2"/>
              <w:jc w:val="center"/>
              <w:rPr>
                <w:sz w:val="23"/>
              </w:rPr>
            </w:pPr>
            <w:r>
              <w:rPr>
                <w:spacing w:val="-2"/>
                <w:w w:val="105"/>
                <w:sz w:val="23"/>
              </w:rPr>
              <w:t>1898.000</w:t>
            </w:r>
          </w:p>
        </w:tc>
        <w:tc>
          <w:tcPr>
            <w:tcW w:w="2197" w:type="dxa"/>
          </w:tcPr>
          <w:p w:rsidR="00487D64" w:rsidRDefault="006F0D93">
            <w:pPr>
              <w:pStyle w:val="TableParagraph"/>
              <w:spacing w:before="139"/>
              <w:ind w:left="579"/>
              <w:rPr>
                <w:sz w:val="23"/>
              </w:rPr>
            </w:pPr>
            <w:r>
              <w:rPr>
                <w:spacing w:val="-2"/>
                <w:w w:val="105"/>
                <w:sz w:val="23"/>
              </w:rPr>
              <w:t>1450.000</w:t>
            </w:r>
          </w:p>
        </w:tc>
        <w:tc>
          <w:tcPr>
            <w:tcW w:w="3346" w:type="dxa"/>
          </w:tcPr>
          <w:p w:rsidR="00487D64" w:rsidRDefault="006F0D93">
            <w:pPr>
              <w:pStyle w:val="TableParagraph"/>
              <w:spacing w:before="139"/>
              <w:ind w:left="11" w:right="154"/>
              <w:jc w:val="center"/>
              <w:rPr>
                <w:sz w:val="23"/>
              </w:rPr>
            </w:pPr>
            <w:r>
              <w:rPr>
                <w:spacing w:val="-2"/>
                <w:w w:val="105"/>
                <w:sz w:val="23"/>
              </w:rPr>
              <w:t>0.236</w:t>
            </w:r>
          </w:p>
        </w:tc>
      </w:tr>
      <w:tr w:rsidR="00487D64">
        <w:trPr>
          <w:trHeight w:val="554"/>
        </w:trPr>
        <w:tc>
          <w:tcPr>
            <w:tcW w:w="1040" w:type="dxa"/>
          </w:tcPr>
          <w:p w:rsidR="00487D64" w:rsidRDefault="006F0D93">
            <w:pPr>
              <w:pStyle w:val="TableParagraph"/>
              <w:spacing w:before="142"/>
              <w:ind w:left="122"/>
              <w:rPr>
                <w:sz w:val="23"/>
              </w:rPr>
            </w:pPr>
            <w:r>
              <w:rPr>
                <w:spacing w:val="-5"/>
                <w:w w:val="105"/>
                <w:sz w:val="23"/>
              </w:rPr>
              <w:t>SC</w:t>
            </w:r>
          </w:p>
        </w:tc>
        <w:tc>
          <w:tcPr>
            <w:tcW w:w="2069" w:type="dxa"/>
          </w:tcPr>
          <w:p w:rsidR="00487D64" w:rsidRDefault="006F0D93">
            <w:pPr>
              <w:pStyle w:val="TableParagraph"/>
              <w:spacing w:before="142"/>
              <w:ind w:left="11" w:right="2"/>
              <w:jc w:val="center"/>
              <w:rPr>
                <w:sz w:val="23"/>
              </w:rPr>
            </w:pPr>
            <w:r>
              <w:rPr>
                <w:spacing w:val="-2"/>
                <w:w w:val="105"/>
                <w:sz w:val="23"/>
              </w:rPr>
              <w:t>1965.000</w:t>
            </w:r>
          </w:p>
        </w:tc>
        <w:tc>
          <w:tcPr>
            <w:tcW w:w="2197" w:type="dxa"/>
          </w:tcPr>
          <w:p w:rsidR="00487D64" w:rsidRDefault="006F0D93">
            <w:pPr>
              <w:pStyle w:val="TableParagraph"/>
              <w:spacing w:before="142"/>
              <w:ind w:left="579"/>
              <w:rPr>
                <w:sz w:val="23"/>
              </w:rPr>
            </w:pPr>
            <w:r>
              <w:rPr>
                <w:spacing w:val="-2"/>
                <w:w w:val="105"/>
                <w:sz w:val="23"/>
              </w:rPr>
              <w:t>1239.369</w:t>
            </w:r>
          </w:p>
        </w:tc>
        <w:tc>
          <w:tcPr>
            <w:tcW w:w="3346" w:type="dxa"/>
          </w:tcPr>
          <w:p w:rsidR="00487D64" w:rsidRDefault="006F0D93">
            <w:pPr>
              <w:pStyle w:val="TableParagraph"/>
              <w:spacing w:before="142"/>
              <w:ind w:left="11" w:right="154"/>
              <w:jc w:val="center"/>
              <w:rPr>
                <w:sz w:val="23"/>
              </w:rPr>
            </w:pPr>
            <w:r>
              <w:rPr>
                <w:spacing w:val="-2"/>
                <w:w w:val="105"/>
                <w:sz w:val="23"/>
              </w:rPr>
              <w:t>0.369</w:t>
            </w:r>
          </w:p>
        </w:tc>
      </w:tr>
      <w:tr w:rsidR="00487D64">
        <w:trPr>
          <w:trHeight w:val="687"/>
        </w:trPr>
        <w:tc>
          <w:tcPr>
            <w:tcW w:w="1040" w:type="dxa"/>
            <w:tcBorders>
              <w:bottom w:val="single" w:sz="4" w:space="0" w:color="000000"/>
            </w:tcBorders>
          </w:tcPr>
          <w:p w:rsidR="00487D64" w:rsidRDefault="006F0D93">
            <w:pPr>
              <w:pStyle w:val="TableParagraph"/>
              <w:spacing w:before="143"/>
              <w:ind w:left="122"/>
              <w:rPr>
                <w:sz w:val="23"/>
              </w:rPr>
            </w:pPr>
            <w:r>
              <w:rPr>
                <w:spacing w:val="-5"/>
                <w:w w:val="105"/>
                <w:sz w:val="23"/>
              </w:rPr>
              <w:t>SF</w:t>
            </w:r>
          </w:p>
        </w:tc>
        <w:tc>
          <w:tcPr>
            <w:tcW w:w="2069" w:type="dxa"/>
            <w:tcBorders>
              <w:bottom w:val="single" w:sz="4" w:space="0" w:color="000000"/>
            </w:tcBorders>
          </w:tcPr>
          <w:p w:rsidR="00487D64" w:rsidRDefault="006F0D93">
            <w:pPr>
              <w:pStyle w:val="TableParagraph"/>
              <w:spacing w:before="143"/>
              <w:ind w:left="11" w:right="2"/>
              <w:jc w:val="center"/>
              <w:rPr>
                <w:sz w:val="23"/>
              </w:rPr>
            </w:pPr>
            <w:r>
              <w:rPr>
                <w:spacing w:val="-2"/>
                <w:w w:val="105"/>
                <w:sz w:val="23"/>
              </w:rPr>
              <w:t>1898.000</w:t>
            </w:r>
          </w:p>
        </w:tc>
        <w:tc>
          <w:tcPr>
            <w:tcW w:w="2197" w:type="dxa"/>
            <w:tcBorders>
              <w:bottom w:val="single" w:sz="4" w:space="0" w:color="000000"/>
            </w:tcBorders>
          </w:tcPr>
          <w:p w:rsidR="00487D64" w:rsidRDefault="006F0D93">
            <w:pPr>
              <w:pStyle w:val="TableParagraph"/>
              <w:spacing w:before="143"/>
              <w:ind w:left="579"/>
              <w:rPr>
                <w:sz w:val="23"/>
              </w:rPr>
            </w:pPr>
            <w:r>
              <w:rPr>
                <w:spacing w:val="-2"/>
                <w:w w:val="105"/>
                <w:sz w:val="23"/>
              </w:rPr>
              <w:t>1200.000</w:t>
            </w:r>
          </w:p>
        </w:tc>
        <w:tc>
          <w:tcPr>
            <w:tcW w:w="3346" w:type="dxa"/>
            <w:tcBorders>
              <w:bottom w:val="single" w:sz="4" w:space="0" w:color="000000"/>
            </w:tcBorders>
          </w:tcPr>
          <w:p w:rsidR="00487D64" w:rsidRDefault="006F0D93">
            <w:pPr>
              <w:pStyle w:val="TableParagraph"/>
              <w:spacing w:before="143"/>
              <w:ind w:left="11" w:right="154"/>
              <w:jc w:val="center"/>
              <w:rPr>
                <w:sz w:val="23"/>
              </w:rPr>
            </w:pPr>
            <w:r>
              <w:rPr>
                <w:spacing w:val="-2"/>
                <w:w w:val="105"/>
                <w:sz w:val="23"/>
              </w:rPr>
              <w:t>0.368</w:t>
            </w:r>
          </w:p>
        </w:tc>
      </w:tr>
    </w:tbl>
    <w:p w:rsidR="00487D64" w:rsidRDefault="00487D64">
      <w:pPr>
        <w:pStyle w:val="TableParagraph"/>
        <w:jc w:val="center"/>
        <w:rPr>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pStyle w:val="ListParagraph"/>
        <w:numPr>
          <w:ilvl w:val="2"/>
          <w:numId w:val="9"/>
        </w:numPr>
        <w:tabs>
          <w:tab w:val="left" w:pos="1956"/>
        </w:tabs>
        <w:spacing w:before="1"/>
        <w:ind w:left="1956" w:hanging="537"/>
        <w:rPr>
          <w:b/>
          <w:sz w:val="23"/>
        </w:rPr>
      </w:pPr>
      <w:bookmarkStart w:id="174" w:name="4.6.5_Model_Fit_Results"/>
      <w:bookmarkStart w:id="175" w:name="_bookmark84"/>
      <w:bookmarkEnd w:id="174"/>
      <w:bookmarkEnd w:id="175"/>
      <w:r>
        <w:rPr>
          <w:b/>
          <w:w w:val="105"/>
          <w:sz w:val="23"/>
        </w:rPr>
        <w:t>Model</w:t>
      </w:r>
      <w:r>
        <w:rPr>
          <w:b/>
          <w:spacing w:val="-13"/>
          <w:w w:val="105"/>
          <w:sz w:val="23"/>
        </w:rPr>
        <w:t xml:space="preserve"> </w:t>
      </w:r>
      <w:r>
        <w:rPr>
          <w:b/>
          <w:w w:val="105"/>
          <w:sz w:val="23"/>
        </w:rPr>
        <w:t>Fit</w:t>
      </w:r>
      <w:r>
        <w:rPr>
          <w:b/>
          <w:spacing w:val="-10"/>
          <w:w w:val="105"/>
          <w:sz w:val="23"/>
        </w:rPr>
        <w:t xml:space="preserve"> </w:t>
      </w:r>
      <w:r>
        <w:rPr>
          <w:b/>
          <w:spacing w:val="-2"/>
          <w:w w:val="105"/>
          <w:sz w:val="23"/>
        </w:rPr>
        <w:t>Results</w:t>
      </w:r>
    </w:p>
    <w:p w:rsidR="00487D64" w:rsidRDefault="00487D64">
      <w:pPr>
        <w:pStyle w:val="BodyText"/>
        <w:spacing w:before="18"/>
        <w:rPr>
          <w:b/>
        </w:rPr>
      </w:pPr>
    </w:p>
    <w:p w:rsidR="00487D64" w:rsidRDefault="006F0D93">
      <w:pPr>
        <w:pStyle w:val="BodyText"/>
        <w:spacing w:line="501" w:lineRule="auto"/>
        <w:ind w:left="1419" w:right="847"/>
        <w:jc w:val="both"/>
      </w:pPr>
      <w:r>
        <w:rPr>
          <w:w w:val="105"/>
        </w:rPr>
        <w:t>The model fit was assessed using SRMR, d_ULS, d_G, Chi-square, and NFI. The results</w:t>
      </w:r>
      <w:r>
        <w:rPr>
          <w:spacing w:val="-2"/>
          <w:w w:val="105"/>
        </w:rPr>
        <w:t xml:space="preserve"> </w:t>
      </w:r>
      <w:r>
        <w:rPr>
          <w:w w:val="105"/>
        </w:rPr>
        <w:t>indicate</w:t>
      </w:r>
      <w:r>
        <w:rPr>
          <w:spacing w:val="-1"/>
          <w:w w:val="105"/>
        </w:rPr>
        <w:t xml:space="preserve"> </w:t>
      </w:r>
      <w:r>
        <w:rPr>
          <w:w w:val="105"/>
        </w:rPr>
        <w:t>that the hypothesized model fits</w:t>
      </w:r>
      <w:r>
        <w:rPr>
          <w:spacing w:val="-2"/>
          <w:w w:val="105"/>
        </w:rPr>
        <w:t xml:space="preserve"> </w:t>
      </w:r>
      <w:r>
        <w:rPr>
          <w:w w:val="105"/>
        </w:rPr>
        <w:t>the</w:t>
      </w:r>
      <w:r>
        <w:rPr>
          <w:spacing w:val="-1"/>
          <w:w w:val="105"/>
        </w:rPr>
        <w:t xml:space="preserve"> </w:t>
      </w:r>
      <w:r>
        <w:rPr>
          <w:w w:val="105"/>
        </w:rPr>
        <w:t>data well. The</w:t>
      </w:r>
      <w:r>
        <w:rPr>
          <w:spacing w:val="-1"/>
          <w:w w:val="105"/>
        </w:rPr>
        <w:t xml:space="preserve"> </w:t>
      </w:r>
      <w:r>
        <w:rPr>
          <w:w w:val="105"/>
        </w:rPr>
        <w:t xml:space="preserve">SRMR value was 0.048, which is below the recommended threshold of 0.08 and demonstrates excellent model fit. The d_ULS values for the saturated (0.752) and estimated (0.748) models were nearly identical, </w:t>
      </w:r>
      <w:r>
        <w:rPr>
          <w:w w:val="105"/>
        </w:rPr>
        <w:t>while the d_G values were exactly the same (0.435), suggesting strong model stability and minimal discrepancy. The</w:t>
      </w:r>
      <w:r>
        <w:rPr>
          <w:spacing w:val="-3"/>
          <w:w w:val="105"/>
        </w:rPr>
        <w:t xml:space="preserve"> </w:t>
      </w:r>
      <w:r>
        <w:rPr>
          <w:w w:val="105"/>
        </w:rPr>
        <w:t>Chi-square statistics for the saturated (931.817) and estimated (930.710) models were also very close, indicating that the specified model ad</w:t>
      </w:r>
      <w:r>
        <w:rPr>
          <w:w w:val="105"/>
        </w:rPr>
        <w:t>equately represents the observed data. Although</w:t>
      </w:r>
      <w:r>
        <w:rPr>
          <w:spacing w:val="-4"/>
          <w:w w:val="105"/>
        </w:rPr>
        <w:t xml:space="preserve"> </w:t>
      </w:r>
      <w:r>
        <w:rPr>
          <w:w w:val="105"/>
        </w:rPr>
        <w:t>the</w:t>
      </w:r>
      <w:r>
        <w:rPr>
          <w:spacing w:val="-5"/>
          <w:w w:val="105"/>
        </w:rPr>
        <w:t xml:space="preserve"> </w:t>
      </w:r>
      <w:r>
        <w:rPr>
          <w:w w:val="105"/>
        </w:rPr>
        <w:t>NFI</w:t>
      </w:r>
      <w:r>
        <w:rPr>
          <w:spacing w:val="-1"/>
          <w:w w:val="105"/>
        </w:rPr>
        <w:t xml:space="preserve"> </w:t>
      </w:r>
      <w:r>
        <w:rPr>
          <w:w w:val="105"/>
        </w:rPr>
        <w:t>value of</w:t>
      </w:r>
      <w:r>
        <w:rPr>
          <w:spacing w:val="-7"/>
          <w:w w:val="105"/>
        </w:rPr>
        <w:t xml:space="preserve"> </w:t>
      </w:r>
      <w:r>
        <w:rPr>
          <w:w w:val="105"/>
        </w:rPr>
        <w:t>0.874 was slightly below</w:t>
      </w:r>
      <w:r>
        <w:rPr>
          <w:spacing w:val="-6"/>
          <w:w w:val="105"/>
        </w:rPr>
        <w:t xml:space="preserve"> </w:t>
      </w:r>
      <w:r>
        <w:rPr>
          <w:w w:val="105"/>
        </w:rPr>
        <w:t>the recommended</w:t>
      </w:r>
      <w:r>
        <w:rPr>
          <w:spacing w:val="-4"/>
          <w:w w:val="105"/>
        </w:rPr>
        <w:t xml:space="preserve"> </w:t>
      </w:r>
      <w:r>
        <w:rPr>
          <w:w w:val="105"/>
        </w:rPr>
        <w:t>0.90 cutoff,</w:t>
      </w:r>
      <w:r>
        <w:rPr>
          <w:spacing w:val="-2"/>
          <w:w w:val="105"/>
        </w:rPr>
        <w:t xml:space="preserve"> </w:t>
      </w:r>
      <w:r>
        <w:rPr>
          <w:w w:val="105"/>
        </w:rPr>
        <w:t>it is</w:t>
      </w:r>
      <w:r>
        <w:rPr>
          <w:spacing w:val="-1"/>
          <w:w w:val="105"/>
        </w:rPr>
        <w:t xml:space="preserve"> </w:t>
      </w:r>
      <w:r>
        <w:rPr>
          <w:w w:val="105"/>
        </w:rPr>
        <w:t>considered</w:t>
      </w:r>
      <w:r>
        <w:rPr>
          <w:spacing w:val="-3"/>
          <w:w w:val="105"/>
        </w:rPr>
        <w:t xml:space="preserve"> </w:t>
      </w:r>
      <w:r>
        <w:rPr>
          <w:w w:val="105"/>
        </w:rPr>
        <w:t>acceptable within the context of</w:t>
      </w:r>
      <w:r>
        <w:rPr>
          <w:spacing w:val="-8"/>
          <w:w w:val="105"/>
        </w:rPr>
        <w:t xml:space="preserve"> </w:t>
      </w:r>
      <w:r>
        <w:rPr>
          <w:w w:val="105"/>
        </w:rPr>
        <w:t>PLS-SEM where</w:t>
      </w:r>
      <w:r>
        <w:rPr>
          <w:spacing w:val="-6"/>
          <w:w w:val="105"/>
        </w:rPr>
        <w:t xml:space="preserve"> </w:t>
      </w:r>
      <w:r>
        <w:rPr>
          <w:w w:val="105"/>
        </w:rPr>
        <w:t>SRMR</w:t>
      </w:r>
      <w:r>
        <w:rPr>
          <w:spacing w:val="-3"/>
          <w:w w:val="105"/>
        </w:rPr>
        <w:t xml:space="preserve"> </w:t>
      </w:r>
      <w:r>
        <w:rPr>
          <w:w w:val="105"/>
        </w:rPr>
        <w:t>is</w:t>
      </w:r>
      <w:r>
        <w:rPr>
          <w:spacing w:val="-1"/>
          <w:w w:val="105"/>
        </w:rPr>
        <w:t xml:space="preserve"> </w:t>
      </w:r>
      <w:r>
        <w:rPr>
          <w:w w:val="105"/>
        </w:rPr>
        <w:t>prioritized. Hence supporting the validity of the hypothesized relationships among constructs.</w:t>
      </w:r>
    </w:p>
    <w:p w:rsidR="00487D64" w:rsidRDefault="00487D64">
      <w:pPr>
        <w:pStyle w:val="BodyText"/>
        <w:spacing w:before="1"/>
      </w:pPr>
    </w:p>
    <w:p w:rsidR="00487D64" w:rsidRDefault="006F0D93">
      <w:pPr>
        <w:ind w:left="1419"/>
        <w:jc w:val="both"/>
        <w:rPr>
          <w:b/>
          <w:sz w:val="23"/>
        </w:rPr>
      </w:pPr>
      <w:r>
        <w:rPr>
          <w:b/>
          <w:w w:val="105"/>
          <w:sz w:val="23"/>
        </w:rPr>
        <w:t>Table</w:t>
      </w:r>
      <w:r>
        <w:rPr>
          <w:b/>
          <w:spacing w:val="-6"/>
          <w:w w:val="105"/>
          <w:sz w:val="23"/>
        </w:rPr>
        <w:t xml:space="preserve"> </w:t>
      </w:r>
      <w:r>
        <w:rPr>
          <w:b/>
          <w:w w:val="105"/>
          <w:sz w:val="23"/>
        </w:rPr>
        <w:t>4.</w:t>
      </w:r>
      <w:r>
        <w:rPr>
          <w:b/>
          <w:spacing w:val="-8"/>
          <w:w w:val="105"/>
          <w:sz w:val="23"/>
        </w:rPr>
        <w:t xml:space="preserve"> </w:t>
      </w:r>
      <w:r>
        <w:rPr>
          <w:b/>
          <w:w w:val="105"/>
          <w:sz w:val="23"/>
        </w:rPr>
        <w:t>17:</w:t>
      </w:r>
      <w:r>
        <w:rPr>
          <w:b/>
          <w:spacing w:val="-7"/>
          <w:w w:val="105"/>
          <w:sz w:val="23"/>
        </w:rPr>
        <w:t xml:space="preserve"> </w:t>
      </w:r>
      <w:r>
        <w:rPr>
          <w:b/>
          <w:w w:val="105"/>
          <w:sz w:val="23"/>
        </w:rPr>
        <w:t>Model</w:t>
      </w:r>
      <w:r>
        <w:rPr>
          <w:b/>
          <w:spacing w:val="-10"/>
          <w:w w:val="105"/>
          <w:sz w:val="23"/>
        </w:rPr>
        <w:t xml:space="preserve"> </w:t>
      </w:r>
      <w:r>
        <w:rPr>
          <w:b/>
          <w:w w:val="105"/>
          <w:sz w:val="23"/>
        </w:rPr>
        <w:t>Fit</w:t>
      </w:r>
      <w:r>
        <w:rPr>
          <w:b/>
          <w:spacing w:val="-7"/>
          <w:w w:val="105"/>
          <w:sz w:val="23"/>
        </w:rPr>
        <w:t xml:space="preserve"> </w:t>
      </w:r>
      <w:r>
        <w:rPr>
          <w:b/>
          <w:spacing w:val="-2"/>
          <w:w w:val="105"/>
          <w:sz w:val="23"/>
        </w:rPr>
        <w:t>Results</w:t>
      </w:r>
    </w:p>
    <w:p w:rsidR="00487D64" w:rsidRDefault="00487D64">
      <w:pPr>
        <w:pStyle w:val="BodyText"/>
        <w:spacing w:before="9"/>
        <w:rPr>
          <w:b/>
          <w:sz w:val="15"/>
        </w:rPr>
      </w:pPr>
    </w:p>
    <w:tbl>
      <w:tblPr>
        <w:tblW w:w="0" w:type="auto"/>
        <w:tblInd w:w="1376" w:type="dxa"/>
        <w:tblLayout w:type="fixed"/>
        <w:tblCellMar>
          <w:left w:w="0" w:type="dxa"/>
          <w:right w:w="0" w:type="dxa"/>
        </w:tblCellMar>
        <w:tblLook w:val="01E0" w:firstRow="1" w:lastRow="1" w:firstColumn="1" w:lastColumn="1" w:noHBand="0" w:noVBand="0"/>
      </w:tblPr>
      <w:tblGrid>
        <w:gridCol w:w="1952"/>
        <w:gridCol w:w="1115"/>
        <w:gridCol w:w="1132"/>
        <w:gridCol w:w="2270"/>
        <w:gridCol w:w="1855"/>
      </w:tblGrid>
      <w:tr w:rsidR="00487D64">
        <w:trPr>
          <w:trHeight w:val="652"/>
        </w:trPr>
        <w:tc>
          <w:tcPr>
            <w:tcW w:w="1952" w:type="dxa"/>
            <w:tcBorders>
              <w:top w:val="single" w:sz="4" w:space="0" w:color="000000"/>
              <w:bottom w:val="single" w:sz="4" w:space="0" w:color="000000"/>
            </w:tcBorders>
          </w:tcPr>
          <w:p w:rsidR="00487D64" w:rsidRDefault="006F0D93">
            <w:pPr>
              <w:pStyle w:val="TableParagraph"/>
              <w:spacing w:before="172"/>
              <w:ind w:left="50"/>
              <w:rPr>
                <w:b/>
                <w:sz w:val="23"/>
              </w:rPr>
            </w:pPr>
            <w:r>
              <w:rPr>
                <w:b/>
                <w:w w:val="105"/>
                <w:sz w:val="23"/>
              </w:rPr>
              <w:t>Fit</w:t>
            </w:r>
            <w:r>
              <w:rPr>
                <w:b/>
                <w:spacing w:val="-13"/>
                <w:w w:val="105"/>
                <w:sz w:val="23"/>
              </w:rPr>
              <w:t xml:space="preserve"> </w:t>
            </w:r>
            <w:r>
              <w:rPr>
                <w:b/>
                <w:spacing w:val="-2"/>
                <w:w w:val="105"/>
                <w:sz w:val="23"/>
              </w:rPr>
              <w:t>Index</w:t>
            </w:r>
          </w:p>
        </w:tc>
        <w:tc>
          <w:tcPr>
            <w:tcW w:w="1115" w:type="dxa"/>
            <w:tcBorders>
              <w:top w:val="single" w:sz="4" w:space="0" w:color="000000"/>
              <w:bottom w:val="single" w:sz="4" w:space="0" w:color="000000"/>
            </w:tcBorders>
          </w:tcPr>
          <w:p w:rsidR="00487D64" w:rsidRDefault="006F0D93">
            <w:pPr>
              <w:pStyle w:val="TableParagraph"/>
              <w:spacing w:before="14"/>
              <w:ind w:left="11" w:right="12"/>
              <w:jc w:val="center"/>
              <w:rPr>
                <w:b/>
                <w:sz w:val="23"/>
              </w:rPr>
            </w:pPr>
            <w:r>
              <w:rPr>
                <w:b/>
                <w:spacing w:val="-2"/>
                <w:w w:val="105"/>
                <w:sz w:val="23"/>
              </w:rPr>
              <w:t>Saturated</w:t>
            </w:r>
          </w:p>
          <w:p w:rsidR="00487D64" w:rsidRDefault="006F0D93">
            <w:pPr>
              <w:pStyle w:val="TableParagraph"/>
              <w:spacing w:before="52"/>
              <w:ind w:left="14" w:right="12"/>
              <w:jc w:val="center"/>
              <w:rPr>
                <w:b/>
                <w:sz w:val="23"/>
              </w:rPr>
            </w:pPr>
            <w:r>
              <w:rPr>
                <w:b/>
                <w:spacing w:val="-2"/>
                <w:w w:val="105"/>
                <w:sz w:val="23"/>
              </w:rPr>
              <w:t>Model</w:t>
            </w:r>
          </w:p>
        </w:tc>
        <w:tc>
          <w:tcPr>
            <w:tcW w:w="1132" w:type="dxa"/>
            <w:tcBorders>
              <w:top w:val="single" w:sz="4" w:space="0" w:color="000000"/>
              <w:bottom w:val="single" w:sz="4" w:space="0" w:color="000000"/>
            </w:tcBorders>
          </w:tcPr>
          <w:p w:rsidR="00487D64" w:rsidRDefault="006F0D93">
            <w:pPr>
              <w:pStyle w:val="TableParagraph"/>
              <w:spacing w:before="14"/>
              <w:ind w:left="12" w:right="8"/>
              <w:jc w:val="center"/>
              <w:rPr>
                <w:b/>
                <w:sz w:val="23"/>
              </w:rPr>
            </w:pPr>
            <w:r>
              <w:rPr>
                <w:b/>
                <w:spacing w:val="-2"/>
                <w:w w:val="105"/>
                <w:sz w:val="23"/>
              </w:rPr>
              <w:t>Estimated</w:t>
            </w:r>
          </w:p>
          <w:p w:rsidR="00487D64" w:rsidRDefault="006F0D93">
            <w:pPr>
              <w:pStyle w:val="TableParagraph"/>
              <w:spacing w:before="52"/>
              <w:ind w:left="12" w:right="9"/>
              <w:jc w:val="center"/>
              <w:rPr>
                <w:b/>
                <w:sz w:val="23"/>
              </w:rPr>
            </w:pPr>
            <w:r>
              <w:rPr>
                <w:b/>
                <w:spacing w:val="-2"/>
                <w:w w:val="105"/>
                <w:sz w:val="23"/>
              </w:rPr>
              <w:t>Model</w:t>
            </w:r>
          </w:p>
        </w:tc>
        <w:tc>
          <w:tcPr>
            <w:tcW w:w="2270" w:type="dxa"/>
            <w:tcBorders>
              <w:top w:val="single" w:sz="4" w:space="0" w:color="000000"/>
              <w:bottom w:val="single" w:sz="4" w:space="0" w:color="000000"/>
            </w:tcBorders>
          </w:tcPr>
          <w:p w:rsidR="00487D64" w:rsidRDefault="006F0D93">
            <w:pPr>
              <w:pStyle w:val="TableParagraph"/>
              <w:spacing w:before="172"/>
              <w:ind w:left="44"/>
              <w:rPr>
                <w:b/>
                <w:sz w:val="23"/>
              </w:rPr>
            </w:pPr>
            <w:r>
              <w:rPr>
                <w:b/>
                <w:spacing w:val="-2"/>
                <w:w w:val="105"/>
                <w:sz w:val="23"/>
              </w:rPr>
              <w:t>Threshold/Guideline</w:t>
            </w:r>
          </w:p>
        </w:tc>
        <w:tc>
          <w:tcPr>
            <w:tcW w:w="1855" w:type="dxa"/>
            <w:tcBorders>
              <w:top w:val="single" w:sz="4" w:space="0" w:color="000000"/>
              <w:bottom w:val="single" w:sz="4" w:space="0" w:color="000000"/>
            </w:tcBorders>
          </w:tcPr>
          <w:p w:rsidR="00487D64" w:rsidRDefault="006F0D93">
            <w:pPr>
              <w:pStyle w:val="TableParagraph"/>
              <w:spacing w:before="172"/>
              <w:ind w:left="108"/>
              <w:rPr>
                <w:b/>
                <w:sz w:val="23"/>
              </w:rPr>
            </w:pPr>
            <w:r>
              <w:rPr>
                <w:b/>
                <w:spacing w:val="-2"/>
                <w:w w:val="105"/>
                <w:sz w:val="23"/>
              </w:rPr>
              <w:t>Interpretation</w:t>
            </w:r>
          </w:p>
        </w:tc>
      </w:tr>
      <w:tr w:rsidR="00487D64">
        <w:trPr>
          <w:trHeight w:val="1330"/>
        </w:trPr>
        <w:tc>
          <w:tcPr>
            <w:tcW w:w="1952" w:type="dxa"/>
            <w:tcBorders>
              <w:top w:val="single" w:sz="4" w:space="0" w:color="000000"/>
            </w:tcBorders>
          </w:tcPr>
          <w:p w:rsidR="00487D64" w:rsidRDefault="006F0D93">
            <w:pPr>
              <w:pStyle w:val="TableParagraph"/>
              <w:spacing w:before="57"/>
              <w:ind w:left="50"/>
              <w:rPr>
                <w:b/>
                <w:sz w:val="23"/>
              </w:rPr>
            </w:pPr>
            <w:r>
              <w:rPr>
                <w:b/>
                <w:spacing w:val="-4"/>
                <w:w w:val="105"/>
                <w:sz w:val="23"/>
              </w:rPr>
              <w:t>SRMR</w:t>
            </w:r>
          </w:p>
          <w:p w:rsidR="00487D64" w:rsidRDefault="006F0D93">
            <w:pPr>
              <w:pStyle w:val="TableParagraph"/>
              <w:spacing w:before="46" w:line="288" w:lineRule="auto"/>
              <w:ind w:left="50"/>
              <w:rPr>
                <w:sz w:val="23"/>
              </w:rPr>
            </w:pPr>
            <w:r>
              <w:rPr>
                <w:spacing w:val="-2"/>
                <w:w w:val="105"/>
                <w:sz w:val="23"/>
              </w:rPr>
              <w:t>(Standardized</w:t>
            </w:r>
            <w:r>
              <w:rPr>
                <w:spacing w:val="-14"/>
                <w:w w:val="105"/>
                <w:sz w:val="23"/>
              </w:rPr>
              <w:t xml:space="preserve"> </w:t>
            </w:r>
            <w:r>
              <w:rPr>
                <w:spacing w:val="-2"/>
                <w:w w:val="105"/>
                <w:sz w:val="23"/>
              </w:rPr>
              <w:t xml:space="preserve">Root </w:t>
            </w:r>
            <w:r>
              <w:rPr>
                <w:w w:val="105"/>
                <w:sz w:val="23"/>
              </w:rPr>
              <w:t>Mean Square</w:t>
            </w:r>
          </w:p>
          <w:p w:rsidR="00487D64" w:rsidRDefault="006F0D93">
            <w:pPr>
              <w:pStyle w:val="TableParagraph"/>
              <w:spacing w:before="6"/>
              <w:ind w:left="50"/>
              <w:rPr>
                <w:sz w:val="23"/>
              </w:rPr>
            </w:pPr>
            <w:r>
              <w:rPr>
                <w:spacing w:val="-2"/>
                <w:w w:val="105"/>
                <w:sz w:val="23"/>
              </w:rPr>
              <w:t>Residual)</w:t>
            </w:r>
          </w:p>
        </w:tc>
        <w:tc>
          <w:tcPr>
            <w:tcW w:w="1115" w:type="dxa"/>
            <w:tcBorders>
              <w:top w:val="single" w:sz="4" w:space="0" w:color="000000"/>
            </w:tcBorders>
          </w:tcPr>
          <w:p w:rsidR="00487D64" w:rsidRDefault="00487D64">
            <w:pPr>
              <w:pStyle w:val="TableParagraph"/>
              <w:spacing w:before="261"/>
              <w:rPr>
                <w:b/>
                <w:sz w:val="23"/>
              </w:rPr>
            </w:pPr>
          </w:p>
          <w:p w:rsidR="00487D64" w:rsidRDefault="006F0D93">
            <w:pPr>
              <w:pStyle w:val="TableParagraph"/>
              <w:ind w:left="16" w:right="12"/>
              <w:jc w:val="center"/>
              <w:rPr>
                <w:sz w:val="23"/>
              </w:rPr>
            </w:pPr>
            <w:r>
              <w:rPr>
                <w:spacing w:val="-2"/>
                <w:w w:val="105"/>
                <w:sz w:val="23"/>
              </w:rPr>
              <w:t>0.048</w:t>
            </w:r>
          </w:p>
        </w:tc>
        <w:tc>
          <w:tcPr>
            <w:tcW w:w="1132" w:type="dxa"/>
            <w:tcBorders>
              <w:top w:val="single" w:sz="4" w:space="0" w:color="000000"/>
            </w:tcBorders>
          </w:tcPr>
          <w:p w:rsidR="00487D64" w:rsidRDefault="00487D64">
            <w:pPr>
              <w:pStyle w:val="TableParagraph"/>
              <w:spacing w:before="261"/>
              <w:rPr>
                <w:b/>
                <w:sz w:val="23"/>
              </w:rPr>
            </w:pPr>
          </w:p>
          <w:p w:rsidR="00487D64" w:rsidRDefault="006F0D93">
            <w:pPr>
              <w:pStyle w:val="TableParagraph"/>
              <w:ind w:left="12" w:right="7"/>
              <w:jc w:val="center"/>
              <w:rPr>
                <w:sz w:val="23"/>
              </w:rPr>
            </w:pPr>
            <w:r>
              <w:rPr>
                <w:spacing w:val="-2"/>
                <w:w w:val="105"/>
                <w:sz w:val="23"/>
              </w:rPr>
              <w:t>0.048</w:t>
            </w:r>
          </w:p>
        </w:tc>
        <w:tc>
          <w:tcPr>
            <w:tcW w:w="2270" w:type="dxa"/>
            <w:tcBorders>
              <w:top w:val="single" w:sz="4" w:space="0" w:color="000000"/>
            </w:tcBorders>
          </w:tcPr>
          <w:p w:rsidR="00487D64" w:rsidRDefault="00487D64">
            <w:pPr>
              <w:pStyle w:val="TableParagraph"/>
              <w:spacing w:before="103"/>
              <w:rPr>
                <w:b/>
                <w:sz w:val="23"/>
              </w:rPr>
            </w:pPr>
          </w:p>
          <w:p w:rsidR="00487D64" w:rsidRDefault="006F0D93">
            <w:pPr>
              <w:pStyle w:val="TableParagraph"/>
              <w:ind w:left="44"/>
              <w:rPr>
                <w:sz w:val="23"/>
              </w:rPr>
            </w:pPr>
            <w:r>
              <w:rPr>
                <w:w w:val="105"/>
                <w:sz w:val="23"/>
              </w:rPr>
              <w:t>&lt;</w:t>
            </w:r>
            <w:r>
              <w:rPr>
                <w:spacing w:val="-11"/>
                <w:w w:val="105"/>
                <w:sz w:val="23"/>
              </w:rPr>
              <w:t xml:space="preserve"> </w:t>
            </w:r>
            <w:r>
              <w:rPr>
                <w:w w:val="105"/>
                <w:sz w:val="23"/>
              </w:rPr>
              <w:t>0.08</w:t>
            </w:r>
            <w:r>
              <w:rPr>
                <w:spacing w:val="-9"/>
                <w:w w:val="105"/>
                <w:sz w:val="23"/>
              </w:rPr>
              <w:t xml:space="preserve"> </w:t>
            </w:r>
            <w:r>
              <w:rPr>
                <w:w w:val="105"/>
                <w:sz w:val="23"/>
              </w:rPr>
              <w:t>acceptable,</w:t>
            </w:r>
            <w:r>
              <w:rPr>
                <w:spacing w:val="-13"/>
                <w:w w:val="105"/>
                <w:sz w:val="23"/>
              </w:rPr>
              <w:t xml:space="preserve"> </w:t>
            </w:r>
            <w:r>
              <w:rPr>
                <w:spacing w:val="-10"/>
                <w:w w:val="105"/>
                <w:sz w:val="23"/>
              </w:rPr>
              <w:t>&lt;</w:t>
            </w:r>
          </w:p>
          <w:p w:rsidR="00487D64" w:rsidRDefault="006F0D93">
            <w:pPr>
              <w:pStyle w:val="TableParagraph"/>
              <w:spacing w:before="52"/>
              <w:ind w:left="44"/>
              <w:rPr>
                <w:sz w:val="23"/>
              </w:rPr>
            </w:pPr>
            <w:r>
              <w:rPr>
                <w:w w:val="105"/>
                <w:sz w:val="23"/>
              </w:rPr>
              <w:t>0.05</w:t>
            </w:r>
            <w:r>
              <w:rPr>
                <w:spacing w:val="-4"/>
                <w:w w:val="105"/>
                <w:sz w:val="23"/>
              </w:rPr>
              <w:t xml:space="preserve"> </w:t>
            </w:r>
            <w:r>
              <w:rPr>
                <w:spacing w:val="-2"/>
                <w:w w:val="105"/>
                <w:sz w:val="23"/>
              </w:rPr>
              <w:t>excellent</w:t>
            </w:r>
          </w:p>
        </w:tc>
        <w:tc>
          <w:tcPr>
            <w:tcW w:w="1855" w:type="dxa"/>
            <w:tcBorders>
              <w:top w:val="single" w:sz="4" w:space="0" w:color="000000"/>
            </w:tcBorders>
          </w:tcPr>
          <w:p w:rsidR="00487D64" w:rsidRDefault="006F0D93">
            <w:pPr>
              <w:pStyle w:val="TableParagraph"/>
              <w:spacing w:before="209" w:line="288" w:lineRule="auto"/>
              <w:ind w:left="108" w:right="70"/>
              <w:rPr>
                <w:sz w:val="23"/>
              </w:rPr>
            </w:pPr>
            <w:r>
              <w:rPr>
                <w:spacing w:val="-2"/>
                <w:w w:val="105"/>
                <w:sz w:val="23"/>
              </w:rPr>
              <w:t>Indicates excellent</w:t>
            </w:r>
            <w:r>
              <w:rPr>
                <w:spacing w:val="-14"/>
                <w:w w:val="105"/>
                <w:sz w:val="23"/>
              </w:rPr>
              <w:t xml:space="preserve"> </w:t>
            </w:r>
            <w:r>
              <w:rPr>
                <w:spacing w:val="-2"/>
                <w:w w:val="105"/>
                <w:sz w:val="23"/>
              </w:rPr>
              <w:t xml:space="preserve">model </w:t>
            </w:r>
            <w:r>
              <w:rPr>
                <w:spacing w:val="-4"/>
                <w:w w:val="105"/>
                <w:sz w:val="23"/>
              </w:rPr>
              <w:t>fit</w:t>
            </w:r>
          </w:p>
        </w:tc>
      </w:tr>
      <w:tr w:rsidR="00487D64">
        <w:trPr>
          <w:trHeight w:val="1008"/>
        </w:trPr>
        <w:tc>
          <w:tcPr>
            <w:tcW w:w="1952" w:type="dxa"/>
          </w:tcPr>
          <w:p w:rsidR="00487D64" w:rsidRDefault="006F0D93">
            <w:pPr>
              <w:pStyle w:val="TableParagraph"/>
              <w:spacing w:before="7" w:line="310" w:lineRule="atLeast"/>
              <w:ind w:left="50" w:right="236"/>
              <w:rPr>
                <w:sz w:val="23"/>
              </w:rPr>
            </w:pPr>
            <w:r>
              <w:rPr>
                <w:b/>
                <w:spacing w:val="-2"/>
                <w:w w:val="105"/>
                <w:sz w:val="23"/>
              </w:rPr>
              <w:t>d_ULS</w:t>
            </w:r>
            <w:r>
              <w:rPr>
                <w:b/>
                <w:spacing w:val="-14"/>
                <w:w w:val="105"/>
                <w:sz w:val="23"/>
              </w:rPr>
              <w:t xml:space="preserve"> </w:t>
            </w:r>
            <w:r>
              <w:rPr>
                <w:spacing w:val="-2"/>
                <w:w w:val="105"/>
                <w:sz w:val="23"/>
              </w:rPr>
              <w:t>(Squared Euclidean Distance)</w:t>
            </w:r>
          </w:p>
        </w:tc>
        <w:tc>
          <w:tcPr>
            <w:tcW w:w="1115" w:type="dxa"/>
          </w:tcPr>
          <w:p w:rsidR="00487D64" w:rsidRDefault="00487D64">
            <w:pPr>
              <w:pStyle w:val="TableParagraph"/>
              <w:spacing w:before="105"/>
              <w:rPr>
                <w:b/>
                <w:sz w:val="23"/>
              </w:rPr>
            </w:pPr>
          </w:p>
          <w:p w:rsidR="00487D64" w:rsidRDefault="006F0D93">
            <w:pPr>
              <w:pStyle w:val="TableParagraph"/>
              <w:ind w:left="16" w:right="12"/>
              <w:jc w:val="center"/>
              <w:rPr>
                <w:sz w:val="23"/>
              </w:rPr>
            </w:pPr>
            <w:r>
              <w:rPr>
                <w:spacing w:val="-2"/>
                <w:w w:val="105"/>
                <w:sz w:val="23"/>
              </w:rPr>
              <w:t>0.752</w:t>
            </w:r>
          </w:p>
        </w:tc>
        <w:tc>
          <w:tcPr>
            <w:tcW w:w="1132" w:type="dxa"/>
          </w:tcPr>
          <w:p w:rsidR="00487D64" w:rsidRDefault="00487D64">
            <w:pPr>
              <w:pStyle w:val="TableParagraph"/>
              <w:spacing w:before="105"/>
              <w:rPr>
                <w:b/>
                <w:sz w:val="23"/>
              </w:rPr>
            </w:pPr>
          </w:p>
          <w:p w:rsidR="00487D64" w:rsidRDefault="006F0D93">
            <w:pPr>
              <w:pStyle w:val="TableParagraph"/>
              <w:ind w:left="12" w:right="7"/>
              <w:jc w:val="center"/>
              <w:rPr>
                <w:sz w:val="23"/>
              </w:rPr>
            </w:pPr>
            <w:r>
              <w:rPr>
                <w:spacing w:val="-2"/>
                <w:w w:val="105"/>
                <w:sz w:val="23"/>
              </w:rPr>
              <w:t>0.748</w:t>
            </w:r>
          </w:p>
        </w:tc>
        <w:tc>
          <w:tcPr>
            <w:tcW w:w="2270" w:type="dxa"/>
          </w:tcPr>
          <w:p w:rsidR="00487D64" w:rsidRDefault="006F0D93">
            <w:pPr>
              <w:pStyle w:val="TableParagraph"/>
              <w:spacing w:before="211" w:line="288" w:lineRule="auto"/>
              <w:ind w:left="44"/>
              <w:rPr>
                <w:sz w:val="23"/>
              </w:rPr>
            </w:pPr>
            <w:r>
              <w:rPr>
                <w:spacing w:val="-2"/>
                <w:w w:val="105"/>
                <w:sz w:val="23"/>
              </w:rPr>
              <w:t>Smaller</w:t>
            </w:r>
            <w:r>
              <w:rPr>
                <w:spacing w:val="-12"/>
                <w:w w:val="105"/>
                <w:sz w:val="23"/>
              </w:rPr>
              <w:t xml:space="preserve"> </w:t>
            </w:r>
            <w:r>
              <w:rPr>
                <w:spacing w:val="-2"/>
                <w:w w:val="105"/>
                <w:sz w:val="23"/>
              </w:rPr>
              <w:t>differences</w:t>
            </w:r>
            <w:r>
              <w:rPr>
                <w:spacing w:val="-13"/>
                <w:w w:val="105"/>
                <w:sz w:val="23"/>
              </w:rPr>
              <w:t xml:space="preserve"> </w:t>
            </w:r>
            <w:r>
              <w:rPr>
                <w:spacing w:val="-2"/>
                <w:w w:val="105"/>
                <w:sz w:val="23"/>
              </w:rPr>
              <w:t>= better</w:t>
            </w:r>
          </w:p>
        </w:tc>
        <w:tc>
          <w:tcPr>
            <w:tcW w:w="1855" w:type="dxa"/>
          </w:tcPr>
          <w:p w:rsidR="00487D64" w:rsidRDefault="006F0D93">
            <w:pPr>
              <w:pStyle w:val="TableParagraph"/>
              <w:spacing w:before="7" w:line="310" w:lineRule="atLeast"/>
              <w:ind w:left="108"/>
              <w:rPr>
                <w:sz w:val="23"/>
              </w:rPr>
            </w:pPr>
            <w:r>
              <w:rPr>
                <w:w w:val="105"/>
                <w:sz w:val="23"/>
              </w:rPr>
              <w:t xml:space="preserve">Very small </w:t>
            </w:r>
            <w:r>
              <w:rPr>
                <w:spacing w:val="-2"/>
                <w:w w:val="105"/>
                <w:sz w:val="23"/>
              </w:rPr>
              <w:t>difference,</w:t>
            </w:r>
            <w:r>
              <w:rPr>
                <w:spacing w:val="-14"/>
                <w:w w:val="105"/>
                <w:sz w:val="23"/>
              </w:rPr>
              <w:t xml:space="preserve"> </w:t>
            </w:r>
            <w:r>
              <w:rPr>
                <w:spacing w:val="-2"/>
                <w:w w:val="105"/>
                <w:sz w:val="23"/>
              </w:rPr>
              <w:t>stable model</w:t>
            </w:r>
          </w:p>
        </w:tc>
      </w:tr>
      <w:tr w:rsidR="00487D64">
        <w:trPr>
          <w:trHeight w:val="698"/>
        </w:trPr>
        <w:tc>
          <w:tcPr>
            <w:tcW w:w="1952" w:type="dxa"/>
          </w:tcPr>
          <w:p w:rsidR="00487D64" w:rsidRDefault="006F0D93">
            <w:pPr>
              <w:pStyle w:val="TableParagraph"/>
              <w:spacing w:before="8" w:line="324" w:lineRule="exact"/>
              <w:ind w:left="50"/>
              <w:rPr>
                <w:sz w:val="23"/>
              </w:rPr>
            </w:pPr>
            <w:r>
              <w:rPr>
                <w:b/>
                <w:spacing w:val="-2"/>
                <w:w w:val="105"/>
                <w:sz w:val="23"/>
              </w:rPr>
              <w:t>d_G</w:t>
            </w:r>
            <w:r>
              <w:rPr>
                <w:b/>
                <w:spacing w:val="-14"/>
                <w:w w:val="105"/>
                <w:sz w:val="23"/>
              </w:rPr>
              <w:t xml:space="preserve"> </w:t>
            </w:r>
            <w:r>
              <w:rPr>
                <w:spacing w:val="-2"/>
                <w:w w:val="105"/>
                <w:sz w:val="23"/>
              </w:rPr>
              <w:t>(Geodesic Distance)</w:t>
            </w:r>
          </w:p>
        </w:tc>
        <w:tc>
          <w:tcPr>
            <w:tcW w:w="1115" w:type="dxa"/>
          </w:tcPr>
          <w:p w:rsidR="00487D64" w:rsidRDefault="006F0D93">
            <w:pPr>
              <w:pStyle w:val="TableParagraph"/>
              <w:spacing w:before="218"/>
              <w:ind w:left="16" w:right="12"/>
              <w:jc w:val="center"/>
              <w:rPr>
                <w:sz w:val="23"/>
              </w:rPr>
            </w:pPr>
            <w:r>
              <w:rPr>
                <w:spacing w:val="-2"/>
                <w:w w:val="105"/>
                <w:sz w:val="23"/>
              </w:rPr>
              <w:t>0.435</w:t>
            </w:r>
          </w:p>
        </w:tc>
        <w:tc>
          <w:tcPr>
            <w:tcW w:w="1132" w:type="dxa"/>
          </w:tcPr>
          <w:p w:rsidR="00487D64" w:rsidRDefault="006F0D93">
            <w:pPr>
              <w:pStyle w:val="TableParagraph"/>
              <w:spacing w:before="218"/>
              <w:ind w:left="12" w:right="7"/>
              <w:jc w:val="center"/>
              <w:rPr>
                <w:sz w:val="23"/>
              </w:rPr>
            </w:pPr>
            <w:r>
              <w:rPr>
                <w:spacing w:val="-2"/>
                <w:w w:val="105"/>
                <w:sz w:val="23"/>
              </w:rPr>
              <w:t>0.435</w:t>
            </w:r>
          </w:p>
        </w:tc>
        <w:tc>
          <w:tcPr>
            <w:tcW w:w="2270" w:type="dxa"/>
          </w:tcPr>
          <w:p w:rsidR="00487D64" w:rsidRDefault="006F0D93">
            <w:pPr>
              <w:pStyle w:val="TableParagraph"/>
              <w:spacing w:before="8" w:line="324" w:lineRule="exact"/>
              <w:ind w:left="44"/>
              <w:rPr>
                <w:sz w:val="23"/>
              </w:rPr>
            </w:pPr>
            <w:r>
              <w:rPr>
                <w:spacing w:val="-2"/>
                <w:w w:val="105"/>
                <w:sz w:val="23"/>
              </w:rPr>
              <w:t>Smaller</w:t>
            </w:r>
            <w:r>
              <w:rPr>
                <w:spacing w:val="-13"/>
                <w:w w:val="105"/>
                <w:sz w:val="23"/>
              </w:rPr>
              <w:t xml:space="preserve"> </w:t>
            </w:r>
            <w:r>
              <w:rPr>
                <w:spacing w:val="-2"/>
                <w:w w:val="105"/>
                <w:sz w:val="23"/>
              </w:rPr>
              <w:t>differences</w:t>
            </w:r>
            <w:r>
              <w:rPr>
                <w:spacing w:val="-13"/>
                <w:w w:val="105"/>
                <w:sz w:val="23"/>
              </w:rPr>
              <w:t xml:space="preserve"> </w:t>
            </w:r>
            <w:r>
              <w:rPr>
                <w:spacing w:val="-2"/>
                <w:w w:val="105"/>
                <w:sz w:val="23"/>
              </w:rPr>
              <w:t>= better</w:t>
            </w:r>
          </w:p>
        </w:tc>
        <w:tc>
          <w:tcPr>
            <w:tcW w:w="1855" w:type="dxa"/>
          </w:tcPr>
          <w:p w:rsidR="00487D64" w:rsidRDefault="006F0D93">
            <w:pPr>
              <w:pStyle w:val="TableParagraph"/>
              <w:spacing w:before="8" w:line="324" w:lineRule="exact"/>
              <w:ind w:left="108"/>
              <w:rPr>
                <w:sz w:val="23"/>
              </w:rPr>
            </w:pPr>
            <w:r>
              <w:rPr>
                <w:spacing w:val="-2"/>
                <w:w w:val="105"/>
                <w:sz w:val="23"/>
              </w:rPr>
              <w:t>Identical</w:t>
            </w:r>
            <w:r>
              <w:rPr>
                <w:spacing w:val="-14"/>
                <w:w w:val="105"/>
                <w:sz w:val="23"/>
              </w:rPr>
              <w:t xml:space="preserve"> </w:t>
            </w:r>
            <w:r>
              <w:rPr>
                <w:spacing w:val="-2"/>
                <w:w w:val="105"/>
                <w:sz w:val="23"/>
              </w:rPr>
              <w:t xml:space="preserve">values, </w:t>
            </w:r>
            <w:r>
              <w:rPr>
                <w:w w:val="105"/>
                <w:sz w:val="23"/>
              </w:rPr>
              <w:t>good fit</w:t>
            </w:r>
          </w:p>
        </w:tc>
      </w:tr>
      <w:tr w:rsidR="00487D64">
        <w:trPr>
          <w:trHeight w:val="691"/>
        </w:trPr>
        <w:tc>
          <w:tcPr>
            <w:tcW w:w="1952" w:type="dxa"/>
          </w:tcPr>
          <w:p w:rsidR="00487D64" w:rsidRDefault="006F0D93">
            <w:pPr>
              <w:pStyle w:val="TableParagraph"/>
              <w:spacing w:before="218"/>
              <w:ind w:left="50"/>
              <w:rPr>
                <w:b/>
                <w:sz w:val="23"/>
              </w:rPr>
            </w:pPr>
            <w:r>
              <w:rPr>
                <w:b/>
                <w:sz w:val="23"/>
              </w:rPr>
              <w:t>Chi-</w:t>
            </w:r>
            <w:r>
              <w:rPr>
                <w:b/>
                <w:spacing w:val="-2"/>
                <w:sz w:val="23"/>
              </w:rPr>
              <w:t>square</w:t>
            </w:r>
          </w:p>
        </w:tc>
        <w:tc>
          <w:tcPr>
            <w:tcW w:w="1115" w:type="dxa"/>
          </w:tcPr>
          <w:p w:rsidR="00487D64" w:rsidRDefault="006F0D93">
            <w:pPr>
              <w:pStyle w:val="TableParagraph"/>
              <w:spacing w:before="211"/>
              <w:ind w:left="11" w:right="12"/>
              <w:jc w:val="center"/>
              <w:rPr>
                <w:sz w:val="23"/>
              </w:rPr>
            </w:pPr>
            <w:r>
              <w:rPr>
                <w:spacing w:val="-2"/>
                <w:w w:val="105"/>
                <w:sz w:val="23"/>
              </w:rPr>
              <w:t>931.817</w:t>
            </w:r>
          </w:p>
        </w:tc>
        <w:tc>
          <w:tcPr>
            <w:tcW w:w="1132" w:type="dxa"/>
          </w:tcPr>
          <w:p w:rsidR="00487D64" w:rsidRDefault="006F0D93">
            <w:pPr>
              <w:pStyle w:val="TableParagraph"/>
              <w:spacing w:before="211"/>
              <w:ind w:left="12"/>
              <w:jc w:val="center"/>
              <w:rPr>
                <w:sz w:val="23"/>
              </w:rPr>
            </w:pPr>
            <w:r>
              <w:rPr>
                <w:spacing w:val="-2"/>
                <w:w w:val="105"/>
                <w:sz w:val="23"/>
              </w:rPr>
              <w:t>930.710</w:t>
            </w:r>
          </w:p>
        </w:tc>
        <w:tc>
          <w:tcPr>
            <w:tcW w:w="2270" w:type="dxa"/>
          </w:tcPr>
          <w:p w:rsidR="00487D64" w:rsidRDefault="006F0D93">
            <w:pPr>
              <w:pStyle w:val="TableParagraph"/>
              <w:spacing w:before="7" w:line="310" w:lineRule="atLeast"/>
              <w:ind w:left="44" w:right="196"/>
              <w:rPr>
                <w:sz w:val="23"/>
              </w:rPr>
            </w:pPr>
            <w:r>
              <w:rPr>
                <w:w w:val="105"/>
                <w:sz w:val="23"/>
              </w:rPr>
              <w:t xml:space="preserve">Lower is better, but </w:t>
            </w:r>
            <w:r>
              <w:rPr>
                <w:spacing w:val="-2"/>
                <w:w w:val="105"/>
                <w:sz w:val="23"/>
              </w:rPr>
              <w:t>sample-size</w:t>
            </w:r>
            <w:r>
              <w:rPr>
                <w:spacing w:val="-14"/>
                <w:w w:val="105"/>
                <w:sz w:val="23"/>
              </w:rPr>
              <w:t xml:space="preserve"> </w:t>
            </w:r>
            <w:r>
              <w:rPr>
                <w:spacing w:val="-2"/>
                <w:w w:val="105"/>
                <w:sz w:val="23"/>
              </w:rPr>
              <w:t>sensitive</w:t>
            </w:r>
          </w:p>
        </w:tc>
        <w:tc>
          <w:tcPr>
            <w:tcW w:w="1855" w:type="dxa"/>
          </w:tcPr>
          <w:p w:rsidR="00487D64" w:rsidRDefault="006F0D93">
            <w:pPr>
              <w:pStyle w:val="TableParagraph"/>
              <w:spacing w:before="7" w:line="310" w:lineRule="atLeast"/>
              <w:ind w:left="108"/>
              <w:rPr>
                <w:sz w:val="23"/>
              </w:rPr>
            </w:pPr>
            <w:r>
              <w:rPr>
                <w:spacing w:val="-2"/>
                <w:w w:val="105"/>
                <w:sz w:val="23"/>
              </w:rPr>
              <w:t>Small</w:t>
            </w:r>
            <w:r>
              <w:rPr>
                <w:spacing w:val="-14"/>
                <w:w w:val="105"/>
                <w:sz w:val="23"/>
              </w:rPr>
              <w:t xml:space="preserve"> </w:t>
            </w:r>
            <w:r>
              <w:rPr>
                <w:spacing w:val="-2"/>
                <w:w w:val="105"/>
                <w:sz w:val="23"/>
              </w:rPr>
              <w:t xml:space="preserve">difference, </w:t>
            </w:r>
            <w:r>
              <w:rPr>
                <w:w w:val="105"/>
                <w:sz w:val="23"/>
              </w:rPr>
              <w:t>model fits well</w:t>
            </w:r>
          </w:p>
        </w:tc>
      </w:tr>
      <w:tr w:rsidR="00487D64">
        <w:trPr>
          <w:trHeight w:val="748"/>
        </w:trPr>
        <w:tc>
          <w:tcPr>
            <w:tcW w:w="1952" w:type="dxa"/>
            <w:tcBorders>
              <w:bottom w:val="single" w:sz="4" w:space="0" w:color="000000"/>
            </w:tcBorders>
          </w:tcPr>
          <w:p w:rsidR="00487D64" w:rsidRDefault="006F0D93">
            <w:pPr>
              <w:pStyle w:val="TableParagraph"/>
              <w:spacing w:before="53" w:line="295" w:lineRule="auto"/>
              <w:ind w:left="50" w:right="236"/>
              <w:rPr>
                <w:sz w:val="23"/>
              </w:rPr>
            </w:pPr>
            <w:r>
              <w:rPr>
                <w:b/>
                <w:w w:val="105"/>
                <w:sz w:val="23"/>
              </w:rPr>
              <w:t>NFI</w:t>
            </w:r>
            <w:r>
              <w:rPr>
                <w:b/>
                <w:spacing w:val="-16"/>
                <w:w w:val="105"/>
                <w:sz w:val="23"/>
              </w:rPr>
              <w:t xml:space="preserve"> </w:t>
            </w:r>
            <w:r>
              <w:rPr>
                <w:w w:val="105"/>
                <w:sz w:val="23"/>
              </w:rPr>
              <w:t>(Normed</w:t>
            </w:r>
            <w:r>
              <w:rPr>
                <w:spacing w:val="-15"/>
                <w:w w:val="105"/>
                <w:sz w:val="23"/>
              </w:rPr>
              <w:t xml:space="preserve"> </w:t>
            </w:r>
            <w:r>
              <w:rPr>
                <w:w w:val="105"/>
                <w:sz w:val="23"/>
              </w:rPr>
              <w:t xml:space="preserve">Fit </w:t>
            </w:r>
            <w:r>
              <w:rPr>
                <w:spacing w:val="-2"/>
                <w:w w:val="105"/>
                <w:sz w:val="23"/>
              </w:rPr>
              <w:t>Index)</w:t>
            </w:r>
          </w:p>
        </w:tc>
        <w:tc>
          <w:tcPr>
            <w:tcW w:w="1115" w:type="dxa"/>
            <w:tcBorders>
              <w:bottom w:val="single" w:sz="4" w:space="0" w:color="000000"/>
            </w:tcBorders>
          </w:tcPr>
          <w:p w:rsidR="00487D64" w:rsidRDefault="006F0D93">
            <w:pPr>
              <w:pStyle w:val="TableParagraph"/>
              <w:spacing w:before="218"/>
              <w:ind w:left="16" w:right="12"/>
              <w:jc w:val="center"/>
              <w:rPr>
                <w:sz w:val="23"/>
              </w:rPr>
            </w:pPr>
            <w:r>
              <w:rPr>
                <w:spacing w:val="-2"/>
                <w:w w:val="105"/>
                <w:sz w:val="23"/>
              </w:rPr>
              <w:t>0.874</w:t>
            </w:r>
          </w:p>
        </w:tc>
        <w:tc>
          <w:tcPr>
            <w:tcW w:w="1132" w:type="dxa"/>
            <w:tcBorders>
              <w:bottom w:val="single" w:sz="4" w:space="0" w:color="000000"/>
            </w:tcBorders>
          </w:tcPr>
          <w:p w:rsidR="00487D64" w:rsidRDefault="006F0D93">
            <w:pPr>
              <w:pStyle w:val="TableParagraph"/>
              <w:spacing w:before="218"/>
              <w:ind w:left="12" w:right="7"/>
              <w:jc w:val="center"/>
              <w:rPr>
                <w:sz w:val="23"/>
              </w:rPr>
            </w:pPr>
            <w:r>
              <w:rPr>
                <w:spacing w:val="-2"/>
                <w:w w:val="105"/>
                <w:sz w:val="23"/>
              </w:rPr>
              <w:t>0.874</w:t>
            </w:r>
          </w:p>
        </w:tc>
        <w:tc>
          <w:tcPr>
            <w:tcW w:w="2270" w:type="dxa"/>
            <w:tcBorders>
              <w:bottom w:val="single" w:sz="4" w:space="0" w:color="000000"/>
            </w:tcBorders>
          </w:tcPr>
          <w:p w:rsidR="00487D64" w:rsidRDefault="006F0D93">
            <w:pPr>
              <w:pStyle w:val="TableParagraph"/>
              <w:spacing w:before="53"/>
              <w:ind w:left="44"/>
              <w:rPr>
                <w:sz w:val="23"/>
              </w:rPr>
            </w:pPr>
            <w:r>
              <w:rPr>
                <w:w w:val="105"/>
                <w:sz w:val="23"/>
              </w:rPr>
              <w:t>&gt;</w:t>
            </w:r>
            <w:r>
              <w:rPr>
                <w:spacing w:val="-11"/>
                <w:w w:val="105"/>
                <w:sz w:val="23"/>
              </w:rPr>
              <w:t xml:space="preserve"> </w:t>
            </w:r>
            <w:r>
              <w:rPr>
                <w:w w:val="105"/>
                <w:sz w:val="23"/>
              </w:rPr>
              <w:t>0.90</w:t>
            </w:r>
            <w:r>
              <w:rPr>
                <w:spacing w:val="-9"/>
                <w:w w:val="105"/>
                <w:sz w:val="23"/>
              </w:rPr>
              <w:t xml:space="preserve"> </w:t>
            </w:r>
            <w:r>
              <w:rPr>
                <w:w w:val="105"/>
                <w:sz w:val="23"/>
              </w:rPr>
              <w:t>acceptable,</w:t>
            </w:r>
            <w:r>
              <w:rPr>
                <w:spacing w:val="-13"/>
                <w:w w:val="105"/>
                <w:sz w:val="23"/>
              </w:rPr>
              <w:t xml:space="preserve"> </w:t>
            </w:r>
            <w:r>
              <w:rPr>
                <w:spacing w:val="-10"/>
                <w:w w:val="105"/>
                <w:sz w:val="23"/>
              </w:rPr>
              <w:t>&gt;</w:t>
            </w:r>
          </w:p>
          <w:p w:rsidR="00487D64" w:rsidRDefault="006F0D93">
            <w:pPr>
              <w:pStyle w:val="TableParagraph"/>
              <w:spacing w:before="59"/>
              <w:ind w:left="44"/>
              <w:rPr>
                <w:sz w:val="23"/>
              </w:rPr>
            </w:pPr>
            <w:r>
              <w:rPr>
                <w:w w:val="105"/>
                <w:sz w:val="23"/>
              </w:rPr>
              <w:t>0.95</w:t>
            </w:r>
            <w:r>
              <w:rPr>
                <w:spacing w:val="-4"/>
                <w:w w:val="105"/>
                <w:sz w:val="23"/>
              </w:rPr>
              <w:t xml:space="preserve"> good</w:t>
            </w:r>
          </w:p>
        </w:tc>
        <w:tc>
          <w:tcPr>
            <w:tcW w:w="1855" w:type="dxa"/>
            <w:tcBorders>
              <w:bottom w:val="single" w:sz="4" w:space="0" w:color="000000"/>
            </w:tcBorders>
          </w:tcPr>
          <w:p w:rsidR="00487D64" w:rsidRDefault="006F0D93">
            <w:pPr>
              <w:pStyle w:val="TableParagraph"/>
              <w:spacing w:before="53" w:line="295" w:lineRule="auto"/>
              <w:ind w:left="108"/>
              <w:rPr>
                <w:sz w:val="23"/>
              </w:rPr>
            </w:pPr>
            <w:r>
              <w:rPr>
                <w:w w:val="105"/>
                <w:sz w:val="23"/>
              </w:rPr>
              <w:t>Slightly below cutoff,</w:t>
            </w:r>
            <w:r>
              <w:rPr>
                <w:spacing w:val="-16"/>
                <w:w w:val="105"/>
                <w:sz w:val="23"/>
              </w:rPr>
              <w:t xml:space="preserve"> </w:t>
            </w:r>
            <w:r>
              <w:rPr>
                <w:w w:val="105"/>
                <w:sz w:val="23"/>
              </w:rPr>
              <w:t>but</w:t>
            </w:r>
            <w:r>
              <w:rPr>
                <w:spacing w:val="-15"/>
                <w:w w:val="105"/>
                <w:sz w:val="23"/>
              </w:rPr>
              <w:t xml:space="preserve"> </w:t>
            </w:r>
            <w:r>
              <w:rPr>
                <w:w w:val="105"/>
                <w:sz w:val="23"/>
              </w:rPr>
              <w:t>close</w:t>
            </w:r>
          </w:p>
        </w:tc>
      </w:tr>
    </w:tbl>
    <w:p w:rsidR="00487D64" w:rsidRDefault="00487D64">
      <w:pPr>
        <w:pStyle w:val="TableParagraph"/>
        <w:spacing w:line="295" w:lineRule="auto"/>
        <w:rPr>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pStyle w:val="ListParagraph"/>
        <w:numPr>
          <w:ilvl w:val="2"/>
          <w:numId w:val="8"/>
        </w:numPr>
        <w:tabs>
          <w:tab w:val="left" w:pos="2125"/>
        </w:tabs>
        <w:spacing w:before="1"/>
        <w:ind w:hanging="706"/>
        <w:rPr>
          <w:b/>
          <w:sz w:val="23"/>
        </w:rPr>
      </w:pPr>
      <w:bookmarkStart w:id="176" w:name="4.6.5__Path_Coefficient"/>
      <w:bookmarkStart w:id="177" w:name="_bookmark85"/>
      <w:bookmarkEnd w:id="176"/>
      <w:bookmarkEnd w:id="177"/>
      <w:r>
        <w:rPr>
          <w:b/>
          <w:w w:val="105"/>
          <w:sz w:val="23"/>
        </w:rPr>
        <w:t>Path</w:t>
      </w:r>
      <w:r>
        <w:rPr>
          <w:b/>
          <w:spacing w:val="-15"/>
          <w:w w:val="105"/>
          <w:sz w:val="23"/>
        </w:rPr>
        <w:t xml:space="preserve"> </w:t>
      </w:r>
      <w:r>
        <w:rPr>
          <w:b/>
          <w:spacing w:val="-2"/>
          <w:w w:val="105"/>
          <w:sz w:val="23"/>
        </w:rPr>
        <w:t>Coefficient</w:t>
      </w:r>
    </w:p>
    <w:p w:rsidR="00487D64" w:rsidRDefault="00487D64">
      <w:pPr>
        <w:pStyle w:val="BodyText"/>
        <w:spacing w:before="18"/>
        <w:rPr>
          <w:b/>
        </w:rPr>
      </w:pPr>
    </w:p>
    <w:p w:rsidR="00487D64" w:rsidRDefault="006F0D93">
      <w:pPr>
        <w:pStyle w:val="BodyText"/>
        <w:spacing w:line="501" w:lineRule="auto"/>
        <w:ind w:left="1419" w:right="851"/>
        <w:jc w:val="both"/>
      </w:pPr>
      <w:r>
        <w:rPr>
          <w:w w:val="105"/>
        </w:rPr>
        <w:t>The statistics, presented in Figure 4.4, were instrumental in determining the statistical significance of the proposed relationships and in guiding the decision- making process regarding the acceptance or rejection</w:t>
      </w:r>
      <w:r>
        <w:rPr>
          <w:w w:val="105"/>
        </w:rPr>
        <w:t xml:space="preserve"> of the respective hypotheses. Through</w:t>
      </w:r>
      <w:r>
        <w:rPr>
          <w:spacing w:val="-6"/>
          <w:w w:val="105"/>
        </w:rPr>
        <w:t xml:space="preserve"> </w:t>
      </w:r>
      <w:r>
        <w:rPr>
          <w:w w:val="105"/>
        </w:rPr>
        <w:t>this method, the</w:t>
      </w:r>
      <w:r>
        <w:rPr>
          <w:spacing w:val="-1"/>
          <w:w w:val="105"/>
        </w:rPr>
        <w:t xml:space="preserve"> </w:t>
      </w:r>
      <w:r>
        <w:rPr>
          <w:w w:val="105"/>
        </w:rPr>
        <w:t>reliability of</w:t>
      </w:r>
      <w:r>
        <w:rPr>
          <w:spacing w:val="-2"/>
          <w:w w:val="105"/>
        </w:rPr>
        <w:t xml:space="preserve"> </w:t>
      </w:r>
      <w:r>
        <w:rPr>
          <w:w w:val="105"/>
        </w:rPr>
        <w:t>the</w:t>
      </w:r>
      <w:r>
        <w:rPr>
          <w:spacing w:val="-1"/>
          <w:w w:val="105"/>
        </w:rPr>
        <w:t xml:space="preserve"> </w:t>
      </w:r>
      <w:r>
        <w:rPr>
          <w:w w:val="105"/>
        </w:rPr>
        <w:t>hypothesized paths</w:t>
      </w:r>
      <w:r>
        <w:rPr>
          <w:spacing w:val="-1"/>
          <w:w w:val="105"/>
        </w:rPr>
        <w:t xml:space="preserve"> </w:t>
      </w:r>
      <w:r>
        <w:rPr>
          <w:w w:val="105"/>
        </w:rPr>
        <w:t>was</w:t>
      </w:r>
      <w:r>
        <w:rPr>
          <w:spacing w:val="-1"/>
          <w:w w:val="105"/>
        </w:rPr>
        <w:t xml:space="preserve"> </w:t>
      </w:r>
      <w:r>
        <w:rPr>
          <w:w w:val="105"/>
        </w:rPr>
        <w:t>empirically tested against established significance thresholds, thus reinforcing the credibility of the model’s causal structure.</w:t>
      </w:r>
    </w:p>
    <w:p w:rsidR="00487D64" w:rsidRDefault="006F0D93">
      <w:pPr>
        <w:pStyle w:val="BodyText"/>
        <w:spacing w:before="28"/>
        <w:rPr>
          <w:sz w:val="20"/>
        </w:rPr>
      </w:pPr>
      <w:r>
        <w:rPr>
          <w:noProof/>
          <w:sz w:val="20"/>
        </w:rPr>
        <w:drawing>
          <wp:anchor distT="0" distB="0" distL="0" distR="0" simplePos="0" relativeHeight="487590400" behindDoc="1" locked="0" layoutInCell="1" allowOverlap="1">
            <wp:simplePos x="0" y="0"/>
            <wp:positionH relativeFrom="page">
              <wp:posOffset>1446248</wp:posOffset>
            </wp:positionH>
            <wp:positionV relativeFrom="paragraph">
              <wp:posOffset>179616</wp:posOffset>
            </wp:positionV>
            <wp:extent cx="4962101" cy="2960370"/>
            <wp:effectExtent l="0" t="0" r="0" b="0"/>
            <wp:wrapTopAndBottom/>
            <wp:docPr id="43" name="Image 43" descr="Description: C:\Users\Denis\AppData\Local\Temp\image64431007028480708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Description: C:\Users\Denis\AppData\Local\Temp\image6443100702848070801.png"/>
                    <pic:cNvPicPr/>
                  </pic:nvPicPr>
                  <pic:blipFill>
                    <a:blip r:embed="rId12" cstate="print"/>
                    <a:stretch>
                      <a:fillRect/>
                    </a:stretch>
                  </pic:blipFill>
                  <pic:spPr>
                    <a:xfrm>
                      <a:off x="0" y="0"/>
                      <a:ext cx="4962101" cy="2960370"/>
                    </a:xfrm>
                    <a:prstGeom prst="rect">
                      <a:avLst/>
                    </a:prstGeom>
                  </pic:spPr>
                </pic:pic>
              </a:graphicData>
            </a:graphic>
          </wp:anchor>
        </w:drawing>
      </w:r>
    </w:p>
    <w:p w:rsidR="00487D64" w:rsidRDefault="00487D64">
      <w:pPr>
        <w:pStyle w:val="BodyText"/>
      </w:pPr>
    </w:p>
    <w:p w:rsidR="00487D64" w:rsidRDefault="00487D64">
      <w:pPr>
        <w:pStyle w:val="BodyText"/>
        <w:spacing w:before="41"/>
      </w:pPr>
    </w:p>
    <w:p w:rsidR="00487D64" w:rsidRDefault="006F0D93">
      <w:pPr>
        <w:spacing w:line="379" w:lineRule="auto"/>
        <w:ind w:left="1419" w:right="3360"/>
        <w:rPr>
          <w:b/>
          <w:sz w:val="23"/>
        </w:rPr>
      </w:pPr>
      <w:r>
        <w:rPr>
          <w:b/>
          <w:w w:val="105"/>
          <w:sz w:val="23"/>
        </w:rPr>
        <w:t>Figure</w:t>
      </w:r>
      <w:r>
        <w:rPr>
          <w:b/>
          <w:spacing w:val="-14"/>
          <w:w w:val="105"/>
          <w:sz w:val="23"/>
        </w:rPr>
        <w:t xml:space="preserve"> </w:t>
      </w:r>
      <w:r>
        <w:rPr>
          <w:b/>
          <w:w w:val="105"/>
          <w:sz w:val="23"/>
        </w:rPr>
        <w:t>4.</w:t>
      </w:r>
      <w:r>
        <w:rPr>
          <w:b/>
          <w:spacing w:val="-16"/>
          <w:w w:val="105"/>
          <w:sz w:val="23"/>
        </w:rPr>
        <w:t xml:space="preserve"> </w:t>
      </w:r>
      <w:r>
        <w:rPr>
          <w:b/>
          <w:w w:val="105"/>
          <w:sz w:val="23"/>
        </w:rPr>
        <w:t>4:</w:t>
      </w:r>
      <w:r>
        <w:rPr>
          <w:b/>
          <w:spacing w:val="-14"/>
          <w:w w:val="105"/>
          <w:sz w:val="23"/>
        </w:rPr>
        <w:t xml:space="preserve"> </w:t>
      </w:r>
      <w:r>
        <w:rPr>
          <w:b/>
          <w:w w:val="105"/>
          <w:sz w:val="23"/>
        </w:rPr>
        <w:t>Bootstrappi</w:t>
      </w:r>
      <w:r>
        <w:rPr>
          <w:b/>
          <w:w w:val="105"/>
          <w:sz w:val="23"/>
        </w:rPr>
        <w:t>ng;</w:t>
      </w:r>
      <w:r>
        <w:rPr>
          <w:b/>
          <w:spacing w:val="-10"/>
          <w:w w:val="105"/>
          <w:sz w:val="23"/>
        </w:rPr>
        <w:t xml:space="preserve"> </w:t>
      </w:r>
      <w:r>
        <w:rPr>
          <w:b/>
          <w:w w:val="105"/>
          <w:sz w:val="23"/>
        </w:rPr>
        <w:t>T</w:t>
      </w:r>
      <w:r>
        <w:rPr>
          <w:b/>
          <w:spacing w:val="-15"/>
          <w:w w:val="105"/>
          <w:sz w:val="23"/>
        </w:rPr>
        <w:t xml:space="preserve"> </w:t>
      </w:r>
      <w:r>
        <w:rPr>
          <w:b/>
          <w:w w:val="105"/>
          <w:sz w:val="23"/>
        </w:rPr>
        <w:t>Statistics</w:t>
      </w:r>
      <w:r>
        <w:rPr>
          <w:b/>
          <w:spacing w:val="-15"/>
          <w:w w:val="105"/>
          <w:sz w:val="23"/>
        </w:rPr>
        <w:t xml:space="preserve"> </w:t>
      </w:r>
      <w:r>
        <w:rPr>
          <w:b/>
          <w:w w:val="105"/>
          <w:sz w:val="23"/>
        </w:rPr>
        <w:t>(|O/STDEV|) Significant at P&lt;0.050 (Two-tailed Test)</w:t>
      </w:r>
    </w:p>
    <w:p w:rsidR="00487D64" w:rsidRDefault="00487D64">
      <w:pPr>
        <w:pStyle w:val="BodyText"/>
        <w:rPr>
          <w:b/>
        </w:rPr>
      </w:pPr>
    </w:p>
    <w:p w:rsidR="00487D64" w:rsidRDefault="00487D64">
      <w:pPr>
        <w:pStyle w:val="BodyText"/>
        <w:spacing w:before="119"/>
        <w:rPr>
          <w:b/>
        </w:rPr>
      </w:pPr>
    </w:p>
    <w:p w:rsidR="00487D64" w:rsidRDefault="006F0D93">
      <w:pPr>
        <w:pStyle w:val="ListParagraph"/>
        <w:numPr>
          <w:ilvl w:val="3"/>
          <w:numId w:val="8"/>
        </w:numPr>
        <w:tabs>
          <w:tab w:val="left" w:pos="2860"/>
        </w:tabs>
        <w:rPr>
          <w:b/>
          <w:sz w:val="23"/>
        </w:rPr>
      </w:pPr>
      <w:bookmarkStart w:id="178" w:name="4.6.5.1__Direct_effect_Hypothesis_Testin"/>
      <w:bookmarkEnd w:id="178"/>
      <w:r>
        <w:rPr>
          <w:b/>
          <w:sz w:val="23"/>
        </w:rPr>
        <w:t>Direct</w:t>
      </w:r>
      <w:r>
        <w:rPr>
          <w:b/>
          <w:spacing w:val="25"/>
          <w:sz w:val="23"/>
        </w:rPr>
        <w:t xml:space="preserve"> </w:t>
      </w:r>
      <w:r>
        <w:rPr>
          <w:b/>
          <w:sz w:val="23"/>
        </w:rPr>
        <w:t>effect</w:t>
      </w:r>
      <w:r>
        <w:rPr>
          <w:b/>
          <w:spacing w:val="26"/>
          <w:sz w:val="23"/>
        </w:rPr>
        <w:t xml:space="preserve"> </w:t>
      </w:r>
      <w:r>
        <w:rPr>
          <w:b/>
          <w:sz w:val="23"/>
        </w:rPr>
        <w:t>Hypothesis</w:t>
      </w:r>
      <w:r>
        <w:rPr>
          <w:b/>
          <w:spacing w:val="33"/>
          <w:sz w:val="23"/>
        </w:rPr>
        <w:t xml:space="preserve"> </w:t>
      </w:r>
      <w:r>
        <w:rPr>
          <w:b/>
          <w:spacing w:val="-2"/>
          <w:sz w:val="23"/>
        </w:rPr>
        <w:t>Testing</w:t>
      </w:r>
    </w:p>
    <w:p w:rsidR="00487D64" w:rsidRDefault="00487D64">
      <w:pPr>
        <w:pStyle w:val="BodyText"/>
        <w:spacing w:before="18"/>
        <w:rPr>
          <w:b/>
        </w:rPr>
      </w:pPr>
    </w:p>
    <w:p w:rsidR="00487D64" w:rsidRDefault="006F0D93">
      <w:pPr>
        <w:pStyle w:val="BodyText"/>
        <w:spacing w:line="499" w:lineRule="auto"/>
        <w:ind w:left="1419" w:right="855"/>
        <w:jc w:val="both"/>
      </w:pPr>
      <w:r>
        <w:rPr>
          <w:w w:val="105"/>
        </w:rPr>
        <w:t>Upon establishing that the psychometric properties of the measurement model met the required standards, the analysis proceeded to the evaluation of th</w:t>
      </w:r>
      <w:r>
        <w:rPr>
          <w:w w:val="105"/>
        </w:rPr>
        <w:t>e structural model</w:t>
      </w:r>
      <w:r>
        <w:rPr>
          <w:spacing w:val="8"/>
          <w:w w:val="105"/>
        </w:rPr>
        <w:t xml:space="preserve"> </w:t>
      </w:r>
      <w:r>
        <w:rPr>
          <w:w w:val="105"/>
        </w:rPr>
        <w:t>to</w:t>
      </w:r>
      <w:r>
        <w:rPr>
          <w:spacing w:val="-1"/>
          <w:w w:val="105"/>
        </w:rPr>
        <w:t xml:space="preserve"> </w:t>
      </w:r>
      <w:r>
        <w:rPr>
          <w:w w:val="105"/>
        </w:rPr>
        <w:t>test</w:t>
      </w:r>
      <w:r>
        <w:rPr>
          <w:spacing w:val="9"/>
          <w:w w:val="105"/>
        </w:rPr>
        <w:t xml:space="preserve"> </w:t>
      </w:r>
      <w:r>
        <w:rPr>
          <w:w w:val="105"/>
        </w:rPr>
        <w:t>the</w:t>
      </w:r>
      <w:r>
        <w:rPr>
          <w:spacing w:val="5"/>
          <w:w w:val="105"/>
        </w:rPr>
        <w:t xml:space="preserve"> </w:t>
      </w:r>
      <w:r>
        <w:rPr>
          <w:w w:val="105"/>
        </w:rPr>
        <w:t>hypothesized</w:t>
      </w:r>
      <w:r>
        <w:rPr>
          <w:spacing w:val="-1"/>
          <w:w w:val="105"/>
        </w:rPr>
        <w:t xml:space="preserve"> </w:t>
      </w:r>
      <w:r>
        <w:rPr>
          <w:w w:val="105"/>
        </w:rPr>
        <w:t>relationships.</w:t>
      </w:r>
      <w:r>
        <w:rPr>
          <w:spacing w:val="9"/>
          <w:w w:val="105"/>
        </w:rPr>
        <w:t xml:space="preserve"> </w:t>
      </w:r>
      <w:r>
        <w:rPr>
          <w:w w:val="105"/>
        </w:rPr>
        <w:t>The</w:t>
      </w:r>
      <w:r>
        <w:rPr>
          <w:spacing w:val="5"/>
          <w:w w:val="105"/>
        </w:rPr>
        <w:t xml:space="preserve"> </w:t>
      </w:r>
      <w:r>
        <w:rPr>
          <w:w w:val="105"/>
        </w:rPr>
        <w:t>findings</w:t>
      </w:r>
      <w:r>
        <w:rPr>
          <w:spacing w:val="-2"/>
          <w:w w:val="105"/>
        </w:rPr>
        <w:t xml:space="preserve"> </w:t>
      </w:r>
      <w:r>
        <w:rPr>
          <w:w w:val="105"/>
        </w:rPr>
        <w:t>of</w:t>
      </w:r>
      <w:r>
        <w:rPr>
          <w:spacing w:val="3"/>
          <w:w w:val="105"/>
        </w:rPr>
        <w:t xml:space="preserve"> </w:t>
      </w:r>
      <w:r>
        <w:rPr>
          <w:w w:val="105"/>
        </w:rPr>
        <w:t>the</w:t>
      </w:r>
      <w:r>
        <w:rPr>
          <w:spacing w:val="5"/>
          <w:w w:val="105"/>
        </w:rPr>
        <w:t xml:space="preserve"> </w:t>
      </w:r>
      <w:r>
        <w:rPr>
          <w:w w:val="105"/>
        </w:rPr>
        <w:t>direct</w:t>
      </w:r>
      <w:r>
        <w:rPr>
          <w:spacing w:val="8"/>
          <w:w w:val="105"/>
        </w:rPr>
        <w:t xml:space="preserve"> </w:t>
      </w:r>
      <w:r>
        <w:rPr>
          <w:w w:val="105"/>
        </w:rPr>
        <w:t>effects</w:t>
      </w:r>
      <w:r>
        <w:rPr>
          <w:spacing w:val="-2"/>
          <w:w w:val="105"/>
        </w:rPr>
        <w:t xml:space="preserve"> </w:t>
      </w:r>
      <w:r>
        <w:rPr>
          <w:w w:val="105"/>
        </w:rPr>
        <w:t>in</w:t>
      </w:r>
      <w:r>
        <w:rPr>
          <w:spacing w:val="-1"/>
          <w:w w:val="105"/>
        </w:rPr>
        <w:t xml:space="preserve"> </w:t>
      </w:r>
      <w:r>
        <w:rPr>
          <w:spacing w:val="-5"/>
          <w:w w:val="105"/>
        </w:rPr>
        <w:t>the</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50"/>
        <w:jc w:val="both"/>
      </w:pPr>
      <w:r>
        <w:rPr>
          <w:w w:val="105"/>
        </w:rPr>
        <w:t>structural model are shown in Table 4.18. The direct effect hypotheses (H1 to H6) were</w:t>
      </w:r>
      <w:r>
        <w:rPr>
          <w:spacing w:val="-8"/>
          <w:w w:val="105"/>
        </w:rPr>
        <w:t xml:space="preserve"> </w:t>
      </w:r>
      <w:r>
        <w:rPr>
          <w:w w:val="105"/>
        </w:rPr>
        <w:t>evaluated</w:t>
      </w:r>
      <w:r>
        <w:rPr>
          <w:spacing w:val="-7"/>
          <w:w w:val="105"/>
        </w:rPr>
        <w:t xml:space="preserve"> </w:t>
      </w:r>
      <w:r>
        <w:rPr>
          <w:w w:val="105"/>
        </w:rPr>
        <w:t>by</w:t>
      </w:r>
      <w:r>
        <w:rPr>
          <w:spacing w:val="-13"/>
          <w:w w:val="105"/>
        </w:rPr>
        <w:t xml:space="preserve"> </w:t>
      </w:r>
      <w:r>
        <w:rPr>
          <w:w w:val="105"/>
        </w:rPr>
        <w:t>assessing</w:t>
      </w:r>
      <w:r>
        <w:rPr>
          <w:spacing w:val="-7"/>
          <w:w w:val="105"/>
        </w:rPr>
        <w:t xml:space="preserve"> </w:t>
      </w:r>
      <w:r>
        <w:rPr>
          <w:w w:val="105"/>
        </w:rPr>
        <w:t>the</w:t>
      </w:r>
      <w:r>
        <w:rPr>
          <w:spacing w:val="-1"/>
          <w:w w:val="105"/>
        </w:rPr>
        <w:t xml:space="preserve"> </w:t>
      </w:r>
      <w:r>
        <w:rPr>
          <w:w w:val="105"/>
        </w:rPr>
        <w:t>significance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relationships</w:t>
      </w:r>
      <w:r>
        <w:rPr>
          <w:spacing w:val="-4"/>
          <w:w w:val="105"/>
        </w:rPr>
        <w:t xml:space="preserve"> </w:t>
      </w:r>
      <w:r>
        <w:rPr>
          <w:w w:val="105"/>
        </w:rPr>
        <w:t>in</w:t>
      </w:r>
      <w:r>
        <w:rPr>
          <w:spacing w:val="-7"/>
          <w:w w:val="105"/>
        </w:rPr>
        <w:t xml:space="preserve"> </w:t>
      </w:r>
      <w:r>
        <w:rPr>
          <w:w w:val="105"/>
        </w:rPr>
        <w:t>the</w:t>
      </w:r>
      <w:r>
        <w:rPr>
          <w:spacing w:val="-1"/>
          <w:w w:val="105"/>
        </w:rPr>
        <w:t xml:space="preserve"> </w:t>
      </w:r>
      <w:r>
        <w:rPr>
          <w:w w:val="105"/>
        </w:rPr>
        <w:t>structural</w:t>
      </w:r>
      <w:r>
        <w:rPr>
          <w:spacing w:val="-11"/>
          <w:w w:val="105"/>
        </w:rPr>
        <w:t xml:space="preserve"> </w:t>
      </w:r>
      <w:r>
        <w:rPr>
          <w:w w:val="105"/>
        </w:rPr>
        <w:t>path model. As illustrated in Table 4.18.</w:t>
      </w:r>
    </w:p>
    <w:p w:rsidR="00487D64" w:rsidRDefault="006F0D93">
      <w:pPr>
        <w:spacing w:before="245" w:line="379" w:lineRule="auto"/>
        <w:ind w:left="2982" w:right="859" w:hanging="1564"/>
        <w:jc w:val="both"/>
        <w:rPr>
          <w:b/>
          <w:sz w:val="23"/>
        </w:rPr>
      </w:pPr>
      <w:r>
        <w:rPr>
          <w:b/>
          <w:w w:val="105"/>
          <w:sz w:val="23"/>
        </w:rPr>
        <w:t>Table 4. 18: Assessment of Structural Model Direct Relationships and Moderating Variable</w:t>
      </w:r>
    </w:p>
    <w:tbl>
      <w:tblPr>
        <w:tblW w:w="0" w:type="auto"/>
        <w:tblInd w:w="1405" w:type="dxa"/>
        <w:tblLayout w:type="fixed"/>
        <w:tblCellMar>
          <w:left w:w="0" w:type="dxa"/>
          <w:right w:w="0" w:type="dxa"/>
        </w:tblCellMar>
        <w:tblLook w:val="01E0" w:firstRow="1" w:lastRow="1" w:firstColumn="1" w:lastColumn="1" w:noHBand="0" w:noVBand="0"/>
      </w:tblPr>
      <w:tblGrid>
        <w:gridCol w:w="1216"/>
        <w:gridCol w:w="1417"/>
        <w:gridCol w:w="1003"/>
        <w:gridCol w:w="1202"/>
        <w:gridCol w:w="1558"/>
        <w:gridCol w:w="828"/>
        <w:gridCol w:w="1038"/>
      </w:tblGrid>
      <w:tr w:rsidR="00487D64">
        <w:trPr>
          <w:trHeight w:val="1272"/>
        </w:trPr>
        <w:tc>
          <w:tcPr>
            <w:tcW w:w="1216" w:type="dxa"/>
            <w:tcBorders>
              <w:top w:val="single" w:sz="4" w:space="0" w:color="000000"/>
              <w:bottom w:val="single" w:sz="4" w:space="0" w:color="000000"/>
            </w:tcBorders>
          </w:tcPr>
          <w:p w:rsidR="00487D64" w:rsidRDefault="006F0D93">
            <w:pPr>
              <w:pStyle w:val="TableParagraph"/>
              <w:spacing w:before="13"/>
              <w:ind w:left="21"/>
              <w:rPr>
                <w:b/>
                <w:sz w:val="23"/>
              </w:rPr>
            </w:pPr>
            <w:r>
              <w:rPr>
                <w:b/>
                <w:spacing w:val="-2"/>
                <w:w w:val="105"/>
                <w:sz w:val="23"/>
              </w:rPr>
              <w:t>Hypothesis</w:t>
            </w:r>
          </w:p>
        </w:tc>
        <w:tc>
          <w:tcPr>
            <w:tcW w:w="1417" w:type="dxa"/>
            <w:tcBorders>
              <w:top w:val="single" w:sz="4" w:space="0" w:color="000000"/>
              <w:bottom w:val="single" w:sz="4" w:space="0" w:color="000000"/>
            </w:tcBorders>
          </w:tcPr>
          <w:p w:rsidR="00487D64" w:rsidRDefault="006F0D93">
            <w:pPr>
              <w:pStyle w:val="TableParagraph"/>
              <w:spacing w:before="221" w:line="372" w:lineRule="auto"/>
              <w:ind w:left="73" w:firstLine="29"/>
              <w:rPr>
                <w:b/>
                <w:sz w:val="23"/>
              </w:rPr>
            </w:pPr>
            <w:r>
              <w:rPr>
                <w:b/>
                <w:w w:val="105"/>
                <w:sz w:val="23"/>
              </w:rPr>
              <w:t>Direct</w:t>
            </w:r>
            <w:r>
              <w:rPr>
                <w:b/>
                <w:spacing w:val="-16"/>
                <w:w w:val="105"/>
                <w:sz w:val="23"/>
              </w:rPr>
              <w:t xml:space="preserve"> </w:t>
            </w:r>
            <w:r>
              <w:rPr>
                <w:b/>
                <w:w w:val="105"/>
                <w:sz w:val="23"/>
              </w:rPr>
              <w:t xml:space="preserve">path </w:t>
            </w:r>
            <w:r>
              <w:rPr>
                <w:b/>
                <w:spacing w:val="-2"/>
                <w:sz w:val="23"/>
              </w:rPr>
              <w:t>relationship</w:t>
            </w:r>
          </w:p>
        </w:tc>
        <w:tc>
          <w:tcPr>
            <w:tcW w:w="1003" w:type="dxa"/>
            <w:tcBorders>
              <w:top w:val="single" w:sz="4" w:space="0" w:color="000000"/>
              <w:bottom w:val="single" w:sz="4" w:space="0" w:color="000000"/>
            </w:tcBorders>
          </w:tcPr>
          <w:p w:rsidR="00487D64" w:rsidRDefault="006F0D93">
            <w:pPr>
              <w:pStyle w:val="TableParagraph"/>
              <w:spacing w:before="6" w:line="376" w:lineRule="auto"/>
              <w:ind w:left="60" w:right="57"/>
              <w:jc w:val="center"/>
              <w:rPr>
                <w:b/>
                <w:sz w:val="23"/>
              </w:rPr>
            </w:pPr>
            <w:r>
              <w:rPr>
                <w:b/>
                <w:spacing w:val="-2"/>
                <w:sz w:val="23"/>
              </w:rPr>
              <w:t xml:space="preserve">Sample </w:t>
            </w:r>
            <w:r>
              <w:rPr>
                <w:b/>
                <w:spacing w:val="-4"/>
                <w:w w:val="105"/>
                <w:sz w:val="23"/>
              </w:rPr>
              <w:t>mean (M)</w:t>
            </w:r>
          </w:p>
        </w:tc>
        <w:tc>
          <w:tcPr>
            <w:tcW w:w="1202" w:type="dxa"/>
            <w:tcBorders>
              <w:top w:val="single" w:sz="4" w:space="0" w:color="000000"/>
              <w:bottom w:val="single" w:sz="4" w:space="0" w:color="000000"/>
            </w:tcBorders>
          </w:tcPr>
          <w:p w:rsidR="00487D64" w:rsidRDefault="006F0D93">
            <w:pPr>
              <w:pStyle w:val="TableParagraph"/>
              <w:spacing w:before="6" w:line="376" w:lineRule="auto"/>
              <w:ind w:left="124" w:right="123"/>
              <w:jc w:val="both"/>
              <w:rPr>
                <w:b/>
                <w:sz w:val="23"/>
              </w:rPr>
            </w:pPr>
            <w:r>
              <w:rPr>
                <w:b/>
                <w:spacing w:val="-2"/>
                <w:sz w:val="23"/>
              </w:rPr>
              <w:t xml:space="preserve">Standard </w:t>
            </w:r>
            <w:r>
              <w:rPr>
                <w:b/>
                <w:spacing w:val="-2"/>
                <w:w w:val="105"/>
                <w:sz w:val="23"/>
              </w:rPr>
              <w:t xml:space="preserve">deviation </w:t>
            </w:r>
            <w:r>
              <w:rPr>
                <w:b/>
                <w:spacing w:val="-2"/>
                <w:sz w:val="23"/>
              </w:rPr>
              <w:t>(STDEV)</w:t>
            </w:r>
          </w:p>
        </w:tc>
        <w:tc>
          <w:tcPr>
            <w:tcW w:w="1558" w:type="dxa"/>
            <w:tcBorders>
              <w:top w:val="single" w:sz="4" w:space="0" w:color="000000"/>
              <w:bottom w:val="single" w:sz="4" w:space="0" w:color="000000"/>
            </w:tcBorders>
          </w:tcPr>
          <w:p w:rsidR="00487D64" w:rsidRDefault="006F0D93">
            <w:pPr>
              <w:pStyle w:val="TableParagraph"/>
              <w:spacing w:before="221" w:line="372" w:lineRule="auto"/>
              <w:ind w:left="125" w:firstLine="108"/>
              <w:rPr>
                <w:b/>
                <w:sz w:val="23"/>
              </w:rPr>
            </w:pPr>
            <w:r>
              <w:rPr>
                <w:b/>
                <w:w w:val="105"/>
                <w:sz w:val="23"/>
              </w:rPr>
              <w:t xml:space="preserve">T statistics </w:t>
            </w:r>
            <w:r>
              <w:rPr>
                <w:b/>
                <w:spacing w:val="-2"/>
                <w:sz w:val="23"/>
              </w:rPr>
              <w:t>(|O/STDEV|)</w:t>
            </w:r>
          </w:p>
        </w:tc>
        <w:tc>
          <w:tcPr>
            <w:tcW w:w="828" w:type="dxa"/>
            <w:tcBorders>
              <w:top w:val="single" w:sz="4" w:space="0" w:color="000000"/>
              <w:bottom w:val="single" w:sz="4" w:space="0" w:color="000000"/>
            </w:tcBorders>
          </w:tcPr>
          <w:p w:rsidR="00487D64" w:rsidRDefault="006F0D93">
            <w:pPr>
              <w:pStyle w:val="TableParagraph"/>
              <w:spacing w:before="221"/>
              <w:ind w:left="63" w:right="9"/>
              <w:jc w:val="center"/>
              <w:rPr>
                <w:b/>
                <w:sz w:val="23"/>
              </w:rPr>
            </w:pPr>
            <w:r>
              <w:rPr>
                <w:b/>
                <w:spacing w:val="-10"/>
                <w:w w:val="105"/>
                <w:sz w:val="23"/>
              </w:rPr>
              <w:t>P</w:t>
            </w:r>
          </w:p>
          <w:p w:rsidR="00487D64" w:rsidRDefault="006F0D93">
            <w:pPr>
              <w:pStyle w:val="TableParagraph"/>
              <w:spacing w:before="146"/>
              <w:ind w:left="63" w:right="12"/>
              <w:jc w:val="center"/>
              <w:rPr>
                <w:b/>
                <w:sz w:val="23"/>
              </w:rPr>
            </w:pPr>
            <w:r>
              <w:rPr>
                <w:b/>
                <w:spacing w:val="-2"/>
                <w:w w:val="105"/>
                <w:sz w:val="23"/>
              </w:rPr>
              <w:t>values</w:t>
            </w:r>
          </w:p>
        </w:tc>
        <w:tc>
          <w:tcPr>
            <w:tcW w:w="1038" w:type="dxa"/>
            <w:tcBorders>
              <w:top w:val="single" w:sz="4" w:space="0" w:color="000000"/>
              <w:bottom w:val="single" w:sz="4" w:space="0" w:color="000000"/>
            </w:tcBorders>
          </w:tcPr>
          <w:p w:rsidR="00487D64" w:rsidRDefault="006F0D93">
            <w:pPr>
              <w:pStyle w:val="TableParagraph"/>
              <w:spacing w:before="13"/>
              <w:ind w:left="18"/>
              <w:jc w:val="center"/>
              <w:rPr>
                <w:b/>
                <w:sz w:val="23"/>
              </w:rPr>
            </w:pPr>
            <w:r>
              <w:rPr>
                <w:b/>
                <w:spacing w:val="-2"/>
                <w:w w:val="105"/>
                <w:sz w:val="23"/>
              </w:rPr>
              <w:t>Decision</w:t>
            </w:r>
          </w:p>
        </w:tc>
      </w:tr>
      <w:tr w:rsidR="00487D64">
        <w:trPr>
          <w:trHeight w:val="375"/>
        </w:trPr>
        <w:tc>
          <w:tcPr>
            <w:tcW w:w="1216" w:type="dxa"/>
            <w:tcBorders>
              <w:top w:val="single" w:sz="4" w:space="0" w:color="000000"/>
            </w:tcBorders>
          </w:tcPr>
          <w:p w:rsidR="00487D64" w:rsidRDefault="006F0D93">
            <w:pPr>
              <w:pStyle w:val="TableParagraph"/>
              <w:spacing w:before="5"/>
              <w:ind w:left="21"/>
              <w:rPr>
                <w:sz w:val="23"/>
              </w:rPr>
            </w:pPr>
            <w:r>
              <w:rPr>
                <w:spacing w:val="-5"/>
                <w:w w:val="105"/>
                <w:sz w:val="23"/>
              </w:rPr>
              <w:t>H1</w:t>
            </w:r>
          </w:p>
        </w:tc>
        <w:tc>
          <w:tcPr>
            <w:tcW w:w="1417" w:type="dxa"/>
            <w:tcBorders>
              <w:top w:val="single" w:sz="4" w:space="0" w:color="000000"/>
            </w:tcBorders>
          </w:tcPr>
          <w:p w:rsidR="00487D64" w:rsidRDefault="006F0D93">
            <w:pPr>
              <w:pStyle w:val="TableParagraph"/>
              <w:spacing w:before="5"/>
              <w:ind w:left="10" w:right="60"/>
              <w:jc w:val="center"/>
              <w:rPr>
                <w:sz w:val="23"/>
              </w:rPr>
            </w:pPr>
            <w:r>
              <w:rPr>
                <w:w w:val="105"/>
                <w:sz w:val="23"/>
              </w:rPr>
              <w:t>CU</w:t>
            </w:r>
            <w:r>
              <w:rPr>
                <w:spacing w:val="-5"/>
                <w:w w:val="105"/>
                <w:sz w:val="23"/>
              </w:rPr>
              <w:t xml:space="preserve"> </w:t>
            </w:r>
            <w:r>
              <w:rPr>
                <w:w w:val="105"/>
                <w:sz w:val="23"/>
              </w:rPr>
              <w:t>-&gt;</w:t>
            </w:r>
            <w:r>
              <w:rPr>
                <w:spacing w:val="-10"/>
                <w:w w:val="105"/>
                <w:sz w:val="23"/>
              </w:rPr>
              <w:t xml:space="preserve"> </w:t>
            </w:r>
            <w:r>
              <w:rPr>
                <w:spacing w:val="-5"/>
                <w:w w:val="105"/>
                <w:sz w:val="23"/>
              </w:rPr>
              <w:t>SC</w:t>
            </w:r>
          </w:p>
        </w:tc>
        <w:tc>
          <w:tcPr>
            <w:tcW w:w="1003" w:type="dxa"/>
            <w:tcBorders>
              <w:top w:val="single" w:sz="4" w:space="0" w:color="000000"/>
            </w:tcBorders>
          </w:tcPr>
          <w:p w:rsidR="00487D64" w:rsidRDefault="006F0D93">
            <w:pPr>
              <w:pStyle w:val="TableParagraph"/>
              <w:spacing w:before="5"/>
              <w:ind w:left="64" w:right="57"/>
              <w:jc w:val="center"/>
              <w:rPr>
                <w:sz w:val="23"/>
              </w:rPr>
            </w:pPr>
            <w:r>
              <w:rPr>
                <w:spacing w:val="-2"/>
                <w:w w:val="105"/>
                <w:sz w:val="23"/>
              </w:rPr>
              <w:t>0.224</w:t>
            </w:r>
          </w:p>
        </w:tc>
        <w:tc>
          <w:tcPr>
            <w:tcW w:w="1202" w:type="dxa"/>
            <w:tcBorders>
              <w:top w:val="single" w:sz="4" w:space="0" w:color="000000"/>
            </w:tcBorders>
          </w:tcPr>
          <w:p w:rsidR="00487D64" w:rsidRDefault="006F0D93">
            <w:pPr>
              <w:pStyle w:val="TableParagraph"/>
              <w:spacing w:before="5"/>
              <w:ind w:left="11" w:right="4"/>
              <w:jc w:val="center"/>
              <w:rPr>
                <w:sz w:val="23"/>
              </w:rPr>
            </w:pPr>
            <w:r>
              <w:rPr>
                <w:spacing w:val="-2"/>
                <w:w w:val="105"/>
                <w:sz w:val="23"/>
              </w:rPr>
              <w:t>0.227</w:t>
            </w:r>
          </w:p>
        </w:tc>
        <w:tc>
          <w:tcPr>
            <w:tcW w:w="1558" w:type="dxa"/>
            <w:tcBorders>
              <w:top w:val="single" w:sz="4" w:space="0" w:color="000000"/>
            </w:tcBorders>
          </w:tcPr>
          <w:p w:rsidR="00487D64" w:rsidRDefault="006F0D93">
            <w:pPr>
              <w:pStyle w:val="TableParagraph"/>
              <w:spacing w:before="5"/>
              <w:ind w:left="14"/>
              <w:jc w:val="center"/>
              <w:rPr>
                <w:sz w:val="23"/>
              </w:rPr>
            </w:pPr>
            <w:r>
              <w:rPr>
                <w:spacing w:val="-2"/>
                <w:w w:val="105"/>
                <w:sz w:val="23"/>
              </w:rPr>
              <w:t>5.069</w:t>
            </w:r>
          </w:p>
        </w:tc>
        <w:tc>
          <w:tcPr>
            <w:tcW w:w="828" w:type="dxa"/>
            <w:tcBorders>
              <w:top w:val="single" w:sz="4" w:space="0" w:color="000000"/>
            </w:tcBorders>
          </w:tcPr>
          <w:p w:rsidR="00487D64" w:rsidRDefault="006F0D93">
            <w:pPr>
              <w:pStyle w:val="TableParagraph"/>
              <w:spacing w:before="5"/>
              <w:ind w:left="63"/>
              <w:jc w:val="center"/>
              <w:rPr>
                <w:sz w:val="23"/>
              </w:rPr>
            </w:pPr>
            <w:r>
              <w:rPr>
                <w:spacing w:val="-2"/>
                <w:w w:val="105"/>
                <w:sz w:val="23"/>
              </w:rPr>
              <w:t>0.000</w:t>
            </w:r>
          </w:p>
        </w:tc>
        <w:tc>
          <w:tcPr>
            <w:tcW w:w="1038" w:type="dxa"/>
            <w:tcBorders>
              <w:top w:val="single" w:sz="4" w:space="0" w:color="000000"/>
            </w:tcBorders>
          </w:tcPr>
          <w:p w:rsidR="00487D64" w:rsidRDefault="006F0D93">
            <w:pPr>
              <w:pStyle w:val="TableParagraph"/>
              <w:spacing w:before="5"/>
              <w:ind w:left="18" w:right="6"/>
              <w:jc w:val="center"/>
              <w:rPr>
                <w:sz w:val="23"/>
              </w:rPr>
            </w:pPr>
            <w:r>
              <w:rPr>
                <w:spacing w:val="-2"/>
                <w:w w:val="105"/>
                <w:sz w:val="23"/>
              </w:rPr>
              <w:t>Accepted</w:t>
            </w:r>
          </w:p>
        </w:tc>
      </w:tr>
      <w:tr w:rsidR="00487D64">
        <w:trPr>
          <w:trHeight w:val="443"/>
        </w:trPr>
        <w:tc>
          <w:tcPr>
            <w:tcW w:w="1216" w:type="dxa"/>
          </w:tcPr>
          <w:p w:rsidR="00487D64" w:rsidRDefault="006F0D93">
            <w:pPr>
              <w:pStyle w:val="TableParagraph"/>
              <w:spacing w:before="69"/>
              <w:ind w:left="21"/>
              <w:rPr>
                <w:sz w:val="23"/>
              </w:rPr>
            </w:pPr>
            <w:r>
              <w:rPr>
                <w:spacing w:val="-5"/>
                <w:w w:val="105"/>
                <w:sz w:val="23"/>
              </w:rPr>
              <w:t>H2</w:t>
            </w:r>
          </w:p>
        </w:tc>
        <w:tc>
          <w:tcPr>
            <w:tcW w:w="1417" w:type="dxa"/>
          </w:tcPr>
          <w:p w:rsidR="00487D64" w:rsidRDefault="006F0D93">
            <w:pPr>
              <w:pStyle w:val="TableParagraph"/>
              <w:spacing w:before="69"/>
              <w:ind w:left="10" w:right="60"/>
              <w:jc w:val="center"/>
              <w:rPr>
                <w:sz w:val="23"/>
              </w:rPr>
            </w:pPr>
            <w:r>
              <w:rPr>
                <w:w w:val="105"/>
                <w:sz w:val="23"/>
              </w:rPr>
              <w:t>CO</w:t>
            </w:r>
            <w:r>
              <w:rPr>
                <w:spacing w:val="-5"/>
                <w:w w:val="105"/>
                <w:sz w:val="23"/>
              </w:rPr>
              <w:t xml:space="preserve"> </w:t>
            </w:r>
            <w:r>
              <w:rPr>
                <w:w w:val="105"/>
                <w:sz w:val="23"/>
              </w:rPr>
              <w:t>-&gt;</w:t>
            </w:r>
            <w:r>
              <w:rPr>
                <w:spacing w:val="-10"/>
                <w:w w:val="105"/>
                <w:sz w:val="23"/>
              </w:rPr>
              <w:t xml:space="preserve"> </w:t>
            </w:r>
            <w:r>
              <w:rPr>
                <w:spacing w:val="-5"/>
                <w:w w:val="105"/>
                <w:sz w:val="23"/>
              </w:rPr>
              <w:t>SC</w:t>
            </w:r>
          </w:p>
        </w:tc>
        <w:tc>
          <w:tcPr>
            <w:tcW w:w="1003" w:type="dxa"/>
          </w:tcPr>
          <w:p w:rsidR="00487D64" w:rsidRDefault="006F0D93">
            <w:pPr>
              <w:pStyle w:val="TableParagraph"/>
              <w:spacing w:before="69"/>
              <w:ind w:left="64" w:right="57"/>
              <w:jc w:val="center"/>
              <w:rPr>
                <w:sz w:val="23"/>
              </w:rPr>
            </w:pPr>
            <w:r>
              <w:rPr>
                <w:spacing w:val="-2"/>
                <w:w w:val="105"/>
                <w:sz w:val="23"/>
              </w:rPr>
              <w:t>0.226</w:t>
            </w:r>
          </w:p>
        </w:tc>
        <w:tc>
          <w:tcPr>
            <w:tcW w:w="1202" w:type="dxa"/>
          </w:tcPr>
          <w:p w:rsidR="00487D64" w:rsidRDefault="006F0D93">
            <w:pPr>
              <w:pStyle w:val="TableParagraph"/>
              <w:spacing w:before="69"/>
              <w:ind w:left="11" w:right="4"/>
              <w:jc w:val="center"/>
              <w:rPr>
                <w:sz w:val="23"/>
              </w:rPr>
            </w:pPr>
            <w:r>
              <w:rPr>
                <w:spacing w:val="-2"/>
                <w:w w:val="105"/>
                <w:sz w:val="23"/>
              </w:rPr>
              <w:t>0.229</w:t>
            </w:r>
          </w:p>
        </w:tc>
        <w:tc>
          <w:tcPr>
            <w:tcW w:w="1558" w:type="dxa"/>
          </w:tcPr>
          <w:p w:rsidR="00487D64" w:rsidRDefault="006F0D93">
            <w:pPr>
              <w:pStyle w:val="TableParagraph"/>
              <w:spacing w:before="69"/>
              <w:ind w:left="14"/>
              <w:jc w:val="center"/>
              <w:rPr>
                <w:sz w:val="23"/>
              </w:rPr>
            </w:pPr>
            <w:r>
              <w:rPr>
                <w:spacing w:val="-2"/>
                <w:w w:val="105"/>
                <w:sz w:val="23"/>
              </w:rPr>
              <w:t>6.437</w:t>
            </w:r>
          </w:p>
        </w:tc>
        <w:tc>
          <w:tcPr>
            <w:tcW w:w="828" w:type="dxa"/>
          </w:tcPr>
          <w:p w:rsidR="00487D64" w:rsidRDefault="006F0D93">
            <w:pPr>
              <w:pStyle w:val="TableParagraph"/>
              <w:spacing w:before="69"/>
              <w:ind w:left="63"/>
              <w:jc w:val="center"/>
              <w:rPr>
                <w:sz w:val="23"/>
              </w:rPr>
            </w:pPr>
            <w:r>
              <w:rPr>
                <w:spacing w:val="-2"/>
                <w:w w:val="105"/>
                <w:sz w:val="23"/>
              </w:rPr>
              <w:t>0.000</w:t>
            </w:r>
          </w:p>
        </w:tc>
        <w:tc>
          <w:tcPr>
            <w:tcW w:w="1038" w:type="dxa"/>
          </w:tcPr>
          <w:p w:rsidR="00487D64" w:rsidRDefault="006F0D93">
            <w:pPr>
              <w:pStyle w:val="TableParagraph"/>
              <w:spacing w:before="69"/>
              <w:ind w:left="18" w:right="6"/>
              <w:jc w:val="center"/>
              <w:rPr>
                <w:sz w:val="23"/>
              </w:rPr>
            </w:pPr>
            <w:r>
              <w:rPr>
                <w:spacing w:val="-2"/>
                <w:w w:val="105"/>
                <w:sz w:val="23"/>
              </w:rPr>
              <w:t>Accepted</w:t>
            </w:r>
          </w:p>
        </w:tc>
      </w:tr>
      <w:tr w:rsidR="00487D64">
        <w:trPr>
          <w:trHeight w:val="446"/>
        </w:trPr>
        <w:tc>
          <w:tcPr>
            <w:tcW w:w="1216" w:type="dxa"/>
          </w:tcPr>
          <w:p w:rsidR="00487D64" w:rsidRDefault="006F0D93">
            <w:pPr>
              <w:pStyle w:val="TableParagraph"/>
              <w:spacing w:before="72"/>
              <w:ind w:left="21"/>
              <w:rPr>
                <w:sz w:val="23"/>
              </w:rPr>
            </w:pPr>
            <w:r>
              <w:rPr>
                <w:spacing w:val="-5"/>
                <w:w w:val="105"/>
                <w:sz w:val="23"/>
              </w:rPr>
              <w:t>H3</w:t>
            </w:r>
          </w:p>
        </w:tc>
        <w:tc>
          <w:tcPr>
            <w:tcW w:w="1417" w:type="dxa"/>
          </w:tcPr>
          <w:p w:rsidR="00487D64" w:rsidRDefault="006F0D93">
            <w:pPr>
              <w:pStyle w:val="TableParagraph"/>
              <w:spacing w:before="72"/>
              <w:ind w:left="10" w:right="60"/>
              <w:jc w:val="center"/>
              <w:rPr>
                <w:sz w:val="23"/>
              </w:rPr>
            </w:pPr>
            <w:r>
              <w:rPr>
                <w:w w:val="105"/>
                <w:sz w:val="23"/>
              </w:rPr>
              <w:t>FC</w:t>
            </w:r>
            <w:r>
              <w:rPr>
                <w:spacing w:val="-7"/>
                <w:w w:val="105"/>
                <w:sz w:val="23"/>
              </w:rPr>
              <w:t xml:space="preserve"> </w:t>
            </w:r>
            <w:r>
              <w:rPr>
                <w:w w:val="105"/>
                <w:sz w:val="23"/>
              </w:rPr>
              <w:t>-&gt;</w:t>
            </w:r>
            <w:r>
              <w:rPr>
                <w:spacing w:val="-4"/>
                <w:w w:val="105"/>
                <w:sz w:val="23"/>
              </w:rPr>
              <w:t xml:space="preserve"> </w:t>
            </w:r>
            <w:r>
              <w:rPr>
                <w:spacing w:val="-5"/>
                <w:w w:val="105"/>
                <w:sz w:val="23"/>
              </w:rPr>
              <w:t>SC</w:t>
            </w:r>
          </w:p>
        </w:tc>
        <w:tc>
          <w:tcPr>
            <w:tcW w:w="1003" w:type="dxa"/>
          </w:tcPr>
          <w:p w:rsidR="00487D64" w:rsidRDefault="006F0D93">
            <w:pPr>
              <w:pStyle w:val="TableParagraph"/>
              <w:spacing w:before="72"/>
              <w:ind w:left="64" w:right="57"/>
              <w:jc w:val="center"/>
              <w:rPr>
                <w:sz w:val="23"/>
              </w:rPr>
            </w:pPr>
            <w:r>
              <w:rPr>
                <w:spacing w:val="-2"/>
                <w:w w:val="105"/>
                <w:sz w:val="23"/>
              </w:rPr>
              <w:t>0.098</w:t>
            </w:r>
          </w:p>
        </w:tc>
        <w:tc>
          <w:tcPr>
            <w:tcW w:w="1202" w:type="dxa"/>
          </w:tcPr>
          <w:p w:rsidR="00487D64" w:rsidRDefault="006F0D93">
            <w:pPr>
              <w:pStyle w:val="TableParagraph"/>
              <w:spacing w:before="72"/>
              <w:ind w:left="11" w:right="4"/>
              <w:jc w:val="center"/>
              <w:rPr>
                <w:sz w:val="23"/>
              </w:rPr>
            </w:pPr>
            <w:r>
              <w:rPr>
                <w:spacing w:val="-2"/>
                <w:w w:val="105"/>
                <w:sz w:val="23"/>
              </w:rPr>
              <w:t>0.100</w:t>
            </w:r>
          </w:p>
        </w:tc>
        <w:tc>
          <w:tcPr>
            <w:tcW w:w="1558" w:type="dxa"/>
          </w:tcPr>
          <w:p w:rsidR="00487D64" w:rsidRDefault="006F0D93">
            <w:pPr>
              <w:pStyle w:val="TableParagraph"/>
              <w:spacing w:before="72"/>
              <w:ind w:left="14"/>
              <w:jc w:val="center"/>
              <w:rPr>
                <w:sz w:val="23"/>
              </w:rPr>
            </w:pPr>
            <w:r>
              <w:rPr>
                <w:spacing w:val="-2"/>
                <w:w w:val="105"/>
                <w:sz w:val="23"/>
              </w:rPr>
              <w:t>1.556</w:t>
            </w:r>
          </w:p>
        </w:tc>
        <w:tc>
          <w:tcPr>
            <w:tcW w:w="828" w:type="dxa"/>
          </w:tcPr>
          <w:p w:rsidR="00487D64" w:rsidRDefault="006F0D93">
            <w:pPr>
              <w:pStyle w:val="TableParagraph"/>
              <w:spacing w:before="72"/>
              <w:ind w:left="63"/>
              <w:jc w:val="center"/>
              <w:rPr>
                <w:sz w:val="23"/>
              </w:rPr>
            </w:pPr>
            <w:r>
              <w:rPr>
                <w:spacing w:val="-2"/>
                <w:w w:val="105"/>
                <w:sz w:val="23"/>
              </w:rPr>
              <w:t>0.120</w:t>
            </w:r>
          </w:p>
        </w:tc>
        <w:tc>
          <w:tcPr>
            <w:tcW w:w="1038" w:type="dxa"/>
          </w:tcPr>
          <w:p w:rsidR="00487D64" w:rsidRDefault="006F0D93">
            <w:pPr>
              <w:pStyle w:val="TableParagraph"/>
              <w:spacing w:before="72"/>
              <w:ind w:left="18" w:right="13"/>
              <w:jc w:val="center"/>
              <w:rPr>
                <w:sz w:val="23"/>
              </w:rPr>
            </w:pPr>
            <w:r>
              <w:rPr>
                <w:spacing w:val="-2"/>
                <w:w w:val="105"/>
                <w:sz w:val="23"/>
              </w:rPr>
              <w:t>Rejected</w:t>
            </w:r>
          </w:p>
        </w:tc>
      </w:tr>
      <w:tr w:rsidR="00487D64">
        <w:trPr>
          <w:trHeight w:val="857"/>
        </w:trPr>
        <w:tc>
          <w:tcPr>
            <w:tcW w:w="1216" w:type="dxa"/>
          </w:tcPr>
          <w:p w:rsidR="00487D64" w:rsidRDefault="006F0D93">
            <w:pPr>
              <w:pStyle w:val="TableParagraph"/>
              <w:spacing w:before="72"/>
              <w:ind w:left="21"/>
              <w:rPr>
                <w:sz w:val="23"/>
              </w:rPr>
            </w:pPr>
            <w:r>
              <w:rPr>
                <w:spacing w:val="-5"/>
                <w:w w:val="105"/>
                <w:sz w:val="23"/>
              </w:rPr>
              <w:t>H4</w:t>
            </w:r>
          </w:p>
        </w:tc>
        <w:tc>
          <w:tcPr>
            <w:tcW w:w="1417" w:type="dxa"/>
          </w:tcPr>
          <w:p w:rsidR="00487D64" w:rsidRDefault="006F0D93">
            <w:pPr>
              <w:pStyle w:val="TableParagraph"/>
              <w:spacing w:before="72"/>
              <w:ind w:left="15" w:right="60"/>
              <w:jc w:val="center"/>
              <w:rPr>
                <w:sz w:val="23"/>
              </w:rPr>
            </w:pPr>
            <w:r>
              <w:rPr>
                <w:w w:val="105"/>
                <w:sz w:val="23"/>
              </w:rPr>
              <w:t>SF</w:t>
            </w:r>
            <w:r>
              <w:rPr>
                <w:spacing w:val="-6"/>
                <w:w w:val="105"/>
                <w:sz w:val="23"/>
              </w:rPr>
              <w:t xml:space="preserve"> </w:t>
            </w:r>
            <w:r>
              <w:rPr>
                <w:w w:val="105"/>
                <w:sz w:val="23"/>
              </w:rPr>
              <w:t>x</w:t>
            </w:r>
            <w:r>
              <w:rPr>
                <w:spacing w:val="-7"/>
                <w:w w:val="105"/>
                <w:sz w:val="23"/>
              </w:rPr>
              <w:t xml:space="preserve"> </w:t>
            </w:r>
            <w:r>
              <w:rPr>
                <w:w w:val="105"/>
                <w:sz w:val="23"/>
              </w:rPr>
              <w:t>CU</w:t>
            </w:r>
            <w:r>
              <w:rPr>
                <w:spacing w:val="-7"/>
                <w:w w:val="105"/>
                <w:sz w:val="23"/>
              </w:rPr>
              <w:t xml:space="preserve"> </w:t>
            </w:r>
            <w:r>
              <w:rPr>
                <w:w w:val="105"/>
                <w:sz w:val="23"/>
              </w:rPr>
              <w:t>-</w:t>
            </w:r>
            <w:r>
              <w:rPr>
                <w:spacing w:val="-12"/>
                <w:w w:val="105"/>
                <w:sz w:val="23"/>
              </w:rPr>
              <w:t>&gt;</w:t>
            </w:r>
          </w:p>
          <w:p w:rsidR="00487D64" w:rsidRDefault="006F0D93">
            <w:pPr>
              <w:pStyle w:val="TableParagraph"/>
              <w:spacing w:before="146"/>
              <w:ind w:right="60"/>
              <w:jc w:val="center"/>
              <w:rPr>
                <w:sz w:val="23"/>
              </w:rPr>
            </w:pPr>
            <w:r>
              <w:rPr>
                <w:spacing w:val="-5"/>
                <w:w w:val="105"/>
                <w:sz w:val="23"/>
              </w:rPr>
              <w:t>SC</w:t>
            </w:r>
          </w:p>
        </w:tc>
        <w:tc>
          <w:tcPr>
            <w:tcW w:w="1003" w:type="dxa"/>
          </w:tcPr>
          <w:p w:rsidR="00487D64" w:rsidRDefault="00487D64">
            <w:pPr>
              <w:pStyle w:val="TableParagraph"/>
              <w:spacing w:before="16"/>
              <w:rPr>
                <w:b/>
                <w:sz w:val="23"/>
              </w:rPr>
            </w:pPr>
          </w:p>
          <w:p w:rsidR="00487D64" w:rsidRDefault="006F0D93">
            <w:pPr>
              <w:pStyle w:val="TableParagraph"/>
              <w:ind w:left="65" w:right="57"/>
              <w:jc w:val="center"/>
              <w:rPr>
                <w:sz w:val="23"/>
              </w:rPr>
            </w:pPr>
            <w:r>
              <w:rPr>
                <w:spacing w:val="-6"/>
                <w:sz w:val="23"/>
              </w:rPr>
              <w:t>-</w:t>
            </w:r>
            <w:r>
              <w:rPr>
                <w:spacing w:val="-4"/>
                <w:sz w:val="23"/>
              </w:rPr>
              <w:t>0.078</w:t>
            </w:r>
          </w:p>
        </w:tc>
        <w:tc>
          <w:tcPr>
            <w:tcW w:w="1202" w:type="dxa"/>
          </w:tcPr>
          <w:p w:rsidR="00487D64" w:rsidRDefault="00487D64">
            <w:pPr>
              <w:pStyle w:val="TableParagraph"/>
              <w:spacing w:before="16"/>
              <w:rPr>
                <w:b/>
                <w:sz w:val="23"/>
              </w:rPr>
            </w:pPr>
          </w:p>
          <w:p w:rsidR="00487D64" w:rsidRDefault="006F0D93">
            <w:pPr>
              <w:pStyle w:val="TableParagraph"/>
              <w:ind w:left="7" w:right="11"/>
              <w:jc w:val="center"/>
              <w:rPr>
                <w:sz w:val="23"/>
              </w:rPr>
            </w:pPr>
            <w:r>
              <w:rPr>
                <w:spacing w:val="-7"/>
                <w:sz w:val="23"/>
              </w:rPr>
              <w:t>-</w:t>
            </w:r>
            <w:r>
              <w:rPr>
                <w:spacing w:val="-2"/>
                <w:sz w:val="23"/>
              </w:rPr>
              <w:t>0.080</w:t>
            </w:r>
          </w:p>
        </w:tc>
        <w:tc>
          <w:tcPr>
            <w:tcW w:w="1558" w:type="dxa"/>
          </w:tcPr>
          <w:p w:rsidR="00487D64" w:rsidRDefault="00487D64">
            <w:pPr>
              <w:pStyle w:val="TableParagraph"/>
              <w:spacing w:before="16"/>
              <w:rPr>
                <w:b/>
                <w:sz w:val="23"/>
              </w:rPr>
            </w:pPr>
          </w:p>
          <w:p w:rsidR="00487D64" w:rsidRDefault="006F0D93">
            <w:pPr>
              <w:pStyle w:val="TableParagraph"/>
              <w:ind w:left="14"/>
              <w:jc w:val="center"/>
              <w:rPr>
                <w:sz w:val="23"/>
              </w:rPr>
            </w:pPr>
            <w:r>
              <w:rPr>
                <w:spacing w:val="-2"/>
                <w:w w:val="105"/>
                <w:sz w:val="23"/>
              </w:rPr>
              <w:t>1.469</w:t>
            </w:r>
          </w:p>
        </w:tc>
        <w:tc>
          <w:tcPr>
            <w:tcW w:w="828" w:type="dxa"/>
          </w:tcPr>
          <w:p w:rsidR="00487D64" w:rsidRDefault="00487D64">
            <w:pPr>
              <w:pStyle w:val="TableParagraph"/>
              <w:spacing w:before="16"/>
              <w:rPr>
                <w:b/>
                <w:sz w:val="23"/>
              </w:rPr>
            </w:pPr>
          </w:p>
          <w:p w:rsidR="00487D64" w:rsidRDefault="006F0D93">
            <w:pPr>
              <w:pStyle w:val="TableParagraph"/>
              <w:ind w:left="63"/>
              <w:jc w:val="center"/>
              <w:rPr>
                <w:sz w:val="23"/>
              </w:rPr>
            </w:pPr>
            <w:r>
              <w:rPr>
                <w:spacing w:val="-2"/>
                <w:w w:val="105"/>
                <w:sz w:val="23"/>
              </w:rPr>
              <w:t>0.142</w:t>
            </w:r>
          </w:p>
        </w:tc>
        <w:tc>
          <w:tcPr>
            <w:tcW w:w="1038" w:type="dxa"/>
          </w:tcPr>
          <w:p w:rsidR="00487D64" w:rsidRDefault="006F0D93">
            <w:pPr>
              <w:pStyle w:val="TableParagraph"/>
              <w:spacing w:before="72"/>
              <w:ind w:left="18" w:right="13"/>
              <w:jc w:val="center"/>
              <w:rPr>
                <w:sz w:val="23"/>
              </w:rPr>
            </w:pPr>
            <w:r>
              <w:rPr>
                <w:spacing w:val="-2"/>
                <w:w w:val="105"/>
                <w:sz w:val="23"/>
              </w:rPr>
              <w:t>Rejected</w:t>
            </w:r>
          </w:p>
        </w:tc>
      </w:tr>
      <w:tr w:rsidR="00487D64">
        <w:trPr>
          <w:trHeight w:val="857"/>
        </w:trPr>
        <w:tc>
          <w:tcPr>
            <w:tcW w:w="1216" w:type="dxa"/>
          </w:tcPr>
          <w:p w:rsidR="00487D64" w:rsidRDefault="006F0D93">
            <w:pPr>
              <w:pStyle w:val="TableParagraph"/>
              <w:spacing w:before="72"/>
              <w:ind w:left="21"/>
              <w:rPr>
                <w:sz w:val="23"/>
              </w:rPr>
            </w:pPr>
            <w:r>
              <w:rPr>
                <w:spacing w:val="-5"/>
                <w:w w:val="105"/>
                <w:sz w:val="23"/>
              </w:rPr>
              <w:t>H5</w:t>
            </w:r>
          </w:p>
        </w:tc>
        <w:tc>
          <w:tcPr>
            <w:tcW w:w="1417" w:type="dxa"/>
          </w:tcPr>
          <w:p w:rsidR="00487D64" w:rsidRDefault="006F0D93">
            <w:pPr>
              <w:pStyle w:val="TableParagraph"/>
              <w:spacing w:before="72"/>
              <w:ind w:left="15" w:right="60"/>
              <w:jc w:val="center"/>
              <w:rPr>
                <w:sz w:val="23"/>
              </w:rPr>
            </w:pPr>
            <w:r>
              <w:rPr>
                <w:w w:val="105"/>
                <w:sz w:val="23"/>
              </w:rPr>
              <w:t>SF</w:t>
            </w:r>
            <w:r>
              <w:rPr>
                <w:spacing w:val="-8"/>
                <w:w w:val="105"/>
                <w:sz w:val="23"/>
              </w:rPr>
              <w:t xml:space="preserve"> </w:t>
            </w:r>
            <w:r>
              <w:rPr>
                <w:w w:val="105"/>
                <w:sz w:val="23"/>
              </w:rPr>
              <w:t>x</w:t>
            </w:r>
            <w:r>
              <w:rPr>
                <w:spacing w:val="-8"/>
                <w:w w:val="105"/>
                <w:sz w:val="23"/>
              </w:rPr>
              <w:t xml:space="preserve"> </w:t>
            </w:r>
            <w:r>
              <w:rPr>
                <w:w w:val="105"/>
                <w:sz w:val="23"/>
              </w:rPr>
              <w:t>CO</w:t>
            </w:r>
            <w:r>
              <w:rPr>
                <w:spacing w:val="-3"/>
                <w:w w:val="105"/>
                <w:sz w:val="23"/>
              </w:rPr>
              <w:t xml:space="preserve"> </w:t>
            </w:r>
            <w:r>
              <w:rPr>
                <w:w w:val="105"/>
                <w:sz w:val="23"/>
              </w:rPr>
              <w:t>-</w:t>
            </w:r>
            <w:r>
              <w:rPr>
                <w:spacing w:val="-12"/>
                <w:w w:val="105"/>
                <w:sz w:val="23"/>
              </w:rPr>
              <w:t>&gt;</w:t>
            </w:r>
          </w:p>
          <w:p w:rsidR="00487D64" w:rsidRDefault="006F0D93">
            <w:pPr>
              <w:pStyle w:val="TableParagraph"/>
              <w:spacing w:before="146"/>
              <w:ind w:right="60"/>
              <w:jc w:val="center"/>
              <w:rPr>
                <w:sz w:val="23"/>
              </w:rPr>
            </w:pPr>
            <w:r>
              <w:rPr>
                <w:spacing w:val="-5"/>
                <w:w w:val="105"/>
                <w:sz w:val="23"/>
              </w:rPr>
              <w:t>SC</w:t>
            </w:r>
          </w:p>
        </w:tc>
        <w:tc>
          <w:tcPr>
            <w:tcW w:w="1003" w:type="dxa"/>
          </w:tcPr>
          <w:p w:rsidR="00487D64" w:rsidRDefault="00487D64">
            <w:pPr>
              <w:pStyle w:val="TableParagraph"/>
              <w:spacing w:before="16"/>
              <w:rPr>
                <w:b/>
                <w:sz w:val="23"/>
              </w:rPr>
            </w:pPr>
          </w:p>
          <w:p w:rsidR="00487D64" w:rsidRDefault="006F0D93">
            <w:pPr>
              <w:pStyle w:val="TableParagraph"/>
              <w:spacing w:before="1"/>
              <w:ind w:left="65" w:right="57"/>
              <w:jc w:val="center"/>
              <w:rPr>
                <w:sz w:val="23"/>
              </w:rPr>
            </w:pPr>
            <w:r>
              <w:rPr>
                <w:spacing w:val="-6"/>
                <w:sz w:val="23"/>
              </w:rPr>
              <w:t>-</w:t>
            </w:r>
            <w:r>
              <w:rPr>
                <w:spacing w:val="-4"/>
                <w:sz w:val="23"/>
              </w:rPr>
              <w:t>0.166</w:t>
            </w:r>
          </w:p>
        </w:tc>
        <w:tc>
          <w:tcPr>
            <w:tcW w:w="1202" w:type="dxa"/>
          </w:tcPr>
          <w:p w:rsidR="00487D64" w:rsidRDefault="00487D64">
            <w:pPr>
              <w:pStyle w:val="TableParagraph"/>
              <w:spacing w:before="16"/>
              <w:rPr>
                <w:b/>
                <w:sz w:val="23"/>
              </w:rPr>
            </w:pPr>
          </w:p>
          <w:p w:rsidR="00487D64" w:rsidRDefault="006F0D93">
            <w:pPr>
              <w:pStyle w:val="TableParagraph"/>
              <w:spacing w:before="1"/>
              <w:ind w:left="7" w:right="11"/>
              <w:jc w:val="center"/>
              <w:rPr>
                <w:sz w:val="23"/>
              </w:rPr>
            </w:pPr>
            <w:r>
              <w:rPr>
                <w:spacing w:val="-7"/>
                <w:sz w:val="23"/>
              </w:rPr>
              <w:t>-</w:t>
            </w:r>
            <w:r>
              <w:rPr>
                <w:spacing w:val="-2"/>
                <w:sz w:val="23"/>
              </w:rPr>
              <w:t>0.175</w:t>
            </w:r>
          </w:p>
        </w:tc>
        <w:tc>
          <w:tcPr>
            <w:tcW w:w="1558" w:type="dxa"/>
          </w:tcPr>
          <w:p w:rsidR="00487D64" w:rsidRDefault="00487D64">
            <w:pPr>
              <w:pStyle w:val="TableParagraph"/>
              <w:spacing w:before="16"/>
              <w:rPr>
                <w:b/>
                <w:sz w:val="23"/>
              </w:rPr>
            </w:pPr>
          </w:p>
          <w:p w:rsidR="00487D64" w:rsidRDefault="006F0D93">
            <w:pPr>
              <w:pStyle w:val="TableParagraph"/>
              <w:spacing w:before="1"/>
              <w:ind w:left="14"/>
              <w:jc w:val="center"/>
              <w:rPr>
                <w:sz w:val="23"/>
              </w:rPr>
            </w:pPr>
            <w:r>
              <w:rPr>
                <w:spacing w:val="-2"/>
                <w:w w:val="105"/>
                <w:sz w:val="23"/>
              </w:rPr>
              <w:t>3.378</w:t>
            </w:r>
          </w:p>
        </w:tc>
        <w:tc>
          <w:tcPr>
            <w:tcW w:w="828" w:type="dxa"/>
          </w:tcPr>
          <w:p w:rsidR="00487D64" w:rsidRDefault="00487D64">
            <w:pPr>
              <w:pStyle w:val="TableParagraph"/>
              <w:spacing w:before="16"/>
              <w:rPr>
                <w:b/>
                <w:sz w:val="23"/>
              </w:rPr>
            </w:pPr>
          </w:p>
          <w:p w:rsidR="00487D64" w:rsidRDefault="006F0D93">
            <w:pPr>
              <w:pStyle w:val="TableParagraph"/>
              <w:spacing w:before="1"/>
              <w:ind w:left="63"/>
              <w:jc w:val="center"/>
              <w:rPr>
                <w:sz w:val="23"/>
              </w:rPr>
            </w:pPr>
            <w:r>
              <w:rPr>
                <w:spacing w:val="-2"/>
                <w:w w:val="105"/>
                <w:sz w:val="23"/>
              </w:rPr>
              <w:t>0.001</w:t>
            </w:r>
          </w:p>
        </w:tc>
        <w:tc>
          <w:tcPr>
            <w:tcW w:w="1038" w:type="dxa"/>
          </w:tcPr>
          <w:p w:rsidR="00487D64" w:rsidRDefault="006F0D93">
            <w:pPr>
              <w:pStyle w:val="TableParagraph"/>
              <w:spacing w:before="72"/>
              <w:ind w:left="18" w:right="6"/>
              <w:jc w:val="center"/>
              <w:rPr>
                <w:sz w:val="23"/>
              </w:rPr>
            </w:pPr>
            <w:r>
              <w:rPr>
                <w:spacing w:val="-2"/>
                <w:w w:val="105"/>
                <w:sz w:val="23"/>
              </w:rPr>
              <w:t>Accepted</w:t>
            </w:r>
          </w:p>
        </w:tc>
      </w:tr>
      <w:tr w:rsidR="00487D64">
        <w:trPr>
          <w:trHeight w:val="935"/>
        </w:trPr>
        <w:tc>
          <w:tcPr>
            <w:tcW w:w="1216" w:type="dxa"/>
            <w:tcBorders>
              <w:bottom w:val="single" w:sz="4" w:space="0" w:color="000000"/>
            </w:tcBorders>
          </w:tcPr>
          <w:p w:rsidR="00487D64" w:rsidRDefault="006F0D93">
            <w:pPr>
              <w:pStyle w:val="TableParagraph"/>
              <w:spacing w:before="72"/>
              <w:ind w:left="21"/>
              <w:rPr>
                <w:sz w:val="23"/>
              </w:rPr>
            </w:pPr>
            <w:r>
              <w:rPr>
                <w:spacing w:val="-5"/>
                <w:w w:val="105"/>
                <w:sz w:val="23"/>
              </w:rPr>
              <w:t>H6</w:t>
            </w:r>
          </w:p>
        </w:tc>
        <w:tc>
          <w:tcPr>
            <w:tcW w:w="1417" w:type="dxa"/>
            <w:tcBorders>
              <w:bottom w:val="single" w:sz="4" w:space="0" w:color="000000"/>
            </w:tcBorders>
          </w:tcPr>
          <w:p w:rsidR="00487D64" w:rsidRDefault="006F0D93">
            <w:pPr>
              <w:pStyle w:val="TableParagraph"/>
              <w:spacing w:before="72" w:line="379" w:lineRule="auto"/>
              <w:ind w:left="534" w:hanging="389"/>
              <w:rPr>
                <w:sz w:val="23"/>
              </w:rPr>
            </w:pPr>
            <w:r>
              <w:rPr>
                <w:w w:val="105"/>
                <w:sz w:val="23"/>
              </w:rPr>
              <w:t>SF</w:t>
            </w:r>
            <w:r>
              <w:rPr>
                <w:spacing w:val="-16"/>
                <w:w w:val="105"/>
                <w:sz w:val="23"/>
              </w:rPr>
              <w:t xml:space="preserve"> </w:t>
            </w:r>
            <w:r>
              <w:rPr>
                <w:w w:val="105"/>
                <w:sz w:val="23"/>
              </w:rPr>
              <w:t>x</w:t>
            </w:r>
            <w:r>
              <w:rPr>
                <w:spacing w:val="-15"/>
                <w:w w:val="105"/>
                <w:sz w:val="23"/>
              </w:rPr>
              <w:t xml:space="preserve"> </w:t>
            </w:r>
            <w:r>
              <w:rPr>
                <w:w w:val="105"/>
                <w:sz w:val="23"/>
              </w:rPr>
              <w:t>FC</w:t>
            </w:r>
            <w:r>
              <w:rPr>
                <w:spacing w:val="-15"/>
                <w:w w:val="105"/>
                <w:sz w:val="23"/>
              </w:rPr>
              <w:t xml:space="preserve"> </w:t>
            </w:r>
            <w:r>
              <w:rPr>
                <w:w w:val="105"/>
                <w:sz w:val="23"/>
              </w:rPr>
              <w:t xml:space="preserve">-&gt; </w:t>
            </w:r>
            <w:r>
              <w:rPr>
                <w:spacing w:val="-6"/>
                <w:w w:val="105"/>
                <w:sz w:val="23"/>
              </w:rPr>
              <w:t>SC</w:t>
            </w:r>
          </w:p>
        </w:tc>
        <w:tc>
          <w:tcPr>
            <w:tcW w:w="1003" w:type="dxa"/>
            <w:tcBorders>
              <w:bottom w:val="single" w:sz="4" w:space="0" w:color="000000"/>
            </w:tcBorders>
          </w:tcPr>
          <w:p w:rsidR="00487D64" w:rsidRDefault="00487D64">
            <w:pPr>
              <w:pStyle w:val="TableParagraph"/>
              <w:spacing w:before="17"/>
              <w:rPr>
                <w:b/>
                <w:sz w:val="23"/>
              </w:rPr>
            </w:pPr>
          </w:p>
          <w:p w:rsidR="00487D64" w:rsidRDefault="006F0D93">
            <w:pPr>
              <w:pStyle w:val="TableParagraph"/>
              <w:ind w:left="65" w:right="57"/>
              <w:jc w:val="center"/>
              <w:rPr>
                <w:sz w:val="23"/>
              </w:rPr>
            </w:pPr>
            <w:r>
              <w:rPr>
                <w:spacing w:val="-6"/>
                <w:sz w:val="23"/>
              </w:rPr>
              <w:t>-</w:t>
            </w:r>
            <w:r>
              <w:rPr>
                <w:spacing w:val="-4"/>
                <w:sz w:val="23"/>
              </w:rPr>
              <w:t>0.003</w:t>
            </w:r>
          </w:p>
        </w:tc>
        <w:tc>
          <w:tcPr>
            <w:tcW w:w="1202" w:type="dxa"/>
            <w:tcBorders>
              <w:bottom w:val="single" w:sz="4" w:space="0" w:color="000000"/>
            </w:tcBorders>
          </w:tcPr>
          <w:p w:rsidR="00487D64" w:rsidRDefault="00487D64">
            <w:pPr>
              <w:pStyle w:val="TableParagraph"/>
              <w:spacing w:before="17"/>
              <w:rPr>
                <w:b/>
                <w:sz w:val="23"/>
              </w:rPr>
            </w:pPr>
          </w:p>
          <w:p w:rsidR="00487D64" w:rsidRDefault="006F0D93">
            <w:pPr>
              <w:pStyle w:val="TableParagraph"/>
              <w:ind w:left="11" w:right="4"/>
              <w:jc w:val="center"/>
              <w:rPr>
                <w:sz w:val="23"/>
              </w:rPr>
            </w:pPr>
            <w:r>
              <w:rPr>
                <w:spacing w:val="-2"/>
                <w:w w:val="105"/>
                <w:sz w:val="23"/>
              </w:rPr>
              <w:t>0.006</w:t>
            </w:r>
          </w:p>
        </w:tc>
        <w:tc>
          <w:tcPr>
            <w:tcW w:w="1558" w:type="dxa"/>
            <w:tcBorders>
              <w:bottom w:val="single" w:sz="4" w:space="0" w:color="000000"/>
            </w:tcBorders>
          </w:tcPr>
          <w:p w:rsidR="00487D64" w:rsidRDefault="00487D64">
            <w:pPr>
              <w:pStyle w:val="TableParagraph"/>
              <w:spacing w:before="17"/>
              <w:rPr>
                <w:b/>
                <w:sz w:val="23"/>
              </w:rPr>
            </w:pPr>
          </w:p>
          <w:p w:rsidR="00487D64" w:rsidRDefault="006F0D93">
            <w:pPr>
              <w:pStyle w:val="TableParagraph"/>
              <w:ind w:left="14"/>
              <w:jc w:val="center"/>
              <w:rPr>
                <w:sz w:val="23"/>
              </w:rPr>
            </w:pPr>
            <w:r>
              <w:rPr>
                <w:spacing w:val="-2"/>
                <w:w w:val="105"/>
                <w:sz w:val="23"/>
              </w:rPr>
              <w:t>0.028</w:t>
            </w:r>
          </w:p>
        </w:tc>
        <w:tc>
          <w:tcPr>
            <w:tcW w:w="828" w:type="dxa"/>
            <w:tcBorders>
              <w:bottom w:val="single" w:sz="4" w:space="0" w:color="000000"/>
            </w:tcBorders>
          </w:tcPr>
          <w:p w:rsidR="00487D64" w:rsidRDefault="00487D64">
            <w:pPr>
              <w:pStyle w:val="TableParagraph"/>
              <w:spacing w:before="17"/>
              <w:rPr>
                <w:b/>
                <w:sz w:val="23"/>
              </w:rPr>
            </w:pPr>
          </w:p>
          <w:p w:rsidR="00487D64" w:rsidRDefault="006F0D93">
            <w:pPr>
              <w:pStyle w:val="TableParagraph"/>
              <w:ind w:left="63"/>
              <w:jc w:val="center"/>
              <w:rPr>
                <w:sz w:val="23"/>
              </w:rPr>
            </w:pPr>
            <w:r>
              <w:rPr>
                <w:spacing w:val="-2"/>
                <w:w w:val="105"/>
                <w:sz w:val="23"/>
              </w:rPr>
              <w:t>0.978</w:t>
            </w:r>
          </w:p>
        </w:tc>
        <w:tc>
          <w:tcPr>
            <w:tcW w:w="1038" w:type="dxa"/>
            <w:tcBorders>
              <w:bottom w:val="single" w:sz="4" w:space="0" w:color="000000"/>
            </w:tcBorders>
          </w:tcPr>
          <w:p w:rsidR="00487D64" w:rsidRDefault="006F0D93">
            <w:pPr>
              <w:pStyle w:val="TableParagraph"/>
              <w:spacing w:before="72"/>
              <w:ind w:left="18" w:right="13"/>
              <w:jc w:val="center"/>
              <w:rPr>
                <w:sz w:val="23"/>
              </w:rPr>
            </w:pPr>
            <w:r>
              <w:rPr>
                <w:spacing w:val="-2"/>
                <w:w w:val="105"/>
                <w:sz w:val="23"/>
              </w:rPr>
              <w:t>Rejected</w:t>
            </w:r>
          </w:p>
        </w:tc>
      </w:tr>
    </w:tbl>
    <w:p w:rsidR="00487D64" w:rsidRDefault="006F0D93">
      <w:pPr>
        <w:pStyle w:val="BodyText"/>
        <w:ind w:left="1419"/>
      </w:pPr>
      <w:r>
        <w:rPr>
          <w:w w:val="105"/>
        </w:rPr>
        <w:t>Note:</w:t>
      </w:r>
      <w:r>
        <w:rPr>
          <w:spacing w:val="-4"/>
          <w:w w:val="105"/>
        </w:rPr>
        <w:t xml:space="preserve"> </w:t>
      </w:r>
      <w:r>
        <w:rPr>
          <w:w w:val="105"/>
        </w:rPr>
        <w:t>*p</w:t>
      </w:r>
      <w:r>
        <w:rPr>
          <w:spacing w:val="-5"/>
          <w:w w:val="105"/>
        </w:rPr>
        <w:t xml:space="preserve"> </w:t>
      </w:r>
      <w:r>
        <w:rPr>
          <w:w w:val="105"/>
        </w:rPr>
        <w:t>&lt;</w:t>
      </w:r>
      <w:r>
        <w:rPr>
          <w:spacing w:val="-6"/>
          <w:w w:val="105"/>
        </w:rPr>
        <w:t xml:space="preserve"> </w:t>
      </w:r>
      <w:r>
        <w:rPr>
          <w:w w:val="105"/>
        </w:rPr>
        <w:t>0.05;</w:t>
      </w:r>
      <w:r>
        <w:rPr>
          <w:spacing w:val="-10"/>
          <w:w w:val="105"/>
        </w:rPr>
        <w:t xml:space="preserve"> </w:t>
      </w:r>
      <w:r>
        <w:rPr>
          <w:w w:val="105"/>
        </w:rPr>
        <w:t>t-value</w:t>
      </w:r>
      <w:r>
        <w:rPr>
          <w:spacing w:val="-13"/>
          <w:w w:val="105"/>
        </w:rPr>
        <w:t xml:space="preserve"> </w:t>
      </w:r>
      <w:r>
        <w:rPr>
          <w:w w:val="105"/>
        </w:rPr>
        <w:t>=</w:t>
      </w:r>
      <w:r>
        <w:rPr>
          <w:spacing w:val="-6"/>
          <w:w w:val="105"/>
        </w:rPr>
        <w:t xml:space="preserve"> </w:t>
      </w:r>
      <w:r>
        <w:rPr>
          <w:w w:val="105"/>
        </w:rPr>
        <w:t>two</w:t>
      </w:r>
      <w:r>
        <w:rPr>
          <w:spacing w:val="-5"/>
          <w:w w:val="105"/>
        </w:rPr>
        <w:t xml:space="preserve"> </w:t>
      </w:r>
      <w:r>
        <w:rPr>
          <w:w w:val="105"/>
        </w:rPr>
        <w:t>tailed</w:t>
      </w:r>
      <w:r>
        <w:rPr>
          <w:spacing w:val="-6"/>
          <w:w w:val="105"/>
        </w:rPr>
        <w:t xml:space="preserve"> </w:t>
      </w:r>
      <w:r>
        <w:rPr>
          <w:spacing w:val="-2"/>
          <w:w w:val="105"/>
        </w:rPr>
        <w:t>(1.96&gt;)</w:t>
      </w:r>
    </w:p>
    <w:p w:rsidR="00487D64" w:rsidRDefault="00487D64">
      <w:pPr>
        <w:pStyle w:val="BodyText"/>
        <w:spacing w:before="18"/>
      </w:pPr>
    </w:p>
    <w:p w:rsidR="00487D64" w:rsidRDefault="006F0D93">
      <w:pPr>
        <w:ind w:left="1419"/>
        <w:rPr>
          <w:b/>
          <w:sz w:val="23"/>
        </w:rPr>
      </w:pPr>
      <w:r>
        <w:rPr>
          <w:b/>
          <w:spacing w:val="-4"/>
          <w:w w:val="105"/>
          <w:sz w:val="23"/>
        </w:rPr>
        <w:t>Key:</w:t>
      </w:r>
    </w:p>
    <w:p w:rsidR="00487D64" w:rsidRDefault="00487D64">
      <w:pPr>
        <w:pStyle w:val="BodyText"/>
        <w:spacing w:before="18"/>
        <w:rPr>
          <w:b/>
        </w:rPr>
      </w:pPr>
    </w:p>
    <w:p w:rsidR="00487D64" w:rsidRDefault="006F0D93">
      <w:pPr>
        <w:spacing w:line="504" w:lineRule="auto"/>
        <w:ind w:left="1419" w:right="851"/>
        <w:rPr>
          <w:i/>
          <w:sz w:val="23"/>
        </w:rPr>
      </w:pPr>
      <w:r>
        <w:rPr>
          <w:i/>
          <w:w w:val="105"/>
          <w:sz w:val="23"/>
        </w:rPr>
        <w:t>H1:</w:t>
      </w:r>
      <w:r>
        <w:rPr>
          <w:i/>
          <w:spacing w:val="40"/>
          <w:w w:val="105"/>
          <w:sz w:val="23"/>
        </w:rPr>
        <w:t xml:space="preserve"> </w:t>
      </w:r>
      <w:r>
        <w:rPr>
          <w:i/>
          <w:w w:val="105"/>
          <w:sz w:val="23"/>
        </w:rPr>
        <w:t>Customer</w:t>
      </w:r>
      <w:r>
        <w:rPr>
          <w:i/>
          <w:spacing w:val="40"/>
          <w:w w:val="105"/>
          <w:sz w:val="23"/>
        </w:rPr>
        <w:t xml:space="preserve"> </w:t>
      </w:r>
      <w:r>
        <w:rPr>
          <w:i/>
          <w:w w:val="105"/>
          <w:sz w:val="23"/>
        </w:rPr>
        <w:t>Orientation</w:t>
      </w:r>
      <w:r>
        <w:rPr>
          <w:i/>
          <w:spacing w:val="40"/>
          <w:w w:val="105"/>
          <w:sz w:val="23"/>
        </w:rPr>
        <w:t xml:space="preserve"> </w:t>
      </w:r>
      <w:r>
        <w:rPr>
          <w:i/>
          <w:w w:val="105"/>
          <w:sz w:val="23"/>
        </w:rPr>
        <w:t>positively</w:t>
      </w:r>
      <w:r>
        <w:rPr>
          <w:i/>
          <w:spacing w:val="40"/>
          <w:w w:val="105"/>
          <w:sz w:val="23"/>
        </w:rPr>
        <w:t xml:space="preserve"> </w:t>
      </w:r>
      <w:r>
        <w:rPr>
          <w:i/>
          <w:w w:val="105"/>
          <w:sz w:val="23"/>
        </w:rPr>
        <w:t>affects</w:t>
      </w:r>
      <w:r>
        <w:rPr>
          <w:i/>
          <w:spacing w:val="40"/>
          <w:w w:val="105"/>
          <w:sz w:val="23"/>
        </w:rPr>
        <w:t xml:space="preserve"> </w:t>
      </w:r>
      <w:r>
        <w:rPr>
          <w:i/>
          <w:w w:val="105"/>
          <w:sz w:val="23"/>
        </w:rPr>
        <w:t>the</w:t>
      </w:r>
      <w:r>
        <w:rPr>
          <w:i/>
          <w:spacing w:val="40"/>
          <w:w w:val="105"/>
          <w:sz w:val="23"/>
        </w:rPr>
        <w:t xml:space="preserve"> </w:t>
      </w:r>
      <w:r>
        <w:rPr>
          <w:i/>
          <w:w w:val="105"/>
          <w:sz w:val="23"/>
        </w:rPr>
        <w:t>sustainable</w:t>
      </w:r>
      <w:r>
        <w:rPr>
          <w:i/>
          <w:spacing w:val="40"/>
          <w:w w:val="105"/>
          <w:sz w:val="23"/>
        </w:rPr>
        <w:t xml:space="preserve"> </w:t>
      </w:r>
      <w:r>
        <w:rPr>
          <w:i/>
          <w:w w:val="105"/>
          <w:sz w:val="23"/>
        </w:rPr>
        <w:t>competitiveness</w:t>
      </w:r>
      <w:r>
        <w:rPr>
          <w:i/>
          <w:spacing w:val="40"/>
          <w:w w:val="105"/>
          <w:sz w:val="23"/>
        </w:rPr>
        <w:t xml:space="preserve"> </w:t>
      </w:r>
      <w:r>
        <w:rPr>
          <w:i/>
          <w:w w:val="105"/>
          <w:sz w:val="23"/>
        </w:rPr>
        <w:t>of</w:t>
      </w:r>
      <w:r>
        <w:rPr>
          <w:i/>
          <w:spacing w:val="80"/>
          <w:w w:val="105"/>
          <w:sz w:val="23"/>
        </w:rPr>
        <w:t xml:space="preserve"> </w:t>
      </w:r>
      <w:r>
        <w:rPr>
          <w:i/>
          <w:w w:val="105"/>
          <w:sz w:val="23"/>
        </w:rPr>
        <w:t>special group SMEs in public procurement</w:t>
      </w:r>
    </w:p>
    <w:p w:rsidR="00487D64" w:rsidRDefault="006F0D93">
      <w:pPr>
        <w:spacing w:line="504" w:lineRule="auto"/>
        <w:ind w:left="1419" w:right="851"/>
        <w:rPr>
          <w:i/>
          <w:sz w:val="23"/>
        </w:rPr>
      </w:pPr>
      <w:r>
        <w:rPr>
          <w:i/>
          <w:w w:val="105"/>
          <w:sz w:val="23"/>
        </w:rPr>
        <w:t>H2:</w:t>
      </w:r>
      <w:r>
        <w:rPr>
          <w:i/>
          <w:spacing w:val="40"/>
          <w:w w:val="105"/>
          <w:sz w:val="23"/>
        </w:rPr>
        <w:t xml:space="preserve"> </w:t>
      </w:r>
      <w:r>
        <w:rPr>
          <w:i/>
          <w:w w:val="105"/>
          <w:sz w:val="23"/>
        </w:rPr>
        <w:t>Competitor</w:t>
      </w:r>
      <w:r>
        <w:rPr>
          <w:i/>
          <w:spacing w:val="40"/>
          <w:w w:val="105"/>
          <w:sz w:val="23"/>
        </w:rPr>
        <w:t xml:space="preserve"> </w:t>
      </w:r>
      <w:r>
        <w:rPr>
          <w:i/>
          <w:w w:val="105"/>
          <w:sz w:val="23"/>
        </w:rPr>
        <w:t>orientation</w:t>
      </w:r>
      <w:r>
        <w:rPr>
          <w:i/>
          <w:spacing w:val="40"/>
          <w:w w:val="105"/>
          <w:sz w:val="23"/>
        </w:rPr>
        <w:t xml:space="preserve"> </w:t>
      </w:r>
      <w:r>
        <w:rPr>
          <w:i/>
          <w:w w:val="105"/>
          <w:sz w:val="23"/>
        </w:rPr>
        <w:t>positively</w:t>
      </w:r>
      <w:r>
        <w:rPr>
          <w:i/>
          <w:spacing w:val="40"/>
          <w:w w:val="105"/>
          <w:sz w:val="23"/>
        </w:rPr>
        <w:t xml:space="preserve"> </w:t>
      </w:r>
      <w:r>
        <w:rPr>
          <w:i/>
          <w:w w:val="105"/>
          <w:sz w:val="23"/>
        </w:rPr>
        <w:t>affects</w:t>
      </w:r>
      <w:r>
        <w:rPr>
          <w:i/>
          <w:spacing w:val="40"/>
          <w:w w:val="105"/>
          <w:sz w:val="23"/>
        </w:rPr>
        <w:t xml:space="preserve"> </w:t>
      </w:r>
      <w:r>
        <w:rPr>
          <w:i/>
          <w:w w:val="105"/>
          <w:sz w:val="23"/>
        </w:rPr>
        <w:t>the</w:t>
      </w:r>
      <w:r>
        <w:rPr>
          <w:i/>
          <w:spacing w:val="40"/>
          <w:w w:val="105"/>
          <w:sz w:val="23"/>
        </w:rPr>
        <w:t xml:space="preserve"> </w:t>
      </w:r>
      <w:r>
        <w:rPr>
          <w:i/>
          <w:w w:val="105"/>
          <w:sz w:val="23"/>
        </w:rPr>
        <w:t>sustainable</w:t>
      </w:r>
      <w:r>
        <w:rPr>
          <w:i/>
          <w:spacing w:val="40"/>
          <w:w w:val="105"/>
          <w:sz w:val="23"/>
        </w:rPr>
        <w:t xml:space="preserve"> </w:t>
      </w:r>
      <w:r>
        <w:rPr>
          <w:i/>
          <w:w w:val="105"/>
          <w:sz w:val="23"/>
        </w:rPr>
        <w:t>competitiveness</w:t>
      </w:r>
      <w:r>
        <w:rPr>
          <w:i/>
          <w:spacing w:val="40"/>
          <w:w w:val="105"/>
          <w:sz w:val="23"/>
        </w:rPr>
        <w:t xml:space="preserve"> </w:t>
      </w:r>
      <w:r>
        <w:rPr>
          <w:i/>
          <w:w w:val="105"/>
          <w:sz w:val="23"/>
        </w:rPr>
        <w:t>of special group SMEs in public procurement</w:t>
      </w:r>
    </w:p>
    <w:p w:rsidR="00487D64" w:rsidRDefault="006F0D93">
      <w:pPr>
        <w:spacing w:line="496" w:lineRule="auto"/>
        <w:ind w:left="1419" w:right="851"/>
        <w:rPr>
          <w:i/>
          <w:sz w:val="23"/>
        </w:rPr>
      </w:pPr>
      <w:r>
        <w:rPr>
          <w:i/>
          <w:w w:val="105"/>
          <w:sz w:val="23"/>
        </w:rPr>
        <w:t>H3:</w:t>
      </w:r>
      <w:r>
        <w:rPr>
          <w:i/>
          <w:spacing w:val="40"/>
          <w:w w:val="105"/>
          <w:sz w:val="23"/>
        </w:rPr>
        <w:t xml:space="preserve"> </w:t>
      </w:r>
      <w:r>
        <w:rPr>
          <w:i/>
          <w:w w:val="105"/>
          <w:sz w:val="23"/>
        </w:rPr>
        <w:t>Functional</w:t>
      </w:r>
      <w:r>
        <w:rPr>
          <w:i/>
          <w:spacing w:val="40"/>
          <w:w w:val="105"/>
          <w:sz w:val="23"/>
        </w:rPr>
        <w:t xml:space="preserve"> </w:t>
      </w:r>
      <w:r>
        <w:rPr>
          <w:i/>
          <w:w w:val="105"/>
          <w:sz w:val="23"/>
        </w:rPr>
        <w:t>coordination</w:t>
      </w:r>
      <w:r>
        <w:rPr>
          <w:i/>
          <w:spacing w:val="40"/>
          <w:w w:val="105"/>
          <w:sz w:val="23"/>
        </w:rPr>
        <w:t xml:space="preserve"> </w:t>
      </w:r>
      <w:r>
        <w:rPr>
          <w:i/>
          <w:w w:val="105"/>
          <w:sz w:val="23"/>
        </w:rPr>
        <w:t>positively</w:t>
      </w:r>
      <w:r>
        <w:rPr>
          <w:i/>
          <w:spacing w:val="40"/>
          <w:w w:val="105"/>
          <w:sz w:val="23"/>
        </w:rPr>
        <w:t xml:space="preserve"> </w:t>
      </w:r>
      <w:r>
        <w:rPr>
          <w:i/>
          <w:w w:val="105"/>
          <w:sz w:val="23"/>
        </w:rPr>
        <w:t>affects</w:t>
      </w:r>
      <w:r>
        <w:rPr>
          <w:i/>
          <w:spacing w:val="40"/>
          <w:w w:val="105"/>
          <w:sz w:val="23"/>
        </w:rPr>
        <w:t xml:space="preserve"> </w:t>
      </w:r>
      <w:r>
        <w:rPr>
          <w:i/>
          <w:w w:val="105"/>
          <w:sz w:val="23"/>
        </w:rPr>
        <w:t>the</w:t>
      </w:r>
      <w:r>
        <w:rPr>
          <w:i/>
          <w:spacing w:val="40"/>
          <w:w w:val="105"/>
          <w:sz w:val="23"/>
        </w:rPr>
        <w:t xml:space="preserve"> </w:t>
      </w:r>
      <w:r>
        <w:rPr>
          <w:i/>
          <w:w w:val="105"/>
          <w:sz w:val="23"/>
        </w:rPr>
        <w:t>sustainable</w:t>
      </w:r>
      <w:r>
        <w:rPr>
          <w:i/>
          <w:spacing w:val="39"/>
          <w:w w:val="105"/>
          <w:sz w:val="23"/>
        </w:rPr>
        <w:t xml:space="preserve"> </w:t>
      </w:r>
      <w:r>
        <w:rPr>
          <w:i/>
          <w:w w:val="105"/>
          <w:sz w:val="23"/>
        </w:rPr>
        <w:t>competitiveness</w:t>
      </w:r>
      <w:r>
        <w:rPr>
          <w:i/>
          <w:spacing w:val="40"/>
          <w:w w:val="105"/>
          <w:sz w:val="23"/>
        </w:rPr>
        <w:t xml:space="preserve"> </w:t>
      </w:r>
      <w:r>
        <w:rPr>
          <w:i/>
          <w:w w:val="105"/>
          <w:sz w:val="23"/>
        </w:rPr>
        <w:t>of special gro</w:t>
      </w:r>
      <w:r>
        <w:rPr>
          <w:i/>
          <w:w w:val="105"/>
          <w:sz w:val="23"/>
        </w:rPr>
        <w:t>up SMEs in public procurement</w:t>
      </w:r>
    </w:p>
    <w:p w:rsidR="00487D64" w:rsidRDefault="00487D64">
      <w:pPr>
        <w:spacing w:line="496" w:lineRule="auto"/>
        <w:rPr>
          <w:i/>
          <w:sz w:val="23"/>
        </w:rPr>
        <w:sectPr w:rsidR="00487D64">
          <w:pgSz w:w="11910" w:h="16850"/>
          <w:pgMar w:top="980" w:right="566" w:bottom="280" w:left="850" w:header="725" w:footer="0" w:gutter="0"/>
          <w:cols w:space="720"/>
        </w:sectPr>
      </w:pPr>
    </w:p>
    <w:p w:rsidR="00487D64" w:rsidRDefault="00487D64">
      <w:pPr>
        <w:pStyle w:val="BodyText"/>
        <w:rPr>
          <w:i/>
        </w:rPr>
      </w:pPr>
    </w:p>
    <w:p w:rsidR="00487D64" w:rsidRDefault="00487D64">
      <w:pPr>
        <w:pStyle w:val="BodyText"/>
        <w:rPr>
          <w:i/>
        </w:rPr>
      </w:pPr>
    </w:p>
    <w:p w:rsidR="00487D64" w:rsidRDefault="00487D64">
      <w:pPr>
        <w:pStyle w:val="BodyText"/>
        <w:rPr>
          <w:i/>
        </w:rPr>
      </w:pPr>
    </w:p>
    <w:p w:rsidR="00487D64" w:rsidRDefault="00487D64">
      <w:pPr>
        <w:pStyle w:val="BodyText"/>
        <w:spacing w:before="231"/>
        <w:rPr>
          <w:i/>
        </w:rPr>
      </w:pPr>
    </w:p>
    <w:p w:rsidR="00487D64" w:rsidRDefault="006F0D93">
      <w:pPr>
        <w:spacing w:line="504" w:lineRule="auto"/>
        <w:ind w:left="1419" w:right="851"/>
        <w:rPr>
          <w:i/>
          <w:sz w:val="23"/>
        </w:rPr>
      </w:pPr>
      <w:r>
        <w:rPr>
          <w:i/>
          <w:w w:val="105"/>
          <w:sz w:val="23"/>
        </w:rPr>
        <w:t>H4: Strategic flexibility moderates the relationship between competitor orientation and sustainable competitiveness of special group SMEs in public procurement</w:t>
      </w:r>
    </w:p>
    <w:p w:rsidR="00487D64" w:rsidRDefault="006F0D93">
      <w:pPr>
        <w:spacing w:line="504" w:lineRule="auto"/>
        <w:ind w:left="1419" w:right="851"/>
        <w:rPr>
          <w:i/>
          <w:sz w:val="23"/>
        </w:rPr>
      </w:pPr>
      <w:r>
        <w:rPr>
          <w:i/>
          <w:w w:val="105"/>
          <w:sz w:val="23"/>
        </w:rPr>
        <w:t>H5: Strategic flexibility moderates the</w:t>
      </w:r>
      <w:r>
        <w:rPr>
          <w:i/>
          <w:w w:val="105"/>
          <w:sz w:val="23"/>
        </w:rPr>
        <w:t xml:space="preserve"> relationship between competitor orientation and sustainable competitiveness of special group SMEs in public procurement</w:t>
      </w:r>
    </w:p>
    <w:p w:rsidR="00487D64" w:rsidRDefault="006F0D93">
      <w:pPr>
        <w:spacing w:line="496" w:lineRule="auto"/>
        <w:ind w:left="1419" w:right="851"/>
        <w:rPr>
          <w:i/>
          <w:sz w:val="23"/>
        </w:rPr>
      </w:pPr>
      <w:r>
        <w:rPr>
          <w:i/>
          <w:w w:val="105"/>
          <w:sz w:val="23"/>
        </w:rPr>
        <w:t>H6: Strategic flexibility moderates the relationship between functional coordination and sustainable competitiveness of special group S</w:t>
      </w:r>
      <w:r>
        <w:rPr>
          <w:i/>
          <w:w w:val="105"/>
          <w:sz w:val="23"/>
        </w:rPr>
        <w:t>MEs in public procurement.</w:t>
      </w:r>
    </w:p>
    <w:p w:rsidR="00487D64" w:rsidRDefault="00487D64">
      <w:pPr>
        <w:pStyle w:val="BodyText"/>
        <w:spacing w:before="6"/>
        <w:rPr>
          <w:i/>
        </w:rPr>
      </w:pPr>
    </w:p>
    <w:p w:rsidR="00487D64" w:rsidRDefault="006F0D93">
      <w:pPr>
        <w:pStyle w:val="BodyText"/>
        <w:spacing w:line="501" w:lineRule="auto"/>
        <w:ind w:left="1419" w:right="849"/>
        <w:jc w:val="both"/>
      </w:pPr>
      <w:r>
        <w:rPr>
          <w:w w:val="105"/>
        </w:rPr>
        <w:t>The structural model evaluation revealed the structural model path coefficients, M, STDEV, O/STDEV, and p-values for the current study’s hypothesized</w:t>
      </w:r>
      <w:r>
        <w:rPr>
          <w:spacing w:val="-1"/>
          <w:w w:val="105"/>
        </w:rPr>
        <w:t xml:space="preserve"> </w:t>
      </w:r>
      <w:r>
        <w:rPr>
          <w:w w:val="105"/>
        </w:rPr>
        <w:t>relationships. Concerning Hypothesis 1, on the positive impact of customer ori</w:t>
      </w:r>
      <w:r>
        <w:rPr>
          <w:w w:val="105"/>
        </w:rPr>
        <w:t>entation on sustainable competitiveness, findings (see Table 4.18 revealed that there was a significant</w:t>
      </w:r>
      <w:r>
        <w:rPr>
          <w:spacing w:val="-5"/>
          <w:w w:val="105"/>
        </w:rPr>
        <w:t xml:space="preserve"> </w:t>
      </w:r>
      <w:r>
        <w:rPr>
          <w:w w:val="105"/>
        </w:rPr>
        <w:t>relationship</w:t>
      </w:r>
      <w:r>
        <w:rPr>
          <w:spacing w:val="-2"/>
          <w:w w:val="105"/>
        </w:rPr>
        <w:t xml:space="preserve"> </w:t>
      </w:r>
      <w:r>
        <w:rPr>
          <w:w w:val="105"/>
        </w:rPr>
        <w:t>between customer orientation</w:t>
      </w:r>
      <w:r>
        <w:rPr>
          <w:spacing w:val="-2"/>
          <w:w w:val="105"/>
        </w:rPr>
        <w:t xml:space="preserve"> </w:t>
      </w:r>
      <w:r>
        <w:rPr>
          <w:w w:val="105"/>
        </w:rPr>
        <w:t>on</w:t>
      </w:r>
      <w:r>
        <w:rPr>
          <w:spacing w:val="-2"/>
          <w:w w:val="105"/>
        </w:rPr>
        <w:t xml:space="preserve"> </w:t>
      </w:r>
      <w:r>
        <w:rPr>
          <w:w w:val="105"/>
        </w:rPr>
        <w:t>sustainable</w:t>
      </w:r>
      <w:r>
        <w:rPr>
          <w:spacing w:val="-2"/>
          <w:w w:val="105"/>
        </w:rPr>
        <w:t xml:space="preserve"> </w:t>
      </w:r>
      <w:r>
        <w:rPr>
          <w:w w:val="105"/>
        </w:rPr>
        <w:t>competitiveness (M = 0.224, STDEV = 0.227, O/STDEV = 5.069, and</w:t>
      </w:r>
      <w:r>
        <w:rPr>
          <w:w w:val="105"/>
        </w:rPr>
        <w:t xml:space="preserve"> p-value = 0.000), indicating that Hypothesis 1 was supported.</w:t>
      </w:r>
    </w:p>
    <w:p w:rsidR="00487D64" w:rsidRDefault="006F0D93">
      <w:pPr>
        <w:pStyle w:val="BodyText"/>
        <w:spacing w:before="237" w:line="501" w:lineRule="auto"/>
        <w:ind w:left="1419" w:right="858"/>
        <w:jc w:val="both"/>
      </w:pPr>
      <w:r>
        <w:rPr>
          <w:w w:val="105"/>
        </w:rPr>
        <w:t>Furthermore, the findings revealed a significant positive relationship between competitor orientation and sustainable competitiveness with (M = 0.226, STDEV = 0.229, O/STDEV = 6.437, and p-valu</w:t>
      </w:r>
      <w:r>
        <w:rPr>
          <w:w w:val="105"/>
        </w:rPr>
        <w:t xml:space="preserve">e = 0.000), indicating that hypothesis 2 was </w:t>
      </w:r>
      <w:r>
        <w:rPr>
          <w:spacing w:val="-2"/>
          <w:w w:val="105"/>
        </w:rPr>
        <w:t>supported.</w:t>
      </w:r>
    </w:p>
    <w:p w:rsidR="00487D64" w:rsidRDefault="006F0D93">
      <w:pPr>
        <w:pStyle w:val="BodyText"/>
        <w:spacing w:before="238" w:line="504" w:lineRule="auto"/>
        <w:ind w:left="1419" w:right="842"/>
        <w:jc w:val="both"/>
      </w:pPr>
      <w:r>
        <w:rPr>
          <w:w w:val="105"/>
        </w:rPr>
        <w:t>Likewise, as shown in Table 4.18, the relationship between functional coordination and sustainable competitiveness was not significant (M = 0.098, STDEV = 0.100, O/STDEV</w:t>
      </w:r>
      <w:r>
        <w:rPr>
          <w:spacing w:val="-9"/>
          <w:w w:val="105"/>
        </w:rPr>
        <w:t xml:space="preserve"> </w:t>
      </w:r>
      <w:r>
        <w:rPr>
          <w:w w:val="105"/>
        </w:rPr>
        <w:t>=</w:t>
      </w:r>
      <w:r>
        <w:rPr>
          <w:spacing w:val="-4"/>
          <w:w w:val="105"/>
        </w:rPr>
        <w:t xml:space="preserve"> </w:t>
      </w:r>
      <w:r>
        <w:rPr>
          <w:w w:val="105"/>
        </w:rPr>
        <w:t>1.556,</w:t>
      </w:r>
      <w:r>
        <w:rPr>
          <w:spacing w:val="-8"/>
          <w:w w:val="105"/>
        </w:rPr>
        <w:t xml:space="preserve"> </w:t>
      </w:r>
      <w:r>
        <w:rPr>
          <w:w w:val="105"/>
        </w:rPr>
        <w:t>and</w:t>
      </w:r>
      <w:r>
        <w:rPr>
          <w:spacing w:val="-3"/>
          <w:w w:val="105"/>
        </w:rPr>
        <w:t xml:space="preserve"> </w:t>
      </w:r>
      <w:r>
        <w:rPr>
          <w:w w:val="105"/>
        </w:rPr>
        <w:t>p-value</w:t>
      </w:r>
      <w:r>
        <w:rPr>
          <w:spacing w:val="-4"/>
          <w:w w:val="105"/>
        </w:rPr>
        <w:t xml:space="preserve"> </w:t>
      </w:r>
      <w:r>
        <w:rPr>
          <w:w w:val="105"/>
        </w:rPr>
        <w:t>=</w:t>
      </w:r>
      <w:r>
        <w:rPr>
          <w:spacing w:val="-4"/>
          <w:w w:val="105"/>
        </w:rPr>
        <w:t xml:space="preserve"> </w:t>
      </w:r>
      <w:r>
        <w:rPr>
          <w:w w:val="105"/>
        </w:rPr>
        <w:t>0.120).</w:t>
      </w:r>
      <w:r>
        <w:rPr>
          <w:spacing w:val="-8"/>
          <w:w w:val="105"/>
        </w:rPr>
        <w:t xml:space="preserve"> </w:t>
      </w:r>
      <w:r>
        <w:rPr>
          <w:w w:val="105"/>
        </w:rPr>
        <w:t>Therefore,</w:t>
      </w:r>
      <w:r>
        <w:rPr>
          <w:spacing w:val="-1"/>
          <w:w w:val="105"/>
        </w:rPr>
        <w:t xml:space="preserve"> </w:t>
      </w:r>
      <w:r>
        <w:rPr>
          <w:w w:val="105"/>
        </w:rPr>
        <w:t>hypothesis</w:t>
      </w:r>
      <w:r>
        <w:rPr>
          <w:spacing w:val="-11"/>
          <w:w w:val="105"/>
        </w:rPr>
        <w:t xml:space="preserve"> </w:t>
      </w:r>
      <w:r>
        <w:rPr>
          <w:w w:val="105"/>
        </w:rPr>
        <w:t>3 was</w:t>
      </w:r>
      <w:r>
        <w:rPr>
          <w:spacing w:val="-6"/>
          <w:w w:val="105"/>
        </w:rPr>
        <w:t xml:space="preserve"> </w:t>
      </w:r>
      <w:r>
        <w:rPr>
          <w:w w:val="105"/>
        </w:rPr>
        <w:t>not</w:t>
      </w:r>
      <w:r>
        <w:rPr>
          <w:spacing w:val="-1"/>
          <w:w w:val="105"/>
        </w:rPr>
        <w:t xml:space="preserve"> </w:t>
      </w:r>
      <w:r>
        <w:rPr>
          <w:w w:val="105"/>
        </w:rPr>
        <w:t>supported.</w:t>
      </w:r>
    </w:p>
    <w:p w:rsidR="00487D64" w:rsidRDefault="006F0D93">
      <w:pPr>
        <w:pStyle w:val="BodyText"/>
        <w:spacing w:before="235" w:line="496" w:lineRule="auto"/>
        <w:ind w:left="1419" w:right="847"/>
        <w:jc w:val="both"/>
      </w:pPr>
      <w:r>
        <w:rPr>
          <w:w w:val="105"/>
        </w:rPr>
        <w:t>For hypothesis 4 on the fact that strategic flexibility moderates the relationship between</w:t>
      </w:r>
      <w:r>
        <w:rPr>
          <w:spacing w:val="10"/>
          <w:w w:val="105"/>
        </w:rPr>
        <w:t xml:space="preserve"> </w:t>
      </w:r>
      <w:r>
        <w:rPr>
          <w:w w:val="105"/>
        </w:rPr>
        <w:t>customer</w:t>
      </w:r>
      <w:r>
        <w:rPr>
          <w:spacing w:val="16"/>
          <w:w w:val="105"/>
        </w:rPr>
        <w:t xml:space="preserve"> </w:t>
      </w:r>
      <w:r>
        <w:rPr>
          <w:w w:val="105"/>
        </w:rPr>
        <w:t>orientation</w:t>
      </w:r>
      <w:r>
        <w:rPr>
          <w:spacing w:val="9"/>
          <w:w w:val="105"/>
        </w:rPr>
        <w:t xml:space="preserve"> </w:t>
      </w:r>
      <w:r>
        <w:rPr>
          <w:w w:val="105"/>
        </w:rPr>
        <w:t>and</w:t>
      </w:r>
      <w:r>
        <w:rPr>
          <w:spacing w:val="11"/>
          <w:w w:val="105"/>
        </w:rPr>
        <w:t xml:space="preserve"> </w:t>
      </w:r>
      <w:r>
        <w:rPr>
          <w:w w:val="105"/>
        </w:rPr>
        <w:t>sustainable</w:t>
      </w:r>
      <w:r>
        <w:rPr>
          <w:spacing w:val="8"/>
          <w:w w:val="105"/>
        </w:rPr>
        <w:t xml:space="preserve"> </w:t>
      </w:r>
      <w:r>
        <w:rPr>
          <w:w w:val="105"/>
        </w:rPr>
        <w:t>competitiveness,</w:t>
      </w:r>
      <w:r>
        <w:rPr>
          <w:spacing w:val="6"/>
          <w:w w:val="105"/>
        </w:rPr>
        <w:t xml:space="preserve"> </w:t>
      </w:r>
      <w:r>
        <w:rPr>
          <w:w w:val="105"/>
        </w:rPr>
        <w:t>the</w:t>
      </w:r>
      <w:r>
        <w:rPr>
          <w:spacing w:val="9"/>
          <w:w w:val="105"/>
        </w:rPr>
        <w:t xml:space="preserve"> </w:t>
      </w:r>
      <w:r>
        <w:rPr>
          <w:w w:val="105"/>
        </w:rPr>
        <w:t>hypotheses</w:t>
      </w:r>
      <w:r>
        <w:rPr>
          <w:spacing w:val="11"/>
          <w:w w:val="105"/>
        </w:rPr>
        <w:t xml:space="preserve"> </w:t>
      </w:r>
      <w:r>
        <w:rPr>
          <w:spacing w:val="-4"/>
          <w:w w:val="105"/>
        </w:rPr>
        <w:t>were</w:t>
      </w:r>
    </w:p>
    <w:p w:rsidR="00487D64" w:rsidRDefault="00487D64">
      <w:pPr>
        <w:pStyle w:val="BodyText"/>
        <w:spacing w:line="496"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2"/>
        <w:jc w:val="both"/>
      </w:pPr>
      <w:r>
        <w:rPr>
          <w:w w:val="105"/>
        </w:rPr>
        <w:t>rejected</w:t>
      </w:r>
      <w:r>
        <w:rPr>
          <w:b/>
          <w:w w:val="105"/>
        </w:rPr>
        <w:t xml:space="preserve">, </w:t>
      </w:r>
      <w:r>
        <w:rPr>
          <w:w w:val="105"/>
        </w:rPr>
        <w:t xml:space="preserve">as the results </w:t>
      </w:r>
      <w:r>
        <w:rPr>
          <w:w w:val="105"/>
        </w:rPr>
        <w:t>showed a non-significant interaction effect (M = –0.078</w:t>
      </w:r>
      <w:r>
        <w:rPr>
          <w:b/>
          <w:w w:val="105"/>
        </w:rPr>
        <w:t xml:space="preserve">, </w:t>
      </w:r>
      <w:r>
        <w:rPr>
          <w:w w:val="105"/>
        </w:rPr>
        <w:t>STDEV = 0.801</w:t>
      </w:r>
      <w:r>
        <w:rPr>
          <w:b/>
          <w:w w:val="105"/>
        </w:rPr>
        <w:t xml:space="preserve">, </w:t>
      </w:r>
      <w:r>
        <w:rPr>
          <w:w w:val="105"/>
        </w:rPr>
        <w:t>T = 1.469</w:t>
      </w:r>
      <w:r>
        <w:rPr>
          <w:b/>
          <w:w w:val="105"/>
        </w:rPr>
        <w:t xml:space="preserve">, </w:t>
      </w:r>
      <w:r>
        <w:rPr>
          <w:w w:val="105"/>
        </w:rPr>
        <w:t xml:space="preserve">p = 0.142). Since the T-statistic did not meet the minimum threshold of 1.96 and the p-value was greater than 0.05, the moderation effect was not statistically significant. </w:t>
      </w:r>
      <w:r>
        <w:rPr>
          <w:w w:val="105"/>
        </w:rPr>
        <w:t>This suggests that variations in Strategic Flexibility do not significantly influence the relationship between Customer Orientation and Sustainable Competitiveness.</w:t>
      </w:r>
    </w:p>
    <w:p w:rsidR="00487D64" w:rsidRDefault="006F0D93">
      <w:pPr>
        <w:pStyle w:val="BodyText"/>
        <w:spacing w:before="235" w:line="501" w:lineRule="auto"/>
        <w:ind w:left="1419" w:right="847"/>
        <w:jc w:val="both"/>
      </w:pPr>
      <w:r>
        <w:rPr>
          <w:w w:val="105"/>
        </w:rPr>
        <w:t>Also, Hypothesis 5 proposed that Strategic Flexibility moderates the relationship between</w:t>
      </w:r>
      <w:r>
        <w:rPr>
          <w:w w:val="105"/>
        </w:rPr>
        <w:t xml:space="preserve"> Competitor Orientation (CO) and Sustainable Competitiveness (SC)</w:t>
      </w:r>
      <w:r>
        <w:rPr>
          <w:b/>
          <w:w w:val="105"/>
        </w:rPr>
        <w:t xml:space="preserve">. </w:t>
      </w:r>
      <w:r>
        <w:rPr>
          <w:w w:val="105"/>
        </w:rPr>
        <w:t>The hypothesis</w:t>
      </w:r>
      <w:r>
        <w:rPr>
          <w:spacing w:val="-2"/>
          <w:w w:val="105"/>
        </w:rPr>
        <w:t xml:space="preserve"> </w:t>
      </w:r>
      <w:r>
        <w:rPr>
          <w:w w:val="105"/>
        </w:rPr>
        <w:t>was accepted</w:t>
      </w:r>
      <w:r>
        <w:rPr>
          <w:b/>
          <w:w w:val="105"/>
        </w:rPr>
        <w:t xml:space="preserve">, </w:t>
      </w:r>
      <w:r>
        <w:rPr>
          <w:w w:val="105"/>
        </w:rPr>
        <w:t>as</w:t>
      </w:r>
      <w:r>
        <w:rPr>
          <w:spacing w:val="-2"/>
          <w:w w:val="105"/>
        </w:rPr>
        <w:t xml:space="preserve"> </w:t>
      </w:r>
      <w:r>
        <w:rPr>
          <w:w w:val="105"/>
        </w:rPr>
        <w:t>the</w:t>
      </w:r>
      <w:r>
        <w:rPr>
          <w:spacing w:val="-1"/>
          <w:w w:val="105"/>
        </w:rPr>
        <w:t xml:space="preserve"> </w:t>
      </w:r>
      <w:r>
        <w:rPr>
          <w:w w:val="105"/>
        </w:rPr>
        <w:t>interaction effect was</w:t>
      </w:r>
      <w:r>
        <w:rPr>
          <w:spacing w:val="-2"/>
          <w:w w:val="105"/>
        </w:rPr>
        <w:t xml:space="preserve"> </w:t>
      </w:r>
      <w:r>
        <w:rPr>
          <w:w w:val="105"/>
        </w:rPr>
        <w:t>statistically significant (M = – 0.166</w:t>
      </w:r>
      <w:r>
        <w:rPr>
          <w:b/>
          <w:w w:val="105"/>
        </w:rPr>
        <w:t xml:space="preserve">, </w:t>
      </w:r>
      <w:r>
        <w:rPr>
          <w:w w:val="105"/>
        </w:rPr>
        <w:t>STDEV = 0.175</w:t>
      </w:r>
      <w:r>
        <w:rPr>
          <w:b/>
          <w:w w:val="105"/>
        </w:rPr>
        <w:t xml:space="preserve">, </w:t>
      </w:r>
      <w:r>
        <w:rPr>
          <w:w w:val="105"/>
        </w:rPr>
        <w:t>T = 3.378</w:t>
      </w:r>
      <w:r>
        <w:rPr>
          <w:b/>
          <w:w w:val="105"/>
        </w:rPr>
        <w:t xml:space="preserve">, </w:t>
      </w:r>
      <w:r>
        <w:rPr>
          <w:w w:val="105"/>
        </w:rPr>
        <w:t>p = 0.001). Since the T-statistic exceeded the critical value of</w:t>
      </w:r>
      <w:r>
        <w:rPr>
          <w:w w:val="105"/>
        </w:rPr>
        <w:t xml:space="preserve"> 1.96 and the p-value was below 0.05, the result confirms a significant moderation effect. This indicates that Strategic Flexibility significantly influences how Competitor Orientation affects Sustainable Competitiveness.</w:t>
      </w:r>
    </w:p>
    <w:p w:rsidR="00487D64" w:rsidRDefault="006F0D93">
      <w:pPr>
        <w:pStyle w:val="BodyText"/>
        <w:spacing w:before="237" w:line="501" w:lineRule="auto"/>
        <w:ind w:left="1419" w:right="851"/>
        <w:jc w:val="both"/>
      </w:pPr>
      <w:r>
        <w:rPr>
          <w:w w:val="105"/>
        </w:rPr>
        <w:t>Hypothesis 6 proposed that Strateg</w:t>
      </w:r>
      <w:r>
        <w:rPr>
          <w:w w:val="105"/>
        </w:rPr>
        <w:t>ic Flexibility moderates the relationship between Functional Coordination (FC) and Sustainable Competitiveness (SC)</w:t>
      </w:r>
      <w:r>
        <w:rPr>
          <w:b/>
          <w:w w:val="105"/>
        </w:rPr>
        <w:t xml:space="preserve">. </w:t>
      </w:r>
      <w:r>
        <w:rPr>
          <w:w w:val="105"/>
        </w:rPr>
        <w:t>This hypothesis</w:t>
      </w:r>
      <w:r>
        <w:rPr>
          <w:spacing w:val="-8"/>
          <w:w w:val="105"/>
        </w:rPr>
        <w:t xml:space="preserve"> </w:t>
      </w:r>
      <w:r>
        <w:rPr>
          <w:w w:val="105"/>
        </w:rPr>
        <w:t>was</w:t>
      </w:r>
      <w:r>
        <w:rPr>
          <w:spacing w:val="-13"/>
          <w:w w:val="105"/>
        </w:rPr>
        <w:t xml:space="preserve"> </w:t>
      </w:r>
      <w:r>
        <w:rPr>
          <w:w w:val="105"/>
        </w:rPr>
        <w:t>rejected,</w:t>
      </w:r>
      <w:r>
        <w:rPr>
          <w:spacing w:val="-11"/>
          <w:w w:val="105"/>
        </w:rPr>
        <w:t xml:space="preserve"> </w:t>
      </w:r>
      <w:r>
        <w:rPr>
          <w:w w:val="105"/>
        </w:rPr>
        <w:t>as</w:t>
      </w:r>
      <w:r>
        <w:rPr>
          <w:spacing w:val="-8"/>
          <w:w w:val="105"/>
        </w:rPr>
        <w:t xml:space="preserve"> </w:t>
      </w:r>
      <w:r>
        <w:rPr>
          <w:w w:val="105"/>
        </w:rPr>
        <w:t>the</w:t>
      </w:r>
      <w:r>
        <w:rPr>
          <w:spacing w:val="-7"/>
          <w:w w:val="105"/>
        </w:rPr>
        <w:t xml:space="preserve"> </w:t>
      </w:r>
      <w:r>
        <w:rPr>
          <w:w w:val="105"/>
        </w:rPr>
        <w:t>interaction</w:t>
      </w:r>
      <w:r>
        <w:rPr>
          <w:spacing w:val="-6"/>
          <w:w w:val="105"/>
        </w:rPr>
        <w:t xml:space="preserve"> </w:t>
      </w:r>
      <w:r>
        <w:rPr>
          <w:w w:val="105"/>
        </w:rPr>
        <w:t>effect</w:t>
      </w:r>
      <w:r>
        <w:rPr>
          <w:spacing w:val="-4"/>
          <w:w w:val="105"/>
        </w:rPr>
        <w:t xml:space="preserve"> </w:t>
      </w:r>
      <w:r>
        <w:rPr>
          <w:w w:val="105"/>
        </w:rPr>
        <w:t>was</w:t>
      </w:r>
      <w:r>
        <w:rPr>
          <w:spacing w:val="-9"/>
          <w:w w:val="105"/>
        </w:rPr>
        <w:t xml:space="preserve"> </w:t>
      </w:r>
      <w:r>
        <w:rPr>
          <w:w w:val="105"/>
        </w:rPr>
        <w:t>not</w:t>
      </w:r>
      <w:r>
        <w:rPr>
          <w:spacing w:val="-4"/>
          <w:w w:val="105"/>
        </w:rPr>
        <w:t xml:space="preserve"> </w:t>
      </w:r>
      <w:r>
        <w:rPr>
          <w:w w:val="105"/>
        </w:rPr>
        <w:t>statistically significant</w:t>
      </w:r>
      <w:r>
        <w:rPr>
          <w:spacing w:val="-11"/>
          <w:w w:val="105"/>
        </w:rPr>
        <w:t xml:space="preserve"> </w:t>
      </w:r>
      <w:r>
        <w:rPr>
          <w:w w:val="105"/>
        </w:rPr>
        <w:t>(M</w:t>
      </w:r>
      <w:r>
        <w:rPr>
          <w:spacing w:val="-12"/>
          <w:w w:val="105"/>
        </w:rPr>
        <w:t xml:space="preserve"> </w:t>
      </w:r>
      <w:r>
        <w:rPr>
          <w:w w:val="105"/>
        </w:rPr>
        <w:t>= –0.003</w:t>
      </w:r>
      <w:r>
        <w:rPr>
          <w:b/>
          <w:w w:val="105"/>
        </w:rPr>
        <w:t xml:space="preserve">, </w:t>
      </w:r>
      <w:r>
        <w:rPr>
          <w:w w:val="105"/>
        </w:rPr>
        <w:t>STDEV = 0.006</w:t>
      </w:r>
      <w:r>
        <w:rPr>
          <w:b/>
          <w:w w:val="105"/>
        </w:rPr>
        <w:t xml:space="preserve">, </w:t>
      </w:r>
      <w:r>
        <w:rPr>
          <w:w w:val="105"/>
        </w:rPr>
        <w:t>T = 0.028</w:t>
      </w:r>
      <w:r>
        <w:rPr>
          <w:b/>
          <w:w w:val="105"/>
        </w:rPr>
        <w:t xml:space="preserve">, </w:t>
      </w:r>
      <w:r>
        <w:rPr>
          <w:w w:val="105"/>
        </w:rPr>
        <w:t>p = 0.978)</w:t>
      </w:r>
      <w:r>
        <w:rPr>
          <w:w w:val="105"/>
        </w:rPr>
        <w:t>. The T-statistic was far below the required threshold of</w:t>
      </w:r>
      <w:r>
        <w:rPr>
          <w:spacing w:val="-1"/>
          <w:w w:val="105"/>
        </w:rPr>
        <w:t xml:space="preserve"> </w:t>
      </w:r>
      <w:r>
        <w:rPr>
          <w:w w:val="105"/>
        </w:rPr>
        <w:t>1.96, and the p-value was much greater than 0.05, indicating a lack</w:t>
      </w:r>
      <w:r>
        <w:rPr>
          <w:spacing w:val="-1"/>
          <w:w w:val="105"/>
        </w:rPr>
        <w:t xml:space="preserve"> </w:t>
      </w:r>
      <w:r>
        <w:rPr>
          <w:w w:val="105"/>
        </w:rPr>
        <w:t>of</w:t>
      </w:r>
      <w:r>
        <w:rPr>
          <w:spacing w:val="-4"/>
          <w:w w:val="105"/>
        </w:rPr>
        <w:t xml:space="preserve"> </w:t>
      </w:r>
      <w:r>
        <w:rPr>
          <w:w w:val="105"/>
        </w:rPr>
        <w:t>significance.</w:t>
      </w:r>
      <w:r>
        <w:rPr>
          <w:spacing w:val="-6"/>
          <w:w w:val="105"/>
        </w:rPr>
        <w:t xml:space="preserve"> </w:t>
      </w:r>
      <w:r>
        <w:rPr>
          <w:w w:val="105"/>
        </w:rPr>
        <w:t>This</w:t>
      </w:r>
      <w:r>
        <w:rPr>
          <w:spacing w:val="-10"/>
          <w:w w:val="105"/>
        </w:rPr>
        <w:t xml:space="preserve"> </w:t>
      </w:r>
      <w:r>
        <w:rPr>
          <w:w w:val="105"/>
        </w:rPr>
        <w:t>means</w:t>
      </w:r>
      <w:r>
        <w:rPr>
          <w:spacing w:val="-9"/>
          <w:w w:val="105"/>
        </w:rPr>
        <w:t xml:space="preserve"> </w:t>
      </w:r>
      <w:r>
        <w:rPr>
          <w:w w:val="105"/>
        </w:rPr>
        <w:t>that Strategic</w:t>
      </w:r>
      <w:r>
        <w:rPr>
          <w:spacing w:val="-2"/>
          <w:w w:val="105"/>
        </w:rPr>
        <w:t xml:space="preserve"> </w:t>
      </w:r>
      <w:r>
        <w:rPr>
          <w:w w:val="105"/>
        </w:rPr>
        <w:t>Flexibility</w:t>
      </w:r>
      <w:r>
        <w:rPr>
          <w:spacing w:val="-7"/>
          <w:w w:val="105"/>
        </w:rPr>
        <w:t xml:space="preserve"> </w:t>
      </w:r>
      <w:r>
        <w:rPr>
          <w:w w:val="105"/>
        </w:rPr>
        <w:t>does</w:t>
      </w:r>
      <w:r>
        <w:rPr>
          <w:spacing w:val="-9"/>
          <w:w w:val="105"/>
        </w:rPr>
        <w:t xml:space="preserve"> </w:t>
      </w:r>
      <w:r>
        <w:rPr>
          <w:w w:val="105"/>
        </w:rPr>
        <w:t>not</w:t>
      </w:r>
      <w:r>
        <w:rPr>
          <w:spacing w:val="-6"/>
          <w:w w:val="105"/>
        </w:rPr>
        <w:t xml:space="preserve"> </w:t>
      </w:r>
      <w:r>
        <w:rPr>
          <w:w w:val="105"/>
        </w:rPr>
        <w:t>have</w:t>
      </w:r>
      <w:r>
        <w:rPr>
          <w:spacing w:val="-14"/>
          <w:w w:val="105"/>
        </w:rPr>
        <w:t xml:space="preserve"> </w:t>
      </w:r>
      <w:r>
        <w:rPr>
          <w:w w:val="105"/>
        </w:rPr>
        <w:t>a meaningful moderating effect on the relationship between Fu</w:t>
      </w:r>
      <w:r>
        <w:rPr>
          <w:w w:val="105"/>
        </w:rPr>
        <w:t>nctional Coordination and Sustainable Competitiveness.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1"/>
          <w:numId w:val="9"/>
        </w:numPr>
        <w:tabs>
          <w:tab w:val="left" w:pos="1988"/>
        </w:tabs>
        <w:spacing w:before="1"/>
        <w:ind w:left="1988" w:hanging="569"/>
        <w:rPr>
          <w:b/>
          <w:sz w:val="23"/>
        </w:rPr>
      </w:pPr>
      <w:bookmarkStart w:id="179" w:name="4.7__Interaction_Modelling_Results"/>
      <w:bookmarkStart w:id="180" w:name="_bookmark86"/>
      <w:bookmarkEnd w:id="179"/>
      <w:bookmarkEnd w:id="180"/>
      <w:r>
        <w:rPr>
          <w:b/>
          <w:sz w:val="23"/>
        </w:rPr>
        <w:t>Interaction</w:t>
      </w:r>
      <w:r>
        <w:rPr>
          <w:b/>
          <w:spacing w:val="33"/>
          <w:sz w:val="23"/>
        </w:rPr>
        <w:t xml:space="preserve"> </w:t>
      </w:r>
      <w:r>
        <w:rPr>
          <w:b/>
          <w:sz w:val="23"/>
        </w:rPr>
        <w:t>Modelling</w:t>
      </w:r>
      <w:r>
        <w:rPr>
          <w:b/>
          <w:spacing w:val="38"/>
          <w:sz w:val="23"/>
        </w:rPr>
        <w:t xml:space="preserve"> </w:t>
      </w:r>
      <w:r>
        <w:rPr>
          <w:b/>
          <w:spacing w:val="-2"/>
          <w:sz w:val="23"/>
        </w:rPr>
        <w:t>Results</w:t>
      </w:r>
    </w:p>
    <w:p w:rsidR="00487D64" w:rsidRDefault="00487D64">
      <w:pPr>
        <w:pStyle w:val="BodyText"/>
        <w:spacing w:before="18"/>
        <w:rPr>
          <w:b/>
        </w:rPr>
      </w:pPr>
    </w:p>
    <w:p w:rsidR="00487D64" w:rsidRDefault="006F0D93">
      <w:pPr>
        <w:pStyle w:val="BodyText"/>
        <w:spacing w:line="501" w:lineRule="auto"/>
        <w:ind w:left="1419" w:right="850"/>
        <w:jc w:val="both"/>
      </w:pPr>
      <w:r>
        <w:rPr>
          <w:w w:val="105"/>
        </w:rPr>
        <w:t>In addition to the standard model assessments, interaction modeling was conducted to examine the moderating role of Strategic Flexibility. The</w:t>
      </w:r>
      <w:r>
        <w:rPr>
          <w:w w:val="105"/>
        </w:rPr>
        <w:t xml:space="preserve"> moderation analysis revealed that Strategic Flexibility significantly moderates the relationships between Customer Orientation and Sustainable Competitiveness (M = -0.202, O/STDEV = 2.722, P = 0.007), and between Competitor Orientation and Sustainable Com</w:t>
      </w:r>
      <w:r>
        <w:rPr>
          <w:w w:val="105"/>
        </w:rPr>
        <w:t>petitiveness (M = -0.171, O/STDEV = 2.202, P = 0.028). Interestingly, both moderation</w:t>
      </w:r>
      <w:r>
        <w:rPr>
          <w:spacing w:val="-2"/>
          <w:w w:val="105"/>
        </w:rPr>
        <w:t xml:space="preserve"> </w:t>
      </w:r>
      <w:r>
        <w:rPr>
          <w:w w:val="105"/>
        </w:rPr>
        <w:t>effects</w:t>
      </w:r>
      <w:r>
        <w:rPr>
          <w:spacing w:val="-10"/>
          <w:w w:val="105"/>
        </w:rPr>
        <w:t xml:space="preserve"> </w:t>
      </w:r>
      <w:r>
        <w:rPr>
          <w:w w:val="105"/>
        </w:rPr>
        <w:t>are negative, suggesting</w:t>
      </w:r>
      <w:r>
        <w:rPr>
          <w:spacing w:val="-8"/>
          <w:w w:val="105"/>
        </w:rPr>
        <w:t xml:space="preserve"> </w:t>
      </w:r>
      <w:r>
        <w:rPr>
          <w:w w:val="105"/>
        </w:rPr>
        <w:t>that</w:t>
      </w:r>
      <w:r>
        <w:rPr>
          <w:spacing w:val="-3"/>
          <w:w w:val="105"/>
        </w:rPr>
        <w:t xml:space="preserve"> </w:t>
      </w:r>
      <w:r>
        <w:rPr>
          <w:w w:val="105"/>
        </w:rPr>
        <w:t>as</w:t>
      </w:r>
      <w:r>
        <w:rPr>
          <w:spacing w:val="-10"/>
          <w:w w:val="105"/>
        </w:rPr>
        <w:t xml:space="preserve"> </w:t>
      </w:r>
      <w:r>
        <w:rPr>
          <w:w w:val="105"/>
        </w:rPr>
        <w:t>Strategic</w:t>
      </w:r>
      <w:r>
        <w:rPr>
          <w:spacing w:val="-3"/>
          <w:w w:val="105"/>
        </w:rPr>
        <w:t xml:space="preserve"> </w:t>
      </w:r>
      <w:r>
        <w:rPr>
          <w:w w:val="105"/>
        </w:rPr>
        <w:t>Flexibility</w:t>
      </w:r>
      <w:r>
        <w:rPr>
          <w:spacing w:val="-2"/>
          <w:w w:val="105"/>
        </w:rPr>
        <w:t xml:space="preserve"> </w:t>
      </w:r>
      <w:r>
        <w:rPr>
          <w:w w:val="105"/>
        </w:rPr>
        <w:t>increases,</w:t>
      </w:r>
      <w:r>
        <w:rPr>
          <w:spacing w:val="-6"/>
          <w:w w:val="105"/>
        </w:rPr>
        <w:t xml:space="preserve"> </w:t>
      </w:r>
      <w:r>
        <w:rPr>
          <w:w w:val="105"/>
        </w:rPr>
        <w:t>the positive impact of CO and CU on SC decreases. This implies that over-flexibility may dilute</w:t>
      </w:r>
      <w:r>
        <w:rPr>
          <w:spacing w:val="-1"/>
          <w:w w:val="105"/>
        </w:rPr>
        <w:t xml:space="preserve"> </w:t>
      </w:r>
      <w:r>
        <w:rPr>
          <w:w w:val="105"/>
        </w:rPr>
        <w:t>the strategic focus provided by market orientation elements.</w:t>
      </w:r>
    </w:p>
    <w:p w:rsidR="00487D64" w:rsidRDefault="006F0D93">
      <w:pPr>
        <w:pStyle w:val="BodyText"/>
        <w:spacing w:before="233" w:line="499" w:lineRule="auto"/>
        <w:ind w:left="1419" w:right="847"/>
        <w:jc w:val="both"/>
      </w:pPr>
      <w:r>
        <w:rPr>
          <w:w w:val="105"/>
        </w:rPr>
        <w:t>However, the interaction between Functional Coordination and Strategic Flexibility was not statistically significant (M = 0.014, O/STDEV = 0.149, P = 0.882), indicating that Strategic Flexibility</w:t>
      </w:r>
      <w:r>
        <w:rPr>
          <w:w w:val="105"/>
        </w:rPr>
        <w:t xml:space="preserve"> does not moderate this relationship.</w:t>
      </w:r>
    </w:p>
    <w:p w:rsidR="00487D64" w:rsidRDefault="00487D64">
      <w:pPr>
        <w:pStyle w:val="BodyText"/>
        <w:rPr>
          <w:sz w:val="20"/>
        </w:rPr>
      </w:pPr>
    </w:p>
    <w:p w:rsidR="00487D64" w:rsidRDefault="006F0D93">
      <w:pPr>
        <w:pStyle w:val="BodyText"/>
        <w:spacing w:before="79"/>
        <w:rPr>
          <w:sz w:val="20"/>
        </w:rPr>
      </w:pPr>
      <w:r>
        <w:rPr>
          <w:noProof/>
          <w:sz w:val="20"/>
        </w:rPr>
        <w:drawing>
          <wp:anchor distT="0" distB="0" distL="0" distR="0" simplePos="0" relativeHeight="487590912" behindDoc="1" locked="0" layoutInCell="1" allowOverlap="1">
            <wp:simplePos x="0" y="0"/>
            <wp:positionH relativeFrom="page">
              <wp:posOffset>1447040</wp:posOffset>
            </wp:positionH>
            <wp:positionV relativeFrom="paragraph">
              <wp:posOffset>211777</wp:posOffset>
            </wp:positionV>
            <wp:extent cx="4821375" cy="2058257"/>
            <wp:effectExtent l="0" t="0" r="0" b="0"/>
            <wp:wrapTopAndBottom/>
            <wp:docPr id="44" name="Image 44" descr="Description: C:\Users\Denis\AppData\Local\Temp\image1836750179130695789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Description: C:\Users\Denis\AppData\Local\Temp\image18367501791306957896.png"/>
                    <pic:cNvPicPr/>
                  </pic:nvPicPr>
                  <pic:blipFill>
                    <a:blip r:embed="rId13" cstate="print"/>
                    <a:stretch>
                      <a:fillRect/>
                    </a:stretch>
                  </pic:blipFill>
                  <pic:spPr>
                    <a:xfrm>
                      <a:off x="0" y="0"/>
                      <a:ext cx="4821375" cy="2058257"/>
                    </a:xfrm>
                    <a:prstGeom prst="rect">
                      <a:avLst/>
                    </a:prstGeom>
                  </pic:spPr>
                </pic:pic>
              </a:graphicData>
            </a:graphic>
          </wp:anchor>
        </w:drawing>
      </w:r>
    </w:p>
    <w:p w:rsidR="00487D64" w:rsidRDefault="00487D64">
      <w:pPr>
        <w:pStyle w:val="BodyText"/>
      </w:pPr>
    </w:p>
    <w:p w:rsidR="00487D64" w:rsidRDefault="00487D64">
      <w:pPr>
        <w:pStyle w:val="BodyText"/>
        <w:spacing w:before="16"/>
      </w:pPr>
    </w:p>
    <w:p w:rsidR="00487D64" w:rsidRDefault="006F0D93">
      <w:pPr>
        <w:spacing w:line="372" w:lineRule="auto"/>
        <w:ind w:left="2982" w:right="851" w:hanging="1564"/>
        <w:rPr>
          <w:b/>
          <w:sz w:val="23"/>
        </w:rPr>
      </w:pPr>
      <w:r>
        <w:rPr>
          <w:b/>
          <w:w w:val="105"/>
          <w:sz w:val="23"/>
        </w:rPr>
        <w:t>Figure</w:t>
      </w:r>
      <w:r>
        <w:rPr>
          <w:b/>
          <w:spacing w:val="33"/>
          <w:w w:val="105"/>
          <w:sz w:val="23"/>
        </w:rPr>
        <w:t xml:space="preserve"> </w:t>
      </w:r>
      <w:r>
        <w:rPr>
          <w:b/>
          <w:w w:val="105"/>
          <w:sz w:val="23"/>
        </w:rPr>
        <w:t>4.</w:t>
      </w:r>
      <w:r>
        <w:rPr>
          <w:b/>
          <w:spacing w:val="39"/>
          <w:w w:val="105"/>
          <w:sz w:val="23"/>
        </w:rPr>
        <w:t xml:space="preserve"> </w:t>
      </w:r>
      <w:r>
        <w:rPr>
          <w:b/>
          <w:w w:val="105"/>
          <w:sz w:val="23"/>
        </w:rPr>
        <w:t>5:</w:t>
      </w:r>
      <w:r>
        <w:rPr>
          <w:b/>
          <w:spacing w:val="33"/>
          <w:w w:val="105"/>
          <w:sz w:val="23"/>
        </w:rPr>
        <w:t xml:space="preserve"> </w:t>
      </w:r>
      <w:r>
        <w:rPr>
          <w:b/>
          <w:w w:val="105"/>
          <w:sz w:val="23"/>
        </w:rPr>
        <w:t>Interaction</w:t>
      </w:r>
      <w:r>
        <w:rPr>
          <w:b/>
          <w:spacing w:val="36"/>
          <w:w w:val="105"/>
          <w:sz w:val="23"/>
        </w:rPr>
        <w:t xml:space="preserve"> </w:t>
      </w:r>
      <w:r>
        <w:rPr>
          <w:b/>
          <w:w w:val="105"/>
          <w:sz w:val="23"/>
        </w:rPr>
        <w:t>term</w:t>
      </w:r>
      <w:r>
        <w:rPr>
          <w:b/>
          <w:spacing w:val="40"/>
          <w:w w:val="105"/>
          <w:sz w:val="23"/>
        </w:rPr>
        <w:t xml:space="preserve"> </w:t>
      </w:r>
      <w:r>
        <w:rPr>
          <w:b/>
          <w:w w:val="105"/>
          <w:sz w:val="23"/>
        </w:rPr>
        <w:t>and</w:t>
      </w:r>
      <w:r>
        <w:rPr>
          <w:b/>
          <w:spacing w:val="36"/>
          <w:w w:val="105"/>
          <w:sz w:val="23"/>
        </w:rPr>
        <w:t xml:space="preserve"> </w:t>
      </w:r>
      <w:r>
        <w:rPr>
          <w:b/>
          <w:w w:val="105"/>
          <w:sz w:val="23"/>
        </w:rPr>
        <w:t>their</w:t>
      </w:r>
      <w:r>
        <w:rPr>
          <w:b/>
          <w:spacing w:val="40"/>
          <w:w w:val="105"/>
          <w:sz w:val="23"/>
        </w:rPr>
        <w:t xml:space="preserve"> </w:t>
      </w:r>
      <w:r>
        <w:rPr>
          <w:b/>
          <w:w w:val="105"/>
          <w:sz w:val="23"/>
        </w:rPr>
        <w:t>influence</w:t>
      </w:r>
      <w:r>
        <w:rPr>
          <w:b/>
          <w:spacing w:val="33"/>
          <w:w w:val="105"/>
          <w:sz w:val="23"/>
        </w:rPr>
        <w:t xml:space="preserve"> </w:t>
      </w:r>
      <w:r>
        <w:rPr>
          <w:b/>
          <w:w w:val="105"/>
          <w:sz w:val="23"/>
        </w:rPr>
        <w:t>to</w:t>
      </w:r>
      <w:r>
        <w:rPr>
          <w:b/>
          <w:spacing w:val="34"/>
          <w:w w:val="105"/>
          <w:sz w:val="23"/>
        </w:rPr>
        <w:t xml:space="preserve"> </w:t>
      </w:r>
      <w:r>
        <w:rPr>
          <w:b/>
          <w:w w:val="105"/>
          <w:sz w:val="23"/>
        </w:rPr>
        <w:t>the</w:t>
      </w:r>
      <w:r>
        <w:rPr>
          <w:b/>
          <w:spacing w:val="40"/>
          <w:w w:val="105"/>
          <w:sz w:val="23"/>
        </w:rPr>
        <w:t xml:space="preserve"> </w:t>
      </w:r>
      <w:r>
        <w:rPr>
          <w:b/>
          <w:w w:val="105"/>
          <w:sz w:val="23"/>
        </w:rPr>
        <w:t>dependent</w:t>
      </w:r>
      <w:r>
        <w:rPr>
          <w:b/>
          <w:spacing w:val="32"/>
          <w:w w:val="105"/>
          <w:sz w:val="23"/>
        </w:rPr>
        <w:t xml:space="preserve"> </w:t>
      </w:r>
      <w:r>
        <w:rPr>
          <w:b/>
          <w:w w:val="105"/>
          <w:sz w:val="23"/>
        </w:rPr>
        <w:t>construct Significant at P&lt;0.050 (Two-tailed Test)</w:t>
      </w:r>
    </w:p>
    <w:p w:rsidR="00487D64" w:rsidRDefault="00487D64">
      <w:pPr>
        <w:spacing w:line="372" w:lineRule="auto"/>
        <w:rPr>
          <w:b/>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8"/>
        <w:rPr>
          <w:b/>
        </w:rPr>
      </w:pPr>
    </w:p>
    <w:p w:rsidR="00487D64" w:rsidRDefault="006F0D93">
      <w:pPr>
        <w:spacing w:before="1" w:after="3" w:line="367" w:lineRule="auto"/>
        <w:ind w:left="2982" w:right="851" w:hanging="1564"/>
        <w:rPr>
          <w:b/>
          <w:sz w:val="23"/>
        </w:rPr>
      </w:pPr>
      <w:r>
        <w:rPr>
          <w:b/>
          <w:w w:val="105"/>
          <w:sz w:val="23"/>
        </w:rPr>
        <w:t>Table 4. 19: Assessment of Structural Model Interaction terms</w:t>
      </w:r>
      <w:r>
        <w:rPr>
          <w:b/>
          <w:w w:val="105"/>
          <w:sz w:val="23"/>
        </w:rPr>
        <w:t xml:space="preserve"> and Dependent </w:t>
      </w:r>
      <w:r>
        <w:rPr>
          <w:b/>
          <w:spacing w:val="-2"/>
          <w:w w:val="105"/>
          <w:sz w:val="23"/>
        </w:rPr>
        <w:t>Variable</w:t>
      </w:r>
    </w:p>
    <w:tbl>
      <w:tblPr>
        <w:tblW w:w="0" w:type="auto"/>
        <w:tblInd w:w="1297" w:type="dxa"/>
        <w:tblLayout w:type="fixed"/>
        <w:tblCellMar>
          <w:left w:w="0" w:type="dxa"/>
          <w:right w:w="0" w:type="dxa"/>
        </w:tblCellMar>
        <w:tblLook w:val="01E0" w:firstRow="1" w:lastRow="1" w:firstColumn="1" w:lastColumn="1" w:noHBand="0" w:noVBand="0"/>
      </w:tblPr>
      <w:tblGrid>
        <w:gridCol w:w="1573"/>
        <w:gridCol w:w="1151"/>
        <w:gridCol w:w="1216"/>
        <w:gridCol w:w="1509"/>
        <w:gridCol w:w="1750"/>
        <w:gridCol w:w="1277"/>
      </w:tblGrid>
      <w:tr w:rsidR="00487D64">
        <w:trPr>
          <w:trHeight w:val="1243"/>
        </w:trPr>
        <w:tc>
          <w:tcPr>
            <w:tcW w:w="1573" w:type="dxa"/>
            <w:tcBorders>
              <w:top w:val="single" w:sz="4" w:space="0" w:color="000000"/>
              <w:bottom w:val="single" w:sz="4" w:space="0" w:color="000000"/>
            </w:tcBorders>
          </w:tcPr>
          <w:p w:rsidR="00487D64" w:rsidRDefault="00487D64">
            <w:pPr>
              <w:pStyle w:val="TableParagraph"/>
              <w:spacing w:before="160"/>
              <w:rPr>
                <w:b/>
                <w:sz w:val="23"/>
              </w:rPr>
            </w:pPr>
          </w:p>
          <w:p w:rsidR="00487D64" w:rsidRDefault="006F0D93">
            <w:pPr>
              <w:pStyle w:val="TableParagraph"/>
              <w:ind w:left="129"/>
              <w:rPr>
                <w:b/>
                <w:sz w:val="23"/>
              </w:rPr>
            </w:pPr>
            <w:r>
              <w:rPr>
                <w:b/>
                <w:spacing w:val="-4"/>
                <w:w w:val="105"/>
                <w:sz w:val="23"/>
              </w:rPr>
              <w:t>Path</w:t>
            </w:r>
          </w:p>
        </w:tc>
        <w:tc>
          <w:tcPr>
            <w:tcW w:w="1151" w:type="dxa"/>
            <w:tcBorders>
              <w:top w:val="single" w:sz="4" w:space="0" w:color="000000"/>
              <w:bottom w:val="single" w:sz="4" w:space="0" w:color="000000"/>
            </w:tcBorders>
          </w:tcPr>
          <w:p w:rsidR="00487D64" w:rsidRDefault="006F0D93">
            <w:pPr>
              <w:pStyle w:val="TableParagraph"/>
              <w:spacing w:before="7"/>
              <w:ind w:left="206" w:hanging="80"/>
              <w:rPr>
                <w:b/>
                <w:sz w:val="23"/>
              </w:rPr>
            </w:pPr>
            <w:r>
              <w:rPr>
                <w:b/>
                <w:spacing w:val="-2"/>
                <w:w w:val="105"/>
                <w:sz w:val="23"/>
              </w:rPr>
              <w:t>Original</w:t>
            </w:r>
          </w:p>
          <w:p w:rsidR="00487D64" w:rsidRDefault="006F0D93">
            <w:pPr>
              <w:pStyle w:val="TableParagraph"/>
              <w:spacing w:before="7" w:line="410" w:lineRule="atLeast"/>
              <w:ind w:left="386" w:right="232" w:hanging="180"/>
              <w:rPr>
                <w:b/>
                <w:sz w:val="23"/>
              </w:rPr>
            </w:pPr>
            <w:r>
              <w:rPr>
                <w:b/>
                <w:spacing w:val="-2"/>
                <w:sz w:val="23"/>
              </w:rPr>
              <w:t xml:space="preserve">sample </w:t>
            </w:r>
            <w:r>
              <w:rPr>
                <w:b/>
                <w:spacing w:val="-4"/>
                <w:w w:val="105"/>
                <w:sz w:val="23"/>
              </w:rPr>
              <w:t>(O)</w:t>
            </w:r>
          </w:p>
        </w:tc>
        <w:tc>
          <w:tcPr>
            <w:tcW w:w="1216" w:type="dxa"/>
            <w:tcBorders>
              <w:top w:val="single" w:sz="4" w:space="0" w:color="000000"/>
              <w:bottom w:val="single" w:sz="4" w:space="0" w:color="000000"/>
            </w:tcBorders>
          </w:tcPr>
          <w:p w:rsidR="00487D64" w:rsidRDefault="006F0D93">
            <w:pPr>
              <w:pStyle w:val="TableParagraph"/>
              <w:spacing w:before="7"/>
              <w:ind w:left="265" w:hanging="101"/>
              <w:rPr>
                <w:b/>
                <w:sz w:val="23"/>
              </w:rPr>
            </w:pPr>
            <w:r>
              <w:rPr>
                <w:b/>
                <w:spacing w:val="-2"/>
                <w:w w:val="105"/>
                <w:sz w:val="23"/>
              </w:rPr>
              <w:t>Sample</w:t>
            </w:r>
          </w:p>
          <w:p w:rsidR="00487D64" w:rsidRDefault="006F0D93">
            <w:pPr>
              <w:pStyle w:val="TableParagraph"/>
              <w:spacing w:before="7" w:line="410" w:lineRule="atLeast"/>
              <w:ind w:left="352" w:right="73" w:hanging="87"/>
              <w:rPr>
                <w:b/>
                <w:sz w:val="23"/>
              </w:rPr>
            </w:pPr>
            <w:r>
              <w:rPr>
                <w:b/>
                <w:spacing w:val="-4"/>
                <w:sz w:val="23"/>
              </w:rPr>
              <w:t xml:space="preserve">mean </w:t>
            </w:r>
            <w:r>
              <w:rPr>
                <w:b/>
                <w:spacing w:val="-4"/>
                <w:w w:val="105"/>
                <w:sz w:val="23"/>
              </w:rPr>
              <w:t>(M)</w:t>
            </w:r>
          </w:p>
        </w:tc>
        <w:tc>
          <w:tcPr>
            <w:tcW w:w="1509" w:type="dxa"/>
            <w:tcBorders>
              <w:top w:val="single" w:sz="4" w:space="0" w:color="000000"/>
              <w:bottom w:val="single" w:sz="4" w:space="0" w:color="000000"/>
            </w:tcBorders>
          </w:tcPr>
          <w:p w:rsidR="00487D64" w:rsidRDefault="006F0D93">
            <w:pPr>
              <w:pStyle w:val="TableParagraph"/>
              <w:spacing w:before="7"/>
              <w:ind w:left="303" w:hanging="8"/>
              <w:rPr>
                <w:b/>
                <w:sz w:val="23"/>
              </w:rPr>
            </w:pPr>
            <w:r>
              <w:rPr>
                <w:b/>
                <w:spacing w:val="-2"/>
                <w:w w:val="105"/>
                <w:sz w:val="23"/>
              </w:rPr>
              <w:t>Standard</w:t>
            </w:r>
          </w:p>
          <w:p w:rsidR="00487D64" w:rsidRDefault="006F0D93">
            <w:pPr>
              <w:pStyle w:val="TableParagraph"/>
              <w:spacing w:before="7" w:line="410" w:lineRule="atLeast"/>
              <w:ind w:left="296" w:firstLine="7"/>
              <w:rPr>
                <w:b/>
                <w:sz w:val="23"/>
              </w:rPr>
            </w:pPr>
            <w:r>
              <w:rPr>
                <w:b/>
                <w:spacing w:val="-2"/>
                <w:sz w:val="23"/>
              </w:rPr>
              <w:t>deviation (STDEV)</w:t>
            </w:r>
          </w:p>
        </w:tc>
        <w:tc>
          <w:tcPr>
            <w:tcW w:w="1750" w:type="dxa"/>
            <w:tcBorders>
              <w:top w:val="single" w:sz="4" w:space="0" w:color="000000"/>
              <w:bottom w:val="single" w:sz="4" w:space="0" w:color="000000"/>
            </w:tcBorders>
          </w:tcPr>
          <w:p w:rsidR="00487D64" w:rsidRDefault="006F0D93">
            <w:pPr>
              <w:pStyle w:val="TableParagraph"/>
              <w:spacing w:before="216" w:line="379" w:lineRule="auto"/>
              <w:ind w:left="256" w:firstLine="108"/>
              <w:rPr>
                <w:b/>
                <w:sz w:val="23"/>
              </w:rPr>
            </w:pPr>
            <w:r>
              <w:rPr>
                <w:b/>
                <w:w w:val="105"/>
                <w:sz w:val="23"/>
              </w:rPr>
              <w:t xml:space="preserve">T statistics </w:t>
            </w:r>
            <w:r>
              <w:rPr>
                <w:b/>
                <w:spacing w:val="-2"/>
                <w:sz w:val="23"/>
              </w:rPr>
              <w:t>(|O/STDEV|)</w:t>
            </w:r>
          </w:p>
        </w:tc>
        <w:tc>
          <w:tcPr>
            <w:tcW w:w="1277" w:type="dxa"/>
            <w:tcBorders>
              <w:top w:val="single" w:sz="4" w:space="0" w:color="000000"/>
              <w:bottom w:val="single" w:sz="4" w:space="0" w:color="000000"/>
            </w:tcBorders>
          </w:tcPr>
          <w:p w:rsidR="00487D64" w:rsidRDefault="00487D64">
            <w:pPr>
              <w:pStyle w:val="TableParagraph"/>
              <w:spacing w:before="160"/>
              <w:rPr>
                <w:b/>
                <w:sz w:val="23"/>
              </w:rPr>
            </w:pPr>
          </w:p>
          <w:p w:rsidR="00487D64" w:rsidRDefault="006F0D93">
            <w:pPr>
              <w:pStyle w:val="TableParagraph"/>
              <w:ind w:right="63"/>
              <w:jc w:val="center"/>
              <w:rPr>
                <w:b/>
                <w:sz w:val="23"/>
              </w:rPr>
            </w:pPr>
            <w:r>
              <w:rPr>
                <w:b/>
                <w:w w:val="105"/>
                <w:sz w:val="23"/>
              </w:rPr>
              <w:t>P</w:t>
            </w:r>
            <w:r>
              <w:rPr>
                <w:b/>
                <w:spacing w:val="-8"/>
                <w:w w:val="105"/>
                <w:sz w:val="23"/>
              </w:rPr>
              <w:t xml:space="preserve"> </w:t>
            </w:r>
            <w:r>
              <w:rPr>
                <w:b/>
                <w:spacing w:val="-2"/>
                <w:w w:val="105"/>
                <w:sz w:val="23"/>
              </w:rPr>
              <w:t>values</w:t>
            </w:r>
          </w:p>
        </w:tc>
      </w:tr>
      <w:tr w:rsidR="00487D64">
        <w:trPr>
          <w:trHeight w:val="757"/>
        </w:trPr>
        <w:tc>
          <w:tcPr>
            <w:tcW w:w="1573" w:type="dxa"/>
            <w:tcBorders>
              <w:top w:val="single" w:sz="4" w:space="0" w:color="000000"/>
            </w:tcBorders>
          </w:tcPr>
          <w:p w:rsidR="00487D64" w:rsidRDefault="006F0D93">
            <w:pPr>
              <w:pStyle w:val="TableParagraph"/>
              <w:tabs>
                <w:tab w:val="left" w:pos="1238"/>
              </w:tabs>
              <w:ind w:left="129"/>
              <w:rPr>
                <w:sz w:val="23"/>
              </w:rPr>
            </w:pPr>
            <w:r>
              <w:rPr>
                <w:spacing w:val="-2"/>
                <w:sz w:val="23"/>
              </w:rPr>
              <w:t>CU_SF</w:t>
            </w:r>
            <w:r>
              <w:rPr>
                <w:sz w:val="23"/>
              </w:rPr>
              <w:tab/>
            </w:r>
            <w:r>
              <w:rPr>
                <w:spacing w:val="-7"/>
                <w:sz w:val="23"/>
              </w:rPr>
              <w:t>-</w:t>
            </w:r>
            <w:r>
              <w:rPr>
                <w:spacing w:val="-12"/>
                <w:sz w:val="23"/>
              </w:rPr>
              <w:t>&gt;</w:t>
            </w:r>
          </w:p>
          <w:p w:rsidR="00487D64" w:rsidRDefault="006F0D93">
            <w:pPr>
              <w:pStyle w:val="TableParagraph"/>
              <w:spacing w:before="153"/>
              <w:ind w:left="129"/>
              <w:rPr>
                <w:sz w:val="23"/>
              </w:rPr>
            </w:pPr>
            <w:r>
              <w:rPr>
                <w:spacing w:val="-5"/>
                <w:w w:val="105"/>
                <w:sz w:val="23"/>
              </w:rPr>
              <w:t>SC</w:t>
            </w:r>
          </w:p>
        </w:tc>
        <w:tc>
          <w:tcPr>
            <w:tcW w:w="1151" w:type="dxa"/>
            <w:tcBorders>
              <w:top w:val="single" w:sz="4" w:space="0" w:color="000000"/>
            </w:tcBorders>
          </w:tcPr>
          <w:p w:rsidR="00487D64" w:rsidRDefault="006F0D93">
            <w:pPr>
              <w:pStyle w:val="TableParagraph"/>
              <w:spacing w:before="208"/>
              <w:ind w:right="35"/>
              <w:jc w:val="center"/>
              <w:rPr>
                <w:sz w:val="23"/>
              </w:rPr>
            </w:pPr>
            <w:r>
              <w:rPr>
                <w:spacing w:val="-7"/>
                <w:sz w:val="23"/>
              </w:rPr>
              <w:t>-</w:t>
            </w:r>
            <w:r>
              <w:rPr>
                <w:spacing w:val="-2"/>
                <w:sz w:val="23"/>
              </w:rPr>
              <w:t>0.171</w:t>
            </w:r>
          </w:p>
        </w:tc>
        <w:tc>
          <w:tcPr>
            <w:tcW w:w="1216" w:type="dxa"/>
            <w:tcBorders>
              <w:top w:val="single" w:sz="4" w:space="0" w:color="000000"/>
            </w:tcBorders>
          </w:tcPr>
          <w:p w:rsidR="00487D64" w:rsidRDefault="006F0D93">
            <w:pPr>
              <w:pStyle w:val="TableParagraph"/>
              <w:spacing w:before="208"/>
              <w:ind w:left="236"/>
              <w:rPr>
                <w:sz w:val="23"/>
              </w:rPr>
            </w:pPr>
            <w:r>
              <w:rPr>
                <w:spacing w:val="-6"/>
                <w:sz w:val="23"/>
              </w:rPr>
              <w:t>-</w:t>
            </w:r>
            <w:r>
              <w:rPr>
                <w:spacing w:val="-4"/>
                <w:sz w:val="23"/>
              </w:rPr>
              <w:t>0.170</w:t>
            </w:r>
          </w:p>
        </w:tc>
        <w:tc>
          <w:tcPr>
            <w:tcW w:w="1509" w:type="dxa"/>
            <w:tcBorders>
              <w:top w:val="single" w:sz="4" w:space="0" w:color="000000"/>
            </w:tcBorders>
          </w:tcPr>
          <w:p w:rsidR="00487D64" w:rsidRDefault="006F0D93">
            <w:pPr>
              <w:pStyle w:val="TableParagraph"/>
              <w:spacing w:before="208"/>
              <w:ind w:left="43"/>
              <w:jc w:val="center"/>
              <w:rPr>
                <w:sz w:val="23"/>
              </w:rPr>
            </w:pPr>
            <w:r>
              <w:rPr>
                <w:spacing w:val="-2"/>
                <w:w w:val="105"/>
                <w:sz w:val="23"/>
              </w:rPr>
              <w:t>0.078</w:t>
            </w:r>
          </w:p>
        </w:tc>
        <w:tc>
          <w:tcPr>
            <w:tcW w:w="1750" w:type="dxa"/>
            <w:tcBorders>
              <w:top w:val="single" w:sz="4" w:space="0" w:color="000000"/>
            </w:tcBorders>
          </w:tcPr>
          <w:p w:rsidR="00487D64" w:rsidRDefault="006F0D93">
            <w:pPr>
              <w:pStyle w:val="TableParagraph"/>
              <w:spacing w:before="208"/>
              <w:ind w:left="83"/>
              <w:jc w:val="center"/>
              <w:rPr>
                <w:sz w:val="23"/>
              </w:rPr>
            </w:pPr>
            <w:r>
              <w:rPr>
                <w:spacing w:val="-2"/>
                <w:w w:val="105"/>
                <w:sz w:val="23"/>
              </w:rPr>
              <w:t>2.202</w:t>
            </w:r>
          </w:p>
        </w:tc>
        <w:tc>
          <w:tcPr>
            <w:tcW w:w="1277" w:type="dxa"/>
            <w:tcBorders>
              <w:top w:val="single" w:sz="4" w:space="0" w:color="000000"/>
            </w:tcBorders>
          </w:tcPr>
          <w:p w:rsidR="00487D64" w:rsidRDefault="006F0D93">
            <w:pPr>
              <w:pStyle w:val="TableParagraph"/>
              <w:spacing w:before="208"/>
              <w:ind w:left="19" w:right="63"/>
              <w:jc w:val="center"/>
              <w:rPr>
                <w:sz w:val="23"/>
              </w:rPr>
            </w:pPr>
            <w:r>
              <w:rPr>
                <w:spacing w:val="-2"/>
                <w:w w:val="105"/>
                <w:sz w:val="23"/>
              </w:rPr>
              <w:t>0.028</w:t>
            </w:r>
          </w:p>
        </w:tc>
      </w:tr>
      <w:tr w:rsidR="00487D64">
        <w:trPr>
          <w:trHeight w:val="828"/>
        </w:trPr>
        <w:tc>
          <w:tcPr>
            <w:tcW w:w="1573" w:type="dxa"/>
          </w:tcPr>
          <w:p w:rsidR="00487D64" w:rsidRDefault="006F0D93">
            <w:pPr>
              <w:pStyle w:val="TableParagraph"/>
              <w:tabs>
                <w:tab w:val="left" w:pos="1238"/>
              </w:tabs>
              <w:spacing w:before="71"/>
              <w:ind w:left="129"/>
              <w:rPr>
                <w:sz w:val="23"/>
              </w:rPr>
            </w:pPr>
            <w:r>
              <w:rPr>
                <w:spacing w:val="-2"/>
                <w:sz w:val="23"/>
              </w:rPr>
              <w:t>CO_SF</w:t>
            </w:r>
            <w:r>
              <w:rPr>
                <w:sz w:val="23"/>
              </w:rPr>
              <w:tab/>
            </w:r>
            <w:r>
              <w:rPr>
                <w:spacing w:val="-7"/>
                <w:sz w:val="23"/>
              </w:rPr>
              <w:t>-</w:t>
            </w:r>
            <w:r>
              <w:rPr>
                <w:spacing w:val="-12"/>
                <w:sz w:val="23"/>
              </w:rPr>
              <w:t>&gt;</w:t>
            </w:r>
          </w:p>
          <w:p w:rsidR="00487D64" w:rsidRDefault="006F0D93">
            <w:pPr>
              <w:pStyle w:val="TableParagraph"/>
              <w:spacing w:before="153"/>
              <w:ind w:left="129"/>
              <w:rPr>
                <w:sz w:val="23"/>
              </w:rPr>
            </w:pPr>
            <w:r>
              <w:rPr>
                <w:spacing w:val="-5"/>
                <w:w w:val="105"/>
                <w:sz w:val="23"/>
              </w:rPr>
              <w:t>SC</w:t>
            </w:r>
          </w:p>
        </w:tc>
        <w:tc>
          <w:tcPr>
            <w:tcW w:w="1151" w:type="dxa"/>
          </w:tcPr>
          <w:p w:rsidR="00487D64" w:rsidRDefault="00487D64">
            <w:pPr>
              <w:pStyle w:val="TableParagraph"/>
              <w:spacing w:before="15"/>
              <w:rPr>
                <w:b/>
                <w:sz w:val="23"/>
              </w:rPr>
            </w:pPr>
          </w:p>
          <w:p w:rsidR="00487D64" w:rsidRDefault="006F0D93">
            <w:pPr>
              <w:pStyle w:val="TableParagraph"/>
              <w:ind w:right="35"/>
              <w:jc w:val="center"/>
              <w:rPr>
                <w:sz w:val="23"/>
              </w:rPr>
            </w:pPr>
            <w:r>
              <w:rPr>
                <w:spacing w:val="-7"/>
                <w:sz w:val="23"/>
              </w:rPr>
              <w:t>-</w:t>
            </w:r>
            <w:r>
              <w:rPr>
                <w:spacing w:val="-2"/>
                <w:sz w:val="23"/>
              </w:rPr>
              <w:t>0.202</w:t>
            </w:r>
          </w:p>
        </w:tc>
        <w:tc>
          <w:tcPr>
            <w:tcW w:w="1216" w:type="dxa"/>
          </w:tcPr>
          <w:p w:rsidR="00487D64" w:rsidRDefault="00487D64">
            <w:pPr>
              <w:pStyle w:val="TableParagraph"/>
              <w:spacing w:before="15"/>
              <w:rPr>
                <w:b/>
                <w:sz w:val="23"/>
              </w:rPr>
            </w:pPr>
          </w:p>
          <w:p w:rsidR="00487D64" w:rsidRDefault="006F0D93">
            <w:pPr>
              <w:pStyle w:val="TableParagraph"/>
              <w:ind w:left="236"/>
              <w:rPr>
                <w:sz w:val="23"/>
              </w:rPr>
            </w:pPr>
            <w:r>
              <w:rPr>
                <w:spacing w:val="-6"/>
                <w:sz w:val="23"/>
              </w:rPr>
              <w:t>-</w:t>
            </w:r>
            <w:r>
              <w:rPr>
                <w:spacing w:val="-4"/>
                <w:sz w:val="23"/>
              </w:rPr>
              <w:t>0.206</w:t>
            </w:r>
          </w:p>
        </w:tc>
        <w:tc>
          <w:tcPr>
            <w:tcW w:w="1509" w:type="dxa"/>
          </w:tcPr>
          <w:p w:rsidR="00487D64" w:rsidRDefault="00487D64">
            <w:pPr>
              <w:pStyle w:val="TableParagraph"/>
              <w:spacing w:before="15"/>
              <w:rPr>
                <w:b/>
                <w:sz w:val="23"/>
              </w:rPr>
            </w:pPr>
          </w:p>
          <w:p w:rsidR="00487D64" w:rsidRDefault="006F0D93">
            <w:pPr>
              <w:pStyle w:val="TableParagraph"/>
              <w:ind w:left="43"/>
              <w:jc w:val="center"/>
              <w:rPr>
                <w:sz w:val="23"/>
              </w:rPr>
            </w:pPr>
            <w:r>
              <w:rPr>
                <w:spacing w:val="-2"/>
                <w:w w:val="105"/>
                <w:sz w:val="23"/>
              </w:rPr>
              <w:t>0.074</w:t>
            </w:r>
          </w:p>
        </w:tc>
        <w:tc>
          <w:tcPr>
            <w:tcW w:w="1750" w:type="dxa"/>
          </w:tcPr>
          <w:p w:rsidR="00487D64" w:rsidRDefault="00487D64">
            <w:pPr>
              <w:pStyle w:val="TableParagraph"/>
              <w:spacing w:before="15"/>
              <w:rPr>
                <w:b/>
                <w:sz w:val="23"/>
              </w:rPr>
            </w:pPr>
          </w:p>
          <w:p w:rsidR="00487D64" w:rsidRDefault="006F0D93">
            <w:pPr>
              <w:pStyle w:val="TableParagraph"/>
              <w:ind w:left="83"/>
              <w:jc w:val="center"/>
              <w:rPr>
                <w:sz w:val="23"/>
              </w:rPr>
            </w:pPr>
            <w:r>
              <w:rPr>
                <w:spacing w:val="-2"/>
                <w:w w:val="105"/>
                <w:sz w:val="23"/>
              </w:rPr>
              <w:t>2.722</w:t>
            </w:r>
          </w:p>
        </w:tc>
        <w:tc>
          <w:tcPr>
            <w:tcW w:w="1277" w:type="dxa"/>
          </w:tcPr>
          <w:p w:rsidR="00487D64" w:rsidRDefault="00487D64">
            <w:pPr>
              <w:pStyle w:val="TableParagraph"/>
              <w:spacing w:before="15"/>
              <w:rPr>
                <w:b/>
                <w:sz w:val="23"/>
              </w:rPr>
            </w:pPr>
          </w:p>
          <w:p w:rsidR="00487D64" w:rsidRDefault="006F0D93">
            <w:pPr>
              <w:pStyle w:val="TableParagraph"/>
              <w:ind w:left="19" w:right="63"/>
              <w:jc w:val="center"/>
              <w:rPr>
                <w:sz w:val="23"/>
              </w:rPr>
            </w:pPr>
            <w:r>
              <w:rPr>
                <w:spacing w:val="-2"/>
                <w:w w:val="105"/>
                <w:sz w:val="23"/>
              </w:rPr>
              <w:t>0.007</w:t>
            </w:r>
          </w:p>
        </w:tc>
      </w:tr>
      <w:tr w:rsidR="00487D64">
        <w:trPr>
          <w:trHeight w:val="485"/>
        </w:trPr>
        <w:tc>
          <w:tcPr>
            <w:tcW w:w="1573" w:type="dxa"/>
            <w:tcBorders>
              <w:bottom w:val="single" w:sz="4" w:space="0" w:color="000000"/>
            </w:tcBorders>
          </w:tcPr>
          <w:p w:rsidR="00487D64" w:rsidRDefault="006F0D93">
            <w:pPr>
              <w:pStyle w:val="TableParagraph"/>
              <w:spacing w:before="71"/>
              <w:ind w:left="129"/>
              <w:rPr>
                <w:sz w:val="23"/>
              </w:rPr>
            </w:pPr>
            <w:r>
              <w:rPr>
                <w:w w:val="105"/>
                <w:sz w:val="23"/>
              </w:rPr>
              <w:t>FC_SF</w:t>
            </w:r>
            <w:r>
              <w:rPr>
                <w:spacing w:val="-9"/>
                <w:w w:val="105"/>
                <w:sz w:val="23"/>
              </w:rPr>
              <w:t xml:space="preserve"> </w:t>
            </w:r>
            <w:r>
              <w:rPr>
                <w:w w:val="105"/>
                <w:sz w:val="23"/>
              </w:rPr>
              <w:t>-&gt;</w:t>
            </w:r>
            <w:r>
              <w:rPr>
                <w:spacing w:val="-4"/>
                <w:w w:val="105"/>
                <w:sz w:val="23"/>
              </w:rPr>
              <w:t xml:space="preserve"> </w:t>
            </w:r>
            <w:r>
              <w:rPr>
                <w:spacing w:val="-5"/>
                <w:w w:val="105"/>
                <w:sz w:val="23"/>
              </w:rPr>
              <w:t>SC</w:t>
            </w:r>
          </w:p>
        </w:tc>
        <w:tc>
          <w:tcPr>
            <w:tcW w:w="1151" w:type="dxa"/>
            <w:tcBorders>
              <w:bottom w:val="single" w:sz="4" w:space="0" w:color="000000"/>
            </w:tcBorders>
          </w:tcPr>
          <w:p w:rsidR="00487D64" w:rsidRDefault="006F0D93">
            <w:pPr>
              <w:pStyle w:val="TableParagraph"/>
              <w:spacing w:before="71"/>
              <w:ind w:left="15" w:right="35"/>
              <w:jc w:val="center"/>
              <w:rPr>
                <w:sz w:val="23"/>
              </w:rPr>
            </w:pPr>
            <w:r>
              <w:rPr>
                <w:spacing w:val="-2"/>
                <w:w w:val="105"/>
                <w:sz w:val="23"/>
              </w:rPr>
              <w:t>0.014</w:t>
            </w:r>
          </w:p>
        </w:tc>
        <w:tc>
          <w:tcPr>
            <w:tcW w:w="1216" w:type="dxa"/>
            <w:tcBorders>
              <w:bottom w:val="single" w:sz="4" w:space="0" w:color="000000"/>
            </w:tcBorders>
          </w:tcPr>
          <w:p w:rsidR="00487D64" w:rsidRDefault="006F0D93">
            <w:pPr>
              <w:pStyle w:val="TableParagraph"/>
              <w:spacing w:before="71"/>
              <w:ind w:left="273"/>
              <w:rPr>
                <w:sz w:val="23"/>
              </w:rPr>
            </w:pPr>
            <w:r>
              <w:rPr>
                <w:spacing w:val="-2"/>
                <w:w w:val="105"/>
                <w:sz w:val="23"/>
              </w:rPr>
              <w:t>0.027</w:t>
            </w:r>
          </w:p>
        </w:tc>
        <w:tc>
          <w:tcPr>
            <w:tcW w:w="1509" w:type="dxa"/>
            <w:tcBorders>
              <w:bottom w:val="single" w:sz="4" w:space="0" w:color="000000"/>
            </w:tcBorders>
          </w:tcPr>
          <w:p w:rsidR="00487D64" w:rsidRDefault="006F0D93">
            <w:pPr>
              <w:pStyle w:val="TableParagraph"/>
              <w:spacing w:before="71"/>
              <w:ind w:left="43"/>
              <w:jc w:val="center"/>
              <w:rPr>
                <w:sz w:val="23"/>
              </w:rPr>
            </w:pPr>
            <w:r>
              <w:rPr>
                <w:spacing w:val="-2"/>
                <w:w w:val="105"/>
                <w:sz w:val="23"/>
              </w:rPr>
              <w:t>0.096</w:t>
            </w:r>
          </w:p>
        </w:tc>
        <w:tc>
          <w:tcPr>
            <w:tcW w:w="1750" w:type="dxa"/>
            <w:tcBorders>
              <w:bottom w:val="single" w:sz="4" w:space="0" w:color="000000"/>
            </w:tcBorders>
          </w:tcPr>
          <w:p w:rsidR="00487D64" w:rsidRDefault="006F0D93">
            <w:pPr>
              <w:pStyle w:val="TableParagraph"/>
              <w:spacing w:before="71"/>
              <w:ind w:left="83"/>
              <w:jc w:val="center"/>
              <w:rPr>
                <w:sz w:val="23"/>
              </w:rPr>
            </w:pPr>
            <w:r>
              <w:rPr>
                <w:spacing w:val="-2"/>
                <w:w w:val="105"/>
                <w:sz w:val="23"/>
              </w:rPr>
              <w:t>0.149</w:t>
            </w:r>
          </w:p>
        </w:tc>
        <w:tc>
          <w:tcPr>
            <w:tcW w:w="1277" w:type="dxa"/>
            <w:tcBorders>
              <w:bottom w:val="single" w:sz="4" w:space="0" w:color="000000"/>
            </w:tcBorders>
          </w:tcPr>
          <w:p w:rsidR="00487D64" w:rsidRDefault="006F0D93">
            <w:pPr>
              <w:pStyle w:val="TableParagraph"/>
              <w:spacing w:before="71"/>
              <w:ind w:left="19" w:right="63"/>
              <w:jc w:val="center"/>
              <w:rPr>
                <w:sz w:val="23"/>
              </w:rPr>
            </w:pPr>
            <w:r>
              <w:rPr>
                <w:spacing w:val="-2"/>
                <w:w w:val="105"/>
                <w:sz w:val="23"/>
              </w:rPr>
              <w:t>0.882</w:t>
            </w:r>
          </w:p>
        </w:tc>
      </w:tr>
    </w:tbl>
    <w:p w:rsidR="00487D64" w:rsidRDefault="006F0D93">
      <w:pPr>
        <w:pStyle w:val="BodyText"/>
        <w:spacing w:before="7"/>
        <w:ind w:left="1419"/>
        <w:jc w:val="both"/>
      </w:pPr>
      <w:r>
        <w:rPr>
          <w:w w:val="105"/>
        </w:rPr>
        <w:t>Note:</w:t>
      </w:r>
      <w:r>
        <w:rPr>
          <w:spacing w:val="-4"/>
          <w:w w:val="105"/>
        </w:rPr>
        <w:t xml:space="preserve"> </w:t>
      </w:r>
      <w:r>
        <w:rPr>
          <w:w w:val="105"/>
        </w:rPr>
        <w:t>*p</w:t>
      </w:r>
      <w:r>
        <w:rPr>
          <w:spacing w:val="-5"/>
          <w:w w:val="105"/>
        </w:rPr>
        <w:t xml:space="preserve"> </w:t>
      </w:r>
      <w:r>
        <w:rPr>
          <w:w w:val="105"/>
        </w:rPr>
        <w:t>&lt;</w:t>
      </w:r>
      <w:r>
        <w:rPr>
          <w:spacing w:val="-6"/>
          <w:w w:val="105"/>
        </w:rPr>
        <w:t xml:space="preserve"> </w:t>
      </w:r>
      <w:r>
        <w:rPr>
          <w:w w:val="105"/>
        </w:rPr>
        <w:t>0.05;</w:t>
      </w:r>
      <w:r>
        <w:rPr>
          <w:spacing w:val="-10"/>
          <w:w w:val="105"/>
        </w:rPr>
        <w:t xml:space="preserve"> </w:t>
      </w:r>
      <w:r>
        <w:rPr>
          <w:w w:val="105"/>
        </w:rPr>
        <w:t>t-value</w:t>
      </w:r>
      <w:r>
        <w:rPr>
          <w:spacing w:val="-13"/>
          <w:w w:val="105"/>
        </w:rPr>
        <w:t xml:space="preserve"> </w:t>
      </w:r>
      <w:r>
        <w:rPr>
          <w:w w:val="105"/>
        </w:rPr>
        <w:t>=</w:t>
      </w:r>
      <w:r>
        <w:rPr>
          <w:spacing w:val="-6"/>
          <w:w w:val="105"/>
        </w:rPr>
        <w:t xml:space="preserve"> </w:t>
      </w:r>
      <w:r>
        <w:rPr>
          <w:w w:val="105"/>
        </w:rPr>
        <w:t>two</w:t>
      </w:r>
      <w:r>
        <w:rPr>
          <w:spacing w:val="-5"/>
          <w:w w:val="105"/>
        </w:rPr>
        <w:t xml:space="preserve"> </w:t>
      </w:r>
      <w:r>
        <w:rPr>
          <w:w w:val="105"/>
        </w:rPr>
        <w:t>tailed</w:t>
      </w:r>
      <w:r>
        <w:rPr>
          <w:spacing w:val="-6"/>
          <w:w w:val="105"/>
        </w:rPr>
        <w:t xml:space="preserve"> </w:t>
      </w:r>
      <w:r>
        <w:rPr>
          <w:spacing w:val="-2"/>
          <w:w w:val="105"/>
        </w:rPr>
        <w:t>(1.96&gt;)</w:t>
      </w:r>
    </w:p>
    <w:p w:rsidR="00487D64" w:rsidRDefault="00487D64">
      <w:pPr>
        <w:pStyle w:val="BodyText"/>
      </w:pPr>
    </w:p>
    <w:p w:rsidR="00487D64" w:rsidRDefault="00487D64">
      <w:pPr>
        <w:pStyle w:val="BodyText"/>
      </w:pPr>
    </w:p>
    <w:p w:rsidR="00487D64" w:rsidRDefault="00487D64">
      <w:pPr>
        <w:pStyle w:val="BodyText"/>
        <w:spacing w:before="16"/>
      </w:pPr>
    </w:p>
    <w:p w:rsidR="00487D64" w:rsidRDefault="006F0D93">
      <w:pPr>
        <w:pStyle w:val="ListParagraph"/>
        <w:numPr>
          <w:ilvl w:val="2"/>
          <w:numId w:val="9"/>
        </w:numPr>
        <w:tabs>
          <w:tab w:val="left" w:pos="2056"/>
          <w:tab w:val="left" w:pos="2125"/>
        </w:tabs>
        <w:spacing w:line="504" w:lineRule="auto"/>
        <w:ind w:left="2125" w:right="853" w:hanging="707"/>
        <w:jc w:val="both"/>
        <w:rPr>
          <w:b/>
          <w:sz w:val="23"/>
        </w:rPr>
      </w:pPr>
      <w:bookmarkStart w:id="181" w:name="4.7.1_Coefficient_of_Determination_(R²)_"/>
      <w:bookmarkStart w:id="182" w:name="_bookmark87"/>
      <w:bookmarkEnd w:id="181"/>
      <w:bookmarkEnd w:id="182"/>
      <w:r>
        <w:rPr>
          <w:b/>
          <w:w w:val="105"/>
          <w:sz w:val="23"/>
        </w:rPr>
        <w:t>Coefficient of Determination (R²) and Effect Size of Coefficient of Determination (f2)</w:t>
      </w:r>
    </w:p>
    <w:p w:rsidR="00487D64" w:rsidRDefault="006F0D93">
      <w:pPr>
        <w:pStyle w:val="BodyText"/>
        <w:spacing w:line="501" w:lineRule="auto"/>
        <w:ind w:left="1419" w:right="850"/>
        <w:jc w:val="both"/>
      </w:pPr>
      <w:r>
        <w:rPr>
          <w:w w:val="105"/>
        </w:rPr>
        <w:t>Different from</w:t>
      </w:r>
      <w:r>
        <w:rPr>
          <w:spacing w:val="-9"/>
          <w:w w:val="105"/>
        </w:rPr>
        <w:t xml:space="preserve"> </w:t>
      </w:r>
      <w:r>
        <w:rPr>
          <w:w w:val="105"/>
        </w:rPr>
        <w:t>CB-SEM,</w:t>
      </w:r>
      <w:r>
        <w:rPr>
          <w:spacing w:val="-6"/>
          <w:w w:val="105"/>
        </w:rPr>
        <w:t xml:space="preserve"> </w:t>
      </w:r>
      <w:r>
        <w:rPr>
          <w:w w:val="105"/>
        </w:rPr>
        <w:t>PLS-SEM</w:t>
      </w:r>
      <w:r>
        <w:rPr>
          <w:spacing w:val="-1"/>
          <w:w w:val="105"/>
        </w:rPr>
        <w:t xml:space="preserve"> </w:t>
      </w:r>
      <w:r>
        <w:rPr>
          <w:w w:val="105"/>
        </w:rPr>
        <w:t>facilitates</w:t>
      </w:r>
      <w:r>
        <w:rPr>
          <w:spacing w:val="-4"/>
          <w:w w:val="105"/>
        </w:rPr>
        <w:t xml:space="preserve"> </w:t>
      </w:r>
      <w:r>
        <w:rPr>
          <w:w w:val="105"/>
        </w:rPr>
        <w:t>easy</w:t>
      </w:r>
      <w:r>
        <w:rPr>
          <w:spacing w:val="-2"/>
          <w:w w:val="105"/>
        </w:rPr>
        <w:t xml:space="preserve"> </w:t>
      </w:r>
      <w:r>
        <w:rPr>
          <w:w w:val="105"/>
        </w:rPr>
        <w:t>specification</w:t>
      </w:r>
      <w:r>
        <w:rPr>
          <w:spacing w:val="-2"/>
          <w:w w:val="105"/>
        </w:rPr>
        <w:t xml:space="preserve"> </w:t>
      </w:r>
      <w:r>
        <w:rPr>
          <w:w w:val="105"/>
        </w:rPr>
        <w:t>of</w:t>
      </w:r>
      <w:r>
        <w:rPr>
          <w:spacing w:val="-11"/>
          <w:w w:val="105"/>
        </w:rPr>
        <w:t xml:space="preserve"> </w:t>
      </w:r>
      <w:r>
        <w:rPr>
          <w:w w:val="105"/>
        </w:rPr>
        <w:t>interaction</w:t>
      </w:r>
      <w:r>
        <w:rPr>
          <w:spacing w:val="-8"/>
          <w:w w:val="105"/>
        </w:rPr>
        <w:t xml:space="preserve"> </w:t>
      </w:r>
      <w:r>
        <w:rPr>
          <w:w w:val="105"/>
        </w:rPr>
        <w:t>terms to map moderation</w:t>
      </w:r>
      <w:r>
        <w:rPr>
          <w:w w:val="105"/>
        </w:rPr>
        <w:t xml:space="preserve"> effects in a path model; this makes PLS-SEM the method of choice in simple and complex moderation models (Sarstedt, Hair, et al., 2020). On assessing the impact of the interaction terms on the model's explanatory power, the coefficient of determination (R</w:t>
      </w:r>
      <w:r>
        <w:rPr>
          <w:w w:val="105"/>
        </w:rPr>
        <w:t>²) for Sustainable Competitiveness had already been reported, but it was deemed necessary</w:t>
      </w:r>
      <w:r>
        <w:rPr>
          <w:spacing w:val="-4"/>
          <w:w w:val="105"/>
        </w:rPr>
        <w:t xml:space="preserve"> </w:t>
      </w:r>
      <w:r>
        <w:rPr>
          <w:w w:val="105"/>
        </w:rPr>
        <w:t>to do</w:t>
      </w:r>
      <w:r>
        <w:rPr>
          <w:spacing w:val="-4"/>
          <w:w w:val="105"/>
        </w:rPr>
        <w:t xml:space="preserve"> </w:t>
      </w:r>
      <w:r>
        <w:rPr>
          <w:w w:val="105"/>
        </w:rPr>
        <w:t>the same</w:t>
      </w:r>
      <w:r>
        <w:rPr>
          <w:spacing w:val="-5"/>
          <w:w w:val="105"/>
        </w:rPr>
        <w:t xml:space="preserve"> </w:t>
      </w:r>
      <w:r>
        <w:rPr>
          <w:w w:val="105"/>
        </w:rPr>
        <w:t>after the inclusion of the</w:t>
      </w:r>
      <w:r>
        <w:rPr>
          <w:spacing w:val="-5"/>
          <w:w w:val="105"/>
        </w:rPr>
        <w:t xml:space="preserve"> </w:t>
      </w:r>
      <w:r>
        <w:rPr>
          <w:w w:val="105"/>
        </w:rPr>
        <w:t>latent interaction terms. This is attributed to the fact that Hair et al. (2022) suggested that researchers should examine t</w:t>
      </w:r>
      <w:r>
        <w:rPr>
          <w:w w:val="105"/>
        </w:rPr>
        <w:t>he change in R² of the endogenous construct after introducing the interaction term(s) into the model.</w:t>
      </w:r>
    </w:p>
    <w:p w:rsidR="00487D64" w:rsidRDefault="006F0D93">
      <w:pPr>
        <w:pStyle w:val="BodyText"/>
        <w:spacing w:before="224" w:line="499" w:lineRule="auto"/>
        <w:ind w:left="1419" w:right="849"/>
        <w:jc w:val="both"/>
      </w:pPr>
      <w:r>
        <w:rPr>
          <w:w w:val="105"/>
        </w:rPr>
        <w:t>Before</w:t>
      </w:r>
      <w:r>
        <w:rPr>
          <w:spacing w:val="-7"/>
          <w:w w:val="105"/>
        </w:rPr>
        <w:t xml:space="preserve"> </w:t>
      </w:r>
      <w:r>
        <w:rPr>
          <w:w w:val="105"/>
        </w:rPr>
        <w:t>introducing</w:t>
      </w:r>
      <w:r>
        <w:rPr>
          <w:spacing w:val="-6"/>
          <w:w w:val="105"/>
        </w:rPr>
        <w:t xml:space="preserve"> </w:t>
      </w:r>
      <w:r>
        <w:rPr>
          <w:w w:val="105"/>
        </w:rPr>
        <w:t>the</w:t>
      </w:r>
      <w:r>
        <w:rPr>
          <w:spacing w:val="-7"/>
          <w:w w:val="105"/>
        </w:rPr>
        <w:t xml:space="preserve"> </w:t>
      </w:r>
      <w:r>
        <w:rPr>
          <w:w w:val="105"/>
        </w:rPr>
        <w:t>interaction</w:t>
      </w:r>
      <w:r>
        <w:rPr>
          <w:spacing w:val="-6"/>
          <w:w w:val="105"/>
        </w:rPr>
        <w:t xml:space="preserve"> </w:t>
      </w:r>
      <w:r>
        <w:rPr>
          <w:w w:val="105"/>
        </w:rPr>
        <w:t>effects,</w:t>
      </w:r>
      <w:r>
        <w:rPr>
          <w:spacing w:val="-11"/>
          <w:w w:val="105"/>
        </w:rPr>
        <w:t xml:space="preserve"> </w:t>
      </w:r>
      <w:r>
        <w:rPr>
          <w:w w:val="105"/>
        </w:rPr>
        <w:t>the</w:t>
      </w:r>
      <w:r>
        <w:rPr>
          <w:spacing w:val="-1"/>
          <w:w w:val="105"/>
        </w:rPr>
        <w:t xml:space="preserve"> </w:t>
      </w:r>
      <w:r>
        <w:rPr>
          <w:w w:val="105"/>
        </w:rPr>
        <w:t>model</w:t>
      </w:r>
      <w:r>
        <w:rPr>
          <w:spacing w:val="-5"/>
          <w:w w:val="105"/>
        </w:rPr>
        <w:t xml:space="preserve"> </w:t>
      </w:r>
      <w:r>
        <w:rPr>
          <w:w w:val="105"/>
        </w:rPr>
        <w:t>explained 56.5%</w:t>
      </w:r>
      <w:r>
        <w:rPr>
          <w:spacing w:val="-6"/>
          <w:w w:val="105"/>
        </w:rPr>
        <w:t xml:space="preserve"> </w:t>
      </w:r>
      <w:r>
        <w:rPr>
          <w:w w:val="105"/>
        </w:rPr>
        <w:t>of</w:t>
      </w:r>
      <w:r>
        <w:rPr>
          <w:spacing w:val="-9"/>
          <w:w w:val="105"/>
        </w:rPr>
        <w:t xml:space="preserve"> </w:t>
      </w:r>
      <w:r>
        <w:rPr>
          <w:w w:val="105"/>
        </w:rPr>
        <w:t>the</w:t>
      </w:r>
      <w:r>
        <w:rPr>
          <w:spacing w:val="-7"/>
          <w:w w:val="105"/>
        </w:rPr>
        <w:t xml:space="preserve"> </w:t>
      </w:r>
      <w:r>
        <w:rPr>
          <w:w w:val="105"/>
        </w:rPr>
        <w:t>variance in Sustainable Competitiveness (R² = 0.565). After incorporating the</w:t>
      </w:r>
      <w:r>
        <w:rPr>
          <w:w w:val="105"/>
        </w:rPr>
        <w:t xml:space="preserve"> interaction terms,</w:t>
      </w:r>
      <w:r>
        <w:rPr>
          <w:spacing w:val="40"/>
          <w:w w:val="105"/>
        </w:rPr>
        <w:t xml:space="preserve"> </w:t>
      </w:r>
      <w:r>
        <w:rPr>
          <w:w w:val="105"/>
        </w:rPr>
        <w:t>the</w:t>
      </w:r>
      <w:r>
        <w:rPr>
          <w:spacing w:val="30"/>
          <w:w w:val="105"/>
        </w:rPr>
        <w:t xml:space="preserve"> </w:t>
      </w:r>
      <w:r>
        <w:rPr>
          <w:w w:val="105"/>
        </w:rPr>
        <w:t>R²</w:t>
      </w:r>
      <w:r>
        <w:rPr>
          <w:spacing w:val="40"/>
          <w:w w:val="105"/>
        </w:rPr>
        <w:t xml:space="preserve"> </w:t>
      </w:r>
      <w:r>
        <w:rPr>
          <w:w w:val="105"/>
        </w:rPr>
        <w:t>increased</w:t>
      </w:r>
      <w:r>
        <w:rPr>
          <w:spacing w:val="31"/>
          <w:w w:val="105"/>
        </w:rPr>
        <w:t xml:space="preserve"> </w:t>
      </w:r>
      <w:r>
        <w:rPr>
          <w:w w:val="105"/>
        </w:rPr>
        <w:t>to</w:t>
      </w:r>
      <w:r>
        <w:rPr>
          <w:spacing w:val="33"/>
          <w:w w:val="105"/>
        </w:rPr>
        <w:t xml:space="preserve"> </w:t>
      </w:r>
      <w:r>
        <w:rPr>
          <w:w w:val="105"/>
        </w:rPr>
        <w:t>59.2%,</w:t>
      </w:r>
      <w:r>
        <w:rPr>
          <w:spacing w:val="40"/>
          <w:w w:val="105"/>
        </w:rPr>
        <w:t xml:space="preserve"> </w:t>
      </w:r>
      <w:r>
        <w:rPr>
          <w:w w:val="105"/>
        </w:rPr>
        <w:t>indicating</w:t>
      </w:r>
      <w:r>
        <w:rPr>
          <w:spacing w:val="31"/>
          <w:w w:val="105"/>
        </w:rPr>
        <w:t xml:space="preserve"> </w:t>
      </w:r>
      <w:r>
        <w:rPr>
          <w:w w:val="105"/>
        </w:rPr>
        <w:t>that</w:t>
      </w:r>
      <w:r>
        <w:rPr>
          <w:spacing w:val="40"/>
          <w:w w:val="105"/>
        </w:rPr>
        <w:t xml:space="preserve"> </w:t>
      </w:r>
      <w:r>
        <w:rPr>
          <w:w w:val="105"/>
        </w:rPr>
        <w:t>the</w:t>
      </w:r>
      <w:r>
        <w:rPr>
          <w:spacing w:val="37"/>
          <w:w w:val="105"/>
        </w:rPr>
        <w:t xml:space="preserve"> </w:t>
      </w:r>
      <w:r>
        <w:rPr>
          <w:w w:val="105"/>
        </w:rPr>
        <w:t>inclusion</w:t>
      </w:r>
      <w:r>
        <w:rPr>
          <w:spacing w:val="39"/>
          <w:w w:val="105"/>
        </w:rPr>
        <w:t xml:space="preserve"> </w:t>
      </w:r>
      <w:r>
        <w:rPr>
          <w:w w:val="105"/>
        </w:rPr>
        <w:t>of</w:t>
      </w:r>
      <w:r>
        <w:rPr>
          <w:spacing w:val="35"/>
          <w:w w:val="105"/>
        </w:rPr>
        <w:t xml:space="preserve"> </w:t>
      </w:r>
      <w:r>
        <w:rPr>
          <w:w w:val="105"/>
        </w:rPr>
        <w:t>the</w:t>
      </w:r>
      <w:r>
        <w:rPr>
          <w:spacing w:val="40"/>
          <w:w w:val="105"/>
        </w:rPr>
        <w:t xml:space="preserve"> </w:t>
      </w:r>
      <w:r>
        <w:rPr>
          <w:w w:val="105"/>
        </w:rPr>
        <w:t>moderating</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9"/>
        <w:jc w:val="both"/>
      </w:pPr>
      <w:r>
        <w:rPr>
          <w:w w:val="105"/>
        </w:rPr>
        <w:t>variable (Strategic Flexibility) enhanced the model’s explanatory power by an additional 2.7%. This suggests</w:t>
      </w:r>
      <w:r>
        <w:rPr>
          <w:spacing w:val="-2"/>
          <w:w w:val="105"/>
        </w:rPr>
        <w:t xml:space="preserve"> </w:t>
      </w:r>
      <w:r>
        <w:rPr>
          <w:w w:val="105"/>
        </w:rPr>
        <w:t>that the</w:t>
      </w:r>
      <w:r>
        <w:rPr>
          <w:spacing w:val="-2"/>
          <w:w w:val="105"/>
        </w:rPr>
        <w:t xml:space="preserve"> </w:t>
      </w:r>
      <w:r>
        <w:rPr>
          <w:w w:val="105"/>
        </w:rPr>
        <w:t>interaction</w:t>
      </w:r>
      <w:r>
        <w:rPr>
          <w:spacing w:val="-1"/>
          <w:w w:val="105"/>
        </w:rPr>
        <w:t xml:space="preserve"> </w:t>
      </w:r>
      <w:r>
        <w:rPr>
          <w:w w:val="105"/>
        </w:rPr>
        <w:t>effects contribute meaningfully</w:t>
      </w:r>
      <w:r>
        <w:rPr>
          <w:spacing w:val="-1"/>
          <w:w w:val="105"/>
        </w:rPr>
        <w:t xml:space="preserve"> </w:t>
      </w:r>
      <w:r>
        <w:rPr>
          <w:w w:val="105"/>
        </w:rPr>
        <w:t>to explaining variance in the dependent variable, supporting the use of a moderated structural model.</w:t>
      </w:r>
    </w:p>
    <w:p w:rsidR="00487D64" w:rsidRDefault="006F0D93">
      <w:pPr>
        <w:pStyle w:val="BodyText"/>
        <w:spacing w:before="238" w:line="499" w:lineRule="auto"/>
        <w:ind w:left="1419" w:right="858"/>
        <w:jc w:val="both"/>
      </w:pPr>
      <w:r>
        <w:rPr>
          <w:w w:val="105"/>
        </w:rPr>
        <w:t>After ascertaining it's also important to calculate f</w:t>
      </w:r>
      <w:r>
        <w:rPr>
          <w:w w:val="105"/>
          <w:vertAlign w:val="superscript"/>
        </w:rPr>
        <w:t>2</w:t>
      </w:r>
      <w:r>
        <w:rPr>
          <w:w w:val="105"/>
        </w:rPr>
        <w:t xml:space="preserve"> You can calculate the f² effect size for the change in R² due to mo</w:t>
      </w:r>
      <w:r>
        <w:rPr>
          <w:w w:val="105"/>
        </w:rPr>
        <w:t xml:space="preserve">deration to describe the strength of this </w:t>
      </w:r>
      <w:r>
        <w:rPr>
          <w:spacing w:val="-2"/>
          <w:w w:val="105"/>
        </w:rPr>
        <w:t>improvement:</w:t>
      </w:r>
    </w:p>
    <w:p w:rsidR="00487D64" w:rsidRDefault="00487D64">
      <w:pPr>
        <w:pStyle w:val="BodyText"/>
        <w:spacing w:before="16"/>
      </w:pPr>
    </w:p>
    <w:p w:rsidR="00487D64" w:rsidRDefault="006F0D93">
      <w:pPr>
        <w:pStyle w:val="BodyText"/>
        <w:spacing w:line="372" w:lineRule="auto"/>
        <w:ind w:left="1419" w:right="849"/>
        <w:jc w:val="both"/>
      </w:pPr>
      <w:r>
        <w:rPr>
          <w:w w:val="105"/>
        </w:rPr>
        <w:t>According to Cohen (1988), the resulting f² = 0.066 indicates a small to medium effect size of the moderation on the overall model.</w:t>
      </w:r>
    </w:p>
    <w:p w:rsidR="00487D64" w:rsidRDefault="006F0D93">
      <w:pPr>
        <w:pStyle w:val="BodyText"/>
        <w:spacing w:before="61"/>
        <w:rPr>
          <w:sz w:val="20"/>
        </w:rPr>
      </w:pPr>
      <w:r>
        <w:rPr>
          <w:noProof/>
          <w:sz w:val="20"/>
        </w:rPr>
        <w:drawing>
          <wp:anchor distT="0" distB="0" distL="0" distR="0" simplePos="0" relativeHeight="487591424" behindDoc="1" locked="0" layoutInCell="1" allowOverlap="1">
            <wp:simplePos x="0" y="0"/>
            <wp:positionH relativeFrom="page">
              <wp:posOffset>1440180</wp:posOffset>
            </wp:positionH>
            <wp:positionV relativeFrom="paragraph">
              <wp:posOffset>200316</wp:posOffset>
            </wp:positionV>
            <wp:extent cx="3404114" cy="3429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4" cstate="print"/>
                    <a:stretch>
                      <a:fillRect/>
                    </a:stretch>
                  </pic:blipFill>
                  <pic:spPr>
                    <a:xfrm>
                      <a:off x="0" y="0"/>
                      <a:ext cx="3404114" cy="342900"/>
                    </a:xfrm>
                    <a:prstGeom prst="rect">
                      <a:avLst/>
                    </a:prstGeom>
                  </pic:spPr>
                </pic:pic>
              </a:graphicData>
            </a:graphic>
          </wp:anchor>
        </w:drawing>
      </w:r>
      <w:r>
        <w:rPr>
          <w:noProof/>
          <w:sz w:val="20"/>
        </w:rPr>
        <w:drawing>
          <wp:anchor distT="0" distB="0" distL="0" distR="0" simplePos="0" relativeHeight="487591936" behindDoc="1" locked="0" layoutInCell="1" allowOverlap="1">
            <wp:simplePos x="0" y="0"/>
            <wp:positionH relativeFrom="page">
              <wp:posOffset>1440180</wp:posOffset>
            </wp:positionH>
            <wp:positionV relativeFrom="paragraph">
              <wp:posOffset>735053</wp:posOffset>
            </wp:positionV>
            <wp:extent cx="1275715" cy="32385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stretch>
                      <a:fillRect/>
                    </a:stretch>
                  </pic:blipFill>
                  <pic:spPr>
                    <a:xfrm>
                      <a:off x="0" y="0"/>
                      <a:ext cx="1275715" cy="323850"/>
                    </a:xfrm>
                    <a:prstGeom prst="rect">
                      <a:avLst/>
                    </a:prstGeom>
                  </pic:spPr>
                </pic:pic>
              </a:graphicData>
            </a:graphic>
          </wp:anchor>
        </w:drawing>
      </w:r>
      <w:r>
        <w:rPr>
          <w:noProof/>
          <w:sz w:val="20"/>
        </w:rPr>
        <w:drawing>
          <wp:anchor distT="0" distB="0" distL="0" distR="0" simplePos="0" relativeHeight="487592448" behindDoc="1" locked="0" layoutInCell="1" allowOverlap="1">
            <wp:simplePos x="0" y="0"/>
            <wp:positionH relativeFrom="page">
              <wp:posOffset>1440180</wp:posOffset>
            </wp:positionH>
            <wp:positionV relativeFrom="paragraph">
              <wp:posOffset>1265913</wp:posOffset>
            </wp:positionV>
            <wp:extent cx="731519" cy="31432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6" cstate="print"/>
                    <a:stretch>
                      <a:fillRect/>
                    </a:stretch>
                  </pic:blipFill>
                  <pic:spPr>
                    <a:xfrm>
                      <a:off x="0" y="0"/>
                      <a:ext cx="731519" cy="314325"/>
                    </a:xfrm>
                    <a:prstGeom prst="rect">
                      <a:avLst/>
                    </a:prstGeom>
                  </pic:spPr>
                </pic:pic>
              </a:graphicData>
            </a:graphic>
          </wp:anchor>
        </w:drawing>
      </w:r>
      <w:r>
        <w:rPr>
          <w:noProof/>
          <w:sz w:val="20"/>
        </w:rPr>
        <w:drawing>
          <wp:anchor distT="0" distB="0" distL="0" distR="0" simplePos="0" relativeHeight="487592960" behindDoc="1" locked="0" layoutInCell="1" allowOverlap="1">
            <wp:simplePos x="0" y="0"/>
            <wp:positionH relativeFrom="page">
              <wp:posOffset>1440180</wp:posOffset>
            </wp:positionH>
            <wp:positionV relativeFrom="paragraph">
              <wp:posOffset>1763218</wp:posOffset>
            </wp:positionV>
            <wp:extent cx="648631" cy="153924"/>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7" cstate="print"/>
                    <a:stretch>
                      <a:fillRect/>
                    </a:stretch>
                  </pic:blipFill>
                  <pic:spPr>
                    <a:xfrm>
                      <a:off x="0" y="0"/>
                      <a:ext cx="648631" cy="153924"/>
                    </a:xfrm>
                    <a:prstGeom prst="rect">
                      <a:avLst/>
                    </a:prstGeom>
                  </pic:spPr>
                </pic:pic>
              </a:graphicData>
            </a:graphic>
          </wp:anchor>
        </w:drawing>
      </w:r>
    </w:p>
    <w:p w:rsidR="00487D64" w:rsidRDefault="00487D64">
      <w:pPr>
        <w:pStyle w:val="BodyText"/>
        <w:spacing w:before="48"/>
        <w:rPr>
          <w:sz w:val="20"/>
        </w:rPr>
      </w:pPr>
    </w:p>
    <w:p w:rsidR="00487D64" w:rsidRDefault="00487D64">
      <w:pPr>
        <w:pStyle w:val="BodyText"/>
        <w:spacing w:before="72"/>
        <w:rPr>
          <w:sz w:val="20"/>
        </w:rPr>
      </w:pPr>
    </w:p>
    <w:p w:rsidR="00487D64" w:rsidRDefault="00487D64">
      <w:pPr>
        <w:pStyle w:val="BodyText"/>
        <w:spacing w:before="34"/>
        <w:rPr>
          <w:sz w:val="20"/>
        </w:rPr>
      </w:pPr>
    </w:p>
    <w:p w:rsidR="00487D64" w:rsidRDefault="00487D64">
      <w:pPr>
        <w:pStyle w:val="BodyText"/>
        <w:rPr>
          <w:sz w:val="20"/>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line="504" w:lineRule="auto"/>
        <w:ind w:left="3984" w:right="3360" w:firstLine="641"/>
        <w:rPr>
          <w:b/>
          <w:sz w:val="23"/>
        </w:rPr>
      </w:pPr>
      <w:bookmarkStart w:id="183" w:name="CHAPTER_FIVE"/>
      <w:bookmarkEnd w:id="183"/>
      <w:r>
        <w:rPr>
          <w:b/>
          <w:w w:val="105"/>
          <w:sz w:val="23"/>
        </w:rPr>
        <w:t xml:space="preserve">CHAPTER FIVE </w:t>
      </w:r>
      <w:bookmarkStart w:id="184" w:name="DISCUSSION_OF_FINDINGS"/>
      <w:bookmarkStart w:id="185" w:name="_bookmark88"/>
      <w:bookmarkEnd w:id="184"/>
      <w:bookmarkEnd w:id="185"/>
      <w:r>
        <w:rPr>
          <w:b/>
          <w:sz w:val="23"/>
        </w:rPr>
        <w:t>DISCUSSION OF FINDINGS</w:t>
      </w:r>
    </w:p>
    <w:p w:rsidR="00487D64" w:rsidRDefault="00487D64">
      <w:pPr>
        <w:pStyle w:val="BodyText"/>
        <w:spacing w:before="7"/>
        <w:rPr>
          <w:b/>
        </w:rPr>
      </w:pPr>
    </w:p>
    <w:p w:rsidR="00487D64" w:rsidRDefault="006F0D93">
      <w:pPr>
        <w:pStyle w:val="ListParagraph"/>
        <w:numPr>
          <w:ilvl w:val="1"/>
          <w:numId w:val="7"/>
        </w:numPr>
        <w:tabs>
          <w:tab w:val="left" w:pos="2046"/>
        </w:tabs>
        <w:rPr>
          <w:b/>
          <w:sz w:val="23"/>
        </w:rPr>
      </w:pPr>
      <w:bookmarkStart w:id="186" w:name="5.1__Overview"/>
      <w:bookmarkStart w:id="187" w:name="_bookmark89"/>
      <w:bookmarkEnd w:id="186"/>
      <w:bookmarkEnd w:id="187"/>
      <w:r>
        <w:rPr>
          <w:b/>
          <w:spacing w:val="-2"/>
          <w:w w:val="105"/>
          <w:sz w:val="23"/>
        </w:rPr>
        <w:t>Overview</w:t>
      </w:r>
    </w:p>
    <w:p w:rsidR="00487D64" w:rsidRDefault="00487D64">
      <w:pPr>
        <w:pStyle w:val="BodyText"/>
        <w:spacing w:before="12"/>
        <w:rPr>
          <w:b/>
        </w:rPr>
      </w:pPr>
    </w:p>
    <w:p w:rsidR="00487D64" w:rsidRDefault="006F0D93">
      <w:pPr>
        <w:pStyle w:val="BodyText"/>
        <w:spacing w:line="501" w:lineRule="auto"/>
        <w:ind w:left="1419" w:right="853"/>
        <w:jc w:val="both"/>
      </w:pPr>
      <w:r>
        <w:rPr>
          <w:w w:val="105"/>
        </w:rPr>
        <w:t>This</w:t>
      </w:r>
      <w:r>
        <w:rPr>
          <w:spacing w:val="-2"/>
          <w:w w:val="105"/>
        </w:rPr>
        <w:t xml:space="preserve"> </w:t>
      </w:r>
      <w:r>
        <w:rPr>
          <w:w w:val="105"/>
        </w:rPr>
        <w:t>chapter discusses</w:t>
      </w:r>
      <w:r>
        <w:rPr>
          <w:spacing w:val="-2"/>
          <w:w w:val="105"/>
        </w:rPr>
        <w:t xml:space="preserve"> </w:t>
      </w:r>
      <w:r>
        <w:rPr>
          <w:w w:val="105"/>
        </w:rPr>
        <w:t>the</w:t>
      </w:r>
      <w:r>
        <w:rPr>
          <w:spacing w:val="-1"/>
          <w:w w:val="105"/>
        </w:rPr>
        <w:t xml:space="preserve"> </w:t>
      </w:r>
      <w:r>
        <w:rPr>
          <w:w w:val="105"/>
        </w:rPr>
        <w:t>findings</w:t>
      </w:r>
      <w:r>
        <w:rPr>
          <w:spacing w:val="-2"/>
          <w:w w:val="105"/>
        </w:rPr>
        <w:t xml:space="preserve"> </w:t>
      </w:r>
      <w:r>
        <w:rPr>
          <w:w w:val="105"/>
        </w:rPr>
        <w:t>of</w:t>
      </w:r>
      <w:r>
        <w:rPr>
          <w:spacing w:val="-9"/>
          <w:w w:val="105"/>
        </w:rPr>
        <w:t xml:space="preserve"> </w:t>
      </w:r>
      <w:r>
        <w:rPr>
          <w:w w:val="105"/>
        </w:rPr>
        <w:t>the</w:t>
      </w:r>
      <w:r>
        <w:rPr>
          <w:spacing w:val="-1"/>
          <w:w w:val="105"/>
        </w:rPr>
        <w:t xml:space="preserve"> </w:t>
      </w:r>
      <w:r>
        <w:rPr>
          <w:w w:val="105"/>
        </w:rPr>
        <w:t>study.</w:t>
      </w:r>
      <w:r>
        <w:rPr>
          <w:spacing w:val="-5"/>
          <w:w w:val="105"/>
        </w:rPr>
        <w:t xml:space="preserve"> </w:t>
      </w:r>
      <w:r>
        <w:rPr>
          <w:w w:val="105"/>
        </w:rPr>
        <w:t>It</w:t>
      </w:r>
      <w:r>
        <w:rPr>
          <w:spacing w:val="-5"/>
          <w:w w:val="105"/>
        </w:rPr>
        <w:t xml:space="preserve"> </w:t>
      </w:r>
      <w:r>
        <w:rPr>
          <w:w w:val="105"/>
        </w:rPr>
        <w:t>gives</w:t>
      </w:r>
      <w:r>
        <w:rPr>
          <w:spacing w:val="-8"/>
          <w:w w:val="105"/>
        </w:rPr>
        <w:t xml:space="preserve"> </w:t>
      </w:r>
      <w:r>
        <w:rPr>
          <w:w w:val="105"/>
        </w:rPr>
        <w:t>insights into the</w:t>
      </w:r>
      <w:r>
        <w:rPr>
          <w:spacing w:val="-7"/>
          <w:w w:val="105"/>
        </w:rPr>
        <w:t xml:space="preserve"> </w:t>
      </w:r>
      <w:r>
        <w:rPr>
          <w:w w:val="105"/>
        </w:rPr>
        <w:t>information generated in the previous chapter on data analysis and compares and contrasts</w:t>
      </w:r>
      <w:r>
        <w:rPr>
          <w:w w:val="105"/>
        </w:rPr>
        <w:t xml:space="preserve"> the current findings with what has been found out in previous related studies. This part provides an in-depth understanding of the direct effect of market orientation on sustainable competitiveness as well as the associated moderation effects (l.e, strate</w:t>
      </w:r>
      <w:r>
        <w:rPr>
          <w:w w:val="105"/>
        </w:rPr>
        <w:t>gic flexibility) in public procurement..</w:t>
      </w:r>
    </w:p>
    <w:p w:rsidR="00487D64" w:rsidRDefault="00487D64">
      <w:pPr>
        <w:pStyle w:val="BodyText"/>
      </w:pPr>
    </w:p>
    <w:p w:rsidR="00487D64" w:rsidRDefault="00487D64">
      <w:pPr>
        <w:pStyle w:val="BodyText"/>
        <w:spacing w:before="29"/>
      </w:pPr>
    </w:p>
    <w:p w:rsidR="00487D64" w:rsidRDefault="006F0D93">
      <w:pPr>
        <w:pStyle w:val="ListParagraph"/>
        <w:numPr>
          <w:ilvl w:val="1"/>
          <w:numId w:val="7"/>
        </w:numPr>
        <w:tabs>
          <w:tab w:val="left" w:pos="1988"/>
          <w:tab w:val="left" w:pos="2139"/>
        </w:tabs>
        <w:spacing w:line="504" w:lineRule="auto"/>
        <w:ind w:left="1988" w:right="863" w:hanging="570"/>
        <w:rPr>
          <w:b/>
          <w:sz w:val="23"/>
        </w:rPr>
      </w:pPr>
      <w:bookmarkStart w:id="188" w:name="5.2___The_Relationship_between_Customer_"/>
      <w:bookmarkStart w:id="189" w:name="_bookmark90"/>
      <w:bookmarkEnd w:id="188"/>
      <w:bookmarkEnd w:id="189"/>
      <w:r>
        <w:rPr>
          <w:b/>
          <w:sz w:val="23"/>
        </w:rPr>
        <w:tab/>
      </w:r>
      <w:r>
        <w:rPr>
          <w:b/>
          <w:w w:val="105"/>
          <w:sz w:val="23"/>
        </w:rPr>
        <w:t>The</w:t>
      </w:r>
      <w:r>
        <w:rPr>
          <w:b/>
          <w:spacing w:val="80"/>
          <w:w w:val="105"/>
          <w:sz w:val="23"/>
        </w:rPr>
        <w:t xml:space="preserve"> </w:t>
      </w:r>
      <w:r>
        <w:rPr>
          <w:b/>
          <w:w w:val="105"/>
          <w:sz w:val="23"/>
        </w:rPr>
        <w:t>Relationship</w:t>
      </w:r>
      <w:r>
        <w:rPr>
          <w:b/>
          <w:spacing w:val="80"/>
          <w:w w:val="105"/>
          <w:sz w:val="23"/>
        </w:rPr>
        <w:t xml:space="preserve"> </w:t>
      </w:r>
      <w:r>
        <w:rPr>
          <w:b/>
          <w:w w:val="105"/>
          <w:sz w:val="23"/>
        </w:rPr>
        <w:t>between</w:t>
      </w:r>
      <w:r>
        <w:rPr>
          <w:b/>
          <w:spacing w:val="80"/>
          <w:w w:val="105"/>
          <w:sz w:val="23"/>
        </w:rPr>
        <w:t xml:space="preserve"> </w:t>
      </w:r>
      <w:r>
        <w:rPr>
          <w:b/>
          <w:w w:val="105"/>
          <w:sz w:val="23"/>
        </w:rPr>
        <w:t>Customer</w:t>
      </w:r>
      <w:r>
        <w:rPr>
          <w:b/>
          <w:spacing w:val="80"/>
          <w:w w:val="105"/>
          <w:sz w:val="23"/>
        </w:rPr>
        <w:t xml:space="preserve"> </w:t>
      </w:r>
      <w:r>
        <w:rPr>
          <w:b/>
          <w:w w:val="105"/>
          <w:sz w:val="23"/>
        </w:rPr>
        <w:t>Orientation</w:t>
      </w:r>
      <w:r>
        <w:rPr>
          <w:b/>
          <w:spacing w:val="80"/>
          <w:w w:val="105"/>
          <w:sz w:val="23"/>
        </w:rPr>
        <w:t xml:space="preserve"> </w:t>
      </w:r>
      <w:r>
        <w:rPr>
          <w:b/>
          <w:w w:val="105"/>
          <w:sz w:val="23"/>
        </w:rPr>
        <w:t>and</w:t>
      </w:r>
      <w:r>
        <w:rPr>
          <w:b/>
          <w:spacing w:val="80"/>
          <w:w w:val="105"/>
          <w:sz w:val="23"/>
        </w:rPr>
        <w:t xml:space="preserve"> </w:t>
      </w:r>
      <w:r>
        <w:rPr>
          <w:b/>
          <w:w w:val="105"/>
          <w:sz w:val="23"/>
        </w:rPr>
        <w:t>Sustainable</w:t>
      </w:r>
      <w:r>
        <w:rPr>
          <w:b/>
          <w:spacing w:val="80"/>
          <w:w w:val="105"/>
          <w:sz w:val="23"/>
        </w:rPr>
        <w:t xml:space="preserve"> </w:t>
      </w:r>
      <w:r>
        <w:rPr>
          <w:b/>
          <w:spacing w:val="-2"/>
          <w:w w:val="105"/>
          <w:sz w:val="23"/>
        </w:rPr>
        <w:t>Competitiveness</w:t>
      </w:r>
    </w:p>
    <w:p w:rsidR="00487D64" w:rsidRDefault="006F0D93">
      <w:pPr>
        <w:pStyle w:val="BodyText"/>
        <w:spacing w:line="248" w:lineRule="exact"/>
        <w:ind w:left="1419"/>
        <w:jc w:val="both"/>
      </w:pPr>
      <w:r>
        <w:rPr>
          <w:w w:val="105"/>
        </w:rPr>
        <w:t>The</w:t>
      </w:r>
      <w:r>
        <w:rPr>
          <w:spacing w:val="16"/>
          <w:w w:val="105"/>
        </w:rPr>
        <w:t xml:space="preserve"> </w:t>
      </w:r>
      <w:r>
        <w:rPr>
          <w:w w:val="105"/>
        </w:rPr>
        <w:t>study</w:t>
      </w:r>
      <w:r>
        <w:rPr>
          <w:spacing w:val="17"/>
          <w:w w:val="105"/>
        </w:rPr>
        <w:t xml:space="preserve"> </w:t>
      </w:r>
      <w:r>
        <w:rPr>
          <w:w w:val="105"/>
        </w:rPr>
        <w:t>considered</w:t>
      </w:r>
      <w:r>
        <w:rPr>
          <w:spacing w:val="18"/>
          <w:w w:val="105"/>
        </w:rPr>
        <w:t xml:space="preserve"> </w:t>
      </w:r>
      <w:r>
        <w:rPr>
          <w:w w:val="105"/>
        </w:rPr>
        <w:t>whether</w:t>
      </w:r>
      <w:r>
        <w:rPr>
          <w:spacing w:val="21"/>
          <w:w w:val="105"/>
        </w:rPr>
        <w:t xml:space="preserve"> </w:t>
      </w:r>
      <w:r>
        <w:rPr>
          <w:w w:val="105"/>
        </w:rPr>
        <w:t>customer</w:t>
      </w:r>
      <w:r>
        <w:rPr>
          <w:spacing w:val="21"/>
          <w:w w:val="105"/>
        </w:rPr>
        <w:t xml:space="preserve"> </w:t>
      </w:r>
      <w:r>
        <w:rPr>
          <w:w w:val="105"/>
        </w:rPr>
        <w:t>orientation</w:t>
      </w:r>
      <w:r>
        <w:rPr>
          <w:spacing w:val="12"/>
          <w:w w:val="105"/>
        </w:rPr>
        <w:t xml:space="preserve"> </w:t>
      </w:r>
      <w:r>
        <w:rPr>
          <w:w w:val="105"/>
        </w:rPr>
        <w:t>could</w:t>
      </w:r>
      <w:r>
        <w:rPr>
          <w:spacing w:val="12"/>
          <w:w w:val="105"/>
        </w:rPr>
        <w:t xml:space="preserve"> </w:t>
      </w:r>
      <w:r>
        <w:rPr>
          <w:w w:val="105"/>
        </w:rPr>
        <w:t>have</w:t>
      </w:r>
      <w:r>
        <w:rPr>
          <w:spacing w:val="11"/>
          <w:w w:val="105"/>
        </w:rPr>
        <w:t xml:space="preserve"> </w:t>
      </w:r>
      <w:r>
        <w:rPr>
          <w:w w:val="105"/>
        </w:rPr>
        <w:t>a</w:t>
      </w:r>
      <w:r>
        <w:rPr>
          <w:spacing w:val="17"/>
          <w:w w:val="105"/>
        </w:rPr>
        <w:t xml:space="preserve"> </w:t>
      </w:r>
      <w:r>
        <w:rPr>
          <w:w w:val="105"/>
        </w:rPr>
        <w:t>positive</w:t>
      </w:r>
      <w:r>
        <w:rPr>
          <w:spacing w:val="16"/>
          <w:w w:val="105"/>
        </w:rPr>
        <w:t xml:space="preserve"> </w:t>
      </w:r>
      <w:r>
        <w:rPr>
          <w:w w:val="105"/>
        </w:rPr>
        <w:t>effect</w:t>
      </w:r>
      <w:r>
        <w:rPr>
          <w:spacing w:val="20"/>
          <w:w w:val="105"/>
        </w:rPr>
        <w:t xml:space="preserve"> </w:t>
      </w:r>
      <w:r>
        <w:rPr>
          <w:spacing w:val="-5"/>
          <w:w w:val="105"/>
        </w:rPr>
        <w:t>on</w:t>
      </w:r>
    </w:p>
    <w:p w:rsidR="00487D64" w:rsidRDefault="00487D64">
      <w:pPr>
        <w:pStyle w:val="BodyText"/>
        <w:spacing w:before="26"/>
      </w:pPr>
    </w:p>
    <w:p w:rsidR="00487D64" w:rsidRDefault="006F0D93">
      <w:pPr>
        <w:pStyle w:val="BodyText"/>
        <w:spacing w:line="501" w:lineRule="auto"/>
        <w:ind w:left="1419" w:right="845"/>
        <w:jc w:val="both"/>
      </w:pPr>
      <w:r>
        <w:rPr>
          <w:w w:val="105"/>
        </w:rPr>
        <w:t>the sustainable competitiveness of special group</w:t>
      </w:r>
      <w:r>
        <w:rPr>
          <w:w w:val="105"/>
        </w:rPr>
        <w:t xml:space="preserve"> SMEs in public procurement, as stated</w:t>
      </w:r>
      <w:r>
        <w:rPr>
          <w:spacing w:val="-6"/>
          <w:w w:val="105"/>
        </w:rPr>
        <w:t xml:space="preserve"> </w:t>
      </w:r>
      <w:r>
        <w:rPr>
          <w:w w:val="105"/>
        </w:rPr>
        <w:t>in hypothesis</w:t>
      </w:r>
      <w:r>
        <w:rPr>
          <w:spacing w:val="-1"/>
          <w:w w:val="105"/>
        </w:rPr>
        <w:t xml:space="preserve"> </w:t>
      </w:r>
      <w:r>
        <w:rPr>
          <w:w w:val="105"/>
        </w:rPr>
        <w:t>one.</w:t>
      </w:r>
      <w:r>
        <w:rPr>
          <w:spacing w:val="-4"/>
          <w:w w:val="105"/>
        </w:rPr>
        <w:t xml:space="preserve"> </w:t>
      </w:r>
      <w:r>
        <w:rPr>
          <w:w w:val="105"/>
        </w:rPr>
        <w:t>The</w:t>
      </w:r>
      <w:r>
        <w:rPr>
          <w:spacing w:val="-1"/>
          <w:w w:val="105"/>
        </w:rPr>
        <w:t xml:space="preserve"> </w:t>
      </w:r>
      <w:r>
        <w:rPr>
          <w:w w:val="105"/>
        </w:rPr>
        <w:t>empirical</w:t>
      </w:r>
      <w:r>
        <w:rPr>
          <w:spacing w:val="-4"/>
          <w:w w:val="105"/>
        </w:rPr>
        <w:t xml:space="preserve"> </w:t>
      </w:r>
      <w:r>
        <w:rPr>
          <w:w w:val="105"/>
        </w:rPr>
        <w:t>results</w:t>
      </w:r>
      <w:r>
        <w:rPr>
          <w:spacing w:val="-1"/>
          <w:w w:val="105"/>
        </w:rPr>
        <w:t xml:space="preserve"> </w:t>
      </w:r>
      <w:r>
        <w:rPr>
          <w:w w:val="105"/>
        </w:rPr>
        <w:t>in chapter four strongly supported the first hypothesis with a positive and significant contribution of customer orientation on competitiveness of special group SMEs in public</w:t>
      </w:r>
      <w:r>
        <w:rPr>
          <w:w w:val="105"/>
        </w:rPr>
        <w:t xml:space="preserve"> procurement (M = 0.224, STDEV = 0.227, O/STDEV = 5.069, and p-value = 0.000). This implies that as SMEs increase their customer orientation efforts such as focusing on procurement agencies’ needs, timely responsiveness, and ensuring compliance their abili</w:t>
      </w:r>
      <w:r>
        <w:rPr>
          <w:w w:val="105"/>
        </w:rPr>
        <w:t>ty to sustain</w:t>
      </w:r>
      <w:r>
        <w:rPr>
          <w:spacing w:val="-7"/>
          <w:w w:val="105"/>
        </w:rPr>
        <w:t xml:space="preserve"> </w:t>
      </w:r>
      <w:r>
        <w:rPr>
          <w:w w:val="105"/>
        </w:rPr>
        <w:t>competitiveness</w:t>
      </w:r>
      <w:r>
        <w:rPr>
          <w:spacing w:val="-10"/>
          <w:w w:val="105"/>
        </w:rPr>
        <w:t xml:space="preserve"> </w:t>
      </w:r>
      <w:r>
        <w:rPr>
          <w:w w:val="105"/>
        </w:rPr>
        <w:t>improves</w:t>
      </w:r>
      <w:r>
        <w:rPr>
          <w:spacing w:val="-3"/>
          <w:w w:val="105"/>
        </w:rPr>
        <w:t xml:space="preserve"> </w:t>
      </w:r>
      <w:r>
        <w:rPr>
          <w:w w:val="105"/>
        </w:rPr>
        <w:t>considerably.</w:t>
      </w:r>
      <w:r>
        <w:rPr>
          <w:spacing w:val="-5"/>
          <w:w w:val="105"/>
        </w:rPr>
        <w:t xml:space="preserve"> </w:t>
      </w:r>
      <w:r>
        <w:rPr>
          <w:w w:val="105"/>
        </w:rPr>
        <w:t>This</w:t>
      </w:r>
      <w:r>
        <w:rPr>
          <w:spacing w:val="-9"/>
          <w:w w:val="105"/>
        </w:rPr>
        <w:t xml:space="preserve"> </w:t>
      </w:r>
      <w:r>
        <w:rPr>
          <w:w w:val="105"/>
        </w:rPr>
        <w:t>finding</w:t>
      </w:r>
      <w:r>
        <w:rPr>
          <w:spacing w:val="-7"/>
          <w:w w:val="105"/>
        </w:rPr>
        <w:t xml:space="preserve"> </w:t>
      </w:r>
      <w:r>
        <w:rPr>
          <w:w w:val="105"/>
        </w:rPr>
        <w:t>is</w:t>
      </w:r>
      <w:r>
        <w:rPr>
          <w:spacing w:val="-9"/>
          <w:w w:val="105"/>
        </w:rPr>
        <w:t xml:space="preserve"> </w:t>
      </w:r>
      <w:r>
        <w:rPr>
          <w:w w:val="105"/>
        </w:rPr>
        <w:t>particularly</w:t>
      </w:r>
      <w:r>
        <w:rPr>
          <w:spacing w:val="-7"/>
          <w:w w:val="105"/>
        </w:rPr>
        <w:t xml:space="preserve"> </w:t>
      </w:r>
      <w:r>
        <w:rPr>
          <w:w w:val="105"/>
        </w:rPr>
        <w:t>important in</w:t>
      </w:r>
      <w:r>
        <w:rPr>
          <w:spacing w:val="64"/>
          <w:w w:val="105"/>
        </w:rPr>
        <w:t xml:space="preserve"> </w:t>
      </w:r>
      <w:r>
        <w:rPr>
          <w:w w:val="105"/>
        </w:rPr>
        <w:t>the</w:t>
      </w:r>
      <w:r>
        <w:rPr>
          <w:spacing w:val="69"/>
          <w:w w:val="105"/>
        </w:rPr>
        <w:t xml:space="preserve"> </w:t>
      </w:r>
      <w:r>
        <w:rPr>
          <w:w w:val="105"/>
        </w:rPr>
        <w:t>context</w:t>
      </w:r>
      <w:r>
        <w:rPr>
          <w:spacing w:val="65"/>
          <w:w w:val="105"/>
        </w:rPr>
        <w:t xml:space="preserve"> </w:t>
      </w:r>
      <w:r>
        <w:rPr>
          <w:w w:val="105"/>
        </w:rPr>
        <w:t>of</w:t>
      </w:r>
      <w:r>
        <w:rPr>
          <w:spacing w:val="40"/>
          <w:w w:val="105"/>
        </w:rPr>
        <w:t xml:space="preserve"> </w:t>
      </w:r>
      <w:r>
        <w:rPr>
          <w:w w:val="105"/>
        </w:rPr>
        <w:t>Tanzania’s</w:t>
      </w:r>
      <w:r>
        <w:rPr>
          <w:spacing w:val="40"/>
          <w:w w:val="105"/>
        </w:rPr>
        <w:t xml:space="preserve"> </w:t>
      </w:r>
      <w:r>
        <w:rPr>
          <w:w w:val="105"/>
        </w:rPr>
        <w:t>highly</w:t>
      </w:r>
      <w:r>
        <w:rPr>
          <w:spacing w:val="40"/>
          <w:w w:val="105"/>
        </w:rPr>
        <w:t xml:space="preserve"> </w:t>
      </w:r>
      <w:r>
        <w:rPr>
          <w:w w:val="105"/>
        </w:rPr>
        <w:t>regulated</w:t>
      </w:r>
      <w:r>
        <w:rPr>
          <w:spacing w:val="40"/>
          <w:w w:val="105"/>
        </w:rPr>
        <w:t xml:space="preserve"> </w:t>
      </w:r>
      <w:r>
        <w:rPr>
          <w:w w:val="105"/>
        </w:rPr>
        <w:t>procurement</w:t>
      </w:r>
      <w:r>
        <w:rPr>
          <w:spacing w:val="72"/>
          <w:w w:val="105"/>
        </w:rPr>
        <w:t xml:space="preserve"> </w:t>
      </w:r>
      <w:r>
        <w:rPr>
          <w:w w:val="105"/>
        </w:rPr>
        <w:t>environment,</w:t>
      </w:r>
      <w:r>
        <w:rPr>
          <w:spacing w:val="71"/>
          <w:w w:val="105"/>
        </w:rPr>
        <w:t xml:space="preserve"> </w:t>
      </w:r>
      <w:r>
        <w:rPr>
          <w:w w:val="105"/>
        </w:rPr>
        <w:t>where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63"/>
        <w:jc w:val="both"/>
      </w:pPr>
      <w:r>
        <w:rPr>
          <w:w w:val="105"/>
        </w:rPr>
        <w:t>responsiveness</w:t>
      </w:r>
      <w:r>
        <w:rPr>
          <w:spacing w:val="-5"/>
          <w:w w:val="105"/>
        </w:rPr>
        <w:t xml:space="preserve"> </w:t>
      </w:r>
      <w:r>
        <w:rPr>
          <w:w w:val="105"/>
        </w:rPr>
        <w:t>and</w:t>
      </w:r>
      <w:r>
        <w:rPr>
          <w:spacing w:val="-3"/>
          <w:w w:val="105"/>
        </w:rPr>
        <w:t xml:space="preserve"> </w:t>
      </w:r>
      <w:r>
        <w:rPr>
          <w:w w:val="105"/>
        </w:rPr>
        <w:t>precision</w:t>
      </w:r>
      <w:r>
        <w:rPr>
          <w:spacing w:val="-3"/>
          <w:w w:val="105"/>
        </w:rPr>
        <w:t xml:space="preserve"> </w:t>
      </w:r>
      <w:r>
        <w:rPr>
          <w:w w:val="105"/>
        </w:rPr>
        <w:t>in meeting</w:t>
      </w:r>
      <w:r>
        <w:rPr>
          <w:spacing w:val="-3"/>
          <w:w w:val="105"/>
        </w:rPr>
        <w:t xml:space="preserve"> </w:t>
      </w:r>
      <w:r>
        <w:rPr>
          <w:w w:val="105"/>
        </w:rPr>
        <w:t>buyer expectations</w:t>
      </w:r>
      <w:r>
        <w:rPr>
          <w:spacing w:val="-5"/>
          <w:w w:val="105"/>
        </w:rPr>
        <w:t xml:space="preserve"> </w:t>
      </w:r>
      <w:r>
        <w:rPr>
          <w:w w:val="105"/>
        </w:rPr>
        <w:t>direct</w:t>
      </w:r>
      <w:r>
        <w:rPr>
          <w:w w:val="105"/>
        </w:rPr>
        <w:t>ly</w:t>
      </w:r>
      <w:r>
        <w:rPr>
          <w:spacing w:val="-3"/>
          <w:w w:val="105"/>
        </w:rPr>
        <w:t xml:space="preserve"> </w:t>
      </w:r>
      <w:r>
        <w:rPr>
          <w:w w:val="105"/>
        </w:rPr>
        <w:t>influence</w:t>
      </w:r>
      <w:r>
        <w:rPr>
          <w:spacing w:val="-10"/>
          <w:w w:val="105"/>
        </w:rPr>
        <w:t xml:space="preserve"> </w:t>
      </w:r>
      <w:r>
        <w:rPr>
          <w:w w:val="105"/>
        </w:rPr>
        <w:t xml:space="preserve">tender </w:t>
      </w:r>
      <w:r>
        <w:rPr>
          <w:spacing w:val="-2"/>
          <w:w w:val="105"/>
        </w:rPr>
        <w:t>outcomes.</w:t>
      </w:r>
    </w:p>
    <w:p w:rsidR="00487D64" w:rsidRDefault="006F0D93">
      <w:pPr>
        <w:pStyle w:val="BodyText"/>
        <w:spacing w:before="236" w:line="501" w:lineRule="auto"/>
        <w:ind w:left="1419" w:right="846"/>
        <w:jc w:val="both"/>
      </w:pPr>
      <w:r>
        <w:rPr>
          <w:w w:val="105"/>
        </w:rPr>
        <w:t>The findings align with the Market Orientation Theory (Narver &amp; Slater, 1990), which positions customer orientation</w:t>
      </w:r>
      <w:r>
        <w:rPr>
          <w:spacing w:val="-2"/>
          <w:w w:val="105"/>
        </w:rPr>
        <w:t xml:space="preserve"> </w:t>
      </w:r>
      <w:r>
        <w:rPr>
          <w:w w:val="105"/>
        </w:rPr>
        <w:t>as</w:t>
      </w:r>
      <w:r>
        <w:rPr>
          <w:spacing w:val="-10"/>
          <w:w w:val="105"/>
        </w:rPr>
        <w:t xml:space="preserve"> </w:t>
      </w:r>
      <w:r>
        <w:rPr>
          <w:w w:val="105"/>
        </w:rPr>
        <w:t>a core component</w:t>
      </w:r>
      <w:r>
        <w:rPr>
          <w:spacing w:val="-1"/>
          <w:w w:val="105"/>
        </w:rPr>
        <w:t xml:space="preserve"> </w:t>
      </w:r>
      <w:r>
        <w:rPr>
          <w:w w:val="105"/>
        </w:rPr>
        <w:t>of competitive</w:t>
      </w:r>
      <w:r>
        <w:rPr>
          <w:spacing w:val="-3"/>
          <w:w w:val="105"/>
        </w:rPr>
        <w:t xml:space="preserve"> </w:t>
      </w:r>
      <w:r>
        <w:rPr>
          <w:w w:val="105"/>
        </w:rPr>
        <w:t>advantage. According to this</w:t>
      </w:r>
      <w:r>
        <w:rPr>
          <w:spacing w:val="-2"/>
          <w:w w:val="105"/>
        </w:rPr>
        <w:t xml:space="preserve"> </w:t>
      </w:r>
      <w:r>
        <w:rPr>
          <w:w w:val="105"/>
        </w:rPr>
        <w:t>theory, firms</w:t>
      </w:r>
      <w:r>
        <w:rPr>
          <w:spacing w:val="-2"/>
          <w:w w:val="105"/>
        </w:rPr>
        <w:t xml:space="preserve"> </w:t>
      </w:r>
      <w:r>
        <w:rPr>
          <w:w w:val="105"/>
        </w:rPr>
        <w:t>that systematically gather and d</w:t>
      </w:r>
      <w:r>
        <w:rPr>
          <w:w w:val="105"/>
        </w:rPr>
        <w:t>isseminate customer- related information across departments, and respond effectively to changing customer preferences, achieve superior long-term performance. This theoretical assumption holds</w:t>
      </w:r>
      <w:r>
        <w:rPr>
          <w:spacing w:val="-1"/>
          <w:w w:val="105"/>
        </w:rPr>
        <w:t xml:space="preserve"> </w:t>
      </w:r>
      <w:r>
        <w:rPr>
          <w:w w:val="105"/>
        </w:rPr>
        <w:t>true in the present study, where customer orientation emerges as</w:t>
      </w:r>
      <w:r>
        <w:rPr>
          <w:spacing w:val="-1"/>
          <w:w w:val="105"/>
        </w:rPr>
        <w:t xml:space="preserve"> </w:t>
      </w:r>
      <w:r>
        <w:rPr>
          <w:w w:val="105"/>
        </w:rPr>
        <w:t>a dynamic capability that enables SMEs to anticipate and adapt to procurement requirements, thereby securing sustainable competitive positioning. By satisfying procurement</w:t>
      </w:r>
      <w:r>
        <w:rPr>
          <w:spacing w:val="-3"/>
          <w:w w:val="105"/>
        </w:rPr>
        <w:t xml:space="preserve"> </w:t>
      </w:r>
      <w:r>
        <w:rPr>
          <w:w w:val="105"/>
        </w:rPr>
        <w:t>entities’</w:t>
      </w:r>
      <w:r>
        <w:rPr>
          <w:spacing w:val="-1"/>
          <w:w w:val="105"/>
        </w:rPr>
        <w:t xml:space="preserve"> </w:t>
      </w:r>
      <w:r>
        <w:rPr>
          <w:w w:val="105"/>
        </w:rPr>
        <w:t>expectati</w:t>
      </w:r>
      <w:r>
        <w:rPr>
          <w:w w:val="105"/>
        </w:rPr>
        <w:t>ons</w:t>
      </w:r>
      <w:r>
        <w:rPr>
          <w:spacing w:val="-12"/>
          <w:w w:val="105"/>
        </w:rPr>
        <w:t xml:space="preserve"> </w:t>
      </w:r>
      <w:r>
        <w:rPr>
          <w:w w:val="105"/>
        </w:rPr>
        <w:t>for</w:t>
      </w:r>
      <w:r>
        <w:rPr>
          <w:spacing w:val="-1"/>
          <w:w w:val="105"/>
        </w:rPr>
        <w:t xml:space="preserve"> </w:t>
      </w:r>
      <w:r>
        <w:rPr>
          <w:w w:val="105"/>
        </w:rPr>
        <w:t>compliance,</w:t>
      </w:r>
      <w:r>
        <w:rPr>
          <w:spacing w:val="-9"/>
          <w:w w:val="105"/>
        </w:rPr>
        <w:t xml:space="preserve"> </w:t>
      </w:r>
      <w:r>
        <w:rPr>
          <w:w w:val="105"/>
        </w:rPr>
        <w:t>quality,</w:t>
      </w:r>
      <w:r>
        <w:rPr>
          <w:spacing w:val="-9"/>
          <w:w w:val="105"/>
        </w:rPr>
        <w:t xml:space="preserve"> </w:t>
      </w:r>
      <w:r>
        <w:rPr>
          <w:w w:val="105"/>
        </w:rPr>
        <w:t>and</w:t>
      </w:r>
      <w:r>
        <w:rPr>
          <w:spacing w:val="-10"/>
          <w:w w:val="105"/>
        </w:rPr>
        <w:t xml:space="preserve"> </w:t>
      </w:r>
      <w:r>
        <w:rPr>
          <w:w w:val="105"/>
        </w:rPr>
        <w:t>timely</w:t>
      </w:r>
      <w:r>
        <w:rPr>
          <w:spacing w:val="-10"/>
          <w:w w:val="105"/>
        </w:rPr>
        <w:t xml:space="preserve"> </w:t>
      </w:r>
      <w:r>
        <w:rPr>
          <w:w w:val="105"/>
        </w:rPr>
        <w:t>delivery,</w:t>
      </w:r>
      <w:r>
        <w:rPr>
          <w:spacing w:val="-9"/>
          <w:w w:val="105"/>
        </w:rPr>
        <w:t xml:space="preserve"> </w:t>
      </w:r>
      <w:r>
        <w:rPr>
          <w:w w:val="105"/>
        </w:rPr>
        <w:t>these firms enhance their reputational capital and increase their likelihood of winning repeat contracts</w:t>
      </w:r>
      <w:r>
        <w:rPr>
          <w:spacing w:val="-5"/>
          <w:w w:val="105"/>
        </w:rPr>
        <w:t xml:space="preserve"> </w:t>
      </w:r>
      <w:r>
        <w:rPr>
          <w:w w:val="105"/>
        </w:rPr>
        <w:t>a vital driver of sustainability</w:t>
      </w:r>
      <w:r>
        <w:rPr>
          <w:spacing w:val="-2"/>
          <w:w w:val="105"/>
        </w:rPr>
        <w:t xml:space="preserve"> </w:t>
      </w:r>
      <w:r>
        <w:rPr>
          <w:w w:val="105"/>
        </w:rPr>
        <w:t>in</w:t>
      </w:r>
      <w:r>
        <w:rPr>
          <w:spacing w:val="-2"/>
          <w:w w:val="105"/>
        </w:rPr>
        <w:t xml:space="preserve"> </w:t>
      </w:r>
      <w:r>
        <w:rPr>
          <w:w w:val="105"/>
        </w:rPr>
        <w:t>a highly competitive environment.</w:t>
      </w:r>
    </w:p>
    <w:p w:rsidR="00487D64" w:rsidRDefault="006F0D93">
      <w:pPr>
        <w:pStyle w:val="BodyText"/>
        <w:spacing w:before="230" w:line="501" w:lineRule="auto"/>
        <w:ind w:left="1419" w:right="847"/>
        <w:jc w:val="both"/>
      </w:pPr>
      <w:r>
        <w:rPr>
          <w:w w:val="105"/>
        </w:rPr>
        <w:t>Empirical evidence from previou</w:t>
      </w:r>
      <w:r>
        <w:rPr>
          <w:w w:val="105"/>
        </w:rPr>
        <w:t>s studies supports this conclusion. Bankole et al. (2022) demonstrated that customer-centric strategies significantly enhance competitive</w:t>
      </w:r>
      <w:r>
        <w:rPr>
          <w:spacing w:val="-4"/>
          <w:w w:val="105"/>
        </w:rPr>
        <w:t xml:space="preserve"> </w:t>
      </w:r>
      <w:r>
        <w:rPr>
          <w:w w:val="105"/>
        </w:rPr>
        <w:t>differentiation</w:t>
      </w:r>
      <w:r>
        <w:rPr>
          <w:spacing w:val="-3"/>
          <w:w w:val="105"/>
        </w:rPr>
        <w:t xml:space="preserve"> </w:t>
      </w:r>
      <w:r>
        <w:rPr>
          <w:w w:val="105"/>
        </w:rPr>
        <w:t>in</w:t>
      </w:r>
      <w:r>
        <w:rPr>
          <w:spacing w:val="-3"/>
          <w:w w:val="105"/>
        </w:rPr>
        <w:t xml:space="preserve"> </w:t>
      </w:r>
      <w:r>
        <w:rPr>
          <w:w w:val="105"/>
        </w:rPr>
        <w:t>dynamic</w:t>
      </w:r>
      <w:r>
        <w:rPr>
          <w:spacing w:val="-4"/>
          <w:w w:val="105"/>
        </w:rPr>
        <w:t xml:space="preserve"> </w:t>
      </w:r>
      <w:r>
        <w:rPr>
          <w:w w:val="105"/>
        </w:rPr>
        <w:t>service</w:t>
      </w:r>
      <w:r>
        <w:rPr>
          <w:spacing w:val="-10"/>
          <w:w w:val="105"/>
        </w:rPr>
        <w:t xml:space="preserve"> </w:t>
      </w:r>
      <w:r>
        <w:rPr>
          <w:w w:val="105"/>
        </w:rPr>
        <w:t>industries.</w:t>
      </w:r>
      <w:r>
        <w:rPr>
          <w:spacing w:val="-2"/>
          <w:w w:val="105"/>
        </w:rPr>
        <w:t xml:space="preserve"> </w:t>
      </w:r>
      <w:r>
        <w:rPr>
          <w:w w:val="105"/>
        </w:rPr>
        <w:t>Similarly, Tunc</w:t>
      </w:r>
      <w:r>
        <w:rPr>
          <w:spacing w:val="-10"/>
          <w:w w:val="105"/>
        </w:rPr>
        <w:t xml:space="preserve"> </w:t>
      </w:r>
      <w:r>
        <w:rPr>
          <w:w w:val="105"/>
        </w:rPr>
        <w:t>(2020)</w:t>
      </w:r>
      <w:r>
        <w:rPr>
          <w:spacing w:val="-3"/>
          <w:w w:val="105"/>
        </w:rPr>
        <w:t xml:space="preserve"> </w:t>
      </w:r>
      <w:r>
        <w:rPr>
          <w:w w:val="105"/>
        </w:rPr>
        <w:t xml:space="preserve">and Liu et al. (2020) established that customer </w:t>
      </w:r>
      <w:r>
        <w:rPr>
          <w:w w:val="105"/>
        </w:rPr>
        <w:t>orientation correlates positively with market performance, customer satisfaction, and brand loyalty, which collectively strengthen competitive advantage. These studies echo the present findings, reinforcing the notion that in procurement driven markets, un</w:t>
      </w:r>
      <w:r>
        <w:rPr>
          <w:w w:val="105"/>
        </w:rPr>
        <w:t>derstanding and addressing client expectations translates into measurable performance gains. For instance, Tanzanian SMEs that consistently monitor tender specifications and align bids</w:t>
      </w:r>
      <w:r>
        <w:rPr>
          <w:spacing w:val="37"/>
          <w:w w:val="105"/>
        </w:rPr>
        <w:t xml:space="preserve">  </w:t>
      </w:r>
      <w:r>
        <w:rPr>
          <w:w w:val="105"/>
        </w:rPr>
        <w:t>with</w:t>
      </w:r>
      <w:r>
        <w:rPr>
          <w:spacing w:val="35"/>
          <w:w w:val="105"/>
        </w:rPr>
        <w:t xml:space="preserve">  </w:t>
      </w:r>
      <w:r>
        <w:rPr>
          <w:w w:val="105"/>
        </w:rPr>
        <w:t>customer</w:t>
      </w:r>
      <w:r>
        <w:rPr>
          <w:spacing w:val="37"/>
          <w:w w:val="105"/>
        </w:rPr>
        <w:t xml:space="preserve">  </w:t>
      </w:r>
      <w:r>
        <w:rPr>
          <w:w w:val="105"/>
        </w:rPr>
        <w:t>priorities</w:t>
      </w:r>
      <w:r>
        <w:rPr>
          <w:spacing w:val="34"/>
          <w:w w:val="105"/>
        </w:rPr>
        <w:t xml:space="preserve">  </w:t>
      </w:r>
      <w:r>
        <w:rPr>
          <w:w w:val="105"/>
        </w:rPr>
        <w:t>(such</w:t>
      </w:r>
      <w:r>
        <w:rPr>
          <w:spacing w:val="35"/>
          <w:w w:val="105"/>
        </w:rPr>
        <w:t xml:space="preserve">  </w:t>
      </w:r>
      <w:r>
        <w:rPr>
          <w:w w:val="105"/>
        </w:rPr>
        <w:t>as</w:t>
      </w:r>
      <w:r>
        <w:rPr>
          <w:spacing w:val="34"/>
          <w:w w:val="105"/>
        </w:rPr>
        <w:t xml:space="preserve">  </w:t>
      </w:r>
      <w:r>
        <w:rPr>
          <w:w w:val="105"/>
        </w:rPr>
        <w:t>delivery</w:t>
      </w:r>
      <w:r>
        <w:rPr>
          <w:spacing w:val="35"/>
          <w:w w:val="105"/>
        </w:rPr>
        <w:t xml:space="preserve">  </w:t>
      </w:r>
      <w:r>
        <w:rPr>
          <w:w w:val="105"/>
        </w:rPr>
        <w:t>timelines</w:t>
      </w:r>
      <w:r>
        <w:rPr>
          <w:spacing w:val="34"/>
          <w:w w:val="105"/>
        </w:rPr>
        <w:t xml:space="preserve">  </w:t>
      </w:r>
      <w:r>
        <w:rPr>
          <w:w w:val="105"/>
        </w:rPr>
        <w:t>and</w:t>
      </w:r>
      <w:r>
        <w:rPr>
          <w:spacing w:val="39"/>
          <w:w w:val="105"/>
        </w:rPr>
        <w:t xml:space="preserve">  </w:t>
      </w:r>
      <w:r>
        <w:rPr>
          <w:w w:val="105"/>
        </w:rPr>
        <w:t>compl</w:t>
      </w:r>
      <w:r>
        <w:rPr>
          <w:w w:val="105"/>
        </w:rPr>
        <w:t>iance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48"/>
        <w:jc w:val="both"/>
      </w:pPr>
      <w:r>
        <w:rPr>
          <w:w w:val="105"/>
        </w:rPr>
        <w:t>requirements) are better positioned to maintain competitiveness compared to firms that adopt generic bidding strategies.</w:t>
      </w:r>
    </w:p>
    <w:p w:rsidR="00487D64" w:rsidRDefault="006F0D93">
      <w:pPr>
        <w:pStyle w:val="BodyText"/>
        <w:spacing w:before="236" w:line="501" w:lineRule="auto"/>
        <w:ind w:left="1419" w:right="852"/>
        <w:jc w:val="both"/>
      </w:pPr>
      <w:r>
        <w:rPr>
          <w:w w:val="105"/>
        </w:rPr>
        <w:t>The findings align with Dynamic Capability Theory (Teece, 2007), Customer orientation reflects dynamic</w:t>
      </w:r>
      <w:r>
        <w:rPr>
          <w:w w:val="105"/>
        </w:rPr>
        <w:t xml:space="preserve"> capabilities by allowing firms to identify buyer needs and regulatory changes, capitalize on opportunities through customized offerings, and adapt internal processes to ensure compliance and efficiency. Through active engagement with</w:t>
      </w:r>
      <w:r>
        <w:rPr>
          <w:spacing w:val="-2"/>
          <w:w w:val="105"/>
        </w:rPr>
        <w:t xml:space="preserve"> </w:t>
      </w:r>
      <w:r>
        <w:rPr>
          <w:w w:val="105"/>
        </w:rPr>
        <w:t>procurement entities,</w:t>
      </w:r>
      <w:r>
        <w:rPr>
          <w:spacing w:val="-7"/>
          <w:w w:val="105"/>
        </w:rPr>
        <w:t xml:space="preserve"> </w:t>
      </w:r>
      <w:r>
        <w:rPr>
          <w:w w:val="105"/>
        </w:rPr>
        <w:t>the</w:t>
      </w:r>
      <w:r>
        <w:rPr>
          <w:spacing w:val="-3"/>
          <w:w w:val="105"/>
        </w:rPr>
        <w:t xml:space="preserve"> </w:t>
      </w:r>
      <w:r>
        <w:rPr>
          <w:w w:val="105"/>
        </w:rPr>
        <w:t>collection</w:t>
      </w:r>
      <w:r>
        <w:rPr>
          <w:spacing w:val="-2"/>
          <w:w w:val="105"/>
        </w:rPr>
        <w:t xml:space="preserve"> </w:t>
      </w:r>
      <w:r>
        <w:rPr>
          <w:w w:val="105"/>
        </w:rPr>
        <w:t>of feedback,</w:t>
      </w:r>
      <w:r>
        <w:rPr>
          <w:spacing w:val="-7"/>
          <w:w w:val="105"/>
        </w:rPr>
        <w:t xml:space="preserve"> </w:t>
      </w:r>
      <w:r>
        <w:rPr>
          <w:w w:val="105"/>
        </w:rPr>
        <w:t>and</w:t>
      </w:r>
      <w:r>
        <w:rPr>
          <w:spacing w:val="-8"/>
          <w:w w:val="105"/>
        </w:rPr>
        <w:t xml:space="preserve"> </w:t>
      </w:r>
      <w:r>
        <w:rPr>
          <w:w w:val="105"/>
        </w:rPr>
        <w:t>the</w:t>
      </w:r>
      <w:r>
        <w:rPr>
          <w:spacing w:val="-3"/>
          <w:w w:val="105"/>
        </w:rPr>
        <w:t xml:space="preserve"> </w:t>
      </w:r>
      <w:r>
        <w:rPr>
          <w:w w:val="105"/>
        </w:rPr>
        <w:t>adaptation of operational processes, SMEs can enhance their competitive position, despite resource and structural constraints.</w:t>
      </w:r>
    </w:p>
    <w:p w:rsidR="00487D64" w:rsidRDefault="006F0D93">
      <w:pPr>
        <w:pStyle w:val="BodyText"/>
        <w:spacing w:before="237" w:line="501" w:lineRule="auto"/>
        <w:ind w:left="1419" w:right="853"/>
        <w:jc w:val="both"/>
      </w:pPr>
      <w:r>
        <w:rPr>
          <w:w w:val="105"/>
        </w:rPr>
        <w:t>Furthermore, the findings of the study are consistent with the expanding body</w:t>
      </w:r>
      <w:r>
        <w:rPr>
          <w:w w:val="105"/>
        </w:rPr>
        <w:t xml:space="preserve"> of literature on</w:t>
      </w:r>
      <w:r>
        <w:rPr>
          <w:spacing w:val="-3"/>
          <w:w w:val="105"/>
        </w:rPr>
        <w:t xml:space="preserve"> </w:t>
      </w:r>
      <w:r>
        <w:rPr>
          <w:w w:val="105"/>
        </w:rPr>
        <w:t>customer orientation that is facilitated</w:t>
      </w:r>
      <w:r>
        <w:rPr>
          <w:spacing w:val="-3"/>
          <w:w w:val="105"/>
        </w:rPr>
        <w:t xml:space="preserve"> </w:t>
      </w:r>
      <w:r>
        <w:rPr>
          <w:w w:val="105"/>
        </w:rPr>
        <w:t>by digital technology. According to Islam and Zhe (2022), special group</w:t>
      </w:r>
      <w:r>
        <w:rPr>
          <w:spacing w:val="-7"/>
          <w:w w:val="105"/>
        </w:rPr>
        <w:t xml:space="preserve"> </w:t>
      </w:r>
      <w:r>
        <w:rPr>
          <w:w w:val="105"/>
        </w:rPr>
        <w:t>SMEs who make use of technology like artificial intelligence and analytics to improve their responsiveness to customers enjoy</w:t>
      </w:r>
      <w:r>
        <w:rPr>
          <w:w w:val="105"/>
        </w:rPr>
        <w:t xml:space="preserve"> superior innovation and competitive performance. Companies that integrate real-time procurement data with adaptive strategies have the ability to create value that goes beyond compliance, positioning</w:t>
      </w:r>
      <w:r>
        <w:rPr>
          <w:spacing w:val="-1"/>
          <w:w w:val="105"/>
        </w:rPr>
        <w:t xml:space="preserve"> </w:t>
      </w:r>
      <w:r>
        <w:rPr>
          <w:w w:val="105"/>
        </w:rPr>
        <w:t xml:space="preserve">themselves as proactive partners in public procurement </w:t>
      </w:r>
      <w:r>
        <w:rPr>
          <w:w w:val="105"/>
        </w:rPr>
        <w:t>systems. This principle is still relevant despite the fact that many Tanzanian</w:t>
      </w:r>
      <w:r>
        <w:rPr>
          <w:spacing w:val="-1"/>
          <w:w w:val="105"/>
        </w:rPr>
        <w:t xml:space="preserve"> </w:t>
      </w:r>
      <w:r>
        <w:rPr>
          <w:w w:val="105"/>
        </w:rPr>
        <w:t>small</w:t>
      </w:r>
      <w:r>
        <w:rPr>
          <w:spacing w:val="-6"/>
          <w:w w:val="105"/>
        </w:rPr>
        <w:t xml:space="preserve"> </w:t>
      </w:r>
      <w:r>
        <w:rPr>
          <w:w w:val="105"/>
        </w:rPr>
        <w:t>and</w:t>
      </w:r>
      <w:r>
        <w:rPr>
          <w:spacing w:val="-1"/>
          <w:w w:val="105"/>
        </w:rPr>
        <w:t xml:space="preserve"> </w:t>
      </w:r>
      <w:r>
        <w:rPr>
          <w:w w:val="105"/>
        </w:rPr>
        <w:t>medium-sized</w:t>
      </w:r>
      <w:r>
        <w:rPr>
          <w:spacing w:val="-1"/>
          <w:w w:val="105"/>
        </w:rPr>
        <w:t xml:space="preserve"> </w:t>
      </w:r>
      <w:r>
        <w:rPr>
          <w:w w:val="105"/>
        </w:rPr>
        <w:t>enterprises</w:t>
      </w:r>
      <w:r>
        <w:rPr>
          <w:spacing w:val="-9"/>
          <w:w w:val="105"/>
        </w:rPr>
        <w:t xml:space="preserve"> </w:t>
      </w:r>
      <w:r>
        <w:rPr>
          <w:w w:val="105"/>
        </w:rPr>
        <w:t>(SMEs) face</w:t>
      </w:r>
      <w:r>
        <w:rPr>
          <w:spacing w:val="-8"/>
          <w:w w:val="105"/>
        </w:rPr>
        <w:t xml:space="preserve"> </w:t>
      </w:r>
      <w:r>
        <w:rPr>
          <w:w w:val="105"/>
        </w:rPr>
        <w:t>resource</w:t>
      </w:r>
      <w:r>
        <w:rPr>
          <w:spacing w:val="-2"/>
          <w:w w:val="105"/>
        </w:rPr>
        <w:t xml:space="preserve"> </w:t>
      </w:r>
      <w:r>
        <w:rPr>
          <w:w w:val="105"/>
        </w:rPr>
        <w:t>constraints</w:t>
      </w:r>
      <w:r>
        <w:rPr>
          <w:spacing w:val="-9"/>
          <w:w w:val="105"/>
        </w:rPr>
        <w:t xml:space="preserve"> </w:t>
      </w:r>
      <w:r>
        <w:rPr>
          <w:w w:val="105"/>
        </w:rPr>
        <w:t>that limit their ability to adopt new digital technologies.</w:t>
      </w:r>
    </w:p>
    <w:p w:rsidR="00487D64" w:rsidRDefault="006F0D93">
      <w:pPr>
        <w:pStyle w:val="BodyText"/>
        <w:spacing w:before="235" w:line="501" w:lineRule="auto"/>
        <w:ind w:left="1419" w:right="856"/>
        <w:jc w:val="both"/>
      </w:pPr>
      <w:r>
        <w:rPr>
          <w:w w:val="105"/>
        </w:rPr>
        <w:t>Moreover, the findings</w:t>
      </w:r>
      <w:r>
        <w:rPr>
          <w:spacing w:val="-3"/>
          <w:w w:val="105"/>
        </w:rPr>
        <w:t xml:space="preserve"> </w:t>
      </w:r>
      <w:r>
        <w:rPr>
          <w:w w:val="105"/>
        </w:rPr>
        <w:t>underscore how customer or</w:t>
      </w:r>
      <w:r>
        <w:rPr>
          <w:w w:val="105"/>
        </w:rPr>
        <w:t>ientation contributes not only to external positioning but also to internal process efficiency. As observed by Templer et al. (2020)</w:t>
      </w:r>
      <w:r>
        <w:rPr>
          <w:b/>
          <w:w w:val="105"/>
        </w:rPr>
        <w:t xml:space="preserve">, </w:t>
      </w:r>
      <w:r>
        <w:rPr>
          <w:w w:val="105"/>
        </w:rPr>
        <w:t>customer-focused organizations streamline workflows, eliminate redundant activities, and</w:t>
      </w:r>
      <w:r>
        <w:rPr>
          <w:spacing w:val="24"/>
          <w:w w:val="105"/>
        </w:rPr>
        <w:t xml:space="preserve"> </w:t>
      </w:r>
      <w:r>
        <w:rPr>
          <w:w w:val="105"/>
        </w:rPr>
        <w:t>foster interdepartmental collabor</w:t>
      </w:r>
      <w:r>
        <w:rPr>
          <w:w w:val="105"/>
        </w:rPr>
        <w:t>ation aimed at improving</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8"/>
        <w:jc w:val="both"/>
      </w:pPr>
      <w:r>
        <w:rPr>
          <w:w w:val="105"/>
        </w:rPr>
        <w:t>service quality. This efficiency is critical in public procurement, where firms must demonstrate both cost-effectiveness and adherence to compliance protocols. In practical terms, SMEs that implement structure</w:t>
      </w:r>
      <w:r>
        <w:rPr>
          <w:w w:val="105"/>
        </w:rPr>
        <w:t>d customer feedback systems and integrate procurement insights into operational processes are better equipped to reduce errors, avoid disqualification, and enhance overall bid competitiveness.</w:t>
      </w:r>
    </w:p>
    <w:p w:rsidR="00487D64" w:rsidRDefault="006F0D93">
      <w:pPr>
        <w:pStyle w:val="BodyText"/>
        <w:spacing w:before="240" w:line="501" w:lineRule="auto"/>
        <w:ind w:left="1419" w:right="849"/>
        <w:jc w:val="both"/>
      </w:pPr>
      <w:r>
        <w:rPr>
          <w:w w:val="105"/>
        </w:rPr>
        <w:t>Additionally,</w:t>
      </w:r>
      <w:r>
        <w:rPr>
          <w:spacing w:val="-9"/>
          <w:w w:val="105"/>
        </w:rPr>
        <w:t xml:space="preserve"> </w:t>
      </w:r>
      <w:r>
        <w:rPr>
          <w:w w:val="105"/>
        </w:rPr>
        <w:t>literature from</w:t>
      </w:r>
      <w:r>
        <w:rPr>
          <w:spacing w:val="-12"/>
          <w:w w:val="105"/>
        </w:rPr>
        <w:t xml:space="preserve"> </w:t>
      </w:r>
      <w:r>
        <w:rPr>
          <w:w w:val="105"/>
        </w:rPr>
        <w:t>(Liu</w:t>
      </w:r>
      <w:r>
        <w:rPr>
          <w:spacing w:val="-5"/>
          <w:w w:val="105"/>
        </w:rPr>
        <w:t xml:space="preserve"> </w:t>
      </w:r>
      <w:r>
        <w:rPr>
          <w:w w:val="105"/>
        </w:rPr>
        <w:t>et</w:t>
      </w:r>
      <w:r>
        <w:rPr>
          <w:spacing w:val="-9"/>
          <w:w w:val="105"/>
        </w:rPr>
        <w:t xml:space="preserve"> </w:t>
      </w:r>
      <w:r>
        <w:rPr>
          <w:w w:val="105"/>
        </w:rPr>
        <w:t>al.,</w:t>
      </w:r>
      <w:r>
        <w:rPr>
          <w:spacing w:val="-9"/>
          <w:w w:val="105"/>
        </w:rPr>
        <w:t xml:space="preserve"> </w:t>
      </w:r>
      <w:r>
        <w:rPr>
          <w:w w:val="105"/>
        </w:rPr>
        <w:t>2020;</w:t>
      </w:r>
      <w:r>
        <w:rPr>
          <w:spacing w:val="-9"/>
          <w:w w:val="105"/>
        </w:rPr>
        <w:t xml:space="preserve"> </w:t>
      </w:r>
      <w:r>
        <w:rPr>
          <w:w w:val="105"/>
        </w:rPr>
        <w:t>Lee &amp;</w:t>
      </w:r>
      <w:r>
        <w:rPr>
          <w:spacing w:val="-12"/>
          <w:w w:val="105"/>
        </w:rPr>
        <w:t xml:space="preserve"> </w:t>
      </w:r>
      <w:r>
        <w:rPr>
          <w:w w:val="105"/>
        </w:rPr>
        <w:t>Wei,</w:t>
      </w:r>
      <w:r>
        <w:rPr>
          <w:spacing w:val="-9"/>
          <w:w w:val="105"/>
        </w:rPr>
        <w:t xml:space="preserve"> </w:t>
      </w:r>
      <w:r>
        <w:rPr>
          <w:w w:val="105"/>
        </w:rPr>
        <w:t>202</w:t>
      </w:r>
      <w:r>
        <w:rPr>
          <w:w w:val="105"/>
        </w:rPr>
        <w:t>3)</w:t>
      </w:r>
      <w:r>
        <w:rPr>
          <w:spacing w:val="-1"/>
          <w:w w:val="105"/>
        </w:rPr>
        <w:t xml:space="preserve"> </w:t>
      </w:r>
      <w:r>
        <w:rPr>
          <w:w w:val="105"/>
        </w:rPr>
        <w:t>has</w:t>
      </w:r>
      <w:r>
        <w:rPr>
          <w:spacing w:val="-6"/>
          <w:w w:val="105"/>
        </w:rPr>
        <w:t xml:space="preserve"> </w:t>
      </w:r>
      <w:r>
        <w:rPr>
          <w:w w:val="105"/>
        </w:rPr>
        <w:t>strengthened</w:t>
      </w:r>
      <w:r>
        <w:rPr>
          <w:spacing w:val="-11"/>
          <w:w w:val="105"/>
        </w:rPr>
        <w:t xml:space="preserve"> </w:t>
      </w:r>
      <w:r>
        <w:rPr>
          <w:w w:val="105"/>
        </w:rPr>
        <w:t>the connection between being market-oriented and making customers happier and more competitive. These studies suggest that by aligning organizational strategies and processes with customer needs, market-oriented SMEs are better position</w:t>
      </w:r>
      <w:r>
        <w:rPr>
          <w:w w:val="105"/>
        </w:rPr>
        <w:t>ed to deliver superior value, resulting in increased customer loyalty, repeat business, and long-term sustainability. Thus, the strategic alignment of customer orientation with firm</w:t>
      </w:r>
      <w:r>
        <w:rPr>
          <w:spacing w:val="-3"/>
          <w:w w:val="105"/>
        </w:rPr>
        <w:t xml:space="preserve"> </w:t>
      </w:r>
      <w:r>
        <w:rPr>
          <w:w w:val="105"/>
        </w:rPr>
        <w:t>operations</w:t>
      </w:r>
      <w:r>
        <w:rPr>
          <w:spacing w:val="-4"/>
          <w:w w:val="105"/>
        </w:rPr>
        <w:t xml:space="preserve"> </w:t>
      </w:r>
      <w:r>
        <w:rPr>
          <w:w w:val="105"/>
        </w:rPr>
        <w:t>can</w:t>
      </w:r>
      <w:r>
        <w:rPr>
          <w:spacing w:val="-2"/>
          <w:w w:val="105"/>
        </w:rPr>
        <w:t xml:space="preserve"> </w:t>
      </w:r>
      <w:r>
        <w:rPr>
          <w:w w:val="105"/>
        </w:rPr>
        <w:t>be</w:t>
      </w:r>
      <w:r>
        <w:rPr>
          <w:spacing w:val="-3"/>
          <w:w w:val="105"/>
        </w:rPr>
        <w:t xml:space="preserve"> </w:t>
      </w:r>
      <w:r>
        <w:rPr>
          <w:w w:val="105"/>
        </w:rPr>
        <w:t>conceptualized</w:t>
      </w:r>
      <w:r>
        <w:rPr>
          <w:spacing w:val="-8"/>
          <w:w w:val="105"/>
        </w:rPr>
        <w:t xml:space="preserve"> </w:t>
      </w:r>
      <w:r>
        <w:rPr>
          <w:w w:val="105"/>
        </w:rPr>
        <w:t>as</w:t>
      </w:r>
      <w:r>
        <w:rPr>
          <w:spacing w:val="-10"/>
          <w:w w:val="105"/>
        </w:rPr>
        <w:t xml:space="preserve"> </w:t>
      </w:r>
      <w:r>
        <w:rPr>
          <w:w w:val="105"/>
        </w:rPr>
        <w:t>a capability-based</w:t>
      </w:r>
      <w:r>
        <w:rPr>
          <w:spacing w:val="-2"/>
          <w:w w:val="105"/>
        </w:rPr>
        <w:t xml:space="preserve"> </w:t>
      </w:r>
      <w:r>
        <w:rPr>
          <w:w w:val="105"/>
        </w:rPr>
        <w:t>resource (Barney,</w:t>
      </w:r>
      <w:r>
        <w:rPr>
          <w:spacing w:val="-6"/>
          <w:w w:val="105"/>
        </w:rPr>
        <w:t xml:space="preserve"> </w:t>
      </w:r>
      <w:r>
        <w:rPr>
          <w:w w:val="105"/>
        </w:rPr>
        <w:t>1991), contributing directly to sustainable competitiveness. This reinforces the notion that for special group SMEs to thrive in the public procurement space, a strong focus on customer orientation is not merely beneficial but essential for long-term growt</w:t>
      </w:r>
      <w:r>
        <w:rPr>
          <w:w w:val="105"/>
        </w:rPr>
        <w:t xml:space="preserve">h and </w:t>
      </w:r>
      <w:r>
        <w:rPr>
          <w:spacing w:val="-2"/>
          <w:w w:val="105"/>
        </w:rPr>
        <w:t>survival.</w:t>
      </w:r>
    </w:p>
    <w:p w:rsidR="00487D64" w:rsidRDefault="006F0D93">
      <w:pPr>
        <w:pStyle w:val="BodyText"/>
        <w:spacing w:before="230" w:line="501" w:lineRule="auto"/>
        <w:ind w:left="1419" w:right="844"/>
        <w:jc w:val="both"/>
      </w:pPr>
      <w:r>
        <w:rPr>
          <w:w w:val="105"/>
        </w:rPr>
        <w:t>Moreover, customer orientation enhances customer performance</w:t>
      </w:r>
      <w:r>
        <w:rPr>
          <w:b/>
          <w:w w:val="105"/>
        </w:rPr>
        <w:t xml:space="preserve">, </w:t>
      </w:r>
      <w:r>
        <w:rPr>
          <w:w w:val="105"/>
        </w:rPr>
        <w:t>enabling SMEs to focus on high-value customers and improve outcomes such as repeat business, customer satisfaction, loyalty, and (Flight &amp; Mudiyanselage, 2021; Kaburu et</w:t>
      </w:r>
      <w:r>
        <w:rPr>
          <w:w w:val="105"/>
        </w:rPr>
        <w:t xml:space="preserve"> al., 2021). This aligns with the study’s findings that customer-focused SMEs in public procurement can outperform competitors by maintaining structured activities that serve customer needs, distribute customer knowledge across departments, and align decis</w:t>
      </w:r>
      <w:r>
        <w:rPr>
          <w:w w:val="105"/>
        </w:rPr>
        <w:t>ion-making with customer expectations.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1"/>
          <w:numId w:val="7"/>
        </w:numPr>
        <w:tabs>
          <w:tab w:val="left" w:pos="1922"/>
          <w:tab w:val="left" w:pos="1988"/>
          <w:tab w:val="left" w:pos="2519"/>
          <w:tab w:val="left" w:pos="4015"/>
          <w:tab w:val="left" w:pos="5057"/>
          <w:tab w:val="left" w:pos="6455"/>
          <w:tab w:val="left" w:pos="7857"/>
          <w:tab w:val="left" w:pos="8447"/>
        </w:tabs>
        <w:spacing w:before="1" w:line="504" w:lineRule="auto"/>
        <w:ind w:left="1988" w:right="859" w:hanging="570"/>
        <w:rPr>
          <w:b/>
          <w:sz w:val="23"/>
        </w:rPr>
      </w:pPr>
      <w:bookmarkStart w:id="190" w:name="5.3_The_Relationship_between_Competitor_"/>
      <w:bookmarkStart w:id="191" w:name="_bookmark91"/>
      <w:bookmarkEnd w:id="190"/>
      <w:bookmarkEnd w:id="191"/>
      <w:r>
        <w:rPr>
          <w:b/>
          <w:spacing w:val="-4"/>
          <w:w w:val="105"/>
          <w:sz w:val="23"/>
        </w:rPr>
        <w:t>The</w:t>
      </w:r>
      <w:r>
        <w:rPr>
          <w:b/>
          <w:sz w:val="23"/>
        </w:rPr>
        <w:tab/>
      </w:r>
      <w:r>
        <w:rPr>
          <w:b/>
          <w:spacing w:val="-2"/>
          <w:w w:val="105"/>
          <w:sz w:val="23"/>
        </w:rPr>
        <w:t>Relationship</w:t>
      </w:r>
      <w:r>
        <w:rPr>
          <w:b/>
          <w:sz w:val="23"/>
        </w:rPr>
        <w:tab/>
      </w:r>
      <w:r>
        <w:rPr>
          <w:b/>
          <w:spacing w:val="-2"/>
          <w:w w:val="105"/>
          <w:sz w:val="23"/>
        </w:rPr>
        <w:t>between</w:t>
      </w:r>
      <w:r>
        <w:rPr>
          <w:b/>
          <w:sz w:val="23"/>
        </w:rPr>
        <w:tab/>
      </w:r>
      <w:r>
        <w:rPr>
          <w:b/>
          <w:spacing w:val="-2"/>
          <w:w w:val="105"/>
          <w:sz w:val="23"/>
        </w:rPr>
        <w:t>Competitor</w:t>
      </w:r>
      <w:r>
        <w:rPr>
          <w:b/>
          <w:sz w:val="23"/>
        </w:rPr>
        <w:tab/>
      </w:r>
      <w:r>
        <w:rPr>
          <w:b/>
          <w:spacing w:val="-2"/>
          <w:w w:val="105"/>
          <w:sz w:val="23"/>
        </w:rPr>
        <w:t>Orientation</w:t>
      </w:r>
      <w:r>
        <w:rPr>
          <w:b/>
          <w:sz w:val="23"/>
        </w:rPr>
        <w:tab/>
      </w:r>
      <w:r>
        <w:rPr>
          <w:b/>
          <w:spacing w:val="-4"/>
          <w:w w:val="105"/>
          <w:sz w:val="23"/>
        </w:rPr>
        <w:t>and</w:t>
      </w:r>
      <w:r>
        <w:rPr>
          <w:b/>
          <w:sz w:val="23"/>
        </w:rPr>
        <w:tab/>
      </w:r>
      <w:r>
        <w:rPr>
          <w:b/>
          <w:spacing w:val="-2"/>
          <w:w w:val="105"/>
          <w:sz w:val="23"/>
        </w:rPr>
        <w:t>Sustainable Competitiveness</w:t>
      </w:r>
    </w:p>
    <w:p w:rsidR="00487D64" w:rsidRDefault="006F0D93">
      <w:pPr>
        <w:pStyle w:val="BodyText"/>
        <w:spacing w:line="248" w:lineRule="exact"/>
        <w:ind w:left="1419"/>
        <w:jc w:val="both"/>
      </w:pPr>
      <w:r>
        <w:rPr>
          <w:w w:val="105"/>
        </w:rPr>
        <w:t>The</w:t>
      </w:r>
      <w:r>
        <w:rPr>
          <w:spacing w:val="25"/>
          <w:w w:val="105"/>
        </w:rPr>
        <w:t xml:space="preserve"> </w:t>
      </w:r>
      <w:r>
        <w:rPr>
          <w:w w:val="105"/>
        </w:rPr>
        <w:t>findings</w:t>
      </w:r>
      <w:r>
        <w:rPr>
          <w:spacing w:val="25"/>
          <w:w w:val="105"/>
        </w:rPr>
        <w:t xml:space="preserve"> </w:t>
      </w:r>
      <w:r>
        <w:rPr>
          <w:w w:val="105"/>
        </w:rPr>
        <w:t>of</w:t>
      </w:r>
      <w:r>
        <w:rPr>
          <w:spacing w:val="17"/>
          <w:w w:val="105"/>
        </w:rPr>
        <w:t xml:space="preserve"> </w:t>
      </w:r>
      <w:r>
        <w:rPr>
          <w:w w:val="105"/>
        </w:rPr>
        <w:t>this</w:t>
      </w:r>
      <w:r>
        <w:rPr>
          <w:spacing w:val="25"/>
          <w:w w:val="105"/>
        </w:rPr>
        <w:t xml:space="preserve"> </w:t>
      </w:r>
      <w:r>
        <w:rPr>
          <w:w w:val="105"/>
        </w:rPr>
        <w:t>study</w:t>
      </w:r>
      <w:r>
        <w:rPr>
          <w:spacing w:val="20"/>
          <w:w w:val="105"/>
        </w:rPr>
        <w:t xml:space="preserve"> </w:t>
      </w:r>
      <w:r>
        <w:rPr>
          <w:w w:val="105"/>
        </w:rPr>
        <w:t>revealed</w:t>
      </w:r>
      <w:r>
        <w:rPr>
          <w:spacing w:val="20"/>
          <w:w w:val="105"/>
        </w:rPr>
        <w:t xml:space="preserve"> </w:t>
      </w:r>
      <w:r>
        <w:rPr>
          <w:w w:val="105"/>
        </w:rPr>
        <w:t>a</w:t>
      </w:r>
      <w:r>
        <w:rPr>
          <w:spacing w:val="25"/>
          <w:w w:val="105"/>
        </w:rPr>
        <w:t xml:space="preserve"> </w:t>
      </w:r>
      <w:r>
        <w:rPr>
          <w:w w:val="105"/>
        </w:rPr>
        <w:t>positive</w:t>
      </w:r>
      <w:r>
        <w:rPr>
          <w:spacing w:val="20"/>
          <w:w w:val="105"/>
        </w:rPr>
        <w:t xml:space="preserve"> </w:t>
      </w:r>
      <w:r>
        <w:rPr>
          <w:w w:val="105"/>
        </w:rPr>
        <w:t>and</w:t>
      </w:r>
      <w:r>
        <w:rPr>
          <w:spacing w:val="26"/>
          <w:w w:val="105"/>
        </w:rPr>
        <w:t xml:space="preserve"> </w:t>
      </w:r>
      <w:r>
        <w:rPr>
          <w:w w:val="105"/>
        </w:rPr>
        <w:t>significant</w:t>
      </w:r>
      <w:r>
        <w:rPr>
          <w:spacing w:val="23"/>
          <w:w w:val="105"/>
        </w:rPr>
        <w:t xml:space="preserve"> </w:t>
      </w:r>
      <w:r>
        <w:rPr>
          <w:w w:val="105"/>
        </w:rPr>
        <w:t>relationship</w:t>
      </w:r>
      <w:r>
        <w:rPr>
          <w:spacing w:val="26"/>
          <w:w w:val="105"/>
        </w:rPr>
        <w:t xml:space="preserve"> </w:t>
      </w:r>
      <w:r>
        <w:rPr>
          <w:spacing w:val="-2"/>
          <w:w w:val="105"/>
        </w:rPr>
        <w:t>between</w:t>
      </w:r>
    </w:p>
    <w:p w:rsidR="00487D64" w:rsidRDefault="00487D64">
      <w:pPr>
        <w:pStyle w:val="BodyText"/>
        <w:spacing w:before="26"/>
      </w:pPr>
    </w:p>
    <w:p w:rsidR="00487D64" w:rsidRDefault="006F0D93">
      <w:pPr>
        <w:pStyle w:val="BodyText"/>
        <w:spacing w:line="501" w:lineRule="auto"/>
        <w:ind w:left="1419" w:right="849"/>
        <w:jc w:val="both"/>
      </w:pPr>
      <w:r>
        <w:rPr>
          <w:w w:val="105"/>
        </w:rPr>
        <w:t>competitor orientation and sus</w:t>
      </w:r>
      <w:r>
        <w:rPr>
          <w:w w:val="105"/>
        </w:rPr>
        <w:t>tainable competitiveness among special group enterprise participating in public procurement (M = 0.226, STDEV = 0.229, O/STDEV</w:t>
      </w:r>
      <w:r>
        <w:rPr>
          <w:spacing w:val="-9"/>
          <w:w w:val="105"/>
        </w:rPr>
        <w:t xml:space="preserve"> </w:t>
      </w:r>
      <w:r>
        <w:rPr>
          <w:w w:val="105"/>
        </w:rPr>
        <w:t>=</w:t>
      </w:r>
      <w:r>
        <w:rPr>
          <w:spacing w:val="-2"/>
          <w:w w:val="105"/>
        </w:rPr>
        <w:t xml:space="preserve"> </w:t>
      </w:r>
      <w:r>
        <w:rPr>
          <w:w w:val="105"/>
        </w:rPr>
        <w:t>6.437,</w:t>
      </w:r>
      <w:r>
        <w:rPr>
          <w:spacing w:val="-5"/>
          <w:w w:val="105"/>
        </w:rPr>
        <w:t xml:space="preserve"> </w:t>
      </w:r>
      <w:r>
        <w:rPr>
          <w:w w:val="105"/>
        </w:rPr>
        <w:t>p-value</w:t>
      </w:r>
      <w:r>
        <w:rPr>
          <w:spacing w:val="-8"/>
          <w:w w:val="105"/>
        </w:rPr>
        <w:t xml:space="preserve"> </w:t>
      </w:r>
      <w:r>
        <w:rPr>
          <w:w w:val="105"/>
        </w:rPr>
        <w:t>=</w:t>
      </w:r>
      <w:r>
        <w:rPr>
          <w:spacing w:val="-2"/>
          <w:w w:val="105"/>
        </w:rPr>
        <w:t xml:space="preserve"> </w:t>
      </w:r>
      <w:r>
        <w:rPr>
          <w:w w:val="105"/>
        </w:rPr>
        <w:t>0.000).</w:t>
      </w:r>
      <w:r>
        <w:rPr>
          <w:spacing w:val="-5"/>
          <w:w w:val="105"/>
        </w:rPr>
        <w:t xml:space="preserve"> </w:t>
      </w:r>
      <w:r>
        <w:rPr>
          <w:w w:val="105"/>
        </w:rPr>
        <w:t>This</w:t>
      </w:r>
      <w:r>
        <w:rPr>
          <w:spacing w:val="-9"/>
          <w:w w:val="105"/>
        </w:rPr>
        <w:t xml:space="preserve"> </w:t>
      </w:r>
      <w:r>
        <w:rPr>
          <w:w w:val="105"/>
        </w:rPr>
        <w:t>result supports</w:t>
      </w:r>
      <w:r>
        <w:rPr>
          <w:spacing w:val="-3"/>
          <w:w w:val="105"/>
        </w:rPr>
        <w:t xml:space="preserve"> </w:t>
      </w:r>
      <w:r>
        <w:rPr>
          <w:w w:val="105"/>
        </w:rPr>
        <w:t>Hypothesis</w:t>
      </w:r>
      <w:r>
        <w:rPr>
          <w:spacing w:val="-9"/>
          <w:w w:val="105"/>
        </w:rPr>
        <w:t xml:space="preserve"> </w:t>
      </w:r>
      <w:r>
        <w:rPr>
          <w:w w:val="105"/>
        </w:rPr>
        <w:t>2 and</w:t>
      </w:r>
      <w:r>
        <w:rPr>
          <w:spacing w:val="-1"/>
          <w:w w:val="105"/>
        </w:rPr>
        <w:t xml:space="preserve"> </w:t>
      </w:r>
      <w:r>
        <w:rPr>
          <w:w w:val="105"/>
        </w:rPr>
        <w:t>indicates that SMEs with a strong emphasis on monitoring,</w:t>
      </w:r>
      <w:r>
        <w:rPr>
          <w:w w:val="105"/>
        </w:rPr>
        <w:t xml:space="preserve"> analyzing, and responding to competitor strategies achieve higher levels of sustainable competitiveness in procurement. This finding is theoretically aligned with Dynamic Capability Theory (Teece, 2007), Competitor orientation, in this sense, operationali</w:t>
      </w:r>
      <w:r>
        <w:rPr>
          <w:w w:val="105"/>
        </w:rPr>
        <w:t>zes the sensing dimension by enabling SMEs to acquire timely intelligence on rival bidding behavior, pricing trends, and technological changes, which are crucial for strategic responsiveness in highly regulated arrangements of procurement.</w:t>
      </w:r>
    </w:p>
    <w:p w:rsidR="00487D64" w:rsidRDefault="006F0D93">
      <w:pPr>
        <w:pStyle w:val="BodyText"/>
        <w:spacing w:before="235" w:line="501" w:lineRule="auto"/>
        <w:ind w:left="1419" w:right="856"/>
        <w:jc w:val="both"/>
      </w:pPr>
      <w:r>
        <w:rPr>
          <w:w w:val="105"/>
        </w:rPr>
        <w:t>This finding als</w:t>
      </w:r>
      <w:r>
        <w:rPr>
          <w:w w:val="105"/>
        </w:rPr>
        <w:t>o aligns with the principles of Market Orientation Theory (Narver &amp; Slater,</w:t>
      </w:r>
      <w:r>
        <w:rPr>
          <w:spacing w:val="-7"/>
          <w:w w:val="105"/>
        </w:rPr>
        <w:t xml:space="preserve"> </w:t>
      </w:r>
      <w:r>
        <w:rPr>
          <w:w w:val="105"/>
        </w:rPr>
        <w:t>1990),</w:t>
      </w:r>
      <w:r>
        <w:rPr>
          <w:spacing w:val="-1"/>
          <w:w w:val="105"/>
        </w:rPr>
        <w:t xml:space="preserve"> </w:t>
      </w:r>
      <w:r>
        <w:rPr>
          <w:w w:val="105"/>
        </w:rPr>
        <w:t>which</w:t>
      </w:r>
      <w:r>
        <w:rPr>
          <w:spacing w:val="-3"/>
          <w:w w:val="105"/>
        </w:rPr>
        <w:t xml:space="preserve"> </w:t>
      </w:r>
      <w:r>
        <w:rPr>
          <w:w w:val="105"/>
        </w:rPr>
        <w:t>conceptualizes</w:t>
      </w:r>
      <w:r>
        <w:rPr>
          <w:spacing w:val="-5"/>
          <w:w w:val="105"/>
        </w:rPr>
        <w:t xml:space="preserve"> </w:t>
      </w:r>
      <w:r>
        <w:rPr>
          <w:w w:val="105"/>
        </w:rPr>
        <w:t>competitor orientation</w:t>
      </w:r>
      <w:r>
        <w:rPr>
          <w:spacing w:val="-9"/>
          <w:w w:val="105"/>
        </w:rPr>
        <w:t xml:space="preserve"> </w:t>
      </w:r>
      <w:r>
        <w:rPr>
          <w:w w:val="105"/>
        </w:rPr>
        <w:t>as</w:t>
      </w:r>
      <w:r>
        <w:rPr>
          <w:spacing w:val="-11"/>
          <w:w w:val="105"/>
        </w:rPr>
        <w:t xml:space="preserve"> </w:t>
      </w:r>
      <w:r>
        <w:rPr>
          <w:w w:val="105"/>
        </w:rPr>
        <w:t>a critical</w:t>
      </w:r>
      <w:r>
        <w:rPr>
          <w:spacing w:val="-1"/>
          <w:w w:val="105"/>
        </w:rPr>
        <w:t xml:space="preserve"> </w:t>
      </w:r>
      <w:r>
        <w:rPr>
          <w:w w:val="105"/>
        </w:rPr>
        <w:t>component</w:t>
      </w:r>
      <w:r>
        <w:rPr>
          <w:spacing w:val="-1"/>
          <w:w w:val="105"/>
        </w:rPr>
        <w:t xml:space="preserve"> </w:t>
      </w:r>
      <w:r>
        <w:rPr>
          <w:w w:val="105"/>
        </w:rPr>
        <w:t>of a firm’s ability to anticipate and respond to market dynamics. According to this theory, organizations</w:t>
      </w:r>
      <w:r>
        <w:rPr>
          <w:w w:val="105"/>
        </w:rPr>
        <w:t xml:space="preserve"> that actively gather and disseminate</w:t>
      </w:r>
      <w:r>
        <w:rPr>
          <w:spacing w:val="-3"/>
          <w:w w:val="105"/>
        </w:rPr>
        <w:t xml:space="preserve"> </w:t>
      </w:r>
      <w:r>
        <w:rPr>
          <w:w w:val="105"/>
        </w:rPr>
        <w:t>intelligence</w:t>
      </w:r>
      <w:r>
        <w:rPr>
          <w:spacing w:val="-3"/>
          <w:w w:val="105"/>
        </w:rPr>
        <w:t xml:space="preserve"> </w:t>
      </w:r>
      <w:r>
        <w:rPr>
          <w:w w:val="105"/>
        </w:rPr>
        <w:t>on competitor strategies can develop timely responses that enhance customer value and organizational performance. In the context of public procurement, this intelligence translates into improved bid prepar</w:t>
      </w:r>
      <w:r>
        <w:rPr>
          <w:w w:val="105"/>
        </w:rPr>
        <w:t>ation, pricing strategies, and compliance alignment, which are essential for securing government contracts.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6"/>
        <w:jc w:val="both"/>
      </w:pPr>
      <w:r>
        <w:rPr>
          <w:w w:val="105"/>
        </w:rPr>
        <w:t>From a practical perspective, this finding can be explained by the nature of the Tanzanian</w:t>
      </w:r>
      <w:r>
        <w:rPr>
          <w:spacing w:val="-1"/>
          <w:w w:val="105"/>
        </w:rPr>
        <w:t xml:space="preserve"> </w:t>
      </w:r>
      <w:r>
        <w:rPr>
          <w:w w:val="105"/>
        </w:rPr>
        <w:t>public</w:t>
      </w:r>
      <w:r>
        <w:rPr>
          <w:spacing w:val="-2"/>
          <w:w w:val="105"/>
        </w:rPr>
        <w:t xml:space="preserve"> </w:t>
      </w:r>
      <w:r>
        <w:rPr>
          <w:w w:val="105"/>
        </w:rPr>
        <w:t>procurement system, which</w:t>
      </w:r>
      <w:r>
        <w:rPr>
          <w:spacing w:val="-7"/>
          <w:w w:val="105"/>
        </w:rPr>
        <w:t xml:space="preserve"> </w:t>
      </w:r>
      <w:r>
        <w:rPr>
          <w:w w:val="105"/>
        </w:rPr>
        <w:t>relies heavily</w:t>
      </w:r>
      <w:r>
        <w:rPr>
          <w:spacing w:val="-1"/>
          <w:w w:val="105"/>
        </w:rPr>
        <w:t xml:space="preserve"> </w:t>
      </w:r>
      <w:r>
        <w:rPr>
          <w:w w:val="105"/>
        </w:rPr>
        <w:t>on</w:t>
      </w:r>
      <w:r>
        <w:rPr>
          <w:spacing w:val="-1"/>
          <w:w w:val="105"/>
        </w:rPr>
        <w:t xml:space="preserve"> </w:t>
      </w:r>
      <w:r>
        <w:rPr>
          <w:w w:val="105"/>
        </w:rPr>
        <w:t>open</w:t>
      </w:r>
      <w:r>
        <w:rPr>
          <w:spacing w:val="-1"/>
          <w:w w:val="105"/>
        </w:rPr>
        <w:t xml:space="preserve"> </w:t>
      </w:r>
      <w:r>
        <w:rPr>
          <w:w w:val="105"/>
        </w:rPr>
        <w:t>and</w:t>
      </w:r>
      <w:r>
        <w:rPr>
          <w:spacing w:val="-1"/>
          <w:w w:val="105"/>
        </w:rPr>
        <w:t xml:space="preserve"> </w:t>
      </w:r>
      <w:r>
        <w:rPr>
          <w:w w:val="105"/>
        </w:rPr>
        <w:t>competitive bidding processes. Special group SMEs that systematically benchmark their offers against rivals’ previous bids, analyze market signals, and adjust their tendering strategies accordingly are better positioned to meet c</w:t>
      </w:r>
      <w:r>
        <w:rPr>
          <w:w w:val="105"/>
        </w:rPr>
        <w:t>ost, quality, and compliance requirements.</w:t>
      </w:r>
      <w:r>
        <w:rPr>
          <w:spacing w:val="-7"/>
          <w:w w:val="105"/>
        </w:rPr>
        <w:t xml:space="preserve"> </w:t>
      </w:r>
      <w:r>
        <w:rPr>
          <w:w w:val="105"/>
        </w:rPr>
        <w:t>For</w:t>
      </w:r>
      <w:r>
        <w:rPr>
          <w:spacing w:val="-5"/>
          <w:w w:val="105"/>
        </w:rPr>
        <w:t xml:space="preserve"> </w:t>
      </w:r>
      <w:r>
        <w:rPr>
          <w:w w:val="105"/>
        </w:rPr>
        <w:t>instance,</w:t>
      </w:r>
      <w:r>
        <w:rPr>
          <w:spacing w:val="-7"/>
          <w:w w:val="105"/>
        </w:rPr>
        <w:t xml:space="preserve"> </w:t>
      </w:r>
      <w:r>
        <w:rPr>
          <w:w w:val="105"/>
        </w:rPr>
        <w:t>an</w:t>
      </w:r>
      <w:r>
        <w:rPr>
          <w:spacing w:val="-4"/>
          <w:w w:val="105"/>
        </w:rPr>
        <w:t xml:space="preserve"> </w:t>
      </w:r>
      <w:r>
        <w:rPr>
          <w:w w:val="105"/>
        </w:rPr>
        <w:t>SMEs</w:t>
      </w:r>
      <w:r>
        <w:rPr>
          <w:spacing w:val="-10"/>
          <w:w w:val="105"/>
        </w:rPr>
        <w:t xml:space="preserve"> </w:t>
      </w:r>
      <w:r>
        <w:rPr>
          <w:w w:val="105"/>
        </w:rPr>
        <w:t>that</w:t>
      </w:r>
      <w:r>
        <w:rPr>
          <w:spacing w:val="-7"/>
          <w:w w:val="105"/>
        </w:rPr>
        <w:t xml:space="preserve"> </w:t>
      </w:r>
      <w:r>
        <w:rPr>
          <w:w w:val="105"/>
        </w:rPr>
        <w:t>studies</w:t>
      </w:r>
      <w:r>
        <w:rPr>
          <w:spacing w:val="-10"/>
          <w:w w:val="105"/>
        </w:rPr>
        <w:t xml:space="preserve"> </w:t>
      </w:r>
      <w:r>
        <w:rPr>
          <w:w w:val="105"/>
        </w:rPr>
        <w:t>historical</w:t>
      </w:r>
      <w:r>
        <w:rPr>
          <w:spacing w:val="-1"/>
          <w:w w:val="105"/>
        </w:rPr>
        <w:t xml:space="preserve"> </w:t>
      </w:r>
      <w:r>
        <w:rPr>
          <w:w w:val="105"/>
        </w:rPr>
        <w:t>pricing</w:t>
      </w:r>
      <w:r>
        <w:rPr>
          <w:spacing w:val="-9"/>
          <w:w w:val="105"/>
        </w:rPr>
        <w:t xml:space="preserve"> </w:t>
      </w:r>
      <w:r>
        <w:rPr>
          <w:w w:val="105"/>
        </w:rPr>
        <w:t>data</w:t>
      </w:r>
      <w:r>
        <w:rPr>
          <w:spacing w:val="-10"/>
          <w:w w:val="105"/>
        </w:rPr>
        <w:t xml:space="preserve"> </w:t>
      </w:r>
      <w:r>
        <w:rPr>
          <w:w w:val="105"/>
        </w:rPr>
        <w:t>and</w:t>
      </w:r>
      <w:r>
        <w:rPr>
          <w:spacing w:val="-3"/>
          <w:w w:val="105"/>
        </w:rPr>
        <w:t xml:space="preserve"> </w:t>
      </w:r>
      <w:r>
        <w:rPr>
          <w:w w:val="105"/>
        </w:rPr>
        <w:t>identifies cost structures used by leading competitors can design more competitive proposals while maintaining profitability. Similarly, firms that an</w:t>
      </w:r>
      <w:r>
        <w:rPr>
          <w:w w:val="105"/>
        </w:rPr>
        <w:t>ticipate emerging procurement preferences such as green procurement requirements are likely to innovate earlier and secure contracts, thereby sustaining competitiveness over time.</w:t>
      </w:r>
    </w:p>
    <w:p w:rsidR="00487D64" w:rsidRDefault="006F0D93">
      <w:pPr>
        <w:pStyle w:val="BodyText"/>
        <w:spacing w:before="235" w:line="501" w:lineRule="auto"/>
        <w:ind w:left="1419" w:right="851"/>
        <w:jc w:val="both"/>
      </w:pPr>
      <w:r>
        <w:rPr>
          <w:w w:val="105"/>
        </w:rPr>
        <w:t>These findings</w:t>
      </w:r>
      <w:r>
        <w:rPr>
          <w:spacing w:val="-4"/>
          <w:w w:val="105"/>
        </w:rPr>
        <w:t xml:space="preserve"> </w:t>
      </w:r>
      <w:r>
        <w:rPr>
          <w:w w:val="105"/>
        </w:rPr>
        <w:t>are consistent with previous empirical studies. For example,</w:t>
      </w:r>
      <w:r>
        <w:rPr>
          <w:w w:val="105"/>
        </w:rPr>
        <w:t xml:space="preserve"> Lee</w:t>
      </w:r>
      <w:r>
        <w:rPr>
          <w:spacing w:val="-3"/>
          <w:w w:val="105"/>
        </w:rPr>
        <w:t xml:space="preserve"> </w:t>
      </w:r>
      <w:r>
        <w:rPr>
          <w:w w:val="105"/>
        </w:rPr>
        <w:t>and Wang (2023) established that competitor orientation significantly strengthens competitive advantage by improving market responsiveness and strategic decision- making. Similarly, Sondhi et al. (2024) demonstrated that competitor orientation influen</w:t>
      </w:r>
      <w:r>
        <w:rPr>
          <w:w w:val="105"/>
        </w:rPr>
        <w:t xml:space="preserve">ces long-term sustainability by driving firms to adopt proactive strategies in response to market turbulence. Both studies underscore that competitor orientation fosters adaptive capabilities, which are critical for firms operating in dynamic </w:t>
      </w:r>
      <w:r>
        <w:rPr>
          <w:spacing w:val="-2"/>
          <w:w w:val="105"/>
        </w:rPr>
        <w:t>environments.</w:t>
      </w:r>
    </w:p>
    <w:p w:rsidR="00487D64" w:rsidRDefault="006F0D93">
      <w:pPr>
        <w:pStyle w:val="BodyText"/>
        <w:spacing w:before="239" w:line="499" w:lineRule="auto"/>
        <w:ind w:left="1419" w:right="855"/>
        <w:jc w:val="both"/>
      </w:pPr>
      <w:r>
        <w:rPr>
          <w:w w:val="105"/>
        </w:rPr>
        <w:t>Furthermore, competitor orientation plays an indirect role in advancing environmental innovation capabilities (EIC), a growing determinant of sustainable competitiveness.</w:t>
      </w:r>
      <w:r>
        <w:rPr>
          <w:spacing w:val="-6"/>
          <w:w w:val="105"/>
        </w:rPr>
        <w:t xml:space="preserve"> </w:t>
      </w:r>
      <w:r>
        <w:rPr>
          <w:w w:val="105"/>
        </w:rPr>
        <w:t>Tseng</w:t>
      </w:r>
      <w:r>
        <w:rPr>
          <w:spacing w:val="-4"/>
          <w:w w:val="105"/>
        </w:rPr>
        <w:t xml:space="preserve"> </w:t>
      </w:r>
      <w:r>
        <w:rPr>
          <w:w w:val="105"/>
        </w:rPr>
        <w:t>et</w:t>
      </w:r>
      <w:r>
        <w:rPr>
          <w:spacing w:val="-8"/>
          <w:w w:val="105"/>
        </w:rPr>
        <w:t xml:space="preserve"> </w:t>
      </w:r>
      <w:r>
        <w:rPr>
          <w:w w:val="105"/>
        </w:rPr>
        <w:t>al.</w:t>
      </w:r>
      <w:r>
        <w:rPr>
          <w:spacing w:val="-8"/>
          <w:w w:val="105"/>
        </w:rPr>
        <w:t xml:space="preserve"> </w:t>
      </w:r>
      <w:r>
        <w:rPr>
          <w:w w:val="105"/>
        </w:rPr>
        <w:t>(2019)</w:t>
      </w:r>
      <w:r>
        <w:rPr>
          <w:spacing w:val="-3"/>
          <w:w w:val="105"/>
        </w:rPr>
        <w:t xml:space="preserve"> </w:t>
      </w:r>
      <w:r>
        <w:rPr>
          <w:w w:val="105"/>
        </w:rPr>
        <w:t>observed</w:t>
      </w:r>
      <w:r>
        <w:rPr>
          <w:spacing w:val="-4"/>
          <w:w w:val="105"/>
        </w:rPr>
        <w:t xml:space="preserve"> </w:t>
      </w:r>
      <w:r>
        <w:rPr>
          <w:w w:val="105"/>
        </w:rPr>
        <w:t>that</w:t>
      </w:r>
      <w:r>
        <w:rPr>
          <w:spacing w:val="-2"/>
          <w:w w:val="105"/>
        </w:rPr>
        <w:t xml:space="preserve"> </w:t>
      </w:r>
      <w:r>
        <w:rPr>
          <w:w w:val="105"/>
        </w:rPr>
        <w:t>competitor</w:t>
      </w:r>
      <w:r>
        <w:rPr>
          <w:spacing w:val="-1"/>
          <w:w w:val="105"/>
        </w:rPr>
        <w:t xml:space="preserve"> </w:t>
      </w:r>
      <w:r>
        <w:rPr>
          <w:w w:val="105"/>
        </w:rPr>
        <w:t>orientation</w:t>
      </w:r>
      <w:r>
        <w:rPr>
          <w:spacing w:val="-4"/>
          <w:w w:val="105"/>
        </w:rPr>
        <w:t xml:space="preserve"> </w:t>
      </w:r>
      <w:r>
        <w:rPr>
          <w:w w:val="105"/>
        </w:rPr>
        <w:t>encourages firms to develop</w:t>
      </w:r>
      <w:r>
        <w:rPr>
          <w:w w:val="105"/>
        </w:rPr>
        <w:t xml:space="preserve"> eco-friendly innovations to maintain parity with or surpass competitors’</w:t>
      </w:r>
      <w:r>
        <w:rPr>
          <w:spacing w:val="33"/>
          <w:w w:val="105"/>
        </w:rPr>
        <w:t xml:space="preserve"> </w:t>
      </w:r>
      <w:r>
        <w:rPr>
          <w:w w:val="105"/>
        </w:rPr>
        <w:t>sustainability initiatives. In</w:t>
      </w:r>
      <w:r>
        <w:rPr>
          <w:spacing w:val="23"/>
          <w:w w:val="105"/>
        </w:rPr>
        <w:t xml:space="preserve"> </w:t>
      </w:r>
      <w:r>
        <w:rPr>
          <w:w w:val="105"/>
        </w:rPr>
        <w:t>public</w:t>
      </w:r>
      <w:r>
        <w:rPr>
          <w:spacing w:val="22"/>
          <w:w w:val="105"/>
        </w:rPr>
        <w:t xml:space="preserve"> </w:t>
      </w:r>
      <w:r>
        <w:rPr>
          <w:w w:val="105"/>
        </w:rPr>
        <w:t>procurement,</w:t>
      </w:r>
      <w:r>
        <w:rPr>
          <w:spacing w:val="25"/>
          <w:w w:val="105"/>
        </w:rPr>
        <w:t xml:space="preserve"> </w:t>
      </w:r>
      <w:r>
        <w:rPr>
          <w:w w:val="105"/>
        </w:rPr>
        <w:t>where</w:t>
      </w:r>
      <w:r>
        <w:rPr>
          <w:spacing w:val="22"/>
          <w:w w:val="105"/>
        </w:rPr>
        <w:t xml:space="preserve"> </w:t>
      </w:r>
      <w:r>
        <w:rPr>
          <w:w w:val="105"/>
        </w:rPr>
        <w:t>environmental</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0"/>
        <w:jc w:val="both"/>
      </w:pPr>
      <w:r>
        <w:rPr>
          <w:w w:val="105"/>
        </w:rPr>
        <w:t xml:space="preserve">and social compliance is increasingly embedded in evaluation criteria, SMEs that monitor </w:t>
      </w:r>
      <w:r>
        <w:rPr>
          <w:w w:val="105"/>
        </w:rPr>
        <w:t>competitors’ sustainability practices are more likely to integrate similar or superior measures, enhancing their chances of winning contracts and improving reputation. This shows the ways in which competitor orientation promotes to sustainable</w:t>
      </w:r>
      <w:r>
        <w:rPr>
          <w:spacing w:val="-7"/>
          <w:w w:val="105"/>
        </w:rPr>
        <w:t xml:space="preserve"> </w:t>
      </w:r>
      <w:r>
        <w:rPr>
          <w:w w:val="105"/>
        </w:rPr>
        <w:t>competitiven</w:t>
      </w:r>
      <w:r>
        <w:rPr>
          <w:w w:val="105"/>
        </w:rPr>
        <w:t>ess:</w:t>
      </w:r>
      <w:r>
        <w:rPr>
          <w:spacing w:val="-10"/>
          <w:w w:val="105"/>
        </w:rPr>
        <w:t xml:space="preserve"> </w:t>
      </w:r>
      <w:r>
        <w:rPr>
          <w:w w:val="105"/>
        </w:rPr>
        <w:t>by</w:t>
      </w:r>
      <w:r>
        <w:rPr>
          <w:spacing w:val="-12"/>
          <w:w w:val="105"/>
        </w:rPr>
        <w:t xml:space="preserve"> </w:t>
      </w:r>
      <w:r>
        <w:rPr>
          <w:w w:val="105"/>
        </w:rPr>
        <w:t>driving</w:t>
      </w:r>
      <w:r>
        <w:rPr>
          <w:spacing w:val="-12"/>
          <w:w w:val="105"/>
        </w:rPr>
        <w:t xml:space="preserve"> </w:t>
      </w:r>
      <w:r>
        <w:rPr>
          <w:w w:val="105"/>
        </w:rPr>
        <w:t>continuous</w:t>
      </w:r>
      <w:r>
        <w:rPr>
          <w:spacing w:val="-14"/>
          <w:w w:val="105"/>
        </w:rPr>
        <w:t xml:space="preserve"> </w:t>
      </w:r>
      <w:r>
        <w:rPr>
          <w:w w:val="105"/>
        </w:rPr>
        <w:t>improvement,</w:t>
      </w:r>
      <w:r>
        <w:rPr>
          <w:spacing w:val="-10"/>
          <w:w w:val="105"/>
        </w:rPr>
        <w:t xml:space="preserve"> </w:t>
      </w:r>
      <w:r>
        <w:rPr>
          <w:w w:val="105"/>
        </w:rPr>
        <w:t>differentiation,</w:t>
      </w:r>
      <w:r>
        <w:rPr>
          <w:spacing w:val="-10"/>
          <w:w w:val="105"/>
        </w:rPr>
        <w:t xml:space="preserve"> </w:t>
      </w:r>
      <w:r>
        <w:rPr>
          <w:w w:val="105"/>
        </w:rPr>
        <w:t>and compliance with evolving institutional norms.</w:t>
      </w:r>
    </w:p>
    <w:p w:rsidR="00487D64" w:rsidRDefault="006F0D93">
      <w:pPr>
        <w:pStyle w:val="BodyText"/>
        <w:spacing w:before="235" w:line="501" w:lineRule="auto"/>
        <w:ind w:left="1419" w:right="850"/>
        <w:jc w:val="both"/>
      </w:pPr>
      <w:r>
        <w:rPr>
          <w:w w:val="105"/>
        </w:rPr>
        <w:t>Interestingly, the literature highlights a shift in the operationalization of competitor orientation. Traditionally, the focus was on outcompeting ri</w:t>
      </w:r>
      <w:r>
        <w:rPr>
          <w:w w:val="105"/>
        </w:rPr>
        <w:t>vals through cost leadership or differentiation. However, recent research, such as Lee and Wang (2023), advocates for co-opetition strategies, where firms collaborate with competitors to achieve shared objectives such as sustainability compliance or techno</w:t>
      </w:r>
      <w:r>
        <w:rPr>
          <w:w w:val="105"/>
        </w:rPr>
        <w:t>logical</w:t>
      </w:r>
      <w:r>
        <w:rPr>
          <w:spacing w:val="-7"/>
          <w:w w:val="105"/>
        </w:rPr>
        <w:t xml:space="preserve"> </w:t>
      </w:r>
      <w:r>
        <w:rPr>
          <w:w w:val="105"/>
        </w:rPr>
        <w:t>advancement.</w:t>
      </w:r>
      <w:r>
        <w:rPr>
          <w:spacing w:val="-1"/>
          <w:w w:val="105"/>
        </w:rPr>
        <w:t xml:space="preserve"> </w:t>
      </w:r>
      <w:r>
        <w:rPr>
          <w:w w:val="105"/>
        </w:rPr>
        <w:t>For SMEs</w:t>
      </w:r>
      <w:r>
        <w:rPr>
          <w:spacing w:val="-10"/>
          <w:w w:val="105"/>
        </w:rPr>
        <w:t xml:space="preserve"> </w:t>
      </w:r>
      <w:r>
        <w:rPr>
          <w:w w:val="105"/>
        </w:rPr>
        <w:t>in</w:t>
      </w:r>
      <w:r>
        <w:rPr>
          <w:spacing w:val="-9"/>
          <w:w w:val="105"/>
        </w:rPr>
        <w:t xml:space="preserve"> </w:t>
      </w:r>
      <w:r>
        <w:rPr>
          <w:w w:val="105"/>
        </w:rPr>
        <w:t>Tanzania,</w:t>
      </w:r>
      <w:r>
        <w:rPr>
          <w:spacing w:val="-1"/>
          <w:w w:val="105"/>
        </w:rPr>
        <w:t xml:space="preserve"> </w:t>
      </w:r>
      <w:r>
        <w:rPr>
          <w:w w:val="105"/>
        </w:rPr>
        <w:t>such</w:t>
      </w:r>
      <w:r>
        <w:rPr>
          <w:spacing w:val="-3"/>
          <w:w w:val="105"/>
        </w:rPr>
        <w:t xml:space="preserve"> </w:t>
      </w:r>
      <w:r>
        <w:rPr>
          <w:w w:val="105"/>
        </w:rPr>
        <w:t>collaboration</w:t>
      </w:r>
      <w:r>
        <w:rPr>
          <w:spacing w:val="-3"/>
          <w:w w:val="105"/>
        </w:rPr>
        <w:t xml:space="preserve"> </w:t>
      </w:r>
      <w:r>
        <w:rPr>
          <w:w w:val="105"/>
        </w:rPr>
        <w:t>could</w:t>
      </w:r>
      <w:r>
        <w:rPr>
          <w:spacing w:val="-9"/>
          <w:w w:val="105"/>
        </w:rPr>
        <w:t xml:space="preserve"> </w:t>
      </w:r>
      <w:r>
        <w:rPr>
          <w:w w:val="105"/>
        </w:rPr>
        <w:t>involve joint ventures for large-scale tenders or resource-sharing to meet quality requirements, illustrating the dynamic and context-specific nature of competitor orientation as a strateg</w:t>
      </w:r>
      <w:r>
        <w:rPr>
          <w:w w:val="105"/>
        </w:rPr>
        <w:t>ic capability.</w:t>
      </w:r>
    </w:p>
    <w:p w:rsidR="00487D64" w:rsidRDefault="006F0D93">
      <w:pPr>
        <w:pStyle w:val="BodyText"/>
        <w:spacing w:before="240" w:line="501" w:lineRule="auto"/>
        <w:ind w:left="1419" w:right="854"/>
        <w:jc w:val="both"/>
      </w:pPr>
      <w:r>
        <w:rPr>
          <w:w w:val="105"/>
        </w:rPr>
        <w:t>Contrastingly, studies such as Bekata and Kero (2025) present divergent findings. Their research on Ethiopian SMEs found no significant direct effect of competitor orientation on firm performance, attributing the result to its reactive</w:t>
      </w:r>
      <w:r>
        <w:rPr>
          <w:w w:val="105"/>
        </w:rPr>
        <w:t xml:space="preserve"> rather than proactive</w:t>
      </w:r>
      <w:r>
        <w:rPr>
          <w:spacing w:val="-9"/>
          <w:w w:val="105"/>
        </w:rPr>
        <w:t xml:space="preserve"> </w:t>
      </w:r>
      <w:r>
        <w:rPr>
          <w:w w:val="105"/>
        </w:rPr>
        <w:t>nature.</w:t>
      </w:r>
      <w:r>
        <w:rPr>
          <w:spacing w:val="-6"/>
          <w:w w:val="105"/>
        </w:rPr>
        <w:t xml:space="preserve"> </w:t>
      </w:r>
      <w:r>
        <w:rPr>
          <w:w w:val="105"/>
        </w:rPr>
        <w:t>They</w:t>
      </w:r>
      <w:r>
        <w:rPr>
          <w:spacing w:val="-14"/>
          <w:w w:val="105"/>
        </w:rPr>
        <w:t xml:space="preserve"> </w:t>
      </w:r>
      <w:r>
        <w:rPr>
          <w:w w:val="105"/>
        </w:rPr>
        <w:t>argue</w:t>
      </w:r>
      <w:r>
        <w:rPr>
          <w:spacing w:val="-2"/>
          <w:w w:val="105"/>
        </w:rPr>
        <w:t xml:space="preserve"> </w:t>
      </w:r>
      <w:r>
        <w:rPr>
          <w:w w:val="105"/>
        </w:rPr>
        <w:t>that excessive</w:t>
      </w:r>
      <w:r>
        <w:rPr>
          <w:spacing w:val="-9"/>
          <w:w w:val="105"/>
        </w:rPr>
        <w:t xml:space="preserve"> </w:t>
      </w:r>
      <w:r>
        <w:rPr>
          <w:w w:val="105"/>
        </w:rPr>
        <w:t>reliance</w:t>
      </w:r>
      <w:r>
        <w:rPr>
          <w:spacing w:val="-9"/>
          <w:w w:val="105"/>
        </w:rPr>
        <w:t xml:space="preserve"> </w:t>
      </w:r>
      <w:r>
        <w:rPr>
          <w:w w:val="105"/>
        </w:rPr>
        <w:t>on</w:t>
      </w:r>
      <w:r>
        <w:rPr>
          <w:spacing w:val="-2"/>
          <w:w w:val="105"/>
        </w:rPr>
        <w:t xml:space="preserve"> </w:t>
      </w:r>
      <w:r>
        <w:rPr>
          <w:w w:val="105"/>
        </w:rPr>
        <w:t>competitor</w:t>
      </w:r>
      <w:r>
        <w:rPr>
          <w:spacing w:val="-4"/>
          <w:w w:val="105"/>
        </w:rPr>
        <w:t xml:space="preserve"> </w:t>
      </w:r>
      <w:r>
        <w:rPr>
          <w:w w:val="105"/>
        </w:rPr>
        <w:t>analysis</w:t>
      </w:r>
      <w:r>
        <w:rPr>
          <w:spacing w:val="-3"/>
          <w:w w:val="105"/>
        </w:rPr>
        <w:t xml:space="preserve"> </w:t>
      </w:r>
      <w:r>
        <w:rPr>
          <w:w w:val="105"/>
        </w:rPr>
        <w:t>can</w:t>
      </w:r>
      <w:r>
        <w:rPr>
          <w:spacing w:val="-2"/>
          <w:w w:val="105"/>
        </w:rPr>
        <w:t xml:space="preserve"> </w:t>
      </w:r>
      <w:r>
        <w:rPr>
          <w:w w:val="105"/>
        </w:rPr>
        <w:t>delay decision-making, especially when market intelligence systems are underdeveloped. This difference may</w:t>
      </w:r>
      <w:r>
        <w:rPr>
          <w:spacing w:val="-2"/>
          <w:w w:val="105"/>
        </w:rPr>
        <w:t xml:space="preserve"> </w:t>
      </w:r>
      <w:r>
        <w:rPr>
          <w:w w:val="105"/>
        </w:rPr>
        <w:t>be explained by contextual factors. Unlike</w:t>
      </w:r>
      <w:r>
        <w:rPr>
          <w:spacing w:val="-3"/>
          <w:w w:val="105"/>
        </w:rPr>
        <w:t xml:space="preserve"> </w:t>
      </w:r>
      <w:r>
        <w:rPr>
          <w:w w:val="105"/>
        </w:rPr>
        <w:t>Ethiopia,</w:t>
      </w:r>
      <w:r>
        <w:rPr>
          <w:spacing w:val="-1"/>
          <w:w w:val="105"/>
        </w:rPr>
        <w:t xml:space="preserve"> </w:t>
      </w:r>
      <w:r>
        <w:rPr>
          <w:w w:val="105"/>
        </w:rPr>
        <w:t>Tan</w:t>
      </w:r>
      <w:r>
        <w:rPr>
          <w:w w:val="105"/>
        </w:rPr>
        <w:t>zania’s procurement system enforces strict compliance and structured evaluation criteria, which necessitate proactive strategy formulation. As a result, competitor orientation</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0"/>
        <w:jc w:val="both"/>
      </w:pPr>
      <w:r>
        <w:rPr>
          <w:w w:val="105"/>
        </w:rPr>
        <w:t>in Tanzania goes beyond influencing pricing decisions; it</w:t>
      </w:r>
      <w:r>
        <w:rPr>
          <w:w w:val="105"/>
        </w:rPr>
        <w:t xml:space="preserve"> also drives the development of</w:t>
      </w:r>
      <w:r>
        <w:rPr>
          <w:spacing w:val="-3"/>
          <w:w w:val="105"/>
        </w:rPr>
        <w:t xml:space="preserve"> </w:t>
      </w:r>
      <w:r>
        <w:rPr>
          <w:w w:val="105"/>
        </w:rPr>
        <w:t>proactive</w:t>
      </w:r>
      <w:r>
        <w:rPr>
          <w:spacing w:val="-2"/>
          <w:w w:val="105"/>
        </w:rPr>
        <w:t xml:space="preserve"> </w:t>
      </w:r>
      <w:r>
        <w:rPr>
          <w:w w:val="105"/>
        </w:rPr>
        <w:t>compliance strategies</w:t>
      </w:r>
      <w:r>
        <w:rPr>
          <w:spacing w:val="-3"/>
          <w:w w:val="105"/>
        </w:rPr>
        <w:t xml:space="preserve"> </w:t>
      </w:r>
      <w:r>
        <w:rPr>
          <w:w w:val="105"/>
        </w:rPr>
        <w:t>and fosters</w:t>
      </w:r>
      <w:r>
        <w:rPr>
          <w:spacing w:val="-3"/>
          <w:w w:val="105"/>
        </w:rPr>
        <w:t xml:space="preserve"> </w:t>
      </w:r>
      <w:r>
        <w:rPr>
          <w:w w:val="105"/>
        </w:rPr>
        <w:t>innovation. This broader role explains the stronger positive effect observed in this study. In highly regulated procurement environments, awareness of competitors’ pricing patterns</w:t>
      </w:r>
      <w:r>
        <w:rPr>
          <w:w w:val="105"/>
        </w:rPr>
        <w:t>, operational capacity,</w:t>
      </w:r>
      <w:r>
        <w:rPr>
          <w:spacing w:val="-6"/>
          <w:w w:val="105"/>
        </w:rPr>
        <w:t xml:space="preserve"> </w:t>
      </w:r>
      <w:r>
        <w:rPr>
          <w:w w:val="105"/>
        </w:rPr>
        <w:t>and</w:t>
      </w:r>
      <w:r>
        <w:rPr>
          <w:spacing w:val="-8"/>
          <w:w w:val="105"/>
        </w:rPr>
        <w:t xml:space="preserve"> </w:t>
      </w:r>
      <w:r>
        <w:rPr>
          <w:w w:val="105"/>
        </w:rPr>
        <w:t>historical</w:t>
      </w:r>
      <w:r>
        <w:rPr>
          <w:spacing w:val="-6"/>
          <w:w w:val="105"/>
        </w:rPr>
        <w:t xml:space="preserve"> </w:t>
      </w:r>
      <w:r>
        <w:rPr>
          <w:w w:val="105"/>
        </w:rPr>
        <w:t>performance</w:t>
      </w:r>
      <w:r>
        <w:rPr>
          <w:spacing w:val="-2"/>
          <w:w w:val="105"/>
        </w:rPr>
        <w:t xml:space="preserve"> </w:t>
      </w:r>
      <w:r>
        <w:rPr>
          <w:w w:val="105"/>
        </w:rPr>
        <w:t>provides</w:t>
      </w:r>
      <w:r>
        <w:rPr>
          <w:spacing w:val="-3"/>
          <w:w w:val="105"/>
        </w:rPr>
        <w:t xml:space="preserve"> </w:t>
      </w:r>
      <w:r>
        <w:rPr>
          <w:w w:val="105"/>
        </w:rPr>
        <w:t>critical</w:t>
      </w:r>
      <w:r>
        <w:rPr>
          <w:spacing w:val="-6"/>
          <w:w w:val="105"/>
        </w:rPr>
        <w:t xml:space="preserve"> </w:t>
      </w:r>
      <w:r>
        <w:rPr>
          <w:w w:val="105"/>
        </w:rPr>
        <w:t>intelligence</w:t>
      </w:r>
      <w:r>
        <w:rPr>
          <w:spacing w:val="-2"/>
          <w:w w:val="105"/>
        </w:rPr>
        <w:t xml:space="preserve"> </w:t>
      </w:r>
      <w:r>
        <w:rPr>
          <w:w w:val="105"/>
        </w:rPr>
        <w:t>that informs</w:t>
      </w:r>
      <w:r>
        <w:rPr>
          <w:spacing w:val="-9"/>
          <w:w w:val="105"/>
        </w:rPr>
        <w:t xml:space="preserve"> </w:t>
      </w:r>
      <w:r>
        <w:rPr>
          <w:w w:val="105"/>
        </w:rPr>
        <w:t>tender preparation and enhances bidding success, thereby contributing directly to sustainable competitiveness.</w:t>
      </w:r>
    </w:p>
    <w:p w:rsidR="00487D64" w:rsidRDefault="00487D64">
      <w:pPr>
        <w:pStyle w:val="BodyText"/>
      </w:pPr>
    </w:p>
    <w:p w:rsidR="00487D64" w:rsidRDefault="00487D64">
      <w:pPr>
        <w:pStyle w:val="BodyText"/>
        <w:spacing w:before="25"/>
      </w:pPr>
    </w:p>
    <w:p w:rsidR="00487D64" w:rsidRDefault="006F0D93">
      <w:pPr>
        <w:pStyle w:val="ListParagraph"/>
        <w:numPr>
          <w:ilvl w:val="1"/>
          <w:numId w:val="7"/>
        </w:numPr>
        <w:tabs>
          <w:tab w:val="left" w:pos="1907"/>
          <w:tab w:val="left" w:pos="1988"/>
        </w:tabs>
        <w:spacing w:line="504" w:lineRule="auto"/>
        <w:ind w:left="1988" w:right="859" w:hanging="570"/>
        <w:jc w:val="both"/>
        <w:rPr>
          <w:b/>
          <w:sz w:val="23"/>
        </w:rPr>
      </w:pPr>
      <w:bookmarkStart w:id="192" w:name="5.4_The_Relationship_between_Functional_"/>
      <w:bookmarkStart w:id="193" w:name="_bookmark92"/>
      <w:bookmarkEnd w:id="192"/>
      <w:bookmarkEnd w:id="193"/>
      <w:r>
        <w:rPr>
          <w:b/>
          <w:w w:val="105"/>
          <w:sz w:val="23"/>
        </w:rPr>
        <w:t>The Relationship between Functional Coordination</w:t>
      </w:r>
      <w:r>
        <w:rPr>
          <w:b/>
          <w:w w:val="105"/>
          <w:sz w:val="23"/>
        </w:rPr>
        <w:t xml:space="preserve"> and Sustainable </w:t>
      </w:r>
      <w:r>
        <w:rPr>
          <w:b/>
          <w:spacing w:val="-2"/>
          <w:w w:val="105"/>
          <w:sz w:val="23"/>
        </w:rPr>
        <w:t>Competitiveness</w:t>
      </w:r>
    </w:p>
    <w:p w:rsidR="00487D64" w:rsidRDefault="006F0D93">
      <w:pPr>
        <w:pStyle w:val="BodyText"/>
        <w:spacing w:line="499" w:lineRule="auto"/>
        <w:ind w:left="1419" w:right="850"/>
        <w:jc w:val="both"/>
      </w:pPr>
      <w:r>
        <w:rPr>
          <w:w w:val="105"/>
        </w:rPr>
        <w:t xml:space="preserve">The present study revealed that the relationship between functional coordination (FC) and sustainable competitiveness among special group SMEs engaged in public procurement was statistically insignificant (M = 0.098, STDEV </w:t>
      </w:r>
      <w:r>
        <w:rPr>
          <w:w w:val="105"/>
        </w:rPr>
        <w:t>= 0.100, O/STDEV</w:t>
      </w:r>
    </w:p>
    <w:p w:rsidR="00487D64" w:rsidRDefault="006F0D93">
      <w:pPr>
        <w:pStyle w:val="BodyText"/>
        <w:spacing w:line="501" w:lineRule="auto"/>
        <w:ind w:left="1419" w:right="849"/>
        <w:jc w:val="both"/>
      </w:pPr>
      <w:r>
        <w:rPr>
          <w:w w:val="105"/>
        </w:rPr>
        <w:t>= 1.556,</w:t>
      </w:r>
      <w:r>
        <w:rPr>
          <w:spacing w:val="-2"/>
          <w:w w:val="105"/>
        </w:rPr>
        <w:t xml:space="preserve"> </w:t>
      </w:r>
      <w:r>
        <w:rPr>
          <w:w w:val="105"/>
        </w:rPr>
        <w:t>p</w:t>
      </w:r>
      <w:r>
        <w:rPr>
          <w:spacing w:val="-4"/>
          <w:w w:val="105"/>
        </w:rPr>
        <w:t xml:space="preserve"> </w:t>
      </w:r>
      <w:r>
        <w:rPr>
          <w:w w:val="105"/>
        </w:rPr>
        <w:t>= 0.120),</w:t>
      </w:r>
      <w:r>
        <w:rPr>
          <w:spacing w:val="-2"/>
          <w:w w:val="105"/>
        </w:rPr>
        <w:t xml:space="preserve"> </w:t>
      </w:r>
      <w:r>
        <w:rPr>
          <w:w w:val="105"/>
        </w:rPr>
        <w:t>leading to the rejection of</w:t>
      </w:r>
      <w:r>
        <w:rPr>
          <w:spacing w:val="-7"/>
          <w:w w:val="105"/>
        </w:rPr>
        <w:t xml:space="preserve"> </w:t>
      </w:r>
      <w:r>
        <w:rPr>
          <w:w w:val="105"/>
        </w:rPr>
        <w:t>Hypothesis 3.</w:t>
      </w:r>
      <w:r>
        <w:rPr>
          <w:spacing w:val="-2"/>
          <w:w w:val="105"/>
        </w:rPr>
        <w:t xml:space="preserve"> </w:t>
      </w:r>
      <w:r>
        <w:rPr>
          <w:w w:val="105"/>
        </w:rPr>
        <w:t>This finding challenges the widely held assumption within Market Orientation Theory (Narver &amp; Slater, 1990) that FC, as an internal alignment mechanism, is a key driver of firm</w:t>
      </w:r>
      <w:r>
        <w:rPr>
          <w:w w:val="105"/>
        </w:rPr>
        <w:t xml:space="preserve"> performance and competitiveness. Traditionally, market orientation emphasizes the integration</w:t>
      </w:r>
      <w:r>
        <w:rPr>
          <w:spacing w:val="-10"/>
          <w:w w:val="105"/>
        </w:rPr>
        <w:t xml:space="preserve"> </w:t>
      </w:r>
      <w:r>
        <w:rPr>
          <w:w w:val="105"/>
        </w:rPr>
        <w:t>of</w:t>
      </w:r>
      <w:r>
        <w:rPr>
          <w:spacing w:val="-6"/>
          <w:w w:val="105"/>
        </w:rPr>
        <w:t xml:space="preserve"> </w:t>
      </w:r>
      <w:r>
        <w:rPr>
          <w:w w:val="105"/>
        </w:rPr>
        <w:t>market</w:t>
      </w:r>
      <w:r>
        <w:rPr>
          <w:spacing w:val="-8"/>
          <w:w w:val="105"/>
        </w:rPr>
        <w:t xml:space="preserve"> </w:t>
      </w:r>
      <w:r>
        <w:rPr>
          <w:w w:val="105"/>
        </w:rPr>
        <w:t>intelligence</w:t>
      </w:r>
      <w:r>
        <w:rPr>
          <w:spacing w:val="-10"/>
          <w:w w:val="105"/>
        </w:rPr>
        <w:t xml:space="preserve"> </w:t>
      </w:r>
      <w:r>
        <w:rPr>
          <w:w w:val="105"/>
        </w:rPr>
        <w:t>across</w:t>
      </w:r>
      <w:r>
        <w:rPr>
          <w:spacing w:val="-11"/>
          <w:w w:val="105"/>
        </w:rPr>
        <w:t xml:space="preserve"> </w:t>
      </w:r>
      <w:r>
        <w:rPr>
          <w:w w:val="105"/>
        </w:rPr>
        <w:t>departments</w:t>
      </w:r>
      <w:r>
        <w:rPr>
          <w:spacing w:val="-12"/>
          <w:w w:val="105"/>
        </w:rPr>
        <w:t xml:space="preserve"> </w:t>
      </w:r>
      <w:r>
        <w:rPr>
          <w:w w:val="105"/>
        </w:rPr>
        <w:t>to</w:t>
      </w:r>
      <w:r>
        <w:rPr>
          <w:spacing w:val="-4"/>
          <w:w w:val="105"/>
        </w:rPr>
        <w:t xml:space="preserve"> </w:t>
      </w:r>
      <w:r>
        <w:rPr>
          <w:w w:val="105"/>
        </w:rPr>
        <w:t>ensure</w:t>
      </w:r>
      <w:r>
        <w:rPr>
          <w:spacing w:val="-10"/>
          <w:w w:val="105"/>
        </w:rPr>
        <w:t xml:space="preserve"> </w:t>
      </w:r>
      <w:r>
        <w:rPr>
          <w:w w:val="105"/>
        </w:rPr>
        <w:t>coordinated</w:t>
      </w:r>
      <w:r>
        <w:rPr>
          <w:spacing w:val="-16"/>
          <w:w w:val="105"/>
        </w:rPr>
        <w:t xml:space="preserve"> </w:t>
      </w:r>
      <w:r>
        <w:rPr>
          <w:w w:val="105"/>
        </w:rPr>
        <w:t>responses to customer needs and market conditions. Under this premise, FC should enable the dissemination of customer and competitor insights across organizational units, fostering synergies that enhance responsiveness and value creation. However, in the c</w:t>
      </w:r>
      <w:r>
        <w:rPr>
          <w:w w:val="105"/>
        </w:rPr>
        <w:t>urrent study, this expected outcome did not materialize in the Tanzanian public procurement context.</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8"/>
        <w:jc w:val="both"/>
      </w:pPr>
      <w:r>
        <w:rPr>
          <w:w w:val="105"/>
        </w:rPr>
        <w:t>The explanation lies in the environmental and institutional constraints of public procurement and the nature of FC as</w:t>
      </w:r>
      <w:r>
        <w:rPr>
          <w:spacing w:val="-6"/>
          <w:w w:val="105"/>
        </w:rPr>
        <w:t xml:space="preserve"> </w:t>
      </w:r>
      <w:r>
        <w:rPr>
          <w:w w:val="105"/>
        </w:rPr>
        <w:t xml:space="preserve">an operational </w:t>
      </w:r>
      <w:r>
        <w:rPr>
          <w:w w:val="105"/>
        </w:rPr>
        <w:t>capability rather than a dynamic one.</w:t>
      </w:r>
      <w:r>
        <w:rPr>
          <w:spacing w:val="-1"/>
          <w:w w:val="105"/>
        </w:rPr>
        <w:t xml:space="preserve"> </w:t>
      </w:r>
      <w:r>
        <w:rPr>
          <w:w w:val="105"/>
        </w:rPr>
        <w:t>While Market</w:t>
      </w:r>
      <w:r>
        <w:rPr>
          <w:spacing w:val="-1"/>
          <w:w w:val="105"/>
        </w:rPr>
        <w:t xml:space="preserve"> </w:t>
      </w:r>
      <w:r>
        <w:rPr>
          <w:w w:val="105"/>
        </w:rPr>
        <w:t>Orientation</w:t>
      </w:r>
      <w:r>
        <w:rPr>
          <w:spacing w:val="-3"/>
          <w:w w:val="105"/>
        </w:rPr>
        <w:t xml:space="preserve"> </w:t>
      </w:r>
      <w:r>
        <w:rPr>
          <w:w w:val="105"/>
        </w:rPr>
        <w:t>Theory assumes</w:t>
      </w:r>
      <w:r>
        <w:rPr>
          <w:spacing w:val="-11"/>
          <w:w w:val="105"/>
        </w:rPr>
        <w:t xml:space="preserve"> </w:t>
      </w:r>
      <w:r>
        <w:rPr>
          <w:w w:val="105"/>
        </w:rPr>
        <w:t>that coordinated</w:t>
      </w:r>
      <w:r>
        <w:rPr>
          <w:spacing w:val="-3"/>
          <w:w w:val="105"/>
        </w:rPr>
        <w:t xml:space="preserve"> </w:t>
      </w:r>
      <w:r>
        <w:rPr>
          <w:w w:val="105"/>
        </w:rPr>
        <w:t>information</w:t>
      </w:r>
      <w:r>
        <w:rPr>
          <w:spacing w:val="-3"/>
          <w:w w:val="105"/>
        </w:rPr>
        <w:t xml:space="preserve"> </w:t>
      </w:r>
      <w:r>
        <w:rPr>
          <w:w w:val="105"/>
        </w:rPr>
        <w:t>sharing leads to superior responsiveness, such responsiveness requires flexibility and autonomy to</w:t>
      </w:r>
      <w:r>
        <w:rPr>
          <w:spacing w:val="-6"/>
          <w:w w:val="105"/>
        </w:rPr>
        <w:t xml:space="preserve"> </w:t>
      </w:r>
      <w:r>
        <w:rPr>
          <w:w w:val="105"/>
        </w:rPr>
        <w:t>act on shared</w:t>
      </w:r>
      <w:r>
        <w:rPr>
          <w:spacing w:val="-6"/>
          <w:w w:val="105"/>
        </w:rPr>
        <w:t xml:space="preserve"> </w:t>
      </w:r>
      <w:r>
        <w:rPr>
          <w:w w:val="105"/>
        </w:rPr>
        <w:t>intelligence.</w:t>
      </w:r>
      <w:r>
        <w:rPr>
          <w:spacing w:val="-4"/>
          <w:w w:val="105"/>
        </w:rPr>
        <w:t xml:space="preserve"> </w:t>
      </w:r>
      <w:r>
        <w:rPr>
          <w:w w:val="105"/>
        </w:rPr>
        <w:t>In</w:t>
      </w:r>
      <w:r>
        <w:rPr>
          <w:spacing w:val="-6"/>
          <w:w w:val="105"/>
        </w:rPr>
        <w:t xml:space="preserve"> </w:t>
      </w:r>
      <w:r>
        <w:rPr>
          <w:w w:val="105"/>
        </w:rPr>
        <w:t>the</w:t>
      </w:r>
      <w:r>
        <w:rPr>
          <w:spacing w:val="-7"/>
          <w:w w:val="105"/>
        </w:rPr>
        <w:t xml:space="preserve"> </w:t>
      </w:r>
      <w:r>
        <w:rPr>
          <w:w w:val="105"/>
        </w:rPr>
        <w:t>regulated procu</w:t>
      </w:r>
      <w:r>
        <w:rPr>
          <w:w w:val="105"/>
        </w:rPr>
        <w:t>rement environment of Tanzania, special group SMEs often face rigid compliance structures, procedural formalities, and limited strategic discretion. Consequently, coordination is primarily compliance-driven focused on meeting documentation standards, align</w:t>
      </w:r>
      <w:r>
        <w:rPr>
          <w:w w:val="105"/>
        </w:rPr>
        <w:t>ing with bidding requirements, and ensuring procedural accuracy rather than fostering innovation or sustainability-focused strategies. This narrow application of FC limits its ability to influence long-term competitive advantage.</w:t>
      </w:r>
    </w:p>
    <w:p w:rsidR="00487D64" w:rsidRDefault="006F0D93">
      <w:pPr>
        <w:pStyle w:val="BodyText"/>
        <w:spacing w:before="237" w:line="501" w:lineRule="auto"/>
        <w:ind w:left="1419" w:right="854"/>
        <w:jc w:val="both"/>
      </w:pPr>
      <w:r>
        <w:rPr>
          <w:w w:val="105"/>
        </w:rPr>
        <w:t>From the perspective of</w:t>
      </w:r>
      <w:r>
        <w:rPr>
          <w:w w:val="105"/>
        </w:rPr>
        <w:t xml:space="preserve"> Dynamic Capability Theory (Teece, 2007), FC does not automatically qualify as</w:t>
      </w:r>
      <w:r>
        <w:rPr>
          <w:spacing w:val="-1"/>
          <w:w w:val="105"/>
        </w:rPr>
        <w:t xml:space="preserve"> </w:t>
      </w:r>
      <w:r>
        <w:rPr>
          <w:w w:val="105"/>
        </w:rPr>
        <w:t>a dynamic capability unless</w:t>
      </w:r>
      <w:r>
        <w:rPr>
          <w:spacing w:val="-1"/>
          <w:w w:val="105"/>
        </w:rPr>
        <w:t xml:space="preserve"> </w:t>
      </w:r>
      <w:r>
        <w:rPr>
          <w:w w:val="105"/>
        </w:rPr>
        <w:t>it supports</w:t>
      </w:r>
      <w:r>
        <w:rPr>
          <w:spacing w:val="-1"/>
          <w:w w:val="105"/>
        </w:rPr>
        <w:t xml:space="preserve"> </w:t>
      </w:r>
      <w:r>
        <w:rPr>
          <w:w w:val="105"/>
        </w:rPr>
        <w:t>the sensing, seizing, and transforming of resources in response to environmental shifts. In the studied context, FC appears to be a stati</w:t>
      </w:r>
      <w:r>
        <w:rPr>
          <w:w w:val="105"/>
        </w:rPr>
        <w:t>c capability, maintaining operational efficiency without enabling adaptation or transformation. Unlike strategic flexibility or innovation capabilities, which empower firms to reconfigure resources under changing conditions, FC in</w:t>
      </w:r>
      <w:r>
        <w:rPr>
          <w:spacing w:val="-2"/>
          <w:w w:val="105"/>
        </w:rPr>
        <w:t xml:space="preserve"> </w:t>
      </w:r>
      <w:r>
        <w:rPr>
          <w:w w:val="105"/>
        </w:rPr>
        <w:t>its</w:t>
      </w:r>
      <w:r>
        <w:rPr>
          <w:spacing w:val="-4"/>
          <w:w w:val="105"/>
        </w:rPr>
        <w:t xml:space="preserve"> </w:t>
      </w:r>
      <w:r>
        <w:rPr>
          <w:w w:val="105"/>
        </w:rPr>
        <w:t>current form only fac</w:t>
      </w:r>
      <w:r>
        <w:rPr>
          <w:w w:val="105"/>
        </w:rPr>
        <w:t>ilitates</w:t>
      </w:r>
      <w:r>
        <w:rPr>
          <w:spacing w:val="-4"/>
          <w:w w:val="105"/>
        </w:rPr>
        <w:t xml:space="preserve"> </w:t>
      </w:r>
      <w:r>
        <w:rPr>
          <w:w w:val="105"/>
        </w:rPr>
        <w:t>internal harmony, which, while necessary, is insufficient for sustainable competitiveness in volatile procurement settings.</w:t>
      </w:r>
    </w:p>
    <w:p w:rsidR="00487D64" w:rsidRDefault="006F0D93">
      <w:pPr>
        <w:pStyle w:val="BodyText"/>
        <w:spacing w:before="234" w:line="499" w:lineRule="auto"/>
        <w:ind w:left="1419" w:right="855"/>
        <w:jc w:val="both"/>
      </w:pPr>
      <w:r>
        <w:rPr>
          <w:w w:val="105"/>
        </w:rPr>
        <w:t>This</w:t>
      </w:r>
      <w:r>
        <w:rPr>
          <w:spacing w:val="-1"/>
          <w:w w:val="105"/>
        </w:rPr>
        <w:t xml:space="preserve"> </w:t>
      </w:r>
      <w:r>
        <w:rPr>
          <w:w w:val="105"/>
        </w:rPr>
        <w:t>interpretation</w:t>
      </w:r>
      <w:r>
        <w:rPr>
          <w:spacing w:val="-6"/>
          <w:w w:val="105"/>
        </w:rPr>
        <w:t xml:space="preserve"> </w:t>
      </w:r>
      <w:r>
        <w:rPr>
          <w:w w:val="105"/>
        </w:rPr>
        <w:t>aligns</w:t>
      </w:r>
      <w:r>
        <w:rPr>
          <w:spacing w:val="-1"/>
          <w:w w:val="105"/>
        </w:rPr>
        <w:t xml:space="preserve"> </w:t>
      </w:r>
      <w:r>
        <w:rPr>
          <w:w w:val="105"/>
        </w:rPr>
        <w:t>with</w:t>
      </w:r>
      <w:r>
        <w:rPr>
          <w:spacing w:val="-6"/>
          <w:w w:val="105"/>
        </w:rPr>
        <w:t xml:space="preserve"> </w:t>
      </w:r>
      <w:r>
        <w:rPr>
          <w:w w:val="105"/>
        </w:rPr>
        <w:t>the</w:t>
      </w:r>
      <w:r>
        <w:rPr>
          <w:spacing w:val="-7"/>
          <w:w w:val="105"/>
        </w:rPr>
        <w:t xml:space="preserve"> </w:t>
      </w:r>
      <w:r>
        <w:rPr>
          <w:w w:val="105"/>
        </w:rPr>
        <w:t>arguments</w:t>
      </w:r>
      <w:r>
        <w:rPr>
          <w:spacing w:val="-1"/>
          <w:w w:val="105"/>
        </w:rPr>
        <w:t xml:space="preserve"> </w:t>
      </w:r>
      <w:r>
        <w:rPr>
          <w:w w:val="105"/>
        </w:rPr>
        <w:t>of</w:t>
      </w:r>
      <w:r>
        <w:rPr>
          <w:spacing w:val="-9"/>
          <w:w w:val="105"/>
        </w:rPr>
        <w:t xml:space="preserve"> </w:t>
      </w:r>
      <w:r>
        <w:rPr>
          <w:w w:val="105"/>
        </w:rPr>
        <w:t>Maurer (2022),</w:t>
      </w:r>
      <w:r>
        <w:rPr>
          <w:spacing w:val="-4"/>
          <w:w w:val="105"/>
        </w:rPr>
        <w:t xml:space="preserve"> </w:t>
      </w:r>
      <w:r>
        <w:rPr>
          <w:w w:val="105"/>
        </w:rPr>
        <w:t>who emphasizes</w:t>
      </w:r>
      <w:r>
        <w:rPr>
          <w:spacing w:val="-8"/>
          <w:w w:val="105"/>
        </w:rPr>
        <w:t xml:space="preserve"> </w:t>
      </w:r>
      <w:r>
        <w:rPr>
          <w:w w:val="105"/>
        </w:rPr>
        <w:t>that conventional coordination models,</w:t>
      </w:r>
      <w:r>
        <w:rPr>
          <w:w w:val="105"/>
        </w:rPr>
        <w:t xml:space="preserve"> rooted in stability and efficiency, can hinder creative</w:t>
      </w:r>
      <w:r>
        <w:rPr>
          <w:spacing w:val="80"/>
          <w:w w:val="105"/>
        </w:rPr>
        <w:t xml:space="preserve"> </w:t>
      </w:r>
      <w:r>
        <w:rPr>
          <w:w w:val="105"/>
        </w:rPr>
        <w:t>destruction,</w:t>
      </w:r>
      <w:r>
        <w:rPr>
          <w:spacing w:val="80"/>
          <w:w w:val="105"/>
        </w:rPr>
        <w:t xml:space="preserve"> </w:t>
      </w:r>
      <w:r>
        <w:rPr>
          <w:w w:val="105"/>
        </w:rPr>
        <w:t>which</w:t>
      </w:r>
      <w:r>
        <w:rPr>
          <w:spacing w:val="80"/>
          <w:w w:val="105"/>
        </w:rPr>
        <w:t xml:space="preserve"> </w:t>
      </w:r>
      <w:r>
        <w:rPr>
          <w:w w:val="105"/>
        </w:rPr>
        <w:t>is</w:t>
      </w:r>
      <w:r>
        <w:rPr>
          <w:spacing w:val="80"/>
          <w:w w:val="105"/>
        </w:rPr>
        <w:t xml:space="preserve"> </w:t>
      </w:r>
      <w:r>
        <w:rPr>
          <w:w w:val="105"/>
        </w:rPr>
        <w:t>essential</w:t>
      </w:r>
      <w:r>
        <w:rPr>
          <w:spacing w:val="80"/>
          <w:w w:val="105"/>
        </w:rPr>
        <w:t xml:space="preserve"> </w:t>
      </w:r>
      <w:r>
        <w:rPr>
          <w:w w:val="105"/>
        </w:rPr>
        <w:t>for</w:t>
      </w:r>
      <w:r>
        <w:rPr>
          <w:spacing w:val="80"/>
          <w:w w:val="105"/>
        </w:rPr>
        <w:t xml:space="preserve"> </w:t>
      </w:r>
      <w:r>
        <w:rPr>
          <w:w w:val="105"/>
        </w:rPr>
        <w:t>achieving</w:t>
      </w:r>
      <w:r>
        <w:rPr>
          <w:spacing w:val="80"/>
          <w:w w:val="105"/>
        </w:rPr>
        <w:t xml:space="preserve"> </w:t>
      </w:r>
      <w:r>
        <w:rPr>
          <w:w w:val="105"/>
        </w:rPr>
        <w:t>sustainability.</w:t>
      </w:r>
      <w:r>
        <w:rPr>
          <w:spacing w:val="80"/>
          <w:w w:val="105"/>
        </w:rPr>
        <w:t xml:space="preserve"> </w:t>
      </w:r>
      <w:r>
        <w:rPr>
          <w:w w:val="105"/>
        </w:rPr>
        <w:t>In</w:t>
      </w:r>
      <w:r>
        <w:rPr>
          <w:spacing w:val="80"/>
          <w:w w:val="105"/>
        </w:rPr>
        <w:t xml:space="preserve"> </w:t>
      </w:r>
      <w:r>
        <w:rPr>
          <w:w w:val="105"/>
        </w:rPr>
        <w:t>highly</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8"/>
        <w:jc w:val="both"/>
      </w:pPr>
      <w:r>
        <w:rPr>
          <w:w w:val="105"/>
        </w:rPr>
        <w:t>dynamic and sustainability-driven markets, FC must evolve from silo-based processes to integrative mechan</w:t>
      </w:r>
      <w:r>
        <w:rPr>
          <w:w w:val="105"/>
        </w:rPr>
        <w:t>isms that support cross-functional collaboration for innovation and environmental responsiveness. However, for Tanzanian SMEs, resource constraints, limited access to digital technologies, and institutional rigidity prevent such an evolution.</w:t>
      </w:r>
    </w:p>
    <w:p w:rsidR="00487D64" w:rsidRDefault="006F0D93">
      <w:pPr>
        <w:pStyle w:val="BodyText"/>
        <w:spacing w:before="240" w:line="501" w:lineRule="auto"/>
        <w:ind w:left="1419" w:right="849"/>
        <w:jc w:val="both"/>
      </w:pPr>
      <w:r>
        <w:rPr>
          <w:w w:val="105"/>
        </w:rPr>
        <w:t>Comparing the</w:t>
      </w:r>
      <w:r>
        <w:rPr>
          <w:w w:val="105"/>
        </w:rPr>
        <w:t>se findings to previous research reveals interesting contrasts. Studies such as Mukhtar et al. (2020) and</w:t>
      </w:r>
      <w:r>
        <w:rPr>
          <w:spacing w:val="-4"/>
          <w:w w:val="105"/>
        </w:rPr>
        <w:t xml:space="preserve"> </w:t>
      </w:r>
      <w:r>
        <w:rPr>
          <w:w w:val="105"/>
        </w:rPr>
        <w:t>Hubnerova et</w:t>
      </w:r>
      <w:r>
        <w:rPr>
          <w:spacing w:val="-2"/>
          <w:w w:val="105"/>
        </w:rPr>
        <w:t xml:space="preserve"> </w:t>
      </w:r>
      <w:r>
        <w:rPr>
          <w:w w:val="105"/>
        </w:rPr>
        <w:t>al. (2020) underscore the role of FC in</w:t>
      </w:r>
      <w:r>
        <w:rPr>
          <w:spacing w:val="-8"/>
          <w:w w:val="105"/>
        </w:rPr>
        <w:t xml:space="preserve"> </w:t>
      </w:r>
      <w:r>
        <w:rPr>
          <w:w w:val="105"/>
        </w:rPr>
        <w:t>enhancing</w:t>
      </w:r>
      <w:r>
        <w:rPr>
          <w:spacing w:val="-8"/>
          <w:w w:val="105"/>
        </w:rPr>
        <w:t xml:space="preserve"> </w:t>
      </w:r>
      <w:r>
        <w:rPr>
          <w:w w:val="105"/>
        </w:rPr>
        <w:t>competitive</w:t>
      </w:r>
      <w:r>
        <w:rPr>
          <w:spacing w:val="-15"/>
          <w:w w:val="105"/>
        </w:rPr>
        <w:t xml:space="preserve"> </w:t>
      </w:r>
      <w:r>
        <w:rPr>
          <w:w w:val="105"/>
        </w:rPr>
        <w:t>advantage</w:t>
      </w:r>
      <w:r>
        <w:rPr>
          <w:spacing w:val="-9"/>
          <w:w w:val="105"/>
        </w:rPr>
        <w:t xml:space="preserve"> </w:t>
      </w:r>
      <w:r>
        <w:rPr>
          <w:w w:val="105"/>
        </w:rPr>
        <w:t>through</w:t>
      </w:r>
      <w:r>
        <w:rPr>
          <w:spacing w:val="-8"/>
          <w:w w:val="105"/>
        </w:rPr>
        <w:t xml:space="preserve"> </w:t>
      </w:r>
      <w:r>
        <w:rPr>
          <w:w w:val="105"/>
        </w:rPr>
        <w:t>improved</w:t>
      </w:r>
      <w:r>
        <w:rPr>
          <w:spacing w:val="-14"/>
          <w:w w:val="105"/>
        </w:rPr>
        <w:t xml:space="preserve"> </w:t>
      </w:r>
      <w:r>
        <w:rPr>
          <w:w w:val="105"/>
        </w:rPr>
        <w:t>information</w:t>
      </w:r>
      <w:r>
        <w:rPr>
          <w:spacing w:val="-2"/>
          <w:w w:val="105"/>
        </w:rPr>
        <w:t xml:space="preserve"> </w:t>
      </w:r>
      <w:r>
        <w:rPr>
          <w:w w:val="105"/>
        </w:rPr>
        <w:t>flow</w:t>
      </w:r>
      <w:r>
        <w:rPr>
          <w:spacing w:val="-16"/>
          <w:w w:val="105"/>
        </w:rPr>
        <w:t xml:space="preserve"> </w:t>
      </w:r>
      <w:r>
        <w:rPr>
          <w:w w:val="105"/>
        </w:rPr>
        <w:t>and</w:t>
      </w:r>
      <w:r>
        <w:rPr>
          <w:spacing w:val="-7"/>
          <w:w w:val="105"/>
        </w:rPr>
        <w:t xml:space="preserve"> </w:t>
      </w:r>
      <w:r>
        <w:rPr>
          <w:w w:val="105"/>
        </w:rPr>
        <w:t>strategic alignment. Howeve</w:t>
      </w:r>
      <w:r>
        <w:rPr>
          <w:w w:val="105"/>
        </w:rPr>
        <w:t>r, these studies were conducted in contexts characterized by greater organizational autonomy and less regulatory interference. In contrast, Waruiru et al. (2018) and Lopez-Torres et al. (2021) found that the impact of</w:t>
      </w:r>
      <w:r>
        <w:rPr>
          <w:spacing w:val="-1"/>
          <w:w w:val="105"/>
        </w:rPr>
        <w:t xml:space="preserve"> </w:t>
      </w:r>
      <w:r>
        <w:rPr>
          <w:w w:val="105"/>
        </w:rPr>
        <w:t>FC on sustainability</w:t>
      </w:r>
      <w:r>
        <w:rPr>
          <w:spacing w:val="-1"/>
          <w:w w:val="105"/>
        </w:rPr>
        <w:t xml:space="preserve"> </w:t>
      </w:r>
      <w:r>
        <w:rPr>
          <w:w w:val="105"/>
        </w:rPr>
        <w:t>is context-depend</w:t>
      </w:r>
      <w:r>
        <w:rPr>
          <w:w w:val="105"/>
        </w:rPr>
        <w:t>ent and often</w:t>
      </w:r>
      <w:r>
        <w:rPr>
          <w:spacing w:val="-1"/>
          <w:w w:val="105"/>
        </w:rPr>
        <w:t xml:space="preserve"> </w:t>
      </w:r>
      <w:r>
        <w:rPr>
          <w:w w:val="105"/>
        </w:rPr>
        <w:t>diluted by</w:t>
      </w:r>
      <w:r>
        <w:rPr>
          <w:spacing w:val="-1"/>
          <w:w w:val="105"/>
        </w:rPr>
        <w:t xml:space="preserve"> </w:t>
      </w:r>
      <w:r>
        <w:rPr>
          <w:w w:val="105"/>
        </w:rPr>
        <w:t>conflicting objectives</w:t>
      </w:r>
      <w:r>
        <w:rPr>
          <w:spacing w:val="-2"/>
          <w:w w:val="105"/>
        </w:rPr>
        <w:t xml:space="preserve"> </w:t>
      </w:r>
      <w:r>
        <w:rPr>
          <w:w w:val="105"/>
        </w:rPr>
        <w:t>across economic,</w:t>
      </w:r>
      <w:r>
        <w:rPr>
          <w:spacing w:val="-5"/>
          <w:w w:val="105"/>
        </w:rPr>
        <w:t xml:space="preserve"> </w:t>
      </w:r>
      <w:r>
        <w:rPr>
          <w:w w:val="105"/>
        </w:rPr>
        <w:t>social,</w:t>
      </w:r>
      <w:r>
        <w:rPr>
          <w:spacing w:val="-11"/>
          <w:w w:val="105"/>
        </w:rPr>
        <w:t xml:space="preserve"> </w:t>
      </w:r>
      <w:r>
        <w:rPr>
          <w:w w:val="105"/>
        </w:rPr>
        <w:t>and</w:t>
      </w:r>
      <w:r>
        <w:rPr>
          <w:spacing w:val="-7"/>
          <w:w w:val="105"/>
        </w:rPr>
        <w:t xml:space="preserve"> </w:t>
      </w:r>
      <w:r>
        <w:rPr>
          <w:w w:val="105"/>
        </w:rPr>
        <w:t>environmental</w:t>
      </w:r>
      <w:r>
        <w:rPr>
          <w:spacing w:val="-4"/>
          <w:w w:val="105"/>
        </w:rPr>
        <w:t xml:space="preserve"> </w:t>
      </w:r>
      <w:r>
        <w:rPr>
          <w:w w:val="105"/>
        </w:rPr>
        <w:t>dimensions.</w:t>
      </w:r>
      <w:r>
        <w:rPr>
          <w:spacing w:val="-11"/>
          <w:w w:val="105"/>
        </w:rPr>
        <w:t xml:space="preserve"> </w:t>
      </w:r>
      <w:r>
        <w:rPr>
          <w:w w:val="105"/>
        </w:rPr>
        <w:t>For</w:t>
      </w:r>
      <w:r>
        <w:rPr>
          <w:spacing w:val="-4"/>
          <w:w w:val="105"/>
        </w:rPr>
        <w:t xml:space="preserve"> </w:t>
      </w:r>
      <w:r>
        <w:rPr>
          <w:w w:val="105"/>
        </w:rPr>
        <w:t>example,</w:t>
      </w:r>
      <w:r>
        <w:rPr>
          <w:spacing w:val="-5"/>
          <w:w w:val="105"/>
        </w:rPr>
        <w:t xml:space="preserve"> </w:t>
      </w:r>
      <w:r>
        <w:rPr>
          <w:w w:val="105"/>
        </w:rPr>
        <w:t>cost-reduction</w:t>
      </w:r>
      <w:r>
        <w:rPr>
          <w:spacing w:val="-7"/>
          <w:w w:val="105"/>
        </w:rPr>
        <w:t xml:space="preserve"> </w:t>
      </w:r>
      <w:r>
        <w:rPr>
          <w:w w:val="105"/>
        </w:rPr>
        <w:t>efforts promoted</w:t>
      </w:r>
      <w:r>
        <w:rPr>
          <w:spacing w:val="-4"/>
          <w:w w:val="105"/>
        </w:rPr>
        <w:t xml:space="preserve"> </w:t>
      </w:r>
      <w:r>
        <w:rPr>
          <w:w w:val="105"/>
        </w:rPr>
        <w:t>through coordination may conflict with environmental initiatives or social equity measures, reducing</w:t>
      </w:r>
      <w:r>
        <w:rPr>
          <w:spacing w:val="-1"/>
          <w:w w:val="105"/>
        </w:rPr>
        <w:t xml:space="preserve"> </w:t>
      </w:r>
      <w:r>
        <w:rPr>
          <w:w w:val="105"/>
        </w:rPr>
        <w:t>the overall strategic value of FC in driving sustainability.</w:t>
      </w:r>
    </w:p>
    <w:p w:rsidR="00487D64" w:rsidRDefault="006F0D93">
      <w:pPr>
        <w:pStyle w:val="BodyText"/>
        <w:spacing w:before="235" w:line="501" w:lineRule="auto"/>
        <w:ind w:left="1419" w:right="850"/>
        <w:jc w:val="both"/>
      </w:pPr>
      <w:r>
        <w:rPr>
          <w:w w:val="105"/>
        </w:rPr>
        <w:t>The divergence between this study’s findings and traditional assumptions signals a unique contribution: functional coordination alone may not serve as a sufficient driver of sustainable competiti</w:t>
      </w:r>
      <w:r>
        <w:rPr>
          <w:w w:val="105"/>
        </w:rPr>
        <w:t>veness in procurement proceedings dominated by institutional constraints and compliance-based mechanisms. Instead, achieving sustainability in such settings requires integrative capabilities that combine coordination with adaptability, technological innova</w:t>
      </w:r>
      <w:r>
        <w:rPr>
          <w:w w:val="105"/>
        </w:rPr>
        <w:t>tion, and strategic flexibility.</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48"/>
      </w:pPr>
    </w:p>
    <w:p w:rsidR="00487D64" w:rsidRDefault="006F0D93">
      <w:pPr>
        <w:pStyle w:val="ListParagraph"/>
        <w:numPr>
          <w:ilvl w:val="1"/>
          <w:numId w:val="7"/>
        </w:numPr>
        <w:tabs>
          <w:tab w:val="left" w:pos="1778"/>
        </w:tabs>
        <w:ind w:left="1778" w:hanging="359"/>
        <w:rPr>
          <w:b/>
          <w:sz w:val="23"/>
        </w:rPr>
      </w:pPr>
      <w:bookmarkStart w:id="194" w:name="5.5_The_Effect_of_Moderation_on_the_Rela"/>
      <w:bookmarkStart w:id="195" w:name="_bookmark93"/>
      <w:bookmarkEnd w:id="194"/>
      <w:bookmarkEnd w:id="195"/>
      <w:r>
        <w:rPr>
          <w:b/>
          <w:w w:val="105"/>
          <w:sz w:val="23"/>
        </w:rPr>
        <w:t>The</w:t>
      </w:r>
      <w:r>
        <w:rPr>
          <w:b/>
          <w:spacing w:val="-9"/>
          <w:w w:val="105"/>
          <w:sz w:val="23"/>
        </w:rPr>
        <w:t xml:space="preserve"> </w:t>
      </w:r>
      <w:r>
        <w:rPr>
          <w:b/>
          <w:w w:val="105"/>
          <w:sz w:val="23"/>
        </w:rPr>
        <w:t>Effect</w:t>
      </w:r>
      <w:r>
        <w:rPr>
          <w:b/>
          <w:spacing w:val="-11"/>
          <w:w w:val="105"/>
          <w:sz w:val="23"/>
        </w:rPr>
        <w:t xml:space="preserve"> </w:t>
      </w:r>
      <w:r>
        <w:rPr>
          <w:b/>
          <w:w w:val="105"/>
          <w:sz w:val="23"/>
        </w:rPr>
        <w:t>of</w:t>
      </w:r>
      <w:r>
        <w:rPr>
          <w:b/>
          <w:spacing w:val="-11"/>
          <w:w w:val="105"/>
          <w:sz w:val="23"/>
        </w:rPr>
        <w:t xml:space="preserve"> </w:t>
      </w:r>
      <w:r>
        <w:rPr>
          <w:b/>
          <w:w w:val="105"/>
          <w:sz w:val="23"/>
        </w:rPr>
        <w:t>Moderation</w:t>
      </w:r>
      <w:r>
        <w:rPr>
          <w:b/>
          <w:spacing w:val="-13"/>
          <w:w w:val="105"/>
          <w:sz w:val="23"/>
        </w:rPr>
        <w:t xml:space="preserve"> </w:t>
      </w:r>
      <w:r>
        <w:rPr>
          <w:b/>
          <w:w w:val="105"/>
          <w:sz w:val="23"/>
        </w:rPr>
        <w:t>on</w:t>
      </w:r>
      <w:r>
        <w:rPr>
          <w:b/>
          <w:spacing w:val="-3"/>
          <w:w w:val="105"/>
          <w:sz w:val="23"/>
        </w:rPr>
        <w:t xml:space="preserve"> </w:t>
      </w:r>
      <w:r>
        <w:rPr>
          <w:b/>
          <w:w w:val="105"/>
          <w:sz w:val="23"/>
        </w:rPr>
        <w:t>the</w:t>
      </w:r>
      <w:r>
        <w:rPr>
          <w:b/>
          <w:spacing w:val="-1"/>
          <w:w w:val="105"/>
          <w:sz w:val="23"/>
        </w:rPr>
        <w:t xml:space="preserve"> </w:t>
      </w:r>
      <w:r>
        <w:rPr>
          <w:b/>
          <w:w w:val="105"/>
          <w:sz w:val="23"/>
        </w:rPr>
        <w:t>Relationship</w:t>
      </w:r>
      <w:r>
        <w:rPr>
          <w:b/>
          <w:spacing w:val="-8"/>
          <w:w w:val="105"/>
          <w:sz w:val="23"/>
        </w:rPr>
        <w:t xml:space="preserve"> </w:t>
      </w:r>
      <w:r>
        <w:rPr>
          <w:b/>
          <w:w w:val="105"/>
          <w:sz w:val="23"/>
        </w:rPr>
        <w:t>between</w:t>
      </w:r>
      <w:r>
        <w:rPr>
          <w:b/>
          <w:spacing w:val="-13"/>
          <w:w w:val="105"/>
          <w:sz w:val="23"/>
        </w:rPr>
        <w:t xml:space="preserve"> </w:t>
      </w:r>
      <w:r>
        <w:rPr>
          <w:b/>
          <w:w w:val="105"/>
          <w:sz w:val="23"/>
        </w:rPr>
        <w:t>CU</w:t>
      </w:r>
      <w:r>
        <w:rPr>
          <w:b/>
          <w:spacing w:val="-3"/>
          <w:w w:val="105"/>
          <w:sz w:val="23"/>
        </w:rPr>
        <w:t xml:space="preserve"> </w:t>
      </w:r>
      <w:r>
        <w:rPr>
          <w:b/>
          <w:w w:val="105"/>
          <w:sz w:val="23"/>
        </w:rPr>
        <w:t>and</w:t>
      </w:r>
      <w:r>
        <w:rPr>
          <w:b/>
          <w:spacing w:val="-14"/>
          <w:w w:val="105"/>
          <w:sz w:val="23"/>
        </w:rPr>
        <w:t xml:space="preserve"> </w:t>
      </w:r>
      <w:r>
        <w:rPr>
          <w:b/>
          <w:spacing w:val="-5"/>
          <w:w w:val="105"/>
          <w:sz w:val="23"/>
        </w:rPr>
        <w:t>SC</w:t>
      </w:r>
    </w:p>
    <w:p w:rsidR="00487D64" w:rsidRDefault="00487D64">
      <w:pPr>
        <w:pStyle w:val="BodyText"/>
        <w:spacing w:before="18"/>
        <w:rPr>
          <w:b/>
        </w:rPr>
      </w:pPr>
    </w:p>
    <w:p w:rsidR="00487D64" w:rsidRDefault="006F0D93">
      <w:pPr>
        <w:pStyle w:val="BodyText"/>
        <w:spacing w:line="501" w:lineRule="auto"/>
        <w:ind w:left="1419" w:right="853"/>
        <w:jc w:val="both"/>
      </w:pPr>
      <w:r>
        <w:rPr>
          <w:w w:val="105"/>
        </w:rPr>
        <w:t>The findings of this study reveal that strategic flexibility (SF) did not significantly moderate the relationship between customer</w:t>
      </w:r>
      <w:r>
        <w:rPr>
          <w:w w:val="105"/>
        </w:rPr>
        <w:t xml:space="preserve"> orientation (CU) and sustainable competitiveness</w:t>
      </w:r>
      <w:r>
        <w:rPr>
          <w:spacing w:val="-16"/>
          <w:w w:val="105"/>
        </w:rPr>
        <w:t xml:space="preserve"> </w:t>
      </w:r>
      <w:r>
        <w:rPr>
          <w:w w:val="105"/>
        </w:rPr>
        <w:t>(SC)</w:t>
      </w:r>
      <w:r>
        <w:rPr>
          <w:spacing w:val="-12"/>
          <w:w w:val="105"/>
        </w:rPr>
        <w:t xml:space="preserve"> </w:t>
      </w:r>
      <w:r>
        <w:rPr>
          <w:w w:val="105"/>
        </w:rPr>
        <w:t>among</w:t>
      </w:r>
      <w:r>
        <w:rPr>
          <w:spacing w:val="-9"/>
          <w:w w:val="105"/>
        </w:rPr>
        <w:t xml:space="preserve"> </w:t>
      </w:r>
      <w:r>
        <w:rPr>
          <w:w w:val="105"/>
        </w:rPr>
        <w:t>special</w:t>
      </w:r>
      <w:r>
        <w:rPr>
          <w:spacing w:val="-7"/>
          <w:w w:val="105"/>
        </w:rPr>
        <w:t xml:space="preserve"> </w:t>
      </w:r>
      <w:r>
        <w:rPr>
          <w:w w:val="105"/>
        </w:rPr>
        <w:t>group</w:t>
      </w:r>
      <w:r>
        <w:rPr>
          <w:spacing w:val="-3"/>
          <w:w w:val="105"/>
        </w:rPr>
        <w:t xml:space="preserve"> </w:t>
      </w:r>
      <w:r>
        <w:rPr>
          <w:w w:val="105"/>
        </w:rPr>
        <w:t>SMEs</w:t>
      </w:r>
      <w:r>
        <w:rPr>
          <w:spacing w:val="-11"/>
          <w:w w:val="105"/>
        </w:rPr>
        <w:t xml:space="preserve"> </w:t>
      </w:r>
      <w:r>
        <w:rPr>
          <w:w w:val="105"/>
        </w:rPr>
        <w:t>participating</w:t>
      </w:r>
      <w:r>
        <w:rPr>
          <w:spacing w:val="-15"/>
          <w:w w:val="105"/>
        </w:rPr>
        <w:t xml:space="preserve"> </w:t>
      </w:r>
      <w:r>
        <w:rPr>
          <w:w w:val="105"/>
        </w:rPr>
        <w:t>in</w:t>
      </w:r>
      <w:r>
        <w:rPr>
          <w:spacing w:val="-9"/>
          <w:w w:val="105"/>
        </w:rPr>
        <w:t xml:space="preserve"> </w:t>
      </w:r>
      <w:r>
        <w:rPr>
          <w:w w:val="105"/>
        </w:rPr>
        <w:t>public</w:t>
      </w:r>
      <w:r>
        <w:rPr>
          <w:spacing w:val="-10"/>
          <w:w w:val="105"/>
        </w:rPr>
        <w:t xml:space="preserve"> </w:t>
      </w:r>
      <w:r>
        <w:rPr>
          <w:w w:val="105"/>
        </w:rPr>
        <w:t>procurement (M = –0.078, STDEV = 0.801, T = 1.469, p = 0.142). This result leads to the rejection of Hypothesis 4, indicating that while customer</w:t>
      </w:r>
      <w:r>
        <w:rPr>
          <w:w w:val="105"/>
        </w:rPr>
        <w:t xml:space="preserve"> orientation remains a critical</w:t>
      </w:r>
      <w:r>
        <w:rPr>
          <w:spacing w:val="-2"/>
          <w:w w:val="105"/>
        </w:rPr>
        <w:t xml:space="preserve"> </w:t>
      </w:r>
      <w:r>
        <w:rPr>
          <w:w w:val="105"/>
        </w:rPr>
        <w:t>factor</w:t>
      </w:r>
      <w:r>
        <w:rPr>
          <w:spacing w:val="-1"/>
          <w:w w:val="105"/>
        </w:rPr>
        <w:t xml:space="preserve"> </w:t>
      </w:r>
      <w:r>
        <w:rPr>
          <w:w w:val="105"/>
        </w:rPr>
        <w:t>for</w:t>
      </w:r>
      <w:r>
        <w:rPr>
          <w:spacing w:val="-1"/>
          <w:w w:val="105"/>
        </w:rPr>
        <w:t xml:space="preserve"> </w:t>
      </w:r>
      <w:r>
        <w:rPr>
          <w:w w:val="105"/>
        </w:rPr>
        <w:t>achieving sustainable</w:t>
      </w:r>
      <w:r>
        <w:rPr>
          <w:spacing w:val="-5"/>
          <w:w w:val="105"/>
        </w:rPr>
        <w:t xml:space="preserve"> </w:t>
      </w:r>
      <w:r>
        <w:rPr>
          <w:w w:val="105"/>
        </w:rPr>
        <w:t>competitiveness,</w:t>
      </w:r>
      <w:r>
        <w:rPr>
          <w:spacing w:val="-2"/>
          <w:w w:val="105"/>
        </w:rPr>
        <w:t xml:space="preserve"> </w:t>
      </w:r>
      <w:r>
        <w:rPr>
          <w:w w:val="105"/>
        </w:rPr>
        <w:t>its</w:t>
      </w:r>
      <w:r>
        <w:rPr>
          <w:spacing w:val="-6"/>
          <w:w w:val="105"/>
        </w:rPr>
        <w:t xml:space="preserve"> </w:t>
      </w:r>
      <w:r>
        <w:rPr>
          <w:w w:val="105"/>
        </w:rPr>
        <w:t>interaction with</w:t>
      </w:r>
      <w:r>
        <w:rPr>
          <w:spacing w:val="-4"/>
          <w:w w:val="105"/>
        </w:rPr>
        <w:t xml:space="preserve"> </w:t>
      </w:r>
      <w:r>
        <w:rPr>
          <w:w w:val="105"/>
        </w:rPr>
        <w:t xml:space="preserve">strategic flexibility does not yield a significant combined effect in this specific context. This finding introduces important theoretical and practical </w:t>
      </w:r>
      <w:r>
        <w:rPr>
          <w:w w:val="105"/>
        </w:rPr>
        <w:t>implications that merit a detailed discussion.</w:t>
      </w:r>
    </w:p>
    <w:p w:rsidR="00487D64" w:rsidRDefault="006F0D93">
      <w:pPr>
        <w:pStyle w:val="BodyText"/>
        <w:spacing w:before="234" w:line="501" w:lineRule="auto"/>
        <w:ind w:left="1419" w:right="842"/>
        <w:jc w:val="both"/>
      </w:pPr>
      <w:r>
        <w:rPr>
          <w:w w:val="105"/>
        </w:rPr>
        <w:t xml:space="preserve">From the perspective of Market Orientation Theory (Narver &amp; Slater, 1990), customer orientation is a fundamental pillar of organizational success because it ensures that firms align products and services with </w:t>
      </w:r>
      <w:r>
        <w:rPr>
          <w:w w:val="105"/>
        </w:rPr>
        <w:t>customer needs. However, the lack of a significant moderating effect by strategic flexibility suggests that adaptability, while conceptually valuable, does not necessarily strengthen the influence of customer orientation under all circumstances. Theoretica</w:t>
      </w:r>
      <w:r>
        <w:rPr>
          <w:w w:val="105"/>
        </w:rPr>
        <w:t xml:space="preserve">lly, Dynamic Capability Theory (Teece, 2007) posits that firms require dynamic capabilities such as sensing opportunities and reconfiguring resources to respond effectively to environmental changes. Strategic flexibility is considered one such capability, </w:t>
      </w:r>
      <w:r>
        <w:rPr>
          <w:w w:val="105"/>
        </w:rPr>
        <w:t xml:space="preserve">allowing firms to adapt and realign resources rapidly. Yet, the absence of a significant effect here implies that in highly regulated environments like public procurement, the role of flexibility is constrained by systemic rigidity and compliance demands, </w:t>
      </w:r>
      <w:r>
        <w:rPr>
          <w:w w:val="105"/>
        </w:rPr>
        <w:t>limiting</w:t>
      </w:r>
      <w:r>
        <w:rPr>
          <w:spacing w:val="-1"/>
          <w:w w:val="105"/>
        </w:rPr>
        <w:t xml:space="preserve"> </w:t>
      </w:r>
      <w:r>
        <w:rPr>
          <w:w w:val="105"/>
        </w:rPr>
        <w:t>its ability to amplify customer orientation efforts.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57"/>
      </w:pPr>
    </w:p>
    <w:p w:rsidR="00487D64" w:rsidRDefault="006F0D93">
      <w:pPr>
        <w:pStyle w:val="BodyText"/>
        <w:spacing w:line="501" w:lineRule="auto"/>
        <w:ind w:left="1419" w:right="850"/>
        <w:jc w:val="both"/>
      </w:pPr>
      <w:r>
        <w:rPr>
          <w:w w:val="105"/>
        </w:rPr>
        <w:t>The</w:t>
      </w:r>
      <w:r>
        <w:rPr>
          <w:spacing w:val="-9"/>
          <w:w w:val="105"/>
        </w:rPr>
        <w:t xml:space="preserve"> </w:t>
      </w:r>
      <w:r>
        <w:rPr>
          <w:w w:val="105"/>
        </w:rPr>
        <w:t>operating</w:t>
      </w:r>
      <w:r>
        <w:rPr>
          <w:spacing w:val="-2"/>
          <w:w w:val="105"/>
        </w:rPr>
        <w:t xml:space="preserve"> </w:t>
      </w:r>
      <w:r>
        <w:rPr>
          <w:w w:val="105"/>
        </w:rPr>
        <w:t>setting</w:t>
      </w:r>
      <w:r>
        <w:rPr>
          <w:spacing w:val="-9"/>
          <w:w w:val="105"/>
        </w:rPr>
        <w:t xml:space="preserve"> </w:t>
      </w:r>
      <w:r>
        <w:rPr>
          <w:w w:val="105"/>
        </w:rPr>
        <w:t>of</w:t>
      </w:r>
      <w:r>
        <w:rPr>
          <w:spacing w:val="-11"/>
          <w:w w:val="105"/>
        </w:rPr>
        <w:t xml:space="preserve"> </w:t>
      </w:r>
      <w:r>
        <w:rPr>
          <w:w w:val="105"/>
        </w:rPr>
        <w:t>public</w:t>
      </w:r>
      <w:r>
        <w:rPr>
          <w:spacing w:val="-9"/>
          <w:w w:val="105"/>
        </w:rPr>
        <w:t xml:space="preserve"> </w:t>
      </w:r>
      <w:r>
        <w:rPr>
          <w:w w:val="105"/>
        </w:rPr>
        <w:t>procurement</w:t>
      </w:r>
      <w:r>
        <w:rPr>
          <w:spacing w:val="-7"/>
          <w:w w:val="105"/>
        </w:rPr>
        <w:t xml:space="preserve"> </w:t>
      </w:r>
      <w:r>
        <w:rPr>
          <w:w w:val="105"/>
        </w:rPr>
        <w:t>in</w:t>
      </w:r>
      <w:r>
        <w:rPr>
          <w:spacing w:val="-9"/>
          <w:w w:val="105"/>
        </w:rPr>
        <w:t xml:space="preserve"> </w:t>
      </w:r>
      <w:r>
        <w:rPr>
          <w:w w:val="105"/>
        </w:rPr>
        <w:t>Tanzanian</w:t>
      </w:r>
      <w:r>
        <w:rPr>
          <w:spacing w:val="-9"/>
          <w:w w:val="105"/>
        </w:rPr>
        <w:t xml:space="preserve"> </w:t>
      </w:r>
      <w:r>
        <w:rPr>
          <w:w w:val="105"/>
        </w:rPr>
        <w:t>particular</w:t>
      </w:r>
      <w:r>
        <w:rPr>
          <w:spacing w:val="-5"/>
          <w:w w:val="105"/>
        </w:rPr>
        <w:t xml:space="preserve"> </w:t>
      </w:r>
      <w:r>
        <w:rPr>
          <w:w w:val="105"/>
        </w:rPr>
        <w:t>for special</w:t>
      </w:r>
      <w:r>
        <w:rPr>
          <w:spacing w:val="-7"/>
          <w:w w:val="105"/>
        </w:rPr>
        <w:t xml:space="preserve"> </w:t>
      </w:r>
      <w:r>
        <w:rPr>
          <w:w w:val="105"/>
        </w:rPr>
        <w:t>group SMEs is the major reason behind this outcome. The potential for adaptive decision- m</w:t>
      </w:r>
      <w:r>
        <w:rPr>
          <w:w w:val="105"/>
        </w:rPr>
        <w:t>aking is severely reduced as a result of the tight procurement laws, policies, rules, comprehensive bid specifications, and procedural limitations that these enterprises operate under. Public procurement functions inside fixed contractual frameworks, which</w:t>
      </w:r>
      <w:r>
        <w:rPr>
          <w:w w:val="105"/>
        </w:rPr>
        <w:t xml:space="preserve"> offer little room for last-minute strategy maneuvers. This is in contrary to private markets, where strategies can be quickly altered to meet clients but public procurement</w:t>
      </w:r>
      <w:r>
        <w:rPr>
          <w:spacing w:val="-4"/>
          <w:w w:val="105"/>
        </w:rPr>
        <w:t xml:space="preserve"> </w:t>
      </w:r>
      <w:r>
        <w:rPr>
          <w:w w:val="105"/>
        </w:rPr>
        <w:t>operates</w:t>
      </w:r>
      <w:r>
        <w:rPr>
          <w:spacing w:val="-7"/>
          <w:w w:val="105"/>
        </w:rPr>
        <w:t xml:space="preserve"> </w:t>
      </w:r>
      <w:r>
        <w:rPr>
          <w:w w:val="105"/>
        </w:rPr>
        <w:t>within stipulated frameworks.</w:t>
      </w:r>
      <w:r>
        <w:rPr>
          <w:spacing w:val="-4"/>
          <w:w w:val="105"/>
        </w:rPr>
        <w:t xml:space="preserve"> </w:t>
      </w:r>
      <w:r>
        <w:rPr>
          <w:w w:val="105"/>
        </w:rPr>
        <w:t>Therefore, even</w:t>
      </w:r>
      <w:r>
        <w:rPr>
          <w:spacing w:val="-5"/>
          <w:w w:val="105"/>
        </w:rPr>
        <w:t xml:space="preserve"> </w:t>
      </w:r>
      <w:r>
        <w:rPr>
          <w:w w:val="105"/>
        </w:rPr>
        <w:t>when small</w:t>
      </w:r>
      <w:r>
        <w:rPr>
          <w:spacing w:val="-4"/>
          <w:w w:val="105"/>
        </w:rPr>
        <w:t xml:space="preserve"> </w:t>
      </w:r>
      <w:r>
        <w:rPr>
          <w:w w:val="105"/>
        </w:rPr>
        <w:t>and medium-sized</w:t>
      </w:r>
      <w:r>
        <w:rPr>
          <w:w w:val="105"/>
        </w:rPr>
        <w:t xml:space="preserve"> enterprises (SMEs) make an effort to implement flexibility, their capacity to modify delivery methods or specifications is restricted by compliance duties, which eliminates the possibility of a moderating effect.</w:t>
      </w:r>
    </w:p>
    <w:p w:rsidR="00487D64" w:rsidRDefault="006F0D93">
      <w:pPr>
        <w:pStyle w:val="BodyText"/>
        <w:spacing w:before="230" w:line="501" w:lineRule="auto"/>
        <w:ind w:left="1419" w:right="847"/>
        <w:jc w:val="both"/>
      </w:pPr>
      <w:r>
        <w:rPr>
          <w:w w:val="105"/>
        </w:rPr>
        <w:t>This study's findings resonate with the ob</w:t>
      </w:r>
      <w:r>
        <w:rPr>
          <w:w w:val="105"/>
        </w:rPr>
        <w:t>servations of Pekovic and Rolland (2016)</w:t>
      </w:r>
      <w:r>
        <w:rPr>
          <w:b/>
          <w:w w:val="105"/>
        </w:rPr>
        <w:t xml:space="preserve">, </w:t>
      </w:r>
      <w:r>
        <w:rPr>
          <w:w w:val="105"/>
        </w:rPr>
        <w:t>who demonstrated that customer orientation's effect on performance is not uniform but contingent on environmental conditions and supporting mechanisms. Their moderated mediation model suggests that customer orienta</w:t>
      </w:r>
      <w:r>
        <w:rPr>
          <w:w w:val="105"/>
        </w:rPr>
        <w:t>tion works best when supported by innovation systems and flexible structures. Similarly, Kasumaningtyas and Cempena (2024) found that the relationship between customer orientation and innovation is amplified by digital capabilities. Their research emphasiz</w:t>
      </w:r>
      <w:r>
        <w:rPr>
          <w:w w:val="105"/>
        </w:rPr>
        <w:t>ed that technology serves as a bridge, transforming customer insights into actionable innovation strategies. In contrast, when such enablers are absent, flexibility alone does not suffice.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9"/>
        <w:jc w:val="both"/>
      </w:pPr>
      <w:r>
        <w:rPr>
          <w:w w:val="105"/>
        </w:rPr>
        <w:t>In the Tanzanian public procurement</w:t>
      </w:r>
      <w:r>
        <w:rPr>
          <w:w w:val="105"/>
        </w:rPr>
        <w:t xml:space="preserve"> context, this study supports those findings by showing that flexibility, without the technological or institutional infrastructure to operationalize it, remains largely theoretical. These SMEs often lack advanced systems, financial capacity, and autonomy,</w:t>
      </w:r>
      <w:r>
        <w:rPr>
          <w:w w:val="105"/>
        </w:rPr>
        <w:t xml:space="preserve"> making it difficult to leverage flexibility in ways that meaningfully enhance competitiveness. This sharply contrasts with findings in dynamic market settings (e.g., Lee &amp; Wei, 2023) where strategic flexibility significantly boosted the impact of market o</w:t>
      </w:r>
      <w:r>
        <w:rPr>
          <w:w w:val="105"/>
        </w:rPr>
        <w:t xml:space="preserve">rientation on firm </w:t>
      </w:r>
      <w:r>
        <w:rPr>
          <w:spacing w:val="-2"/>
          <w:w w:val="105"/>
        </w:rPr>
        <w:t>performance.</w:t>
      </w:r>
    </w:p>
    <w:p w:rsidR="00487D64" w:rsidRDefault="006F0D93">
      <w:pPr>
        <w:pStyle w:val="BodyText"/>
        <w:spacing w:before="239" w:line="499" w:lineRule="auto"/>
        <w:ind w:left="1419" w:right="849"/>
        <w:jc w:val="both"/>
      </w:pPr>
      <w:r>
        <w:rPr>
          <w:w w:val="105"/>
        </w:rPr>
        <w:t>The</w:t>
      </w:r>
      <w:r>
        <w:rPr>
          <w:spacing w:val="-1"/>
          <w:w w:val="105"/>
        </w:rPr>
        <w:t xml:space="preserve"> </w:t>
      </w:r>
      <w:r>
        <w:rPr>
          <w:w w:val="105"/>
        </w:rPr>
        <w:t>divergence</w:t>
      </w:r>
      <w:r>
        <w:rPr>
          <w:spacing w:val="-1"/>
          <w:w w:val="105"/>
        </w:rPr>
        <w:t xml:space="preserve"> </w:t>
      </w:r>
      <w:r>
        <w:rPr>
          <w:w w:val="105"/>
        </w:rPr>
        <w:t>highlights</w:t>
      </w:r>
      <w:r>
        <w:rPr>
          <w:spacing w:val="-2"/>
          <w:w w:val="105"/>
        </w:rPr>
        <w:t xml:space="preserve"> </w:t>
      </w:r>
      <w:r>
        <w:rPr>
          <w:w w:val="105"/>
        </w:rPr>
        <w:t>a scientific</w:t>
      </w:r>
      <w:r>
        <w:rPr>
          <w:spacing w:val="-1"/>
          <w:w w:val="105"/>
        </w:rPr>
        <w:t xml:space="preserve"> </w:t>
      </w:r>
      <w:r>
        <w:rPr>
          <w:w w:val="105"/>
        </w:rPr>
        <w:t>contribution: the</w:t>
      </w:r>
      <w:r>
        <w:rPr>
          <w:spacing w:val="-1"/>
          <w:w w:val="105"/>
        </w:rPr>
        <w:t xml:space="preserve"> </w:t>
      </w:r>
      <w:r>
        <w:rPr>
          <w:w w:val="105"/>
        </w:rPr>
        <w:t>role of strategic flexibility as a moderator is highly context-dependent. In structured, rule-based markets such as public procurement, where compliance is prioritized</w:t>
      </w:r>
      <w:r>
        <w:rPr>
          <w:w w:val="105"/>
        </w:rPr>
        <w:t xml:space="preserve"> over adaptability, flexibility cannot fully function as a dynamic capability. Instead, it becomes dormant unless supported by digital infrastructure, resource capacity, and regulatory agility.</w:t>
      </w:r>
    </w:p>
    <w:p w:rsidR="00487D64" w:rsidRDefault="006F0D93">
      <w:pPr>
        <w:pStyle w:val="BodyText"/>
        <w:spacing w:before="246" w:line="501" w:lineRule="auto"/>
        <w:ind w:left="1419" w:right="852"/>
        <w:jc w:val="both"/>
      </w:pPr>
      <w:r>
        <w:rPr>
          <w:w w:val="105"/>
        </w:rPr>
        <w:t>Practically, the absence of significant moderation suggests th</w:t>
      </w:r>
      <w:r>
        <w:rPr>
          <w:w w:val="105"/>
        </w:rPr>
        <w:t>at special group enterprise in Tanzania may have already exercise maximum possible flexibility within existing constraints. For example, these firms can adjust internal processes like resource allocation or team coordination, but they cannot alter bid requ</w:t>
      </w:r>
      <w:r>
        <w:rPr>
          <w:w w:val="105"/>
        </w:rPr>
        <w:t>irements or contract terms, which</w:t>
      </w:r>
      <w:r>
        <w:rPr>
          <w:spacing w:val="-1"/>
          <w:w w:val="105"/>
        </w:rPr>
        <w:t xml:space="preserve"> </w:t>
      </w:r>
      <w:r>
        <w:rPr>
          <w:w w:val="105"/>
        </w:rPr>
        <w:t>are</w:t>
      </w:r>
      <w:r>
        <w:rPr>
          <w:spacing w:val="-2"/>
          <w:w w:val="105"/>
        </w:rPr>
        <w:t xml:space="preserve"> </w:t>
      </w:r>
      <w:r>
        <w:rPr>
          <w:w w:val="105"/>
        </w:rPr>
        <w:t>rigidly defined by procuring entities. Even when SMEs recognize evolving customer needs or environmental changes, they face limited options to adapt within procurement cycles. Unlike private sector contracts, where ter</w:t>
      </w:r>
      <w:r>
        <w:rPr>
          <w:w w:val="105"/>
        </w:rPr>
        <w:t>ms can be negotiated, public procurement emphasizes transparency and fairness, limiting</w:t>
      </w:r>
      <w:r>
        <w:rPr>
          <w:spacing w:val="-13"/>
          <w:w w:val="105"/>
        </w:rPr>
        <w:t xml:space="preserve"> </w:t>
      </w:r>
      <w:r>
        <w:rPr>
          <w:w w:val="105"/>
        </w:rPr>
        <w:t>strategic</w:t>
      </w:r>
      <w:r>
        <w:rPr>
          <w:spacing w:val="-9"/>
          <w:w w:val="105"/>
        </w:rPr>
        <w:t xml:space="preserve"> </w:t>
      </w:r>
      <w:r>
        <w:rPr>
          <w:w w:val="105"/>
        </w:rPr>
        <w:t>maneuverability.</w:t>
      </w:r>
      <w:r>
        <w:rPr>
          <w:spacing w:val="-12"/>
          <w:w w:val="105"/>
        </w:rPr>
        <w:t xml:space="preserve"> </w:t>
      </w:r>
      <w:r>
        <w:rPr>
          <w:w w:val="105"/>
        </w:rPr>
        <w:t>Therefore,</w:t>
      </w:r>
      <w:r>
        <w:rPr>
          <w:spacing w:val="-6"/>
          <w:w w:val="105"/>
        </w:rPr>
        <w:t xml:space="preserve"> </w:t>
      </w:r>
      <w:r>
        <w:rPr>
          <w:w w:val="105"/>
        </w:rPr>
        <w:t>strategic</w:t>
      </w:r>
      <w:r>
        <w:rPr>
          <w:spacing w:val="-9"/>
          <w:w w:val="105"/>
        </w:rPr>
        <w:t xml:space="preserve"> </w:t>
      </w:r>
      <w:r>
        <w:rPr>
          <w:w w:val="105"/>
        </w:rPr>
        <w:t>flexibility,</w:t>
      </w:r>
      <w:r>
        <w:rPr>
          <w:spacing w:val="-12"/>
          <w:w w:val="105"/>
        </w:rPr>
        <w:t xml:space="preserve"> </w:t>
      </w:r>
      <w:r>
        <w:rPr>
          <w:w w:val="105"/>
        </w:rPr>
        <w:t>while</w:t>
      </w:r>
      <w:r>
        <w:rPr>
          <w:spacing w:val="-9"/>
          <w:w w:val="105"/>
        </w:rPr>
        <w:t xml:space="preserve"> </w:t>
      </w:r>
      <w:r>
        <w:rPr>
          <w:w w:val="105"/>
        </w:rPr>
        <w:t>conceptually</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7"/>
        <w:jc w:val="both"/>
      </w:pPr>
      <w:r>
        <w:rPr>
          <w:w w:val="105"/>
        </w:rPr>
        <w:t>appealing, provides little incremental advantage in influencing</w:t>
      </w:r>
      <w:r>
        <w:rPr>
          <w:w w:val="105"/>
        </w:rPr>
        <w:t xml:space="preserve"> sustainable competitiveness under such structural restrictions.</w:t>
      </w:r>
    </w:p>
    <w:p w:rsidR="00487D64" w:rsidRDefault="00487D64">
      <w:pPr>
        <w:pStyle w:val="BodyText"/>
      </w:pPr>
    </w:p>
    <w:p w:rsidR="00487D64" w:rsidRDefault="00487D64">
      <w:pPr>
        <w:pStyle w:val="BodyText"/>
        <w:spacing w:before="25"/>
      </w:pPr>
    </w:p>
    <w:p w:rsidR="00487D64" w:rsidRDefault="006F0D93">
      <w:pPr>
        <w:pStyle w:val="ListParagraph"/>
        <w:numPr>
          <w:ilvl w:val="1"/>
          <w:numId w:val="7"/>
        </w:numPr>
        <w:tabs>
          <w:tab w:val="left" w:pos="1778"/>
        </w:tabs>
        <w:ind w:left="1778" w:hanging="359"/>
        <w:rPr>
          <w:b/>
          <w:sz w:val="23"/>
        </w:rPr>
      </w:pPr>
      <w:bookmarkStart w:id="196" w:name="5.6_The_Effect_of_Moderation_on_the_Rela"/>
      <w:bookmarkStart w:id="197" w:name="_bookmark94"/>
      <w:bookmarkEnd w:id="196"/>
      <w:bookmarkEnd w:id="197"/>
      <w:r>
        <w:rPr>
          <w:b/>
          <w:w w:val="105"/>
          <w:sz w:val="23"/>
        </w:rPr>
        <w:t>The</w:t>
      </w:r>
      <w:r>
        <w:rPr>
          <w:b/>
          <w:spacing w:val="-9"/>
          <w:w w:val="105"/>
          <w:sz w:val="23"/>
        </w:rPr>
        <w:t xml:space="preserve"> </w:t>
      </w:r>
      <w:r>
        <w:rPr>
          <w:b/>
          <w:w w:val="105"/>
          <w:sz w:val="23"/>
        </w:rPr>
        <w:t>Effect</w:t>
      </w:r>
      <w:r>
        <w:rPr>
          <w:b/>
          <w:spacing w:val="-12"/>
          <w:w w:val="105"/>
          <w:sz w:val="23"/>
        </w:rPr>
        <w:t xml:space="preserve"> </w:t>
      </w:r>
      <w:r>
        <w:rPr>
          <w:b/>
          <w:w w:val="105"/>
          <w:sz w:val="23"/>
        </w:rPr>
        <w:t>of</w:t>
      </w:r>
      <w:r>
        <w:rPr>
          <w:b/>
          <w:spacing w:val="-11"/>
          <w:w w:val="105"/>
          <w:sz w:val="23"/>
        </w:rPr>
        <w:t xml:space="preserve"> </w:t>
      </w:r>
      <w:r>
        <w:rPr>
          <w:b/>
          <w:w w:val="105"/>
          <w:sz w:val="23"/>
        </w:rPr>
        <w:t>Moderation</w:t>
      </w:r>
      <w:r>
        <w:rPr>
          <w:b/>
          <w:spacing w:val="-14"/>
          <w:w w:val="105"/>
          <w:sz w:val="23"/>
        </w:rPr>
        <w:t xml:space="preserve"> </w:t>
      </w:r>
      <w:r>
        <w:rPr>
          <w:b/>
          <w:w w:val="105"/>
          <w:sz w:val="23"/>
        </w:rPr>
        <w:t>on</w:t>
      </w:r>
      <w:r>
        <w:rPr>
          <w:b/>
          <w:spacing w:val="-5"/>
          <w:w w:val="105"/>
          <w:sz w:val="23"/>
        </w:rPr>
        <w:t xml:space="preserve"> </w:t>
      </w:r>
      <w:r>
        <w:rPr>
          <w:b/>
          <w:w w:val="105"/>
          <w:sz w:val="23"/>
        </w:rPr>
        <w:t>the</w:t>
      </w:r>
      <w:r>
        <w:rPr>
          <w:b/>
          <w:spacing w:val="-2"/>
          <w:w w:val="105"/>
          <w:sz w:val="23"/>
        </w:rPr>
        <w:t xml:space="preserve"> </w:t>
      </w:r>
      <w:r>
        <w:rPr>
          <w:b/>
          <w:w w:val="105"/>
          <w:sz w:val="23"/>
        </w:rPr>
        <w:t>Relationship</w:t>
      </w:r>
      <w:r>
        <w:rPr>
          <w:b/>
          <w:spacing w:val="-8"/>
          <w:w w:val="105"/>
          <w:sz w:val="23"/>
        </w:rPr>
        <w:t xml:space="preserve"> </w:t>
      </w:r>
      <w:r>
        <w:rPr>
          <w:b/>
          <w:w w:val="105"/>
          <w:sz w:val="23"/>
        </w:rPr>
        <w:t>between</w:t>
      </w:r>
      <w:r>
        <w:rPr>
          <w:b/>
          <w:spacing w:val="-14"/>
          <w:w w:val="105"/>
          <w:sz w:val="23"/>
        </w:rPr>
        <w:t xml:space="preserve"> </w:t>
      </w:r>
      <w:r>
        <w:rPr>
          <w:b/>
          <w:w w:val="105"/>
          <w:sz w:val="23"/>
        </w:rPr>
        <w:t>CO</w:t>
      </w:r>
      <w:r>
        <w:rPr>
          <w:b/>
          <w:spacing w:val="-4"/>
          <w:w w:val="105"/>
          <w:sz w:val="23"/>
        </w:rPr>
        <w:t xml:space="preserve"> </w:t>
      </w:r>
      <w:r>
        <w:rPr>
          <w:b/>
          <w:w w:val="105"/>
          <w:sz w:val="23"/>
        </w:rPr>
        <w:t>and</w:t>
      </w:r>
      <w:r>
        <w:rPr>
          <w:b/>
          <w:spacing w:val="-8"/>
          <w:w w:val="105"/>
          <w:sz w:val="23"/>
        </w:rPr>
        <w:t xml:space="preserve"> </w:t>
      </w:r>
      <w:r>
        <w:rPr>
          <w:b/>
          <w:spacing w:val="-5"/>
          <w:w w:val="105"/>
          <w:sz w:val="23"/>
        </w:rPr>
        <w:t>SC</w:t>
      </w:r>
    </w:p>
    <w:p w:rsidR="00487D64" w:rsidRDefault="00487D64">
      <w:pPr>
        <w:pStyle w:val="BodyText"/>
        <w:spacing w:before="18"/>
        <w:rPr>
          <w:b/>
        </w:rPr>
      </w:pPr>
    </w:p>
    <w:p w:rsidR="00487D64" w:rsidRDefault="006F0D93">
      <w:pPr>
        <w:pStyle w:val="BodyText"/>
        <w:spacing w:line="501" w:lineRule="auto"/>
        <w:ind w:left="1419" w:right="848"/>
        <w:jc w:val="both"/>
      </w:pPr>
      <w:r>
        <w:rPr>
          <w:w w:val="105"/>
        </w:rPr>
        <w:t>The study revealed that Strategic Flexibility (SF) significantly moderates the relationship between Competitor Orientation (C</w:t>
      </w:r>
      <w:r>
        <w:rPr>
          <w:w w:val="105"/>
        </w:rPr>
        <w:t>O) and Sustainable Competitiveness (SC) (M</w:t>
      </w:r>
      <w:r>
        <w:rPr>
          <w:spacing w:val="-1"/>
          <w:w w:val="105"/>
        </w:rPr>
        <w:t xml:space="preserve"> </w:t>
      </w:r>
      <w:r>
        <w:rPr>
          <w:w w:val="105"/>
        </w:rPr>
        <w:t>= –0.166, STDEV</w:t>
      </w:r>
      <w:r>
        <w:rPr>
          <w:spacing w:val="-4"/>
          <w:w w:val="105"/>
        </w:rPr>
        <w:t xml:space="preserve"> </w:t>
      </w:r>
      <w:r>
        <w:rPr>
          <w:w w:val="105"/>
        </w:rPr>
        <w:t>= 0.175, T = 3.378, p</w:t>
      </w:r>
      <w:r>
        <w:rPr>
          <w:spacing w:val="-2"/>
          <w:w w:val="105"/>
        </w:rPr>
        <w:t xml:space="preserve"> </w:t>
      </w:r>
      <w:r>
        <w:rPr>
          <w:w w:val="105"/>
        </w:rPr>
        <w:t>= 0.001), supporting</w:t>
      </w:r>
      <w:r>
        <w:rPr>
          <w:spacing w:val="-2"/>
          <w:w w:val="105"/>
        </w:rPr>
        <w:t xml:space="preserve"> </w:t>
      </w:r>
      <w:r>
        <w:rPr>
          <w:w w:val="105"/>
        </w:rPr>
        <w:t>Hypothesis</w:t>
      </w:r>
      <w:r>
        <w:rPr>
          <w:spacing w:val="-4"/>
          <w:w w:val="105"/>
        </w:rPr>
        <w:t xml:space="preserve"> </w:t>
      </w:r>
      <w:r>
        <w:rPr>
          <w:w w:val="105"/>
        </w:rPr>
        <w:t>5. This indicates that the influence of competitor orientation on sustainable competitiveness is strengthened when firms possess high strategic</w:t>
      </w:r>
      <w:r>
        <w:rPr>
          <w:w w:val="105"/>
        </w:rPr>
        <w:t xml:space="preserve"> flexibility. In practical terms, this means that special group SMEs operating in Tanzania’s public procurement environment derive</w:t>
      </w:r>
      <w:r>
        <w:rPr>
          <w:spacing w:val="-2"/>
          <w:w w:val="105"/>
        </w:rPr>
        <w:t xml:space="preserve"> </w:t>
      </w:r>
      <w:r>
        <w:rPr>
          <w:w w:val="105"/>
        </w:rPr>
        <w:t>greater benefits from competitor-focused strategies when they are capable of adapting quickly to changes, reallocating</w:t>
      </w:r>
      <w:r>
        <w:rPr>
          <w:w w:val="105"/>
        </w:rPr>
        <w:t xml:space="preserve"> resources, and revising strategies in response to market dynamics.</w:t>
      </w:r>
    </w:p>
    <w:p w:rsidR="00487D64" w:rsidRDefault="006F0D93">
      <w:pPr>
        <w:pStyle w:val="BodyText"/>
        <w:spacing w:before="233" w:line="501" w:lineRule="auto"/>
        <w:ind w:left="1419" w:right="854"/>
        <w:jc w:val="both"/>
      </w:pPr>
      <w:r>
        <w:rPr>
          <w:w w:val="105"/>
        </w:rPr>
        <w:t>Competitor orientation, a key component of Market Orientation Theory (Narver &amp; Slater, 1990), involves the systematic collection and analysis of information on competitors’ strengths,</w:t>
      </w:r>
      <w:r>
        <w:rPr>
          <w:w w:val="105"/>
        </w:rPr>
        <w:t xml:space="preserve"> weaknesses, and strategies to anticipate their moves and enhance strategic decision-making. However, competitor intelligence alone is insufficient if firms lack the agility to act upon it. This is where strategic flexibility becomes</w:t>
      </w:r>
      <w:r>
        <w:rPr>
          <w:spacing w:val="-3"/>
          <w:w w:val="105"/>
        </w:rPr>
        <w:t xml:space="preserve"> </w:t>
      </w:r>
      <w:r>
        <w:rPr>
          <w:w w:val="105"/>
        </w:rPr>
        <w:t>critical. According</w:t>
      </w:r>
      <w:r>
        <w:rPr>
          <w:spacing w:val="-7"/>
          <w:w w:val="105"/>
        </w:rPr>
        <w:t xml:space="preserve"> </w:t>
      </w:r>
      <w:r>
        <w:rPr>
          <w:w w:val="105"/>
        </w:rPr>
        <w:t>to</w:t>
      </w:r>
      <w:r>
        <w:rPr>
          <w:spacing w:val="-2"/>
          <w:w w:val="105"/>
        </w:rPr>
        <w:t xml:space="preserve"> </w:t>
      </w:r>
      <w:r>
        <w:rPr>
          <w:w w:val="105"/>
        </w:rPr>
        <w:t>Dynamic</w:t>
      </w:r>
      <w:r>
        <w:rPr>
          <w:spacing w:val="-2"/>
          <w:w w:val="105"/>
        </w:rPr>
        <w:t xml:space="preserve"> </w:t>
      </w:r>
      <w:r>
        <w:rPr>
          <w:w w:val="105"/>
        </w:rPr>
        <w:t>Capability</w:t>
      </w:r>
      <w:r>
        <w:rPr>
          <w:spacing w:val="-7"/>
          <w:w w:val="105"/>
        </w:rPr>
        <w:t xml:space="preserve"> </w:t>
      </w:r>
      <w:r>
        <w:rPr>
          <w:w w:val="105"/>
        </w:rPr>
        <w:t>Theory</w:t>
      </w:r>
      <w:r>
        <w:rPr>
          <w:spacing w:val="-7"/>
          <w:w w:val="105"/>
        </w:rPr>
        <w:t xml:space="preserve"> </w:t>
      </w:r>
      <w:r>
        <w:rPr>
          <w:w w:val="105"/>
        </w:rPr>
        <w:t>(Teece, 2007),</w:t>
      </w:r>
      <w:r>
        <w:rPr>
          <w:spacing w:val="-5"/>
          <w:w w:val="105"/>
        </w:rPr>
        <w:t xml:space="preserve"> </w:t>
      </w:r>
      <w:r>
        <w:rPr>
          <w:w w:val="105"/>
        </w:rPr>
        <w:t>flexibility represents</w:t>
      </w:r>
      <w:r>
        <w:rPr>
          <w:spacing w:val="-7"/>
          <w:w w:val="105"/>
        </w:rPr>
        <w:t xml:space="preserve"> </w:t>
      </w:r>
      <w:r>
        <w:rPr>
          <w:w w:val="105"/>
        </w:rPr>
        <w:t>a firm’s</w:t>
      </w:r>
      <w:r>
        <w:rPr>
          <w:spacing w:val="-13"/>
          <w:w w:val="105"/>
        </w:rPr>
        <w:t xml:space="preserve"> </w:t>
      </w:r>
      <w:r>
        <w:rPr>
          <w:w w:val="105"/>
        </w:rPr>
        <w:t>ability</w:t>
      </w:r>
      <w:r>
        <w:rPr>
          <w:spacing w:val="-5"/>
          <w:w w:val="105"/>
        </w:rPr>
        <w:t xml:space="preserve"> </w:t>
      </w:r>
      <w:r>
        <w:rPr>
          <w:w w:val="105"/>
        </w:rPr>
        <w:t>to</w:t>
      </w:r>
      <w:r>
        <w:rPr>
          <w:spacing w:val="-5"/>
          <w:w w:val="105"/>
        </w:rPr>
        <w:t xml:space="preserve"> </w:t>
      </w:r>
      <w:r>
        <w:rPr>
          <w:w w:val="105"/>
        </w:rPr>
        <w:t>reconfigure</w:t>
      </w:r>
      <w:r>
        <w:rPr>
          <w:spacing w:val="-6"/>
          <w:w w:val="105"/>
        </w:rPr>
        <w:t xml:space="preserve"> </w:t>
      </w:r>
      <w:r>
        <w:rPr>
          <w:w w:val="105"/>
        </w:rPr>
        <w:t>resources</w:t>
      </w:r>
      <w:r>
        <w:rPr>
          <w:spacing w:val="-7"/>
          <w:w w:val="105"/>
        </w:rPr>
        <w:t xml:space="preserve"> </w:t>
      </w:r>
      <w:r>
        <w:rPr>
          <w:w w:val="105"/>
        </w:rPr>
        <w:t>and</w:t>
      </w:r>
      <w:r>
        <w:rPr>
          <w:spacing w:val="-5"/>
          <w:w w:val="105"/>
        </w:rPr>
        <w:t xml:space="preserve"> </w:t>
      </w:r>
      <w:r>
        <w:rPr>
          <w:w w:val="105"/>
        </w:rPr>
        <w:t>adapt</w:t>
      </w:r>
      <w:r>
        <w:rPr>
          <w:spacing w:val="-3"/>
          <w:w w:val="105"/>
        </w:rPr>
        <w:t xml:space="preserve"> </w:t>
      </w:r>
      <w:r>
        <w:rPr>
          <w:w w:val="105"/>
        </w:rPr>
        <w:t>processes</w:t>
      </w:r>
      <w:r>
        <w:rPr>
          <w:spacing w:val="-7"/>
          <w:w w:val="105"/>
        </w:rPr>
        <w:t xml:space="preserve"> </w:t>
      </w:r>
      <w:r>
        <w:rPr>
          <w:w w:val="105"/>
        </w:rPr>
        <w:t>in</w:t>
      </w:r>
      <w:r>
        <w:rPr>
          <w:spacing w:val="-11"/>
          <w:w w:val="105"/>
        </w:rPr>
        <w:t xml:space="preserve"> </w:t>
      </w:r>
      <w:r>
        <w:rPr>
          <w:w w:val="105"/>
        </w:rPr>
        <w:t>response</w:t>
      </w:r>
      <w:r>
        <w:rPr>
          <w:spacing w:val="-6"/>
          <w:w w:val="105"/>
        </w:rPr>
        <w:t xml:space="preserve"> </w:t>
      </w:r>
      <w:r>
        <w:rPr>
          <w:w w:val="105"/>
        </w:rPr>
        <w:t>to environmental turbulence. In public procurement, where competition is intense and bid</w:t>
      </w:r>
      <w:r>
        <w:rPr>
          <w:spacing w:val="80"/>
          <w:w w:val="150"/>
        </w:rPr>
        <w:t xml:space="preserve"> </w:t>
      </w:r>
      <w:r>
        <w:rPr>
          <w:w w:val="105"/>
        </w:rPr>
        <w:t>specifications</w:t>
      </w:r>
      <w:r>
        <w:rPr>
          <w:spacing w:val="80"/>
          <w:w w:val="150"/>
        </w:rPr>
        <w:t xml:space="preserve"> </w:t>
      </w:r>
      <w:r>
        <w:rPr>
          <w:w w:val="105"/>
        </w:rPr>
        <w:t>change</w:t>
      </w:r>
      <w:r>
        <w:rPr>
          <w:spacing w:val="80"/>
          <w:w w:val="150"/>
        </w:rPr>
        <w:t xml:space="preserve"> </w:t>
      </w:r>
      <w:r>
        <w:rPr>
          <w:w w:val="105"/>
        </w:rPr>
        <w:t>rapidl</w:t>
      </w:r>
      <w:r>
        <w:rPr>
          <w:w w:val="105"/>
        </w:rPr>
        <w:t>y,</w:t>
      </w:r>
      <w:r>
        <w:rPr>
          <w:spacing w:val="80"/>
          <w:w w:val="150"/>
        </w:rPr>
        <w:t xml:space="preserve"> </w:t>
      </w:r>
      <w:r>
        <w:rPr>
          <w:w w:val="105"/>
        </w:rPr>
        <w:t>strategic</w:t>
      </w:r>
      <w:r>
        <w:rPr>
          <w:spacing w:val="80"/>
          <w:w w:val="150"/>
        </w:rPr>
        <w:t xml:space="preserve"> </w:t>
      </w:r>
      <w:r>
        <w:rPr>
          <w:w w:val="105"/>
        </w:rPr>
        <w:t>flexibility</w:t>
      </w:r>
      <w:r>
        <w:rPr>
          <w:spacing w:val="80"/>
          <w:w w:val="150"/>
        </w:rPr>
        <w:t xml:space="preserve"> </w:t>
      </w:r>
      <w:r>
        <w:rPr>
          <w:w w:val="105"/>
        </w:rPr>
        <w:t>transforms</w:t>
      </w:r>
      <w:r>
        <w:rPr>
          <w:spacing w:val="80"/>
          <w:w w:val="150"/>
        </w:rPr>
        <w:t xml:space="preserve"> </w:t>
      </w:r>
      <w:r>
        <w:rPr>
          <w:w w:val="105"/>
        </w:rPr>
        <w:t>competitor</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4"/>
        <w:jc w:val="both"/>
      </w:pPr>
      <w:r>
        <w:rPr>
          <w:w w:val="105"/>
        </w:rPr>
        <w:t>knowledge into actionable strategies, enabling SMEs to prepare competitive bids, adjust pricing structures, and comply with new regulatory requirements.</w:t>
      </w:r>
    </w:p>
    <w:p w:rsidR="00487D64" w:rsidRDefault="006F0D93">
      <w:pPr>
        <w:pStyle w:val="BodyText"/>
        <w:spacing w:before="236" w:line="501" w:lineRule="auto"/>
        <w:ind w:left="1419" w:right="850"/>
        <w:jc w:val="both"/>
      </w:pPr>
      <w:r>
        <w:rPr>
          <w:w w:val="105"/>
        </w:rPr>
        <w:t>For example, an SMEs that identifi</w:t>
      </w:r>
      <w:r>
        <w:rPr>
          <w:w w:val="105"/>
        </w:rPr>
        <w:t>es a competitor reducing prices to win a government contract can</w:t>
      </w:r>
      <w:r>
        <w:rPr>
          <w:spacing w:val="-1"/>
          <w:w w:val="105"/>
        </w:rPr>
        <w:t xml:space="preserve"> </w:t>
      </w:r>
      <w:r>
        <w:rPr>
          <w:w w:val="105"/>
        </w:rPr>
        <w:t>respond by</w:t>
      </w:r>
      <w:r>
        <w:rPr>
          <w:spacing w:val="-1"/>
          <w:w w:val="105"/>
        </w:rPr>
        <w:t xml:space="preserve"> </w:t>
      </w:r>
      <w:r>
        <w:rPr>
          <w:w w:val="105"/>
        </w:rPr>
        <w:t>leveraging</w:t>
      </w:r>
      <w:r>
        <w:rPr>
          <w:spacing w:val="-1"/>
          <w:w w:val="105"/>
        </w:rPr>
        <w:t xml:space="preserve"> </w:t>
      </w:r>
      <w:r>
        <w:rPr>
          <w:w w:val="105"/>
        </w:rPr>
        <w:t>its</w:t>
      </w:r>
      <w:r>
        <w:rPr>
          <w:spacing w:val="-3"/>
          <w:w w:val="105"/>
        </w:rPr>
        <w:t xml:space="preserve"> </w:t>
      </w:r>
      <w:r>
        <w:rPr>
          <w:w w:val="105"/>
        </w:rPr>
        <w:t>flexibility</w:t>
      </w:r>
      <w:r>
        <w:rPr>
          <w:spacing w:val="-1"/>
          <w:w w:val="105"/>
        </w:rPr>
        <w:t xml:space="preserve"> </w:t>
      </w:r>
      <w:r>
        <w:rPr>
          <w:w w:val="105"/>
        </w:rPr>
        <w:t>to</w:t>
      </w:r>
      <w:r>
        <w:rPr>
          <w:spacing w:val="-1"/>
          <w:w w:val="105"/>
        </w:rPr>
        <w:t xml:space="preserve"> </w:t>
      </w:r>
      <w:r>
        <w:rPr>
          <w:w w:val="105"/>
        </w:rPr>
        <w:t>reallocate</w:t>
      </w:r>
      <w:r>
        <w:rPr>
          <w:spacing w:val="-8"/>
          <w:w w:val="105"/>
        </w:rPr>
        <w:t xml:space="preserve"> </w:t>
      </w:r>
      <w:r>
        <w:rPr>
          <w:w w:val="105"/>
        </w:rPr>
        <w:t xml:space="preserve">resources, renegotiate supplier terms, or innovate its service delivery model. Without such flexibility, the intelligence gathered remains </w:t>
      </w:r>
      <w:r>
        <w:rPr>
          <w:w w:val="105"/>
        </w:rPr>
        <w:t>underutilized, resulting in missed opportunities. This interaction between competitor orientation and strategic flexibility explains why firms that combine both capabilities achieve superior sustainable competitiveness.</w:t>
      </w:r>
    </w:p>
    <w:p w:rsidR="00487D64" w:rsidRDefault="006F0D93">
      <w:pPr>
        <w:pStyle w:val="BodyText"/>
        <w:spacing w:before="237" w:line="501" w:lineRule="auto"/>
        <w:ind w:left="1419" w:right="851"/>
        <w:jc w:val="both"/>
      </w:pPr>
      <w:r>
        <w:rPr>
          <w:w w:val="105"/>
        </w:rPr>
        <w:t>The findings strongly align with Kha</w:t>
      </w:r>
      <w:r>
        <w:rPr>
          <w:w w:val="105"/>
        </w:rPr>
        <w:t>n et al. (2022)</w:t>
      </w:r>
      <w:r>
        <w:rPr>
          <w:b/>
          <w:w w:val="105"/>
        </w:rPr>
        <w:t xml:space="preserve">, </w:t>
      </w:r>
      <w:r>
        <w:rPr>
          <w:w w:val="105"/>
        </w:rPr>
        <w:t xml:space="preserve">who observed that strategic flexibility enhances the performance impact of strategic orientations in family firms by facilitating rapid adaptation to competitive pressures. Similarly, Yang et al. (2022) confirmed through hybrid SEM-neural </w:t>
      </w:r>
      <w:r>
        <w:rPr>
          <w:w w:val="105"/>
        </w:rPr>
        <w:t>network analysis that strategic flexibility</w:t>
      </w:r>
      <w:r>
        <w:rPr>
          <w:spacing w:val="-8"/>
          <w:w w:val="105"/>
        </w:rPr>
        <w:t xml:space="preserve"> </w:t>
      </w:r>
      <w:r>
        <w:rPr>
          <w:w w:val="105"/>
        </w:rPr>
        <w:t>amplifies</w:t>
      </w:r>
      <w:r>
        <w:rPr>
          <w:spacing w:val="-10"/>
          <w:w w:val="105"/>
        </w:rPr>
        <w:t xml:space="preserve"> </w:t>
      </w:r>
      <w:r>
        <w:rPr>
          <w:w w:val="105"/>
        </w:rPr>
        <w:t>the</w:t>
      </w:r>
      <w:r>
        <w:rPr>
          <w:spacing w:val="-9"/>
          <w:w w:val="105"/>
        </w:rPr>
        <w:t xml:space="preserve"> </w:t>
      </w:r>
      <w:r>
        <w:rPr>
          <w:w w:val="105"/>
        </w:rPr>
        <w:t>influence</w:t>
      </w:r>
      <w:r>
        <w:rPr>
          <w:spacing w:val="-9"/>
          <w:w w:val="105"/>
        </w:rPr>
        <w:t xml:space="preserve"> </w:t>
      </w:r>
      <w:r>
        <w:rPr>
          <w:w w:val="105"/>
        </w:rPr>
        <w:t>of</w:t>
      </w:r>
      <w:r>
        <w:rPr>
          <w:spacing w:val="-4"/>
          <w:w w:val="105"/>
        </w:rPr>
        <w:t xml:space="preserve"> </w:t>
      </w:r>
      <w:r>
        <w:rPr>
          <w:w w:val="105"/>
        </w:rPr>
        <w:t>competitor orientation</w:t>
      </w:r>
      <w:r>
        <w:rPr>
          <w:spacing w:val="-2"/>
          <w:w w:val="105"/>
        </w:rPr>
        <w:t xml:space="preserve"> </w:t>
      </w:r>
      <w:r>
        <w:rPr>
          <w:w w:val="105"/>
        </w:rPr>
        <w:t>on</w:t>
      </w:r>
      <w:r>
        <w:rPr>
          <w:spacing w:val="-8"/>
          <w:w w:val="105"/>
        </w:rPr>
        <w:t xml:space="preserve"> </w:t>
      </w:r>
      <w:r>
        <w:rPr>
          <w:w w:val="105"/>
        </w:rPr>
        <w:t>competitive</w:t>
      </w:r>
      <w:r>
        <w:rPr>
          <w:spacing w:val="-15"/>
          <w:w w:val="105"/>
        </w:rPr>
        <w:t xml:space="preserve"> </w:t>
      </w:r>
      <w:r>
        <w:rPr>
          <w:w w:val="105"/>
        </w:rPr>
        <w:t>advantage and economic sustainability in dynamic markets. These studies support the idea that flexibility is not merely a supportive capability but</w:t>
      </w:r>
      <w:r>
        <w:rPr>
          <w:w w:val="105"/>
        </w:rPr>
        <w:t xml:space="preserve"> a catalyst that enables the full potential of competitor orientation.</w:t>
      </w:r>
    </w:p>
    <w:p w:rsidR="00487D64" w:rsidRDefault="006F0D93">
      <w:pPr>
        <w:pStyle w:val="BodyText"/>
        <w:spacing w:before="231" w:line="501" w:lineRule="auto"/>
        <w:ind w:left="1419" w:right="855"/>
        <w:jc w:val="both"/>
      </w:pPr>
      <w:r>
        <w:rPr>
          <w:w w:val="105"/>
        </w:rPr>
        <w:t>This study extends those insights to a regulated procurement environment, which is markedly different from free-market contexts. Unlike open markets where firms can easily adjust prices</w:t>
      </w:r>
      <w:r>
        <w:rPr>
          <w:w w:val="105"/>
        </w:rPr>
        <w:t xml:space="preserve"> or product features, public procurement imposes strict compliance rules, standardized evaluation criteria, and limited negotiation opportunities. Therefore, the ability to adapt within these constraints such as restructuring</w:t>
      </w:r>
      <w:r>
        <w:rPr>
          <w:spacing w:val="68"/>
          <w:w w:val="105"/>
        </w:rPr>
        <w:t xml:space="preserve"> </w:t>
      </w:r>
      <w:r>
        <w:rPr>
          <w:w w:val="105"/>
        </w:rPr>
        <w:t>cost</w:t>
      </w:r>
      <w:r>
        <w:rPr>
          <w:spacing w:val="70"/>
          <w:w w:val="105"/>
        </w:rPr>
        <w:t xml:space="preserve"> </w:t>
      </w:r>
      <w:r>
        <w:rPr>
          <w:w w:val="105"/>
        </w:rPr>
        <w:t>elements</w:t>
      </w:r>
      <w:r>
        <w:rPr>
          <w:spacing w:val="65"/>
          <w:w w:val="105"/>
        </w:rPr>
        <w:t xml:space="preserve"> </w:t>
      </w:r>
      <w:r>
        <w:rPr>
          <w:w w:val="105"/>
        </w:rPr>
        <w:t>or</w:t>
      </w:r>
      <w:r>
        <w:rPr>
          <w:spacing w:val="72"/>
          <w:w w:val="105"/>
        </w:rPr>
        <w:t xml:space="preserve"> </w:t>
      </w:r>
      <w:r>
        <w:rPr>
          <w:w w:val="105"/>
        </w:rPr>
        <w:t>enhancing</w:t>
      </w:r>
      <w:r>
        <w:rPr>
          <w:spacing w:val="68"/>
          <w:w w:val="105"/>
        </w:rPr>
        <w:t xml:space="preserve"> </w:t>
      </w:r>
      <w:r>
        <w:rPr>
          <w:w w:val="105"/>
        </w:rPr>
        <w:t>bid</w:t>
      </w:r>
      <w:r>
        <w:rPr>
          <w:spacing w:val="62"/>
          <w:w w:val="105"/>
        </w:rPr>
        <w:t xml:space="preserve"> </w:t>
      </w:r>
      <w:r>
        <w:rPr>
          <w:w w:val="105"/>
        </w:rPr>
        <w:t>quality</w:t>
      </w:r>
      <w:r>
        <w:rPr>
          <w:spacing w:val="68"/>
          <w:w w:val="105"/>
        </w:rPr>
        <w:t xml:space="preserve"> </w:t>
      </w:r>
      <w:r>
        <w:rPr>
          <w:w w:val="105"/>
        </w:rPr>
        <w:t>is</w:t>
      </w:r>
      <w:r>
        <w:rPr>
          <w:spacing w:val="59"/>
          <w:w w:val="105"/>
        </w:rPr>
        <w:t xml:space="preserve"> </w:t>
      </w:r>
      <w:r>
        <w:rPr>
          <w:w w:val="105"/>
        </w:rPr>
        <w:t>crucial</w:t>
      </w:r>
      <w:r>
        <w:rPr>
          <w:spacing w:val="70"/>
          <w:w w:val="105"/>
        </w:rPr>
        <w:t xml:space="preserve"> </w:t>
      </w:r>
      <w:r>
        <w:rPr>
          <w:w w:val="105"/>
        </w:rPr>
        <w:t>for</w:t>
      </w:r>
      <w:r>
        <w:rPr>
          <w:spacing w:val="71"/>
          <w:w w:val="105"/>
        </w:rPr>
        <w:t xml:space="preserve"> </w:t>
      </w:r>
      <w:r>
        <w:rPr>
          <w:spacing w:val="-2"/>
          <w:w w:val="105"/>
        </w:rPr>
        <w:t>competitive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70"/>
        <w:jc w:val="both"/>
      </w:pPr>
      <w:r>
        <w:rPr>
          <w:w w:val="105"/>
        </w:rPr>
        <w:t>success. This adaptation underscores why strategic flexibility emerges as a key moderator in this context.</w:t>
      </w:r>
    </w:p>
    <w:p w:rsidR="00487D64" w:rsidRDefault="006F0D93">
      <w:pPr>
        <w:pStyle w:val="BodyText"/>
        <w:spacing w:before="236" w:line="501" w:lineRule="auto"/>
        <w:ind w:left="1419" w:right="846"/>
        <w:jc w:val="both"/>
      </w:pPr>
      <w:r>
        <w:rPr>
          <w:w w:val="105"/>
        </w:rPr>
        <w:t>In Tanzanian public procurement, SMEs often face tight deadlines,</w:t>
      </w:r>
      <w:r>
        <w:rPr>
          <w:w w:val="105"/>
        </w:rPr>
        <w:t xml:space="preserve"> mandatory documentation requirements, and evolving government procurement policies. Firms with high competitor orientation actively monitor rival bidding strategies, historical contract awards, and compliance performance. However, what differentiates succ</w:t>
      </w:r>
      <w:r>
        <w:rPr>
          <w:w w:val="105"/>
        </w:rPr>
        <w:t>essful SMEs is their capacity to act on this intelligence by quickly realigning internal resources, optimizing bid documents, or adopting digital tools to meet submission standards. For instance, some women-owned enterprises have leveraged flexibility to p</w:t>
      </w:r>
      <w:r>
        <w:rPr>
          <w:w w:val="105"/>
        </w:rPr>
        <w:t>ool resources through consortiums or subcontracting arrangements when competing against larger firms (Africa Freedom of Information Centre, n.d.). These adaptive strategies demonstrate the practical synergy between competitor orientation and flexibility in</w:t>
      </w:r>
      <w:r>
        <w:rPr>
          <w:w w:val="105"/>
        </w:rPr>
        <w:t xml:space="preserve"> sustaining competitiveness under rigid procurement </w:t>
      </w:r>
      <w:r>
        <w:rPr>
          <w:spacing w:val="-2"/>
          <w:w w:val="105"/>
        </w:rPr>
        <w:t>frameworks.</w:t>
      </w:r>
    </w:p>
    <w:p w:rsidR="00487D64" w:rsidRDefault="00487D64">
      <w:pPr>
        <w:pStyle w:val="BodyText"/>
      </w:pPr>
    </w:p>
    <w:p w:rsidR="00487D64" w:rsidRDefault="00487D64">
      <w:pPr>
        <w:pStyle w:val="BodyText"/>
        <w:spacing w:before="20"/>
      </w:pPr>
    </w:p>
    <w:p w:rsidR="00487D64" w:rsidRDefault="006F0D93">
      <w:pPr>
        <w:pStyle w:val="ListParagraph"/>
        <w:numPr>
          <w:ilvl w:val="1"/>
          <w:numId w:val="7"/>
        </w:numPr>
        <w:tabs>
          <w:tab w:val="left" w:pos="1778"/>
        </w:tabs>
        <w:ind w:left="1778" w:hanging="359"/>
        <w:rPr>
          <w:b/>
          <w:sz w:val="23"/>
        </w:rPr>
      </w:pPr>
      <w:bookmarkStart w:id="198" w:name="5.7_The_Effect_of_Moderation_on_the_Rela"/>
      <w:bookmarkStart w:id="199" w:name="_bookmark95"/>
      <w:bookmarkEnd w:id="198"/>
      <w:bookmarkEnd w:id="199"/>
      <w:r>
        <w:rPr>
          <w:b/>
          <w:w w:val="105"/>
          <w:sz w:val="23"/>
        </w:rPr>
        <w:t>The</w:t>
      </w:r>
      <w:r>
        <w:rPr>
          <w:b/>
          <w:spacing w:val="-9"/>
          <w:w w:val="105"/>
          <w:sz w:val="23"/>
        </w:rPr>
        <w:t xml:space="preserve"> </w:t>
      </w:r>
      <w:r>
        <w:rPr>
          <w:b/>
          <w:w w:val="105"/>
          <w:sz w:val="23"/>
        </w:rPr>
        <w:t>Effect</w:t>
      </w:r>
      <w:r>
        <w:rPr>
          <w:b/>
          <w:spacing w:val="-12"/>
          <w:w w:val="105"/>
          <w:sz w:val="23"/>
        </w:rPr>
        <w:t xml:space="preserve"> </w:t>
      </w:r>
      <w:r>
        <w:rPr>
          <w:b/>
          <w:w w:val="105"/>
          <w:sz w:val="23"/>
        </w:rPr>
        <w:t>of</w:t>
      </w:r>
      <w:r>
        <w:rPr>
          <w:b/>
          <w:spacing w:val="-11"/>
          <w:w w:val="105"/>
          <w:sz w:val="23"/>
        </w:rPr>
        <w:t xml:space="preserve"> </w:t>
      </w:r>
      <w:r>
        <w:rPr>
          <w:b/>
          <w:w w:val="105"/>
          <w:sz w:val="23"/>
        </w:rPr>
        <w:t>Moderation</w:t>
      </w:r>
      <w:r>
        <w:rPr>
          <w:b/>
          <w:spacing w:val="-14"/>
          <w:w w:val="105"/>
          <w:sz w:val="23"/>
        </w:rPr>
        <w:t xml:space="preserve"> </w:t>
      </w:r>
      <w:r>
        <w:rPr>
          <w:b/>
          <w:w w:val="105"/>
          <w:sz w:val="23"/>
        </w:rPr>
        <w:t>on</w:t>
      </w:r>
      <w:r>
        <w:rPr>
          <w:b/>
          <w:spacing w:val="-5"/>
          <w:w w:val="105"/>
          <w:sz w:val="23"/>
        </w:rPr>
        <w:t xml:space="preserve"> </w:t>
      </w:r>
      <w:r>
        <w:rPr>
          <w:b/>
          <w:w w:val="105"/>
          <w:sz w:val="23"/>
        </w:rPr>
        <w:t>the</w:t>
      </w:r>
      <w:r>
        <w:rPr>
          <w:b/>
          <w:spacing w:val="-3"/>
          <w:w w:val="105"/>
          <w:sz w:val="23"/>
        </w:rPr>
        <w:t xml:space="preserve"> </w:t>
      </w:r>
      <w:r>
        <w:rPr>
          <w:b/>
          <w:w w:val="105"/>
          <w:sz w:val="23"/>
        </w:rPr>
        <w:t>Relationship</w:t>
      </w:r>
      <w:r>
        <w:rPr>
          <w:b/>
          <w:spacing w:val="-8"/>
          <w:w w:val="105"/>
          <w:sz w:val="23"/>
        </w:rPr>
        <w:t xml:space="preserve"> </w:t>
      </w:r>
      <w:r>
        <w:rPr>
          <w:b/>
          <w:w w:val="105"/>
          <w:sz w:val="23"/>
        </w:rPr>
        <w:t>between</w:t>
      </w:r>
      <w:r>
        <w:rPr>
          <w:b/>
          <w:spacing w:val="-8"/>
          <w:w w:val="105"/>
          <w:sz w:val="23"/>
        </w:rPr>
        <w:t xml:space="preserve"> </w:t>
      </w:r>
      <w:r>
        <w:rPr>
          <w:b/>
          <w:w w:val="105"/>
          <w:sz w:val="23"/>
        </w:rPr>
        <w:t>FC</w:t>
      </w:r>
      <w:r>
        <w:rPr>
          <w:b/>
          <w:spacing w:val="-4"/>
          <w:w w:val="105"/>
          <w:sz w:val="23"/>
        </w:rPr>
        <w:t xml:space="preserve"> </w:t>
      </w:r>
      <w:r>
        <w:rPr>
          <w:b/>
          <w:w w:val="105"/>
          <w:sz w:val="23"/>
        </w:rPr>
        <w:t>and</w:t>
      </w:r>
      <w:r>
        <w:rPr>
          <w:b/>
          <w:spacing w:val="-8"/>
          <w:w w:val="105"/>
          <w:sz w:val="23"/>
        </w:rPr>
        <w:t xml:space="preserve"> </w:t>
      </w:r>
      <w:r>
        <w:rPr>
          <w:b/>
          <w:spacing w:val="-5"/>
          <w:w w:val="105"/>
          <w:sz w:val="23"/>
        </w:rPr>
        <w:t>SC</w:t>
      </w:r>
    </w:p>
    <w:p w:rsidR="00487D64" w:rsidRDefault="00487D64">
      <w:pPr>
        <w:pStyle w:val="BodyText"/>
        <w:spacing w:before="18"/>
        <w:rPr>
          <w:b/>
        </w:rPr>
      </w:pPr>
    </w:p>
    <w:p w:rsidR="00487D64" w:rsidRDefault="006F0D93">
      <w:pPr>
        <w:pStyle w:val="BodyText"/>
        <w:spacing w:line="499" w:lineRule="auto"/>
        <w:ind w:left="1419" w:right="851"/>
        <w:jc w:val="both"/>
      </w:pPr>
      <w:r>
        <w:rPr>
          <w:w w:val="105"/>
        </w:rPr>
        <w:t>The results of this study indicate that Strategic Flexibility (SF) did not significantly moderate the relationship between</w:t>
      </w:r>
      <w:r>
        <w:rPr>
          <w:w w:val="105"/>
        </w:rPr>
        <w:t xml:space="preserve"> Functional Coordination (FC) and Sustainable Competitiveness</w:t>
      </w:r>
      <w:r>
        <w:rPr>
          <w:spacing w:val="3"/>
          <w:w w:val="105"/>
        </w:rPr>
        <w:t xml:space="preserve"> </w:t>
      </w:r>
      <w:r>
        <w:rPr>
          <w:w w:val="105"/>
        </w:rPr>
        <w:t>(SC)</w:t>
      </w:r>
      <w:r>
        <w:rPr>
          <w:spacing w:val="6"/>
          <w:w w:val="105"/>
        </w:rPr>
        <w:t xml:space="preserve"> </w:t>
      </w:r>
      <w:r>
        <w:rPr>
          <w:w w:val="105"/>
        </w:rPr>
        <w:t>(M</w:t>
      </w:r>
      <w:r>
        <w:rPr>
          <w:spacing w:val="3"/>
          <w:w w:val="105"/>
        </w:rPr>
        <w:t xml:space="preserve"> </w:t>
      </w:r>
      <w:r>
        <w:rPr>
          <w:w w:val="105"/>
        </w:rPr>
        <w:t>=</w:t>
      </w:r>
      <w:r>
        <w:rPr>
          <w:spacing w:val="8"/>
          <w:w w:val="105"/>
        </w:rPr>
        <w:t xml:space="preserve"> </w:t>
      </w:r>
      <w:r>
        <w:rPr>
          <w:w w:val="105"/>
        </w:rPr>
        <w:t>0.098,</w:t>
      </w:r>
      <w:r>
        <w:rPr>
          <w:spacing w:val="4"/>
          <w:w w:val="105"/>
        </w:rPr>
        <w:t xml:space="preserve"> </w:t>
      </w:r>
      <w:r>
        <w:rPr>
          <w:w w:val="105"/>
        </w:rPr>
        <w:t>STDEV =</w:t>
      </w:r>
      <w:r>
        <w:rPr>
          <w:spacing w:val="8"/>
          <w:w w:val="105"/>
        </w:rPr>
        <w:t xml:space="preserve"> </w:t>
      </w:r>
      <w:r>
        <w:rPr>
          <w:w w:val="105"/>
        </w:rPr>
        <w:t>0.100,</w:t>
      </w:r>
      <w:r>
        <w:rPr>
          <w:spacing w:val="4"/>
          <w:w w:val="105"/>
        </w:rPr>
        <w:t xml:space="preserve"> </w:t>
      </w:r>
      <w:r>
        <w:rPr>
          <w:w w:val="105"/>
        </w:rPr>
        <w:t>O/STDEV =</w:t>
      </w:r>
      <w:r>
        <w:rPr>
          <w:spacing w:val="8"/>
          <w:w w:val="105"/>
        </w:rPr>
        <w:t xml:space="preserve"> </w:t>
      </w:r>
      <w:r>
        <w:rPr>
          <w:w w:val="105"/>
        </w:rPr>
        <w:t>1.556,</w:t>
      </w:r>
      <w:r>
        <w:rPr>
          <w:spacing w:val="4"/>
          <w:w w:val="105"/>
        </w:rPr>
        <w:t xml:space="preserve"> </w:t>
      </w:r>
      <w:r>
        <w:rPr>
          <w:w w:val="105"/>
        </w:rPr>
        <w:t>p</w:t>
      </w:r>
      <w:r>
        <w:rPr>
          <w:spacing w:val="8"/>
          <w:w w:val="105"/>
        </w:rPr>
        <w:t xml:space="preserve"> </w:t>
      </w:r>
      <w:r>
        <w:rPr>
          <w:w w:val="105"/>
        </w:rPr>
        <w:t>=</w:t>
      </w:r>
      <w:r>
        <w:rPr>
          <w:spacing w:val="8"/>
          <w:w w:val="105"/>
        </w:rPr>
        <w:t xml:space="preserve"> </w:t>
      </w:r>
      <w:r>
        <w:rPr>
          <w:spacing w:val="-2"/>
          <w:w w:val="105"/>
        </w:rPr>
        <w:t>0.120).</w:t>
      </w:r>
    </w:p>
    <w:p w:rsidR="00487D64" w:rsidRDefault="006F0D93">
      <w:pPr>
        <w:pStyle w:val="BodyText"/>
        <w:spacing w:before="7" w:line="501" w:lineRule="auto"/>
        <w:ind w:left="1419" w:right="851"/>
        <w:jc w:val="both"/>
      </w:pPr>
      <w:r>
        <w:rPr>
          <w:w w:val="105"/>
        </w:rPr>
        <w:t>This</w:t>
      </w:r>
      <w:r>
        <w:rPr>
          <w:spacing w:val="-1"/>
          <w:w w:val="105"/>
        </w:rPr>
        <w:t xml:space="preserve"> </w:t>
      </w:r>
      <w:r>
        <w:rPr>
          <w:w w:val="105"/>
        </w:rPr>
        <w:t>outcome</w:t>
      </w:r>
      <w:r>
        <w:rPr>
          <w:spacing w:val="-7"/>
          <w:w w:val="105"/>
        </w:rPr>
        <w:t xml:space="preserve"> </w:t>
      </w:r>
      <w:r>
        <w:rPr>
          <w:w w:val="105"/>
        </w:rPr>
        <w:t>led</w:t>
      </w:r>
      <w:r>
        <w:rPr>
          <w:spacing w:val="-6"/>
          <w:w w:val="105"/>
        </w:rPr>
        <w:t xml:space="preserve"> </w:t>
      </w:r>
      <w:r>
        <w:rPr>
          <w:w w:val="105"/>
        </w:rPr>
        <w:t>to</w:t>
      </w:r>
      <w:r>
        <w:rPr>
          <w:spacing w:val="-6"/>
          <w:w w:val="105"/>
        </w:rPr>
        <w:t xml:space="preserve"> </w:t>
      </w:r>
      <w:r>
        <w:rPr>
          <w:w w:val="105"/>
        </w:rPr>
        <w:t>the</w:t>
      </w:r>
      <w:r>
        <w:rPr>
          <w:spacing w:val="-7"/>
          <w:w w:val="105"/>
        </w:rPr>
        <w:t xml:space="preserve"> </w:t>
      </w:r>
      <w:r>
        <w:rPr>
          <w:w w:val="105"/>
        </w:rPr>
        <w:t>rejection</w:t>
      </w:r>
      <w:r>
        <w:rPr>
          <w:spacing w:val="-6"/>
          <w:w w:val="105"/>
        </w:rPr>
        <w:t xml:space="preserve"> </w:t>
      </w:r>
      <w:r>
        <w:rPr>
          <w:w w:val="105"/>
        </w:rPr>
        <w:t>of</w:t>
      </w:r>
      <w:r>
        <w:rPr>
          <w:spacing w:val="-2"/>
          <w:w w:val="105"/>
        </w:rPr>
        <w:t xml:space="preserve"> </w:t>
      </w:r>
      <w:r>
        <w:rPr>
          <w:w w:val="105"/>
        </w:rPr>
        <w:t>Hypothesis</w:t>
      </w:r>
      <w:r>
        <w:rPr>
          <w:spacing w:val="-9"/>
          <w:w w:val="105"/>
        </w:rPr>
        <w:t xml:space="preserve"> </w:t>
      </w:r>
      <w:r>
        <w:rPr>
          <w:w w:val="105"/>
        </w:rPr>
        <w:t>6, challenging prior</w:t>
      </w:r>
      <w:r>
        <w:rPr>
          <w:spacing w:val="-2"/>
          <w:w w:val="105"/>
        </w:rPr>
        <w:t xml:space="preserve"> </w:t>
      </w:r>
      <w:r>
        <w:rPr>
          <w:w w:val="105"/>
        </w:rPr>
        <w:t>assumptions</w:t>
      </w:r>
      <w:r>
        <w:rPr>
          <w:spacing w:val="-9"/>
          <w:w w:val="105"/>
        </w:rPr>
        <w:t xml:space="preserve"> </w:t>
      </w:r>
      <w:r>
        <w:rPr>
          <w:w w:val="105"/>
        </w:rPr>
        <w:t>that flexibility would strengthen the contribution o</w:t>
      </w:r>
      <w:r>
        <w:rPr>
          <w:w w:val="105"/>
        </w:rPr>
        <w:t>f internal coordination to competitiveness. While FC has long been acknowledged as a vital mechanism for promoting</w:t>
      </w:r>
      <w:r>
        <w:rPr>
          <w:spacing w:val="60"/>
          <w:w w:val="105"/>
        </w:rPr>
        <w:t xml:space="preserve"> </w:t>
      </w:r>
      <w:r>
        <w:rPr>
          <w:w w:val="105"/>
        </w:rPr>
        <w:t>organizational</w:t>
      </w:r>
      <w:r>
        <w:rPr>
          <w:spacing w:val="68"/>
          <w:w w:val="105"/>
        </w:rPr>
        <w:t xml:space="preserve"> </w:t>
      </w:r>
      <w:r>
        <w:rPr>
          <w:w w:val="105"/>
        </w:rPr>
        <w:t>efficiency,</w:t>
      </w:r>
      <w:r>
        <w:rPr>
          <w:spacing w:val="67"/>
          <w:w w:val="105"/>
        </w:rPr>
        <w:t xml:space="preserve"> </w:t>
      </w:r>
      <w:r>
        <w:rPr>
          <w:w w:val="105"/>
        </w:rPr>
        <w:t>synergy,</w:t>
      </w:r>
      <w:r>
        <w:rPr>
          <w:spacing w:val="61"/>
          <w:w w:val="105"/>
        </w:rPr>
        <w:t xml:space="preserve"> </w:t>
      </w:r>
      <w:r>
        <w:rPr>
          <w:w w:val="105"/>
        </w:rPr>
        <w:t>and</w:t>
      </w:r>
      <w:r>
        <w:rPr>
          <w:spacing w:val="60"/>
          <w:w w:val="105"/>
        </w:rPr>
        <w:t xml:space="preserve"> </w:t>
      </w:r>
      <w:r>
        <w:rPr>
          <w:w w:val="105"/>
        </w:rPr>
        <w:t>alignment</w:t>
      </w:r>
      <w:r>
        <w:rPr>
          <w:spacing w:val="68"/>
          <w:w w:val="105"/>
        </w:rPr>
        <w:t xml:space="preserve"> </w:t>
      </w:r>
      <w:r>
        <w:rPr>
          <w:w w:val="105"/>
        </w:rPr>
        <w:t>of</w:t>
      </w:r>
      <w:r>
        <w:rPr>
          <w:spacing w:val="63"/>
          <w:w w:val="105"/>
        </w:rPr>
        <w:t xml:space="preserve"> </w:t>
      </w:r>
      <w:r>
        <w:rPr>
          <w:w w:val="105"/>
        </w:rPr>
        <w:t>cross-</w:t>
      </w:r>
      <w:r>
        <w:rPr>
          <w:spacing w:val="-2"/>
          <w:w w:val="105"/>
        </w:rPr>
        <w:t>functional</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67"/>
        <w:jc w:val="both"/>
      </w:pPr>
      <w:r>
        <w:rPr>
          <w:w w:val="105"/>
        </w:rPr>
        <w:t>processes (Mukhtar</w:t>
      </w:r>
      <w:r>
        <w:rPr>
          <w:w w:val="105"/>
        </w:rPr>
        <w:t xml:space="preserve"> et al., 2020), this study demonstrates that its effectiveness may not extend to highly regulated and complex procurement environments without additional enabling factors.</w:t>
      </w:r>
    </w:p>
    <w:p w:rsidR="00487D64" w:rsidRDefault="006F0D93">
      <w:pPr>
        <w:pStyle w:val="BodyText"/>
        <w:spacing w:before="245" w:line="501" w:lineRule="auto"/>
        <w:ind w:left="1419" w:right="855"/>
        <w:jc w:val="both"/>
      </w:pPr>
      <w:r>
        <w:rPr>
          <w:w w:val="105"/>
        </w:rPr>
        <w:t>Functional coordination, as posited in</w:t>
      </w:r>
      <w:r>
        <w:rPr>
          <w:w w:val="105"/>
        </w:rPr>
        <w:t xml:space="preserve"> Market Orientation Theory (Narver &amp; Slater, 1990), is critical for integrating market intelligence across departments to deliver superior value to customers. In principle, when FC is complemented by SF, firms should be better equipped to reconfigure resou</w:t>
      </w:r>
      <w:r>
        <w:rPr>
          <w:w w:val="105"/>
        </w:rPr>
        <w:t>rces and processes dynamically, reinforcing the Dynamic Capability Theory (Teece, 2007). However, in the specific context of special group SMEs engaged in public procurement, this theoretical expectation was not realized.</w:t>
      </w:r>
    </w:p>
    <w:p w:rsidR="00487D64" w:rsidRDefault="006F0D93">
      <w:pPr>
        <w:pStyle w:val="BodyText"/>
        <w:spacing w:before="236" w:line="501" w:lineRule="auto"/>
        <w:ind w:left="1419" w:right="856"/>
        <w:jc w:val="both"/>
      </w:pPr>
      <w:r>
        <w:rPr>
          <w:w w:val="105"/>
        </w:rPr>
        <w:t>One plausible reason for this outc</w:t>
      </w:r>
      <w:r>
        <w:rPr>
          <w:w w:val="105"/>
        </w:rPr>
        <w:t>ome is the institutional rigidity characterizing the procurement process in Tanzania. Public procurement systems impose stringent compliance requirements, including mandatory documentation, fixed evaluation criteria,</w:t>
      </w:r>
      <w:r>
        <w:rPr>
          <w:spacing w:val="-5"/>
          <w:w w:val="105"/>
        </w:rPr>
        <w:t xml:space="preserve"> </w:t>
      </w:r>
      <w:r>
        <w:rPr>
          <w:w w:val="105"/>
        </w:rPr>
        <w:t>and</w:t>
      </w:r>
      <w:r>
        <w:rPr>
          <w:spacing w:val="-7"/>
          <w:w w:val="105"/>
        </w:rPr>
        <w:t xml:space="preserve"> </w:t>
      </w:r>
      <w:r>
        <w:rPr>
          <w:w w:val="105"/>
        </w:rPr>
        <w:t>lengthy</w:t>
      </w:r>
      <w:r>
        <w:rPr>
          <w:spacing w:val="-1"/>
          <w:w w:val="105"/>
        </w:rPr>
        <w:t xml:space="preserve"> </w:t>
      </w:r>
      <w:r>
        <w:rPr>
          <w:w w:val="105"/>
        </w:rPr>
        <w:t>approval cycles</w:t>
      </w:r>
      <w:r>
        <w:rPr>
          <w:spacing w:val="-3"/>
          <w:w w:val="105"/>
        </w:rPr>
        <w:t xml:space="preserve"> </w:t>
      </w:r>
      <w:r>
        <w:rPr>
          <w:w w:val="105"/>
        </w:rPr>
        <w:t>(PPRA, 2023</w:t>
      </w:r>
      <w:r>
        <w:rPr>
          <w:w w:val="105"/>
        </w:rPr>
        <w:t>). In such environments, the</w:t>
      </w:r>
      <w:r>
        <w:rPr>
          <w:spacing w:val="-2"/>
          <w:w w:val="105"/>
        </w:rPr>
        <w:t xml:space="preserve"> </w:t>
      </w:r>
      <w:r>
        <w:rPr>
          <w:w w:val="105"/>
        </w:rPr>
        <w:t>scope for strategic adaptation is limited. Even if firms possess some degree of flexibility, their capacity to operationalize it for improving coordination effectiveness is constrained by external regulations. Consequently, fle</w:t>
      </w:r>
      <w:r>
        <w:rPr>
          <w:w w:val="105"/>
        </w:rPr>
        <w:t>xibility may not substantially alter the impact of FC on sustainable competitiveness because coordination itself remains transactional focused on meeting procedural requirements rather than fostering innovation or strategic responsiveness.</w:t>
      </w:r>
    </w:p>
    <w:p w:rsidR="00487D64" w:rsidRDefault="006F0D93">
      <w:pPr>
        <w:pStyle w:val="BodyText"/>
        <w:spacing w:before="235" w:line="504" w:lineRule="auto"/>
        <w:ind w:left="1419" w:right="859"/>
        <w:jc w:val="both"/>
      </w:pPr>
      <w:r>
        <w:rPr>
          <w:w w:val="105"/>
        </w:rPr>
        <w:t>Moreover, SMEs i</w:t>
      </w:r>
      <w:r>
        <w:rPr>
          <w:w w:val="105"/>
        </w:rPr>
        <w:t>n Tanzania often operate with resource constraints and limited digital infrastructure, further reducing their ability</w:t>
      </w:r>
      <w:r>
        <w:rPr>
          <w:spacing w:val="-1"/>
          <w:w w:val="105"/>
        </w:rPr>
        <w:t xml:space="preserve"> </w:t>
      </w:r>
      <w:r>
        <w:rPr>
          <w:w w:val="105"/>
        </w:rPr>
        <w:t>to</w:t>
      </w:r>
      <w:r>
        <w:rPr>
          <w:spacing w:val="-1"/>
          <w:w w:val="105"/>
        </w:rPr>
        <w:t xml:space="preserve"> </w:t>
      </w:r>
      <w:r>
        <w:rPr>
          <w:w w:val="105"/>
        </w:rPr>
        <w:t>integrate flexible practices</w:t>
      </w:r>
      <w:r>
        <w:rPr>
          <w:spacing w:val="-3"/>
          <w:w w:val="105"/>
        </w:rPr>
        <w:t xml:space="preserve"> </w:t>
      </w:r>
      <w:r>
        <w:rPr>
          <w:w w:val="105"/>
        </w:rPr>
        <w:t>into their</w:t>
      </w:r>
      <w:r>
        <w:rPr>
          <w:spacing w:val="80"/>
          <w:w w:val="105"/>
        </w:rPr>
        <w:t xml:space="preserve"> </w:t>
      </w:r>
      <w:r>
        <w:rPr>
          <w:w w:val="105"/>
        </w:rPr>
        <w:t>coordination</w:t>
      </w:r>
      <w:r>
        <w:rPr>
          <w:spacing w:val="80"/>
          <w:w w:val="105"/>
        </w:rPr>
        <w:t xml:space="preserve"> </w:t>
      </w:r>
      <w:r>
        <w:rPr>
          <w:w w:val="105"/>
        </w:rPr>
        <w:t>mechanisms.</w:t>
      </w:r>
      <w:r>
        <w:rPr>
          <w:spacing w:val="80"/>
          <w:w w:val="105"/>
        </w:rPr>
        <w:t xml:space="preserve"> </w:t>
      </w:r>
      <w:r>
        <w:rPr>
          <w:w w:val="105"/>
        </w:rPr>
        <w:t>This</w:t>
      </w:r>
      <w:r>
        <w:rPr>
          <w:spacing w:val="80"/>
          <w:w w:val="105"/>
        </w:rPr>
        <w:t xml:space="preserve"> </w:t>
      </w:r>
      <w:r>
        <w:rPr>
          <w:w w:val="105"/>
        </w:rPr>
        <w:t>structural</w:t>
      </w:r>
      <w:r>
        <w:rPr>
          <w:spacing w:val="80"/>
          <w:w w:val="105"/>
        </w:rPr>
        <w:t xml:space="preserve"> </w:t>
      </w:r>
      <w:r>
        <w:rPr>
          <w:w w:val="105"/>
        </w:rPr>
        <w:t>limitation</w:t>
      </w:r>
      <w:r>
        <w:rPr>
          <w:spacing w:val="80"/>
          <w:w w:val="105"/>
        </w:rPr>
        <w:t xml:space="preserve"> </w:t>
      </w:r>
      <w:r>
        <w:rPr>
          <w:w w:val="105"/>
        </w:rPr>
        <w:t>creates</w:t>
      </w:r>
      <w:r>
        <w:rPr>
          <w:spacing w:val="72"/>
          <w:w w:val="105"/>
        </w:rPr>
        <w:t xml:space="preserve"> </w:t>
      </w:r>
      <w:r>
        <w:rPr>
          <w:w w:val="105"/>
        </w:rPr>
        <w:t>a</w:t>
      </w:r>
      <w:r>
        <w:rPr>
          <w:spacing w:val="80"/>
          <w:w w:val="105"/>
        </w:rPr>
        <w:t xml:space="preserve"> </w:t>
      </w:r>
      <w:r>
        <w:rPr>
          <w:w w:val="105"/>
        </w:rPr>
        <w:t>disconnect</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9"/>
        <w:jc w:val="both"/>
      </w:pPr>
      <w:r>
        <w:rPr>
          <w:w w:val="105"/>
        </w:rPr>
        <w:t>between theoretical potential and practical reality, explaining why the hypothesized moderation effect was insignificant.</w:t>
      </w:r>
    </w:p>
    <w:p w:rsidR="00487D64" w:rsidRDefault="006F0D93">
      <w:pPr>
        <w:pStyle w:val="BodyText"/>
        <w:spacing w:before="236" w:line="501" w:lineRule="auto"/>
        <w:ind w:left="1419" w:right="846"/>
        <w:jc w:val="both"/>
      </w:pPr>
      <w:r>
        <w:rPr>
          <w:w w:val="105"/>
        </w:rPr>
        <w:t>The findings are consistent with those of Vem et al. (2022), who established that coordination flexibility alone does not guarantee su</w:t>
      </w:r>
      <w:r>
        <w:rPr>
          <w:w w:val="105"/>
        </w:rPr>
        <w:t>perior innovative or competitive outcomes</w:t>
      </w:r>
      <w:r>
        <w:rPr>
          <w:spacing w:val="-10"/>
          <w:w w:val="105"/>
        </w:rPr>
        <w:t xml:space="preserve"> </w:t>
      </w:r>
      <w:r>
        <w:rPr>
          <w:w w:val="105"/>
        </w:rPr>
        <w:t>unless</w:t>
      </w:r>
      <w:r>
        <w:rPr>
          <w:spacing w:val="-4"/>
          <w:w w:val="105"/>
        </w:rPr>
        <w:t xml:space="preserve"> </w:t>
      </w:r>
      <w:r>
        <w:rPr>
          <w:w w:val="105"/>
        </w:rPr>
        <w:t>supported</w:t>
      </w:r>
      <w:r>
        <w:rPr>
          <w:spacing w:val="-8"/>
          <w:w w:val="105"/>
        </w:rPr>
        <w:t xml:space="preserve"> </w:t>
      </w:r>
      <w:r>
        <w:rPr>
          <w:w w:val="105"/>
        </w:rPr>
        <w:t>by</w:t>
      </w:r>
      <w:r>
        <w:rPr>
          <w:spacing w:val="-2"/>
          <w:w w:val="105"/>
        </w:rPr>
        <w:t xml:space="preserve"> </w:t>
      </w:r>
      <w:r>
        <w:rPr>
          <w:w w:val="105"/>
        </w:rPr>
        <w:t>complementary</w:t>
      </w:r>
      <w:r>
        <w:rPr>
          <w:spacing w:val="-2"/>
          <w:w w:val="105"/>
        </w:rPr>
        <w:t xml:space="preserve"> </w:t>
      </w:r>
      <w:r>
        <w:rPr>
          <w:w w:val="105"/>
        </w:rPr>
        <w:t>organizational systems, such</w:t>
      </w:r>
      <w:r>
        <w:rPr>
          <w:spacing w:val="-2"/>
          <w:w w:val="105"/>
        </w:rPr>
        <w:t xml:space="preserve"> </w:t>
      </w:r>
      <w:r>
        <w:rPr>
          <w:w w:val="105"/>
        </w:rPr>
        <w:t>as</w:t>
      </w:r>
      <w:r>
        <w:rPr>
          <w:spacing w:val="-10"/>
          <w:w w:val="105"/>
        </w:rPr>
        <w:t xml:space="preserve"> </w:t>
      </w:r>
      <w:r>
        <w:rPr>
          <w:w w:val="105"/>
        </w:rPr>
        <w:t>robust HR</w:t>
      </w:r>
      <w:r>
        <w:rPr>
          <w:spacing w:val="-1"/>
          <w:w w:val="105"/>
        </w:rPr>
        <w:t xml:space="preserve"> </w:t>
      </w:r>
      <w:r>
        <w:rPr>
          <w:w w:val="105"/>
        </w:rPr>
        <w:t>practices or</w:t>
      </w:r>
      <w:r>
        <w:rPr>
          <w:spacing w:val="-1"/>
          <w:w w:val="105"/>
        </w:rPr>
        <w:t xml:space="preserve"> </w:t>
      </w:r>
      <w:r>
        <w:rPr>
          <w:w w:val="105"/>
        </w:rPr>
        <w:t>knowledge-sharing frameworks.</w:t>
      </w:r>
      <w:r>
        <w:rPr>
          <w:spacing w:val="-2"/>
          <w:w w:val="105"/>
        </w:rPr>
        <w:t xml:space="preserve"> </w:t>
      </w:r>
      <w:r>
        <w:rPr>
          <w:w w:val="105"/>
        </w:rPr>
        <w:t>Similarly, Mohammad et al.</w:t>
      </w:r>
      <w:r>
        <w:rPr>
          <w:spacing w:val="-8"/>
          <w:w w:val="105"/>
        </w:rPr>
        <w:t xml:space="preserve"> </w:t>
      </w:r>
      <w:r>
        <w:rPr>
          <w:w w:val="105"/>
        </w:rPr>
        <w:t>(2024) found that strategic flexibility failed to</w:t>
      </w:r>
      <w:r>
        <w:rPr>
          <w:w w:val="105"/>
        </w:rPr>
        <w:t xml:space="preserve"> moderate the relationship between strategic planning and performance in contexts with procedural rigidity. These studies reinforce</w:t>
      </w:r>
      <w:r>
        <w:rPr>
          <w:spacing w:val="-8"/>
          <w:w w:val="105"/>
        </w:rPr>
        <w:t xml:space="preserve"> </w:t>
      </w:r>
      <w:r>
        <w:rPr>
          <w:w w:val="105"/>
        </w:rPr>
        <w:t>the</w:t>
      </w:r>
      <w:r>
        <w:rPr>
          <w:spacing w:val="-8"/>
          <w:w w:val="105"/>
        </w:rPr>
        <w:t xml:space="preserve"> </w:t>
      </w:r>
      <w:r>
        <w:rPr>
          <w:w w:val="105"/>
        </w:rPr>
        <w:t>argument</w:t>
      </w:r>
      <w:r>
        <w:rPr>
          <w:spacing w:val="-5"/>
          <w:w w:val="105"/>
        </w:rPr>
        <w:t xml:space="preserve"> </w:t>
      </w:r>
      <w:r>
        <w:rPr>
          <w:w w:val="105"/>
        </w:rPr>
        <w:t>that flexibility, while</w:t>
      </w:r>
      <w:r>
        <w:rPr>
          <w:spacing w:val="-2"/>
          <w:w w:val="105"/>
        </w:rPr>
        <w:t xml:space="preserve"> </w:t>
      </w:r>
      <w:r>
        <w:rPr>
          <w:w w:val="105"/>
        </w:rPr>
        <w:t>valuable,</w:t>
      </w:r>
      <w:r>
        <w:rPr>
          <w:spacing w:val="-5"/>
          <w:w w:val="105"/>
        </w:rPr>
        <w:t xml:space="preserve"> </w:t>
      </w:r>
      <w:r>
        <w:rPr>
          <w:w w:val="105"/>
        </w:rPr>
        <w:t>is</w:t>
      </w:r>
      <w:r>
        <w:rPr>
          <w:spacing w:val="-3"/>
          <w:w w:val="105"/>
        </w:rPr>
        <w:t xml:space="preserve"> </w:t>
      </w:r>
      <w:r>
        <w:rPr>
          <w:w w:val="105"/>
        </w:rPr>
        <w:t>not</w:t>
      </w:r>
      <w:r>
        <w:rPr>
          <w:spacing w:val="-5"/>
          <w:w w:val="105"/>
        </w:rPr>
        <w:t xml:space="preserve"> </w:t>
      </w:r>
      <w:r>
        <w:rPr>
          <w:w w:val="105"/>
        </w:rPr>
        <w:t>a</w:t>
      </w:r>
      <w:r>
        <w:rPr>
          <w:spacing w:val="-2"/>
          <w:w w:val="105"/>
        </w:rPr>
        <w:t xml:space="preserve"> </w:t>
      </w:r>
      <w:r>
        <w:rPr>
          <w:w w:val="105"/>
        </w:rPr>
        <w:t>universal</w:t>
      </w:r>
      <w:r>
        <w:rPr>
          <w:spacing w:val="-5"/>
          <w:w w:val="105"/>
        </w:rPr>
        <w:t xml:space="preserve"> </w:t>
      </w:r>
      <w:r>
        <w:rPr>
          <w:w w:val="105"/>
        </w:rPr>
        <w:t>enhancer; its impact depends on contextual enablers such a</w:t>
      </w:r>
      <w:r>
        <w:rPr>
          <w:w w:val="105"/>
        </w:rPr>
        <w:t>s supportive policies, technological infrastructure, and cultural readiness for change.</w:t>
      </w:r>
    </w:p>
    <w:p w:rsidR="00487D64" w:rsidRDefault="006F0D93">
      <w:pPr>
        <w:pStyle w:val="BodyText"/>
        <w:spacing w:before="234" w:line="501" w:lineRule="auto"/>
        <w:ind w:left="1419" w:right="854"/>
        <w:jc w:val="both"/>
      </w:pPr>
      <w:r>
        <w:rPr>
          <w:w w:val="105"/>
        </w:rPr>
        <w:t>In contrast, some research conducted in dynamic and less-regulated markets (e.g., Khan et al., 2022) suggests that flexibility significantly amplifies the benefits of c</w:t>
      </w:r>
      <w:r>
        <w:rPr>
          <w:w w:val="105"/>
        </w:rPr>
        <w:t>oordination capabilities. The divergence in findings underscores the importance of context. Unlike</w:t>
      </w:r>
      <w:r>
        <w:rPr>
          <w:spacing w:val="-4"/>
          <w:w w:val="105"/>
        </w:rPr>
        <w:t xml:space="preserve"> </w:t>
      </w:r>
      <w:r>
        <w:rPr>
          <w:w w:val="105"/>
        </w:rPr>
        <w:t>competitive</w:t>
      </w:r>
      <w:r>
        <w:rPr>
          <w:spacing w:val="-4"/>
          <w:w w:val="105"/>
        </w:rPr>
        <w:t xml:space="preserve"> </w:t>
      </w:r>
      <w:r>
        <w:rPr>
          <w:w w:val="105"/>
        </w:rPr>
        <w:t>open markets,</w:t>
      </w:r>
      <w:r>
        <w:rPr>
          <w:spacing w:val="-2"/>
          <w:w w:val="105"/>
        </w:rPr>
        <w:t xml:space="preserve"> </w:t>
      </w:r>
      <w:r>
        <w:rPr>
          <w:w w:val="105"/>
        </w:rPr>
        <w:t>public procurement systems</w:t>
      </w:r>
      <w:r>
        <w:rPr>
          <w:spacing w:val="-11"/>
          <w:w w:val="105"/>
        </w:rPr>
        <w:t xml:space="preserve"> </w:t>
      </w:r>
      <w:r>
        <w:rPr>
          <w:w w:val="105"/>
        </w:rPr>
        <w:t>are</w:t>
      </w:r>
      <w:r>
        <w:rPr>
          <w:spacing w:val="-4"/>
          <w:w w:val="105"/>
        </w:rPr>
        <w:t xml:space="preserve"> </w:t>
      </w:r>
      <w:r>
        <w:rPr>
          <w:w w:val="105"/>
        </w:rPr>
        <w:t>governed by laws and policies that leave minimal room for rapid adjustments, limiting the operationa</w:t>
      </w:r>
      <w:r>
        <w:rPr>
          <w:w w:val="105"/>
        </w:rPr>
        <w:t>lization of dynamic capabilities like SF.</w:t>
      </w:r>
    </w:p>
    <w:p w:rsidR="00487D64" w:rsidRDefault="006F0D93">
      <w:pPr>
        <w:pStyle w:val="BodyText"/>
        <w:spacing w:before="234" w:line="501" w:lineRule="auto"/>
        <w:ind w:left="1419" w:right="859"/>
        <w:jc w:val="both"/>
      </w:pPr>
      <w:r>
        <w:rPr>
          <w:w w:val="105"/>
        </w:rPr>
        <w:t xml:space="preserve">In practice, SMEs involved in public procurement primarily use coordination for compliance-driven purposes aligning internal departments to ensure timely submission of bids, verifying documentation, and responding </w:t>
      </w:r>
      <w:r>
        <w:rPr>
          <w:w w:val="105"/>
        </w:rPr>
        <w:t>to evaluation queries. These activities, while necessary, are routine and largely procedural, leaving little scope for strategic creativity. Even when external shocks occur such as changes in tender</w:t>
      </w:r>
      <w:r>
        <w:rPr>
          <w:spacing w:val="-4"/>
          <w:w w:val="105"/>
        </w:rPr>
        <w:t xml:space="preserve"> </w:t>
      </w:r>
      <w:r>
        <w:rPr>
          <w:w w:val="105"/>
        </w:rPr>
        <w:t>requirements</w:t>
      </w:r>
      <w:r>
        <w:rPr>
          <w:spacing w:val="-10"/>
          <w:w w:val="105"/>
        </w:rPr>
        <w:t xml:space="preserve"> </w:t>
      </w:r>
      <w:r>
        <w:rPr>
          <w:w w:val="105"/>
        </w:rPr>
        <w:t>firms</w:t>
      </w:r>
      <w:r>
        <w:rPr>
          <w:spacing w:val="-16"/>
          <w:w w:val="105"/>
        </w:rPr>
        <w:t xml:space="preserve"> </w:t>
      </w:r>
      <w:r>
        <w:rPr>
          <w:w w:val="105"/>
        </w:rPr>
        <w:t>lack</w:t>
      </w:r>
      <w:r>
        <w:rPr>
          <w:spacing w:val="-7"/>
          <w:w w:val="105"/>
        </w:rPr>
        <w:t xml:space="preserve"> </w:t>
      </w:r>
      <w:r>
        <w:rPr>
          <w:w w:val="105"/>
        </w:rPr>
        <w:t>the</w:t>
      </w:r>
      <w:r>
        <w:rPr>
          <w:spacing w:val="-15"/>
          <w:w w:val="105"/>
        </w:rPr>
        <w:t xml:space="preserve"> </w:t>
      </w:r>
      <w:r>
        <w:rPr>
          <w:w w:val="105"/>
        </w:rPr>
        <w:t>autonomy</w:t>
      </w:r>
      <w:r>
        <w:rPr>
          <w:spacing w:val="-8"/>
          <w:w w:val="105"/>
        </w:rPr>
        <w:t xml:space="preserve"> </w:t>
      </w:r>
      <w:r>
        <w:rPr>
          <w:w w:val="105"/>
        </w:rPr>
        <w:t>to</w:t>
      </w:r>
      <w:r>
        <w:rPr>
          <w:spacing w:val="-14"/>
          <w:w w:val="105"/>
        </w:rPr>
        <w:t xml:space="preserve"> </w:t>
      </w:r>
      <w:r>
        <w:rPr>
          <w:w w:val="105"/>
        </w:rPr>
        <w:t>redesign</w:t>
      </w:r>
      <w:r>
        <w:rPr>
          <w:spacing w:val="-8"/>
          <w:w w:val="105"/>
        </w:rPr>
        <w:t xml:space="preserve"> </w:t>
      </w:r>
      <w:r>
        <w:rPr>
          <w:w w:val="105"/>
        </w:rPr>
        <w:t>processe</w:t>
      </w:r>
      <w:r>
        <w:rPr>
          <w:w w:val="105"/>
        </w:rPr>
        <w:t>s</w:t>
      </w:r>
      <w:r>
        <w:rPr>
          <w:spacing w:val="-3"/>
          <w:w w:val="105"/>
        </w:rPr>
        <w:t xml:space="preserve"> </w:t>
      </w:r>
      <w:r>
        <w:rPr>
          <w:w w:val="105"/>
        </w:rPr>
        <w:t>without</w:t>
      </w:r>
      <w:r>
        <w:rPr>
          <w:spacing w:val="-6"/>
          <w:w w:val="105"/>
        </w:rPr>
        <w:t xml:space="preserve"> </w:t>
      </w:r>
      <w:r>
        <w:rPr>
          <w:w w:val="105"/>
        </w:rPr>
        <w:t>breaching</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66"/>
        <w:jc w:val="both"/>
      </w:pPr>
      <w:r>
        <w:rPr>
          <w:w w:val="105"/>
        </w:rPr>
        <w:t>compliance protocols. Consequently, the expected synergy between FC and SF remains unrealized.</w:t>
      </w:r>
    </w:p>
    <w:p w:rsidR="00487D64" w:rsidRDefault="00487D64">
      <w:pPr>
        <w:pStyle w:val="BodyText"/>
      </w:pPr>
    </w:p>
    <w:p w:rsidR="00487D64" w:rsidRDefault="00487D64">
      <w:pPr>
        <w:pStyle w:val="BodyText"/>
        <w:spacing w:before="25"/>
      </w:pPr>
    </w:p>
    <w:p w:rsidR="00487D64" w:rsidRDefault="006F0D93">
      <w:pPr>
        <w:pStyle w:val="ListParagraph"/>
        <w:numPr>
          <w:ilvl w:val="1"/>
          <w:numId w:val="7"/>
        </w:numPr>
        <w:tabs>
          <w:tab w:val="left" w:pos="1988"/>
        </w:tabs>
        <w:ind w:left="1988" w:hanging="569"/>
        <w:rPr>
          <w:b/>
          <w:sz w:val="23"/>
        </w:rPr>
      </w:pPr>
      <w:bookmarkStart w:id="200" w:name="5.8__The_Effect_of_the_Interaction_Term_"/>
      <w:bookmarkStart w:id="201" w:name="_bookmark96"/>
      <w:bookmarkEnd w:id="200"/>
      <w:bookmarkEnd w:id="201"/>
      <w:r>
        <w:rPr>
          <w:b/>
          <w:w w:val="105"/>
          <w:sz w:val="23"/>
        </w:rPr>
        <w:t>The</w:t>
      </w:r>
      <w:r>
        <w:rPr>
          <w:b/>
          <w:spacing w:val="-10"/>
          <w:w w:val="105"/>
          <w:sz w:val="23"/>
        </w:rPr>
        <w:t xml:space="preserve"> </w:t>
      </w:r>
      <w:r>
        <w:rPr>
          <w:b/>
          <w:w w:val="105"/>
          <w:sz w:val="23"/>
        </w:rPr>
        <w:t>Effect</w:t>
      </w:r>
      <w:r>
        <w:rPr>
          <w:b/>
          <w:spacing w:val="-11"/>
          <w:w w:val="105"/>
          <w:sz w:val="23"/>
        </w:rPr>
        <w:t xml:space="preserve"> </w:t>
      </w:r>
      <w:r>
        <w:rPr>
          <w:b/>
          <w:w w:val="105"/>
          <w:sz w:val="23"/>
        </w:rPr>
        <w:t>of</w:t>
      </w:r>
      <w:r>
        <w:rPr>
          <w:b/>
          <w:spacing w:val="-4"/>
          <w:w w:val="105"/>
          <w:sz w:val="23"/>
        </w:rPr>
        <w:t xml:space="preserve"> </w:t>
      </w:r>
      <w:r>
        <w:rPr>
          <w:b/>
          <w:w w:val="105"/>
          <w:sz w:val="23"/>
        </w:rPr>
        <w:t>the</w:t>
      </w:r>
      <w:r>
        <w:rPr>
          <w:b/>
          <w:spacing w:val="-9"/>
          <w:w w:val="105"/>
          <w:sz w:val="23"/>
        </w:rPr>
        <w:t xml:space="preserve"> </w:t>
      </w:r>
      <w:r>
        <w:rPr>
          <w:b/>
          <w:w w:val="105"/>
          <w:sz w:val="23"/>
        </w:rPr>
        <w:t>Interaction</w:t>
      </w:r>
      <w:r>
        <w:rPr>
          <w:b/>
          <w:spacing w:val="-7"/>
          <w:w w:val="105"/>
          <w:sz w:val="23"/>
        </w:rPr>
        <w:t xml:space="preserve"> </w:t>
      </w:r>
      <w:r>
        <w:rPr>
          <w:b/>
          <w:w w:val="105"/>
          <w:sz w:val="23"/>
        </w:rPr>
        <w:t>Term</w:t>
      </w:r>
      <w:r>
        <w:rPr>
          <w:b/>
          <w:spacing w:val="-8"/>
          <w:w w:val="105"/>
          <w:sz w:val="23"/>
        </w:rPr>
        <w:t xml:space="preserve"> </w:t>
      </w:r>
      <w:r>
        <w:rPr>
          <w:b/>
          <w:w w:val="105"/>
          <w:sz w:val="23"/>
        </w:rPr>
        <w:t>between</w:t>
      </w:r>
      <w:r>
        <w:rPr>
          <w:b/>
          <w:spacing w:val="-8"/>
          <w:w w:val="105"/>
          <w:sz w:val="23"/>
        </w:rPr>
        <w:t xml:space="preserve"> </w:t>
      </w:r>
      <w:r>
        <w:rPr>
          <w:b/>
          <w:w w:val="105"/>
          <w:sz w:val="23"/>
        </w:rPr>
        <w:t>(CU_SF)</w:t>
      </w:r>
      <w:r>
        <w:rPr>
          <w:b/>
          <w:spacing w:val="-5"/>
          <w:w w:val="105"/>
          <w:sz w:val="23"/>
        </w:rPr>
        <w:t xml:space="preserve"> </w:t>
      </w:r>
      <w:r>
        <w:rPr>
          <w:b/>
          <w:w w:val="105"/>
          <w:sz w:val="23"/>
        </w:rPr>
        <w:t>on</w:t>
      </w:r>
      <w:r>
        <w:rPr>
          <w:b/>
          <w:spacing w:val="-7"/>
          <w:w w:val="105"/>
          <w:sz w:val="23"/>
        </w:rPr>
        <w:t xml:space="preserve"> </w:t>
      </w:r>
      <w:r>
        <w:rPr>
          <w:b/>
          <w:spacing w:val="-5"/>
          <w:w w:val="105"/>
          <w:sz w:val="23"/>
        </w:rPr>
        <w:t>SC</w:t>
      </w:r>
    </w:p>
    <w:p w:rsidR="00487D64" w:rsidRDefault="00487D64">
      <w:pPr>
        <w:pStyle w:val="BodyText"/>
        <w:spacing w:before="18"/>
        <w:rPr>
          <w:b/>
        </w:rPr>
      </w:pPr>
    </w:p>
    <w:p w:rsidR="00487D64" w:rsidRDefault="006F0D93">
      <w:pPr>
        <w:pStyle w:val="BodyText"/>
        <w:spacing w:line="501" w:lineRule="auto"/>
        <w:ind w:left="1419" w:right="844"/>
        <w:jc w:val="both"/>
      </w:pPr>
      <w:r>
        <w:rPr>
          <w:w w:val="105"/>
        </w:rPr>
        <w:t>The findings</w:t>
      </w:r>
      <w:r>
        <w:rPr>
          <w:spacing w:val="-4"/>
          <w:w w:val="105"/>
        </w:rPr>
        <w:t xml:space="preserve"> </w:t>
      </w:r>
      <w:r>
        <w:rPr>
          <w:w w:val="105"/>
        </w:rPr>
        <w:t>of</w:t>
      </w:r>
      <w:r>
        <w:rPr>
          <w:spacing w:val="-5"/>
          <w:w w:val="105"/>
        </w:rPr>
        <w:t xml:space="preserve"> </w:t>
      </w:r>
      <w:r>
        <w:rPr>
          <w:w w:val="105"/>
        </w:rPr>
        <w:t>this study confirmed</w:t>
      </w:r>
      <w:r>
        <w:rPr>
          <w:spacing w:val="-2"/>
          <w:w w:val="105"/>
        </w:rPr>
        <w:t xml:space="preserve"> </w:t>
      </w:r>
      <w:r>
        <w:rPr>
          <w:w w:val="105"/>
        </w:rPr>
        <w:t>that strategic flexibility significantly moderates the</w:t>
      </w:r>
      <w:r>
        <w:rPr>
          <w:spacing w:val="-16"/>
          <w:w w:val="105"/>
        </w:rPr>
        <w:t xml:space="preserve"> </w:t>
      </w:r>
      <w:r>
        <w:rPr>
          <w:w w:val="105"/>
        </w:rPr>
        <w:t>relationship</w:t>
      </w:r>
      <w:r>
        <w:rPr>
          <w:spacing w:val="-4"/>
          <w:w w:val="105"/>
        </w:rPr>
        <w:t xml:space="preserve"> </w:t>
      </w:r>
      <w:r>
        <w:rPr>
          <w:w w:val="105"/>
        </w:rPr>
        <w:t>between</w:t>
      </w:r>
      <w:r>
        <w:rPr>
          <w:spacing w:val="-10"/>
          <w:w w:val="105"/>
        </w:rPr>
        <w:t xml:space="preserve"> </w:t>
      </w:r>
      <w:r>
        <w:rPr>
          <w:w w:val="105"/>
        </w:rPr>
        <w:t>customer</w:t>
      </w:r>
      <w:r>
        <w:rPr>
          <w:spacing w:val="-6"/>
          <w:w w:val="105"/>
        </w:rPr>
        <w:t xml:space="preserve"> </w:t>
      </w:r>
      <w:r>
        <w:rPr>
          <w:w w:val="105"/>
        </w:rPr>
        <w:t>orientation</w:t>
      </w:r>
      <w:r>
        <w:rPr>
          <w:spacing w:val="-10"/>
          <w:w w:val="105"/>
        </w:rPr>
        <w:t xml:space="preserve"> </w:t>
      </w:r>
      <w:r>
        <w:rPr>
          <w:w w:val="105"/>
        </w:rPr>
        <w:t>and</w:t>
      </w:r>
      <w:r>
        <w:rPr>
          <w:spacing w:val="-10"/>
          <w:w w:val="105"/>
        </w:rPr>
        <w:t xml:space="preserve"> </w:t>
      </w:r>
      <w:r>
        <w:rPr>
          <w:w w:val="105"/>
        </w:rPr>
        <w:t>sustainable</w:t>
      </w:r>
      <w:r>
        <w:rPr>
          <w:spacing w:val="-5"/>
          <w:w w:val="105"/>
        </w:rPr>
        <w:t xml:space="preserve"> </w:t>
      </w:r>
      <w:r>
        <w:rPr>
          <w:w w:val="105"/>
        </w:rPr>
        <w:t>competitiveness</w:t>
      </w:r>
      <w:r>
        <w:rPr>
          <w:spacing w:val="-5"/>
          <w:w w:val="105"/>
        </w:rPr>
        <w:t xml:space="preserve"> </w:t>
      </w:r>
      <w:r>
        <w:rPr>
          <w:w w:val="105"/>
        </w:rPr>
        <w:t>(M</w:t>
      </w:r>
      <w:r>
        <w:rPr>
          <w:spacing w:val="-9"/>
          <w:w w:val="105"/>
        </w:rPr>
        <w:t xml:space="preserve"> </w:t>
      </w:r>
      <w:r>
        <w:rPr>
          <w:w w:val="105"/>
        </w:rPr>
        <w:t>=</w:t>
      </w:r>
      <w:r>
        <w:rPr>
          <w:spacing w:val="-4"/>
          <w:w w:val="105"/>
        </w:rPr>
        <w:t xml:space="preserve"> </w:t>
      </w:r>
      <w:r>
        <w:rPr>
          <w:w w:val="105"/>
        </w:rPr>
        <w:t>- 0.202, O/STDEV = 2.722, p = 0.007), indicating that the interaction between these two strategic capabilities meaningfull</w:t>
      </w:r>
      <w:r>
        <w:rPr>
          <w:w w:val="105"/>
        </w:rPr>
        <w:t>y influences competitive outcomes. Unlike the previously tested moderating relationships where the effect of SF was insignificant, this</w:t>
      </w:r>
      <w:r>
        <w:rPr>
          <w:spacing w:val="-2"/>
          <w:w w:val="105"/>
        </w:rPr>
        <w:t xml:space="preserve"> </w:t>
      </w:r>
      <w:r>
        <w:rPr>
          <w:w w:val="105"/>
        </w:rPr>
        <w:t>result provides</w:t>
      </w:r>
      <w:r>
        <w:rPr>
          <w:spacing w:val="-2"/>
          <w:w w:val="105"/>
        </w:rPr>
        <w:t xml:space="preserve"> </w:t>
      </w:r>
      <w:r>
        <w:rPr>
          <w:w w:val="105"/>
        </w:rPr>
        <w:t>compelling evidence</w:t>
      </w:r>
      <w:r>
        <w:rPr>
          <w:spacing w:val="-1"/>
          <w:w w:val="105"/>
        </w:rPr>
        <w:t xml:space="preserve"> </w:t>
      </w:r>
      <w:r>
        <w:rPr>
          <w:w w:val="105"/>
        </w:rPr>
        <w:t>that,</w:t>
      </w:r>
      <w:r>
        <w:rPr>
          <w:spacing w:val="-5"/>
          <w:w w:val="105"/>
        </w:rPr>
        <w:t xml:space="preserve"> </w:t>
      </w:r>
      <w:r>
        <w:rPr>
          <w:w w:val="105"/>
        </w:rPr>
        <w:t>in certain contexts, flexibility becomes a critical enabler for translating cu</w:t>
      </w:r>
      <w:r>
        <w:rPr>
          <w:w w:val="105"/>
        </w:rPr>
        <w:t>stomer-oriented strategies into sustainable competitive advantage.</w:t>
      </w:r>
    </w:p>
    <w:p w:rsidR="00487D64" w:rsidRDefault="006F0D93">
      <w:pPr>
        <w:pStyle w:val="BodyText"/>
        <w:spacing w:before="231" w:line="501" w:lineRule="auto"/>
        <w:ind w:left="1419" w:right="853"/>
        <w:jc w:val="both"/>
      </w:pPr>
      <w:r>
        <w:rPr>
          <w:w w:val="105"/>
        </w:rPr>
        <w:t>Customer orientation, as emphasized by Market Orientation Theory (Narver &amp; Slater,</w:t>
      </w:r>
      <w:r>
        <w:rPr>
          <w:spacing w:val="-6"/>
          <w:w w:val="105"/>
        </w:rPr>
        <w:t xml:space="preserve"> </w:t>
      </w:r>
      <w:r>
        <w:rPr>
          <w:w w:val="105"/>
        </w:rPr>
        <w:t>1990),</w:t>
      </w:r>
      <w:r>
        <w:rPr>
          <w:spacing w:val="-12"/>
          <w:w w:val="105"/>
        </w:rPr>
        <w:t xml:space="preserve"> </w:t>
      </w:r>
      <w:r>
        <w:rPr>
          <w:w w:val="105"/>
        </w:rPr>
        <w:t>involves</w:t>
      </w:r>
      <w:r>
        <w:rPr>
          <w:spacing w:val="-10"/>
          <w:w w:val="105"/>
        </w:rPr>
        <w:t xml:space="preserve"> </w:t>
      </w:r>
      <w:r>
        <w:rPr>
          <w:w w:val="105"/>
        </w:rPr>
        <w:t>understanding</w:t>
      </w:r>
      <w:r>
        <w:rPr>
          <w:spacing w:val="-14"/>
          <w:w w:val="105"/>
        </w:rPr>
        <w:t xml:space="preserve"> </w:t>
      </w:r>
      <w:r>
        <w:rPr>
          <w:w w:val="105"/>
        </w:rPr>
        <w:t>and</w:t>
      </w:r>
      <w:r>
        <w:rPr>
          <w:spacing w:val="-8"/>
          <w:w w:val="105"/>
        </w:rPr>
        <w:t xml:space="preserve"> </w:t>
      </w:r>
      <w:r>
        <w:rPr>
          <w:w w:val="105"/>
        </w:rPr>
        <w:t>meeting</w:t>
      </w:r>
      <w:r>
        <w:rPr>
          <w:spacing w:val="-8"/>
          <w:w w:val="105"/>
        </w:rPr>
        <w:t xml:space="preserve"> </w:t>
      </w:r>
      <w:r>
        <w:rPr>
          <w:w w:val="105"/>
        </w:rPr>
        <w:t>customer needs</w:t>
      </w:r>
      <w:r>
        <w:rPr>
          <w:spacing w:val="-10"/>
          <w:w w:val="105"/>
        </w:rPr>
        <w:t xml:space="preserve"> </w:t>
      </w:r>
      <w:r>
        <w:rPr>
          <w:w w:val="105"/>
        </w:rPr>
        <w:t>to</w:t>
      </w:r>
      <w:r>
        <w:rPr>
          <w:spacing w:val="-2"/>
          <w:w w:val="105"/>
        </w:rPr>
        <w:t xml:space="preserve"> </w:t>
      </w:r>
      <w:r>
        <w:rPr>
          <w:w w:val="105"/>
        </w:rPr>
        <w:t>deliver</w:t>
      </w:r>
      <w:r>
        <w:rPr>
          <w:spacing w:val="-4"/>
          <w:w w:val="105"/>
        </w:rPr>
        <w:t xml:space="preserve"> </w:t>
      </w:r>
      <w:r>
        <w:rPr>
          <w:w w:val="105"/>
        </w:rPr>
        <w:t>superior value. However, in highly</w:t>
      </w:r>
      <w:r>
        <w:rPr>
          <w:w w:val="105"/>
        </w:rPr>
        <w:t xml:space="preserve"> dynamic or regulated environments like public procurement, simply being customer-focused is insufficient. Firms often face institutional constraints, shifting policy requirements,</w:t>
      </w:r>
      <w:r>
        <w:rPr>
          <w:spacing w:val="-2"/>
          <w:w w:val="105"/>
        </w:rPr>
        <w:t xml:space="preserve"> </w:t>
      </w:r>
      <w:r>
        <w:rPr>
          <w:w w:val="105"/>
        </w:rPr>
        <w:t xml:space="preserve">and competitive pressures that demand adaptive capabilities. This is where </w:t>
      </w:r>
      <w:r>
        <w:rPr>
          <w:w w:val="105"/>
        </w:rPr>
        <w:t>Dynamic Capability Theory (Teece, 2007) becomes relevant, as it posits that firms must develop mechanisms such as strategic flexibility</w:t>
      </w:r>
      <w:r>
        <w:rPr>
          <w:spacing w:val="-1"/>
          <w:w w:val="105"/>
        </w:rPr>
        <w:t xml:space="preserve"> </w:t>
      </w:r>
      <w:r>
        <w:rPr>
          <w:w w:val="105"/>
        </w:rPr>
        <w:t>to sense changes, seize opportunities, and reconfigure resources.</w:t>
      </w:r>
    </w:p>
    <w:p w:rsidR="00487D64" w:rsidRDefault="006F0D93">
      <w:pPr>
        <w:pStyle w:val="BodyText"/>
        <w:spacing w:before="239" w:line="499" w:lineRule="auto"/>
        <w:ind w:left="1419" w:right="858"/>
        <w:jc w:val="both"/>
      </w:pPr>
      <w:r>
        <w:rPr>
          <w:w w:val="105"/>
        </w:rPr>
        <w:t>In practice, special group SMEs operating in Tanzania’</w:t>
      </w:r>
      <w:r>
        <w:rPr>
          <w:w w:val="105"/>
        </w:rPr>
        <w:t>s public procurement sector often struggle with strict tendering timelines, evolving technical requirements, and compliance</w:t>
      </w:r>
      <w:r>
        <w:rPr>
          <w:spacing w:val="23"/>
          <w:w w:val="105"/>
        </w:rPr>
        <w:t xml:space="preserve"> </w:t>
      </w:r>
      <w:r>
        <w:rPr>
          <w:w w:val="105"/>
        </w:rPr>
        <w:t>standards.</w:t>
      </w:r>
      <w:r>
        <w:rPr>
          <w:spacing w:val="26"/>
          <w:w w:val="105"/>
        </w:rPr>
        <w:t xml:space="preserve"> </w:t>
      </w:r>
      <w:r>
        <w:rPr>
          <w:w w:val="105"/>
        </w:rPr>
        <w:t>For</w:t>
      </w:r>
      <w:r>
        <w:rPr>
          <w:spacing w:val="27"/>
          <w:w w:val="105"/>
        </w:rPr>
        <w:t xml:space="preserve"> </w:t>
      </w:r>
      <w:r>
        <w:rPr>
          <w:w w:val="105"/>
        </w:rPr>
        <w:t>instance,</w:t>
      </w:r>
      <w:r>
        <w:rPr>
          <w:spacing w:val="26"/>
          <w:w w:val="105"/>
        </w:rPr>
        <w:t xml:space="preserve"> </w:t>
      </w:r>
      <w:r>
        <w:rPr>
          <w:w w:val="105"/>
        </w:rPr>
        <w:t>a</w:t>
      </w:r>
      <w:r>
        <w:rPr>
          <w:spacing w:val="29"/>
          <w:w w:val="105"/>
        </w:rPr>
        <w:t xml:space="preserve"> </w:t>
      </w:r>
      <w:r>
        <w:rPr>
          <w:w w:val="105"/>
        </w:rPr>
        <w:t>women-owned</w:t>
      </w:r>
      <w:r>
        <w:rPr>
          <w:spacing w:val="31"/>
          <w:w w:val="105"/>
        </w:rPr>
        <w:t xml:space="preserve"> </w:t>
      </w:r>
      <w:r>
        <w:rPr>
          <w:w w:val="105"/>
        </w:rPr>
        <w:t>enterprise</w:t>
      </w:r>
      <w:r>
        <w:rPr>
          <w:spacing w:val="29"/>
          <w:w w:val="105"/>
        </w:rPr>
        <w:t xml:space="preserve"> </w:t>
      </w:r>
      <w:r>
        <w:rPr>
          <w:w w:val="105"/>
        </w:rPr>
        <w:t>preparing</w:t>
      </w:r>
      <w:r>
        <w:rPr>
          <w:spacing w:val="24"/>
          <w:w w:val="105"/>
        </w:rPr>
        <w:t xml:space="preserve"> </w:t>
      </w:r>
      <w:r>
        <w:rPr>
          <w:w w:val="105"/>
        </w:rPr>
        <w:t>bids</w:t>
      </w:r>
      <w:r>
        <w:rPr>
          <w:spacing w:val="28"/>
          <w:w w:val="105"/>
        </w:rPr>
        <w:t xml:space="preserve"> </w:t>
      </w:r>
      <w:r>
        <w:rPr>
          <w:spacing w:val="-5"/>
          <w:w w:val="105"/>
        </w:rPr>
        <w:t>for</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6"/>
        <w:jc w:val="both"/>
      </w:pPr>
      <w:r>
        <w:rPr>
          <w:w w:val="105"/>
        </w:rPr>
        <w:t>multiple government projects must align</w:t>
      </w:r>
      <w:r>
        <w:rPr>
          <w:w w:val="105"/>
        </w:rPr>
        <w:t xml:space="preserve"> its proposals with varying specifications while remaining cost-competitive. Strategic flexibility allows such firms to reorganize internal processes quickly, adjust pricing strategies, or reallocate resources without disrupting overall operations. This ca</w:t>
      </w:r>
      <w:r>
        <w:rPr>
          <w:w w:val="105"/>
        </w:rPr>
        <w:t>pacity to adapt ensures that customer-oriented</w:t>
      </w:r>
      <w:r>
        <w:rPr>
          <w:spacing w:val="-4"/>
          <w:w w:val="105"/>
        </w:rPr>
        <w:t xml:space="preserve"> </w:t>
      </w:r>
      <w:r>
        <w:rPr>
          <w:w w:val="105"/>
        </w:rPr>
        <w:t>practices</w:t>
      </w:r>
      <w:r>
        <w:rPr>
          <w:spacing w:val="-5"/>
          <w:w w:val="105"/>
        </w:rPr>
        <w:t xml:space="preserve"> </w:t>
      </w:r>
      <w:r>
        <w:rPr>
          <w:w w:val="105"/>
        </w:rPr>
        <w:t>such</w:t>
      </w:r>
      <w:r>
        <w:rPr>
          <w:spacing w:val="-4"/>
          <w:w w:val="105"/>
        </w:rPr>
        <w:t xml:space="preserve"> </w:t>
      </w:r>
      <w:r>
        <w:rPr>
          <w:w w:val="105"/>
        </w:rPr>
        <w:t>as</w:t>
      </w:r>
      <w:r>
        <w:rPr>
          <w:spacing w:val="-5"/>
          <w:w w:val="105"/>
        </w:rPr>
        <w:t xml:space="preserve"> </w:t>
      </w:r>
      <w:r>
        <w:rPr>
          <w:w w:val="105"/>
        </w:rPr>
        <w:t>understanding</w:t>
      </w:r>
      <w:r>
        <w:rPr>
          <w:spacing w:val="-4"/>
          <w:w w:val="105"/>
        </w:rPr>
        <w:t xml:space="preserve"> </w:t>
      </w:r>
      <w:r>
        <w:rPr>
          <w:w w:val="105"/>
        </w:rPr>
        <w:t>end-user preferences</w:t>
      </w:r>
      <w:r>
        <w:rPr>
          <w:spacing w:val="-11"/>
          <w:w w:val="105"/>
        </w:rPr>
        <w:t xml:space="preserve"> </w:t>
      </w:r>
      <w:r>
        <w:rPr>
          <w:w w:val="105"/>
        </w:rPr>
        <w:t>and</w:t>
      </w:r>
      <w:r>
        <w:rPr>
          <w:spacing w:val="-4"/>
          <w:w w:val="105"/>
        </w:rPr>
        <w:t xml:space="preserve"> </w:t>
      </w:r>
      <w:r>
        <w:rPr>
          <w:w w:val="105"/>
        </w:rPr>
        <w:t>tailoring solutions can translate into actual tender success</w:t>
      </w:r>
      <w:r>
        <w:rPr>
          <w:spacing w:val="-1"/>
          <w:w w:val="105"/>
        </w:rPr>
        <w:t xml:space="preserve"> </w:t>
      </w:r>
      <w:r>
        <w:rPr>
          <w:w w:val="105"/>
        </w:rPr>
        <w:t>and long-term sustainability.</w:t>
      </w:r>
    </w:p>
    <w:p w:rsidR="00487D64" w:rsidRDefault="006F0D93">
      <w:pPr>
        <w:pStyle w:val="BodyText"/>
        <w:spacing w:before="235" w:line="501" w:lineRule="auto"/>
        <w:ind w:left="1419" w:right="847"/>
        <w:jc w:val="both"/>
      </w:pPr>
      <w:r>
        <w:rPr>
          <w:w w:val="105"/>
        </w:rPr>
        <w:t>Without strategic flexibility, customer orientation risks bec</w:t>
      </w:r>
      <w:r>
        <w:rPr>
          <w:w w:val="105"/>
        </w:rPr>
        <w:t>oming a static approach, where customer insights</w:t>
      </w:r>
      <w:r>
        <w:rPr>
          <w:spacing w:val="-2"/>
          <w:w w:val="105"/>
        </w:rPr>
        <w:t xml:space="preserve"> </w:t>
      </w:r>
      <w:r>
        <w:rPr>
          <w:w w:val="105"/>
        </w:rPr>
        <w:t>are gathered but cannot be operationalized due</w:t>
      </w:r>
      <w:r>
        <w:rPr>
          <w:spacing w:val="-1"/>
          <w:w w:val="105"/>
        </w:rPr>
        <w:t xml:space="preserve"> </w:t>
      </w:r>
      <w:r>
        <w:rPr>
          <w:w w:val="105"/>
        </w:rPr>
        <w:t>to structural rigidity. This aligns with Akbar (2024), who argues that customer-centric strategies alone cannot guarantee competitiveness in dynamic markets</w:t>
      </w:r>
      <w:r>
        <w:rPr>
          <w:w w:val="105"/>
        </w:rPr>
        <w:t xml:space="preserve"> without the ability to adjust internal systems promptly.</w:t>
      </w:r>
    </w:p>
    <w:p w:rsidR="00487D64" w:rsidRDefault="006F0D93">
      <w:pPr>
        <w:pStyle w:val="BodyText"/>
        <w:spacing w:before="240" w:line="501" w:lineRule="auto"/>
        <w:ind w:left="1419" w:right="852"/>
        <w:jc w:val="both"/>
      </w:pPr>
      <w:r>
        <w:rPr>
          <w:w w:val="105"/>
        </w:rPr>
        <w:t>The significant moderating effect observed in this study corroborates findings by Suryantini et al. (2023), who emphasized the role of strategic flexibility in strengthening the link between custome</w:t>
      </w:r>
      <w:r>
        <w:rPr>
          <w:w w:val="105"/>
        </w:rPr>
        <w:t>r responsiveness and sustainable performance. Their review highlighted flexibility as a bridge between customer insight and resource adaptation, especially under uncertainty. Similarly, Knudsen et al. (2021) and Chen et al. (2017) argue that customer orien</w:t>
      </w:r>
      <w:r>
        <w:rPr>
          <w:w w:val="105"/>
        </w:rPr>
        <w:t>tation drives innovation and market differentiation only when organizations have mechanisms to transform knowledge into action a role fulfilled by strategic flexibility.</w:t>
      </w:r>
    </w:p>
    <w:p w:rsidR="00487D64" w:rsidRDefault="006F0D93">
      <w:pPr>
        <w:pStyle w:val="BodyText"/>
        <w:spacing w:before="238" w:line="501" w:lineRule="auto"/>
        <w:ind w:left="1419" w:right="853"/>
        <w:jc w:val="both"/>
      </w:pPr>
      <w:r>
        <w:rPr>
          <w:w w:val="105"/>
        </w:rPr>
        <w:t>However, this study diverges from earlier research, such as Kasumaningtyas and Cempena</w:t>
      </w:r>
      <w:r>
        <w:rPr>
          <w:w w:val="105"/>
        </w:rPr>
        <w:t xml:space="preserve"> (2024), which found that the positive effect of customer orientation on service innovation was mediated by digital capabilities rather than moderated by flexibility.</w:t>
      </w:r>
      <w:r>
        <w:rPr>
          <w:spacing w:val="24"/>
          <w:w w:val="105"/>
        </w:rPr>
        <w:t xml:space="preserve"> </w:t>
      </w:r>
      <w:r>
        <w:rPr>
          <w:w w:val="105"/>
        </w:rPr>
        <w:t>The</w:t>
      </w:r>
      <w:r>
        <w:rPr>
          <w:spacing w:val="28"/>
          <w:w w:val="105"/>
        </w:rPr>
        <w:t xml:space="preserve"> </w:t>
      </w:r>
      <w:r>
        <w:rPr>
          <w:w w:val="105"/>
        </w:rPr>
        <w:t>difference</w:t>
      </w:r>
      <w:r>
        <w:rPr>
          <w:spacing w:val="28"/>
          <w:w w:val="105"/>
        </w:rPr>
        <w:t xml:space="preserve"> </w:t>
      </w:r>
      <w:r>
        <w:rPr>
          <w:w w:val="105"/>
        </w:rPr>
        <w:t>may</w:t>
      </w:r>
      <w:r>
        <w:rPr>
          <w:spacing w:val="29"/>
          <w:w w:val="105"/>
        </w:rPr>
        <w:t xml:space="preserve"> </w:t>
      </w:r>
      <w:r>
        <w:rPr>
          <w:w w:val="105"/>
        </w:rPr>
        <w:t>stem</w:t>
      </w:r>
      <w:r>
        <w:rPr>
          <w:spacing w:val="28"/>
          <w:w w:val="105"/>
        </w:rPr>
        <w:t xml:space="preserve"> </w:t>
      </w:r>
      <w:r>
        <w:rPr>
          <w:w w:val="105"/>
        </w:rPr>
        <w:t>from</w:t>
      </w:r>
      <w:r>
        <w:rPr>
          <w:spacing w:val="21"/>
          <w:w w:val="105"/>
        </w:rPr>
        <w:t xml:space="preserve"> </w:t>
      </w:r>
      <w:r>
        <w:rPr>
          <w:w w:val="105"/>
        </w:rPr>
        <w:t>the</w:t>
      </w:r>
      <w:r>
        <w:rPr>
          <w:spacing w:val="21"/>
          <w:w w:val="105"/>
        </w:rPr>
        <w:t xml:space="preserve"> </w:t>
      </w:r>
      <w:r>
        <w:rPr>
          <w:w w:val="105"/>
        </w:rPr>
        <w:t>procurement-specific</w:t>
      </w:r>
      <w:r>
        <w:rPr>
          <w:spacing w:val="28"/>
          <w:w w:val="105"/>
        </w:rPr>
        <w:t xml:space="preserve"> </w:t>
      </w:r>
      <w:r>
        <w:rPr>
          <w:w w:val="105"/>
        </w:rPr>
        <w:t>context</w:t>
      </w:r>
      <w:r>
        <w:rPr>
          <w:spacing w:val="32"/>
          <w:w w:val="105"/>
        </w:rPr>
        <w:t xml:space="preserve"> </w:t>
      </w:r>
      <w:r>
        <w:rPr>
          <w:w w:val="105"/>
        </w:rPr>
        <w:t>of</w:t>
      </w:r>
      <w:r>
        <w:rPr>
          <w:spacing w:val="19"/>
          <w:w w:val="105"/>
        </w:rPr>
        <w:t xml:space="preserve"> </w:t>
      </w:r>
      <w:r>
        <w:rPr>
          <w:w w:val="105"/>
        </w:rPr>
        <w:t>this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0"/>
        <w:jc w:val="both"/>
      </w:pPr>
      <w:r>
        <w:rPr>
          <w:w w:val="105"/>
        </w:rPr>
        <w:t>study, where competitive success depends heavily on both customer responsiveness (e.g., meeting specifications) and operational agility (e.g., revising bids under resource constraints). The findings therefore introduce</w:t>
      </w:r>
      <w:r>
        <w:rPr>
          <w:spacing w:val="-1"/>
          <w:w w:val="105"/>
        </w:rPr>
        <w:t xml:space="preserve"> </w:t>
      </w:r>
      <w:r>
        <w:rPr>
          <w:w w:val="105"/>
        </w:rPr>
        <w:t>a nuanced perspective: while digit</w:t>
      </w:r>
      <w:r>
        <w:rPr>
          <w:w w:val="105"/>
        </w:rPr>
        <w:t>al tools remain important, strategic flexibility independently enhances the strategic value of customer orientation by enabling rapid resource realignment even in technology-limited settings.</w:t>
      </w:r>
    </w:p>
    <w:p w:rsidR="00487D64" w:rsidRDefault="006F0D93">
      <w:pPr>
        <w:pStyle w:val="BodyText"/>
        <w:spacing w:before="235" w:line="501" w:lineRule="auto"/>
        <w:ind w:left="1419" w:right="851"/>
        <w:jc w:val="both"/>
      </w:pPr>
      <w:r>
        <w:rPr>
          <w:w w:val="105"/>
        </w:rPr>
        <w:t>Moreover, as noted in Akbar’s (2024) review, technological enabl</w:t>
      </w:r>
      <w:r>
        <w:rPr>
          <w:w w:val="105"/>
        </w:rPr>
        <w:t>ers such as AI, predictive</w:t>
      </w:r>
      <w:r>
        <w:rPr>
          <w:spacing w:val="-3"/>
          <w:w w:val="105"/>
        </w:rPr>
        <w:t xml:space="preserve"> </w:t>
      </w:r>
      <w:r>
        <w:rPr>
          <w:w w:val="105"/>
        </w:rPr>
        <w:t>analytics, and</w:t>
      </w:r>
      <w:r>
        <w:rPr>
          <w:spacing w:val="-2"/>
          <w:w w:val="105"/>
        </w:rPr>
        <w:t xml:space="preserve"> </w:t>
      </w:r>
      <w:r>
        <w:rPr>
          <w:w w:val="105"/>
        </w:rPr>
        <w:t>digital procurement platforms</w:t>
      </w:r>
      <w:r>
        <w:rPr>
          <w:spacing w:val="-4"/>
          <w:w w:val="105"/>
        </w:rPr>
        <w:t xml:space="preserve"> </w:t>
      </w:r>
      <w:r>
        <w:rPr>
          <w:w w:val="105"/>
        </w:rPr>
        <w:t>can</w:t>
      </w:r>
      <w:r>
        <w:rPr>
          <w:spacing w:val="-2"/>
          <w:w w:val="105"/>
        </w:rPr>
        <w:t xml:space="preserve"> </w:t>
      </w:r>
      <w:r>
        <w:rPr>
          <w:w w:val="105"/>
        </w:rPr>
        <w:t>strengthen</w:t>
      </w:r>
      <w:r>
        <w:rPr>
          <w:spacing w:val="-8"/>
          <w:w w:val="105"/>
        </w:rPr>
        <w:t xml:space="preserve"> </w:t>
      </w:r>
      <w:r>
        <w:rPr>
          <w:w w:val="105"/>
        </w:rPr>
        <w:t>the</w:t>
      </w:r>
      <w:r>
        <w:rPr>
          <w:spacing w:val="-9"/>
          <w:w w:val="105"/>
        </w:rPr>
        <w:t xml:space="preserve"> </w:t>
      </w:r>
      <w:r>
        <w:rPr>
          <w:w w:val="105"/>
        </w:rPr>
        <w:t>interaction between flexibility and customer orientation. However, in Tanzania’s procurement context where digital adoption remains uneven strategic flexibility comp</w:t>
      </w:r>
      <w:r>
        <w:rPr>
          <w:w w:val="105"/>
        </w:rPr>
        <w:t>ensates for technological gaps by facilitating manual adjustments in resource planning and bid preparation. This insight opens avenues for future research exploring technology- flexibility synergies in public procurement ecosystems.</w:t>
      </w:r>
    </w:p>
    <w:p w:rsidR="00487D64" w:rsidRDefault="00487D64">
      <w:pPr>
        <w:pStyle w:val="BodyText"/>
      </w:pPr>
    </w:p>
    <w:p w:rsidR="00487D64" w:rsidRDefault="00487D64">
      <w:pPr>
        <w:pStyle w:val="BodyText"/>
        <w:spacing w:before="31"/>
      </w:pPr>
    </w:p>
    <w:p w:rsidR="00487D64" w:rsidRDefault="006F0D93">
      <w:pPr>
        <w:pStyle w:val="ListParagraph"/>
        <w:numPr>
          <w:ilvl w:val="1"/>
          <w:numId w:val="7"/>
        </w:numPr>
        <w:tabs>
          <w:tab w:val="left" w:pos="1988"/>
        </w:tabs>
        <w:spacing w:before="1"/>
        <w:ind w:left="1988" w:hanging="569"/>
        <w:rPr>
          <w:b/>
          <w:sz w:val="23"/>
        </w:rPr>
      </w:pPr>
      <w:bookmarkStart w:id="202" w:name="5.9__The_Final_Model_of_the_Study"/>
      <w:bookmarkStart w:id="203" w:name="_bookmark97"/>
      <w:bookmarkEnd w:id="202"/>
      <w:bookmarkEnd w:id="203"/>
      <w:r>
        <w:rPr>
          <w:b/>
          <w:w w:val="105"/>
          <w:sz w:val="23"/>
        </w:rPr>
        <w:t>The</w:t>
      </w:r>
      <w:r>
        <w:rPr>
          <w:b/>
          <w:spacing w:val="-8"/>
          <w:w w:val="105"/>
          <w:sz w:val="23"/>
        </w:rPr>
        <w:t xml:space="preserve"> </w:t>
      </w:r>
      <w:r>
        <w:rPr>
          <w:b/>
          <w:w w:val="105"/>
          <w:sz w:val="23"/>
        </w:rPr>
        <w:t>Final</w:t>
      </w:r>
      <w:r>
        <w:rPr>
          <w:b/>
          <w:spacing w:val="-11"/>
          <w:w w:val="105"/>
          <w:sz w:val="23"/>
        </w:rPr>
        <w:t xml:space="preserve"> </w:t>
      </w:r>
      <w:r>
        <w:rPr>
          <w:b/>
          <w:w w:val="105"/>
          <w:sz w:val="23"/>
        </w:rPr>
        <w:t>Model</w:t>
      </w:r>
      <w:r>
        <w:rPr>
          <w:b/>
          <w:spacing w:val="-11"/>
          <w:w w:val="105"/>
          <w:sz w:val="23"/>
        </w:rPr>
        <w:t xml:space="preserve"> </w:t>
      </w:r>
      <w:r>
        <w:rPr>
          <w:b/>
          <w:w w:val="105"/>
          <w:sz w:val="23"/>
        </w:rPr>
        <w:t>of</w:t>
      </w:r>
      <w:r>
        <w:rPr>
          <w:b/>
          <w:spacing w:val="-3"/>
          <w:w w:val="105"/>
          <w:sz w:val="23"/>
        </w:rPr>
        <w:t xml:space="preserve"> </w:t>
      </w:r>
      <w:r>
        <w:rPr>
          <w:b/>
          <w:w w:val="105"/>
          <w:sz w:val="23"/>
        </w:rPr>
        <w:t>the</w:t>
      </w:r>
      <w:r>
        <w:rPr>
          <w:b/>
          <w:spacing w:val="-1"/>
          <w:w w:val="105"/>
          <w:sz w:val="23"/>
        </w:rPr>
        <w:t xml:space="preserve"> </w:t>
      </w:r>
      <w:r>
        <w:rPr>
          <w:b/>
          <w:spacing w:val="-4"/>
          <w:w w:val="105"/>
          <w:sz w:val="23"/>
        </w:rPr>
        <w:t>Study</w:t>
      </w:r>
    </w:p>
    <w:p w:rsidR="00487D64" w:rsidRDefault="00487D64">
      <w:pPr>
        <w:pStyle w:val="BodyText"/>
        <w:spacing w:before="11"/>
        <w:rPr>
          <w:b/>
        </w:rPr>
      </w:pPr>
    </w:p>
    <w:p w:rsidR="00487D64" w:rsidRDefault="006F0D93">
      <w:pPr>
        <w:pStyle w:val="BodyText"/>
        <w:spacing w:line="501" w:lineRule="auto"/>
        <w:ind w:left="1419" w:right="850"/>
        <w:jc w:val="both"/>
      </w:pPr>
      <w:r>
        <w:rPr>
          <w:w w:val="105"/>
        </w:rPr>
        <w:t>The study's results</w:t>
      </w:r>
      <w:r>
        <w:rPr>
          <w:spacing w:val="-2"/>
          <w:w w:val="105"/>
        </w:rPr>
        <w:t xml:space="preserve"> </w:t>
      </w:r>
      <w:r>
        <w:rPr>
          <w:w w:val="105"/>
        </w:rPr>
        <w:t>indicated a partially supported moderated model, which included strategic flexibility, with a moderating effect on the direct relationship between customer orientation and sustainable competitiveness for a special group of</w:t>
      </w:r>
      <w:r>
        <w:rPr>
          <w:w w:val="105"/>
        </w:rPr>
        <w:t xml:space="preserve"> SMEs that participate in public procurement. Customer orientation had a significant direct effect on sustainable competitiveness, meaning that SMEs that are focused on understanding the needs of their customers and responding accordingly are more likely t</w:t>
      </w:r>
      <w:r>
        <w:rPr>
          <w:w w:val="105"/>
        </w:rPr>
        <w:t>o create sustainable competitive advantages over time. Strategic flexibility significantly</w:t>
      </w:r>
      <w:r>
        <w:rPr>
          <w:spacing w:val="71"/>
          <w:w w:val="105"/>
        </w:rPr>
        <w:t xml:space="preserve"> </w:t>
      </w:r>
      <w:r>
        <w:rPr>
          <w:w w:val="105"/>
        </w:rPr>
        <w:t>moderated</w:t>
      </w:r>
      <w:r>
        <w:rPr>
          <w:spacing w:val="70"/>
          <w:w w:val="105"/>
        </w:rPr>
        <w:t xml:space="preserve"> </w:t>
      </w:r>
      <w:r>
        <w:rPr>
          <w:w w:val="105"/>
        </w:rPr>
        <w:t>this</w:t>
      </w:r>
      <w:r>
        <w:rPr>
          <w:spacing w:val="75"/>
          <w:w w:val="105"/>
        </w:rPr>
        <w:t xml:space="preserve"> </w:t>
      </w:r>
      <w:r>
        <w:rPr>
          <w:w w:val="105"/>
        </w:rPr>
        <w:t>effect,</w:t>
      </w:r>
      <w:r>
        <w:rPr>
          <w:spacing w:val="80"/>
          <w:w w:val="105"/>
        </w:rPr>
        <w:t xml:space="preserve"> </w:t>
      </w:r>
      <w:r>
        <w:rPr>
          <w:w w:val="105"/>
        </w:rPr>
        <w:t>confirming</w:t>
      </w:r>
      <w:r>
        <w:rPr>
          <w:spacing w:val="70"/>
          <w:w w:val="105"/>
        </w:rPr>
        <w:t xml:space="preserve"> </w:t>
      </w:r>
      <w:r>
        <w:rPr>
          <w:w w:val="105"/>
        </w:rPr>
        <w:t>that</w:t>
      </w:r>
      <w:r>
        <w:rPr>
          <w:spacing w:val="72"/>
          <w:w w:val="105"/>
        </w:rPr>
        <w:t xml:space="preserve"> </w:t>
      </w:r>
      <w:r>
        <w:rPr>
          <w:w w:val="105"/>
        </w:rPr>
        <w:t>customer</w:t>
      </w:r>
      <w:r>
        <w:rPr>
          <w:spacing w:val="73"/>
          <w:w w:val="105"/>
        </w:rPr>
        <w:t xml:space="preserve"> </w:t>
      </w:r>
      <w:r>
        <w:rPr>
          <w:w w:val="105"/>
        </w:rPr>
        <w:t>orientation</w:t>
      </w:r>
      <w:r>
        <w:rPr>
          <w:spacing w:val="77"/>
          <w:w w:val="105"/>
        </w:rPr>
        <w:t xml:space="preserve"> </w:t>
      </w:r>
      <w:r>
        <w:rPr>
          <w:w w:val="105"/>
        </w:rPr>
        <w:t>has</w:t>
      </w:r>
      <w:r>
        <w:rPr>
          <w:spacing w:val="68"/>
          <w:w w:val="105"/>
        </w:rPr>
        <w:t xml:space="preserve"> </w:t>
      </w:r>
      <w:r>
        <w:rPr>
          <w:w w:val="105"/>
        </w:rPr>
        <w:t>a</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63"/>
        <w:jc w:val="both"/>
      </w:pPr>
      <w:r>
        <w:rPr>
          <w:w w:val="105"/>
        </w:rPr>
        <w:t>significantly</w:t>
      </w:r>
      <w:r>
        <w:rPr>
          <w:spacing w:val="-4"/>
          <w:w w:val="105"/>
        </w:rPr>
        <w:t xml:space="preserve"> </w:t>
      </w:r>
      <w:r>
        <w:rPr>
          <w:w w:val="105"/>
        </w:rPr>
        <w:t>stronger</w:t>
      </w:r>
      <w:r>
        <w:rPr>
          <w:spacing w:val="-7"/>
          <w:w w:val="105"/>
        </w:rPr>
        <w:t xml:space="preserve"> </w:t>
      </w:r>
      <w:r>
        <w:rPr>
          <w:w w:val="105"/>
        </w:rPr>
        <w:t>influence</w:t>
      </w:r>
      <w:r>
        <w:rPr>
          <w:spacing w:val="-5"/>
          <w:w w:val="105"/>
        </w:rPr>
        <w:t xml:space="preserve"> </w:t>
      </w:r>
      <w:r>
        <w:rPr>
          <w:w w:val="105"/>
        </w:rPr>
        <w:t>on</w:t>
      </w:r>
      <w:r>
        <w:rPr>
          <w:spacing w:val="-4"/>
          <w:w w:val="105"/>
        </w:rPr>
        <w:t xml:space="preserve"> </w:t>
      </w:r>
      <w:r>
        <w:rPr>
          <w:w w:val="105"/>
        </w:rPr>
        <w:t>sustainable</w:t>
      </w:r>
      <w:r>
        <w:rPr>
          <w:spacing w:val="-5"/>
          <w:w w:val="105"/>
        </w:rPr>
        <w:t xml:space="preserve"> </w:t>
      </w:r>
      <w:r>
        <w:rPr>
          <w:w w:val="105"/>
        </w:rPr>
        <w:t>competitiveness</w:t>
      </w:r>
      <w:r>
        <w:rPr>
          <w:spacing w:val="-6"/>
          <w:w w:val="105"/>
        </w:rPr>
        <w:t xml:space="preserve"> </w:t>
      </w:r>
      <w:r>
        <w:rPr>
          <w:w w:val="105"/>
        </w:rPr>
        <w:t>when</w:t>
      </w:r>
      <w:r>
        <w:rPr>
          <w:spacing w:val="-4"/>
          <w:w w:val="105"/>
        </w:rPr>
        <w:t xml:space="preserve"> </w:t>
      </w:r>
      <w:r>
        <w:rPr>
          <w:w w:val="105"/>
        </w:rPr>
        <w:t>firms</w:t>
      </w:r>
      <w:r>
        <w:rPr>
          <w:spacing w:val="-6"/>
          <w:w w:val="105"/>
        </w:rPr>
        <w:t xml:space="preserve"> </w:t>
      </w:r>
      <w:r>
        <w:rPr>
          <w:w w:val="105"/>
        </w:rPr>
        <w:t>be</w:t>
      </w:r>
      <w:r>
        <w:rPr>
          <w:w w:val="105"/>
        </w:rPr>
        <w:t>have</w:t>
      </w:r>
      <w:r>
        <w:rPr>
          <w:spacing w:val="-5"/>
          <w:w w:val="105"/>
        </w:rPr>
        <w:t xml:space="preserve"> </w:t>
      </w:r>
      <w:r>
        <w:rPr>
          <w:w w:val="105"/>
        </w:rPr>
        <w:t>in a strategically flexible manner (in the sense that they can reconfigure resources that support a customer-centric approach to respond dynamically to external changes).</w:t>
      </w:r>
    </w:p>
    <w:p w:rsidR="00487D64" w:rsidRDefault="006F0D93">
      <w:pPr>
        <w:pStyle w:val="BodyText"/>
        <w:spacing w:before="245" w:line="501" w:lineRule="auto"/>
        <w:ind w:left="1419" w:right="852"/>
        <w:jc w:val="both"/>
      </w:pPr>
      <w:r>
        <w:rPr>
          <w:w w:val="105"/>
        </w:rPr>
        <w:t>The same was true for competitor orientation, which showed a significant positiv</w:t>
      </w:r>
      <w:r>
        <w:rPr>
          <w:w w:val="105"/>
        </w:rPr>
        <w:t>e direct effect on sustainable competitiveness, suggesting that responsiveness to market competition is a valuable strategic posture. This relationship, too, was significantly moderated by strategic flexibility, reinforcing the importance of adaptive capab</w:t>
      </w:r>
      <w:r>
        <w:rPr>
          <w:w w:val="105"/>
        </w:rPr>
        <w:t>ilities in translating market orientation into competitive positioning. These results align with the dynamic capability theory, which posits that firms must not only possess market-relevant knowledge but must also have the ability to adapt and</w:t>
      </w:r>
      <w:r>
        <w:rPr>
          <w:spacing w:val="-8"/>
          <w:w w:val="105"/>
        </w:rPr>
        <w:t xml:space="preserve"> </w:t>
      </w:r>
      <w:r>
        <w:rPr>
          <w:w w:val="105"/>
        </w:rPr>
        <w:t>realign</w:t>
      </w:r>
      <w:r>
        <w:rPr>
          <w:spacing w:val="-8"/>
          <w:w w:val="105"/>
        </w:rPr>
        <w:t xml:space="preserve"> </w:t>
      </w:r>
      <w:r>
        <w:rPr>
          <w:w w:val="105"/>
        </w:rPr>
        <w:t>thei</w:t>
      </w:r>
      <w:r>
        <w:rPr>
          <w:w w:val="105"/>
        </w:rPr>
        <w:t>r strategies</w:t>
      </w:r>
      <w:r>
        <w:rPr>
          <w:spacing w:val="-11"/>
          <w:w w:val="105"/>
        </w:rPr>
        <w:t xml:space="preserve"> </w:t>
      </w:r>
      <w:r>
        <w:rPr>
          <w:w w:val="105"/>
        </w:rPr>
        <w:t>in</w:t>
      </w:r>
      <w:r>
        <w:rPr>
          <w:spacing w:val="-8"/>
          <w:w w:val="105"/>
        </w:rPr>
        <w:t xml:space="preserve"> </w:t>
      </w:r>
      <w:r>
        <w:rPr>
          <w:w w:val="105"/>
        </w:rPr>
        <w:t>response</w:t>
      </w:r>
      <w:r>
        <w:rPr>
          <w:spacing w:val="-9"/>
          <w:w w:val="105"/>
        </w:rPr>
        <w:t xml:space="preserve"> </w:t>
      </w:r>
      <w:r>
        <w:rPr>
          <w:w w:val="105"/>
        </w:rPr>
        <w:t>to</w:t>
      </w:r>
      <w:r>
        <w:rPr>
          <w:spacing w:val="-2"/>
          <w:w w:val="105"/>
        </w:rPr>
        <w:t xml:space="preserve"> </w:t>
      </w:r>
      <w:r>
        <w:rPr>
          <w:w w:val="105"/>
        </w:rPr>
        <w:t>environmental</w:t>
      </w:r>
      <w:r>
        <w:rPr>
          <w:spacing w:val="-7"/>
          <w:w w:val="105"/>
        </w:rPr>
        <w:t xml:space="preserve"> </w:t>
      </w:r>
      <w:r>
        <w:rPr>
          <w:w w:val="105"/>
        </w:rPr>
        <w:t>changes.</w:t>
      </w:r>
      <w:r>
        <w:rPr>
          <w:spacing w:val="-7"/>
          <w:w w:val="105"/>
        </w:rPr>
        <w:t xml:space="preserve"> </w:t>
      </w:r>
      <w:r>
        <w:rPr>
          <w:w w:val="105"/>
        </w:rPr>
        <w:t>Strategic</w:t>
      </w:r>
      <w:r>
        <w:rPr>
          <w:spacing w:val="-3"/>
          <w:w w:val="105"/>
        </w:rPr>
        <w:t xml:space="preserve"> </w:t>
      </w:r>
      <w:r>
        <w:rPr>
          <w:w w:val="105"/>
        </w:rPr>
        <w:t>flexibility acts as a dynamic enabler that allows firms to act on market knowledge more effectively, turning orientation into actionable competitiveness.</w:t>
      </w:r>
    </w:p>
    <w:p w:rsidR="00487D64" w:rsidRDefault="006F0D93">
      <w:pPr>
        <w:pStyle w:val="BodyText"/>
        <w:spacing w:before="235" w:line="501" w:lineRule="auto"/>
        <w:ind w:left="1419" w:right="848"/>
        <w:jc w:val="both"/>
      </w:pPr>
      <w:r>
        <w:rPr>
          <w:w w:val="105"/>
        </w:rPr>
        <w:t>However, functional coordination did not</w:t>
      </w:r>
      <w:r>
        <w:rPr>
          <w:w w:val="105"/>
        </w:rPr>
        <w:t xml:space="preserve"> show a significant direct effect on sustainable competitiveness, nor did strategic flexibility significantly moderate this relationship.</w:t>
      </w:r>
      <w:r>
        <w:rPr>
          <w:spacing w:val="-13"/>
          <w:w w:val="105"/>
        </w:rPr>
        <w:t xml:space="preserve"> </w:t>
      </w:r>
      <w:r>
        <w:rPr>
          <w:w w:val="105"/>
        </w:rPr>
        <w:t>This</w:t>
      </w:r>
      <w:r>
        <w:rPr>
          <w:spacing w:val="-5"/>
          <w:w w:val="105"/>
        </w:rPr>
        <w:t xml:space="preserve"> </w:t>
      </w:r>
      <w:r>
        <w:rPr>
          <w:w w:val="105"/>
        </w:rPr>
        <w:t>suggests</w:t>
      </w:r>
      <w:r>
        <w:rPr>
          <w:spacing w:val="-12"/>
          <w:w w:val="105"/>
        </w:rPr>
        <w:t xml:space="preserve"> </w:t>
      </w:r>
      <w:r>
        <w:rPr>
          <w:w w:val="105"/>
        </w:rPr>
        <w:t>that</w:t>
      </w:r>
      <w:r>
        <w:rPr>
          <w:spacing w:val="-2"/>
          <w:w w:val="105"/>
        </w:rPr>
        <w:t xml:space="preserve"> </w:t>
      </w:r>
      <w:r>
        <w:rPr>
          <w:w w:val="105"/>
        </w:rPr>
        <w:t>while</w:t>
      </w:r>
      <w:r>
        <w:rPr>
          <w:spacing w:val="-10"/>
          <w:w w:val="105"/>
        </w:rPr>
        <w:t xml:space="preserve"> </w:t>
      </w:r>
      <w:r>
        <w:rPr>
          <w:w w:val="105"/>
        </w:rPr>
        <w:t>coordination</w:t>
      </w:r>
      <w:r>
        <w:rPr>
          <w:spacing w:val="-9"/>
          <w:w w:val="105"/>
        </w:rPr>
        <w:t xml:space="preserve"> </w:t>
      </w:r>
      <w:r>
        <w:rPr>
          <w:w w:val="105"/>
        </w:rPr>
        <w:t>across</w:t>
      </w:r>
      <w:r>
        <w:rPr>
          <w:spacing w:val="-11"/>
          <w:w w:val="105"/>
        </w:rPr>
        <w:t xml:space="preserve"> </w:t>
      </w:r>
      <w:r>
        <w:rPr>
          <w:w w:val="105"/>
        </w:rPr>
        <w:t>functions</w:t>
      </w:r>
      <w:r>
        <w:rPr>
          <w:spacing w:val="-5"/>
          <w:w w:val="105"/>
        </w:rPr>
        <w:t xml:space="preserve"> </w:t>
      </w:r>
      <w:r>
        <w:rPr>
          <w:w w:val="105"/>
        </w:rPr>
        <w:t>may</w:t>
      </w:r>
      <w:r>
        <w:rPr>
          <w:spacing w:val="-3"/>
          <w:w w:val="105"/>
        </w:rPr>
        <w:t xml:space="preserve"> </w:t>
      </w:r>
      <w:r>
        <w:rPr>
          <w:w w:val="105"/>
        </w:rPr>
        <w:t>be</w:t>
      </w:r>
      <w:r>
        <w:rPr>
          <w:spacing w:val="-4"/>
          <w:w w:val="105"/>
        </w:rPr>
        <w:t xml:space="preserve"> </w:t>
      </w:r>
      <w:r>
        <w:rPr>
          <w:w w:val="105"/>
        </w:rPr>
        <w:t>necessary for operational efficiency, it may not, in iso</w:t>
      </w:r>
      <w:r>
        <w:rPr>
          <w:w w:val="105"/>
        </w:rPr>
        <w:t>lation, contribute meaningfully to sustainable competitiveness unless integrated with customer and competitor-driven strategies. These findings reflect the premise of market orientation theory, which asserts that sustainable competitive advantage arises fr</w:t>
      </w:r>
      <w:r>
        <w:rPr>
          <w:w w:val="105"/>
        </w:rPr>
        <w:t>om the ability to generate, disseminate,</w:t>
      </w:r>
      <w:r>
        <w:rPr>
          <w:spacing w:val="-5"/>
          <w:w w:val="105"/>
        </w:rPr>
        <w:t xml:space="preserve"> </w:t>
      </w:r>
      <w:r>
        <w:rPr>
          <w:w w:val="105"/>
        </w:rPr>
        <w:t>and</w:t>
      </w:r>
      <w:r>
        <w:rPr>
          <w:spacing w:val="-7"/>
          <w:w w:val="105"/>
        </w:rPr>
        <w:t xml:space="preserve"> </w:t>
      </w:r>
      <w:r>
        <w:rPr>
          <w:w w:val="105"/>
        </w:rPr>
        <w:t>respond to market</w:t>
      </w:r>
      <w:r>
        <w:rPr>
          <w:spacing w:val="-5"/>
          <w:w w:val="105"/>
        </w:rPr>
        <w:t xml:space="preserve"> </w:t>
      </w:r>
      <w:r>
        <w:rPr>
          <w:w w:val="105"/>
        </w:rPr>
        <w:t>intelligence</w:t>
      </w:r>
      <w:r>
        <w:rPr>
          <w:spacing w:val="-7"/>
          <w:w w:val="105"/>
        </w:rPr>
        <w:t xml:space="preserve"> </w:t>
      </w:r>
      <w:r>
        <w:rPr>
          <w:w w:val="105"/>
        </w:rPr>
        <w:t>across</w:t>
      </w:r>
      <w:r>
        <w:rPr>
          <w:spacing w:val="-8"/>
          <w:w w:val="105"/>
        </w:rPr>
        <w:t xml:space="preserve"> </w:t>
      </w:r>
      <w:r>
        <w:rPr>
          <w:w w:val="105"/>
        </w:rPr>
        <w:t>the</w:t>
      </w:r>
      <w:r>
        <w:rPr>
          <w:spacing w:val="-1"/>
          <w:w w:val="105"/>
        </w:rPr>
        <w:t xml:space="preserve"> </w:t>
      </w:r>
      <w:r>
        <w:rPr>
          <w:w w:val="105"/>
        </w:rPr>
        <w:t>organization. As shown</w:t>
      </w:r>
      <w:r>
        <w:rPr>
          <w:spacing w:val="-7"/>
          <w:w w:val="105"/>
        </w:rPr>
        <w:t xml:space="preserve"> </w:t>
      </w:r>
      <w:r>
        <w:rPr>
          <w:w w:val="105"/>
        </w:rPr>
        <w:t>in Figure 5.1</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spacing w:before="130"/>
        <w:rPr>
          <w:sz w:val="20"/>
        </w:rPr>
      </w:pPr>
    </w:p>
    <w:p w:rsidR="00487D64" w:rsidRDefault="006F0D93">
      <w:pPr>
        <w:pStyle w:val="BodyText"/>
        <w:ind w:left="1921"/>
        <w:rPr>
          <w:sz w:val="20"/>
        </w:rPr>
      </w:pPr>
      <w:r>
        <w:rPr>
          <w:noProof/>
          <w:sz w:val="20"/>
        </w:rPr>
        <w:drawing>
          <wp:inline distT="0" distB="0" distL="0" distR="0">
            <wp:extent cx="4676933" cy="2688335"/>
            <wp:effectExtent l="0" t="0" r="0" b="0"/>
            <wp:docPr id="49" name="Image 49" descr="Description: C:\Users\Denis\Downloads\WhatsApp Image 2025-06-25 at 15.02.3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Description: C:\Users\Denis\Downloads\WhatsApp Image 2025-06-25 at 15.02.36.jpeg"/>
                    <pic:cNvPicPr/>
                  </pic:nvPicPr>
                  <pic:blipFill>
                    <a:blip r:embed="rId18" cstate="print"/>
                    <a:stretch>
                      <a:fillRect/>
                    </a:stretch>
                  </pic:blipFill>
                  <pic:spPr>
                    <a:xfrm>
                      <a:off x="0" y="0"/>
                      <a:ext cx="4676933" cy="2688335"/>
                    </a:xfrm>
                    <a:prstGeom prst="rect">
                      <a:avLst/>
                    </a:prstGeom>
                  </pic:spPr>
                </pic:pic>
              </a:graphicData>
            </a:graphic>
          </wp:inline>
        </w:drawing>
      </w:r>
    </w:p>
    <w:p w:rsidR="00487D64" w:rsidRDefault="00487D64">
      <w:pPr>
        <w:pStyle w:val="BodyText"/>
      </w:pPr>
    </w:p>
    <w:p w:rsidR="00487D64" w:rsidRDefault="00487D64">
      <w:pPr>
        <w:pStyle w:val="BodyText"/>
        <w:spacing w:before="65"/>
      </w:pPr>
    </w:p>
    <w:p w:rsidR="00487D64" w:rsidRDefault="006F0D93">
      <w:pPr>
        <w:spacing w:line="372" w:lineRule="auto"/>
        <w:ind w:left="1419" w:right="5856"/>
        <w:rPr>
          <w:sz w:val="23"/>
        </w:rPr>
      </w:pPr>
      <w:r>
        <w:rPr>
          <w:b/>
          <w:w w:val="105"/>
          <w:sz w:val="23"/>
        </w:rPr>
        <w:t>Figure</w:t>
      </w:r>
      <w:r>
        <w:rPr>
          <w:b/>
          <w:spacing w:val="-16"/>
          <w:w w:val="105"/>
          <w:sz w:val="23"/>
        </w:rPr>
        <w:t xml:space="preserve"> </w:t>
      </w:r>
      <w:r>
        <w:rPr>
          <w:b/>
          <w:w w:val="105"/>
          <w:sz w:val="23"/>
        </w:rPr>
        <w:t>5.</w:t>
      </w:r>
      <w:r>
        <w:rPr>
          <w:b/>
          <w:spacing w:val="-15"/>
          <w:w w:val="105"/>
          <w:sz w:val="23"/>
        </w:rPr>
        <w:t xml:space="preserve"> </w:t>
      </w:r>
      <w:r>
        <w:rPr>
          <w:b/>
          <w:w w:val="105"/>
          <w:sz w:val="23"/>
        </w:rPr>
        <w:t>1:</w:t>
      </w:r>
      <w:r>
        <w:rPr>
          <w:b/>
          <w:spacing w:val="-11"/>
          <w:w w:val="105"/>
          <w:sz w:val="23"/>
        </w:rPr>
        <w:t xml:space="preserve"> </w:t>
      </w:r>
      <w:r>
        <w:rPr>
          <w:b/>
          <w:w w:val="105"/>
          <w:sz w:val="23"/>
        </w:rPr>
        <w:t>Final</w:t>
      </w:r>
      <w:r>
        <w:rPr>
          <w:b/>
          <w:spacing w:val="-13"/>
          <w:w w:val="105"/>
          <w:sz w:val="23"/>
        </w:rPr>
        <w:t xml:space="preserve"> </w:t>
      </w:r>
      <w:r>
        <w:rPr>
          <w:b/>
          <w:w w:val="105"/>
          <w:sz w:val="23"/>
        </w:rPr>
        <w:t xml:space="preserve">Model Source: </w:t>
      </w:r>
      <w:r>
        <w:rPr>
          <w:w w:val="105"/>
          <w:sz w:val="23"/>
        </w:rPr>
        <w:t>Field data 2025</w:t>
      </w:r>
    </w:p>
    <w:p w:rsidR="00487D64" w:rsidRDefault="00487D64">
      <w:pPr>
        <w:pStyle w:val="BodyText"/>
      </w:pPr>
    </w:p>
    <w:p w:rsidR="00487D64" w:rsidRDefault="00487D64">
      <w:pPr>
        <w:pStyle w:val="BodyText"/>
        <w:spacing w:before="171"/>
      </w:pPr>
    </w:p>
    <w:p w:rsidR="00487D64" w:rsidRDefault="006F0D93">
      <w:pPr>
        <w:pStyle w:val="BodyText"/>
        <w:spacing w:line="501" w:lineRule="auto"/>
        <w:ind w:left="1419" w:right="849"/>
        <w:jc w:val="both"/>
      </w:pPr>
      <w:r>
        <w:rPr>
          <w:w w:val="105"/>
        </w:rPr>
        <w:t>Generally, the final model affirms that</w:t>
      </w:r>
      <w:r>
        <w:rPr>
          <w:w w:val="105"/>
        </w:rPr>
        <w:t xml:space="preserve"> customer orientation and competitor orientation are key drivers of sustainable competitiveness in the SMEs context, particularly when supported by strategic flexibility as a dynamic capability. Functional coordination,</w:t>
      </w:r>
      <w:r>
        <w:rPr>
          <w:spacing w:val="-2"/>
          <w:w w:val="105"/>
        </w:rPr>
        <w:t xml:space="preserve"> </w:t>
      </w:r>
      <w:r>
        <w:rPr>
          <w:w w:val="105"/>
        </w:rPr>
        <w:t>although operationally</w:t>
      </w:r>
      <w:r>
        <w:rPr>
          <w:spacing w:val="-3"/>
          <w:w w:val="105"/>
        </w:rPr>
        <w:t xml:space="preserve"> </w:t>
      </w:r>
      <w:r>
        <w:rPr>
          <w:w w:val="105"/>
        </w:rPr>
        <w:t>relevant, req</w:t>
      </w:r>
      <w:r>
        <w:rPr>
          <w:w w:val="105"/>
        </w:rPr>
        <w:t>uires further integration with strategic external orientations to yield significant competitive outcomes. The study underscores the need for special group SMEs to not only develop strong market orientation capabilities but also invest in strategic flexibil</w:t>
      </w:r>
      <w:r>
        <w:rPr>
          <w:w w:val="105"/>
        </w:rPr>
        <w:t>ity to remain agile and competitive in public procurement undertakings.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line="504" w:lineRule="auto"/>
        <w:ind w:left="3040" w:right="2472" w:firstLine="1671"/>
        <w:rPr>
          <w:b/>
          <w:sz w:val="23"/>
        </w:rPr>
      </w:pPr>
      <w:bookmarkStart w:id="204" w:name="CHAPTER_SIX"/>
      <w:bookmarkEnd w:id="204"/>
      <w:r>
        <w:rPr>
          <w:b/>
          <w:w w:val="105"/>
          <w:sz w:val="23"/>
        </w:rPr>
        <w:t xml:space="preserve">CHAPTER SIX </w:t>
      </w:r>
      <w:bookmarkStart w:id="205" w:name="CONCLUSIONS_AND_RECOMMENDATIONS"/>
      <w:bookmarkStart w:id="206" w:name="_bookmark98"/>
      <w:bookmarkEnd w:id="205"/>
      <w:bookmarkEnd w:id="206"/>
      <w:r>
        <w:rPr>
          <w:b/>
          <w:sz w:val="23"/>
        </w:rPr>
        <w:t>CONCLUSIONS AND RECOMMENDATIONS</w:t>
      </w:r>
    </w:p>
    <w:p w:rsidR="00487D64" w:rsidRDefault="00487D64">
      <w:pPr>
        <w:pStyle w:val="BodyText"/>
        <w:spacing w:before="7"/>
        <w:rPr>
          <w:b/>
        </w:rPr>
      </w:pPr>
    </w:p>
    <w:p w:rsidR="00487D64" w:rsidRDefault="006F0D93">
      <w:pPr>
        <w:pStyle w:val="ListParagraph"/>
        <w:numPr>
          <w:ilvl w:val="1"/>
          <w:numId w:val="6"/>
        </w:numPr>
        <w:tabs>
          <w:tab w:val="left" w:pos="1988"/>
        </w:tabs>
        <w:ind w:hanging="569"/>
        <w:rPr>
          <w:b/>
          <w:sz w:val="23"/>
        </w:rPr>
      </w:pPr>
      <w:bookmarkStart w:id="207" w:name="6.1__Overview"/>
      <w:bookmarkStart w:id="208" w:name="_bookmark99"/>
      <w:bookmarkEnd w:id="207"/>
      <w:bookmarkEnd w:id="208"/>
      <w:r>
        <w:rPr>
          <w:b/>
          <w:spacing w:val="-2"/>
          <w:w w:val="105"/>
          <w:sz w:val="23"/>
        </w:rPr>
        <w:t>Overview</w:t>
      </w:r>
    </w:p>
    <w:p w:rsidR="00487D64" w:rsidRDefault="00487D64">
      <w:pPr>
        <w:pStyle w:val="BodyText"/>
        <w:spacing w:before="19"/>
        <w:rPr>
          <w:b/>
        </w:rPr>
      </w:pPr>
    </w:p>
    <w:p w:rsidR="00487D64" w:rsidRDefault="006F0D93">
      <w:pPr>
        <w:pStyle w:val="ListParagraph"/>
        <w:numPr>
          <w:ilvl w:val="1"/>
          <w:numId w:val="6"/>
        </w:numPr>
        <w:tabs>
          <w:tab w:val="left" w:pos="1988"/>
        </w:tabs>
        <w:ind w:hanging="569"/>
        <w:rPr>
          <w:b/>
          <w:sz w:val="23"/>
        </w:rPr>
      </w:pPr>
      <w:bookmarkStart w:id="209" w:name="6.2__Summary_of_Key_Findings_of_the_Stud"/>
      <w:bookmarkStart w:id="210" w:name="_bookmark100"/>
      <w:bookmarkEnd w:id="209"/>
      <w:bookmarkEnd w:id="210"/>
      <w:r>
        <w:rPr>
          <w:b/>
          <w:w w:val="105"/>
          <w:sz w:val="23"/>
        </w:rPr>
        <w:t>Summary</w:t>
      </w:r>
      <w:r>
        <w:rPr>
          <w:b/>
          <w:spacing w:val="-12"/>
          <w:w w:val="105"/>
          <w:sz w:val="23"/>
        </w:rPr>
        <w:t xml:space="preserve"> </w:t>
      </w:r>
      <w:r>
        <w:rPr>
          <w:b/>
          <w:w w:val="105"/>
          <w:sz w:val="23"/>
        </w:rPr>
        <w:t>of</w:t>
      </w:r>
      <w:r>
        <w:rPr>
          <w:b/>
          <w:spacing w:val="-8"/>
          <w:w w:val="105"/>
          <w:sz w:val="23"/>
        </w:rPr>
        <w:t xml:space="preserve"> </w:t>
      </w:r>
      <w:r>
        <w:rPr>
          <w:b/>
          <w:w w:val="105"/>
          <w:sz w:val="23"/>
        </w:rPr>
        <w:t>Key</w:t>
      </w:r>
      <w:r>
        <w:rPr>
          <w:b/>
          <w:spacing w:val="-10"/>
          <w:w w:val="105"/>
          <w:sz w:val="23"/>
        </w:rPr>
        <w:t xml:space="preserve"> </w:t>
      </w:r>
      <w:r>
        <w:rPr>
          <w:b/>
          <w:w w:val="105"/>
          <w:sz w:val="23"/>
        </w:rPr>
        <w:t>Findings</w:t>
      </w:r>
      <w:r>
        <w:rPr>
          <w:b/>
          <w:spacing w:val="-7"/>
          <w:w w:val="105"/>
          <w:sz w:val="23"/>
        </w:rPr>
        <w:t xml:space="preserve"> </w:t>
      </w:r>
      <w:r>
        <w:rPr>
          <w:b/>
          <w:w w:val="105"/>
          <w:sz w:val="23"/>
        </w:rPr>
        <w:t>of</w:t>
      </w:r>
      <w:r>
        <w:rPr>
          <w:b/>
          <w:spacing w:val="-8"/>
          <w:w w:val="105"/>
          <w:sz w:val="23"/>
        </w:rPr>
        <w:t xml:space="preserve"> </w:t>
      </w:r>
      <w:r>
        <w:rPr>
          <w:b/>
          <w:w w:val="105"/>
          <w:sz w:val="23"/>
        </w:rPr>
        <w:t xml:space="preserve">the </w:t>
      </w:r>
      <w:r>
        <w:rPr>
          <w:b/>
          <w:spacing w:val="-2"/>
          <w:w w:val="105"/>
          <w:sz w:val="23"/>
        </w:rPr>
        <w:t>Study</w:t>
      </w:r>
    </w:p>
    <w:p w:rsidR="00487D64" w:rsidRDefault="00487D64">
      <w:pPr>
        <w:pStyle w:val="BodyText"/>
        <w:spacing w:before="18"/>
        <w:rPr>
          <w:b/>
        </w:rPr>
      </w:pPr>
    </w:p>
    <w:p w:rsidR="00487D64" w:rsidRDefault="006F0D93">
      <w:pPr>
        <w:pStyle w:val="BodyText"/>
        <w:spacing w:line="501" w:lineRule="auto"/>
        <w:ind w:left="1419" w:right="853"/>
        <w:jc w:val="both"/>
      </w:pPr>
      <w:r>
        <w:rPr>
          <w:w w:val="105"/>
        </w:rPr>
        <w:t>The study examined the effects of customer orientation, competitor orientation, and functional coordination on sustainable competitiveness in public procurement, as well as the moderating role of strategic flexibility. The findings indicate that customer o</w:t>
      </w:r>
      <w:r>
        <w:rPr>
          <w:w w:val="105"/>
        </w:rPr>
        <w:t>rientation significantly enhances sustainable competitiveness, demonstrating that SMEs focusing on understanding and satisfying customer needs achieve better procurement outcomes. Competitor orientation also showed a significant positive influence, suggest</w:t>
      </w:r>
      <w:r>
        <w:rPr>
          <w:w w:val="105"/>
        </w:rPr>
        <w:t>ing that knowledge of competitors’ actions enables firms to sustain a competitive edge. Likewise, functional coordination was found to positively contribute to sustainable competitiveness by promoting internal collaboration and coherent decision-making. Mo</w:t>
      </w:r>
      <w:r>
        <w:rPr>
          <w:w w:val="105"/>
        </w:rPr>
        <w:t>reover, strategic flexibility demonstrated a significant moderating effect on the relationship between market orientation and sustainable competitiveness, implying that SMEs with greater adaptability</w:t>
      </w:r>
      <w:r>
        <w:rPr>
          <w:spacing w:val="-8"/>
          <w:w w:val="105"/>
        </w:rPr>
        <w:t xml:space="preserve"> </w:t>
      </w:r>
      <w:r>
        <w:rPr>
          <w:w w:val="105"/>
        </w:rPr>
        <w:t>in</w:t>
      </w:r>
      <w:r>
        <w:rPr>
          <w:spacing w:val="-8"/>
          <w:w w:val="105"/>
        </w:rPr>
        <w:t xml:space="preserve"> </w:t>
      </w:r>
      <w:r>
        <w:rPr>
          <w:w w:val="105"/>
        </w:rPr>
        <w:t>planning,</w:t>
      </w:r>
      <w:r>
        <w:rPr>
          <w:spacing w:val="-12"/>
          <w:w w:val="105"/>
        </w:rPr>
        <w:t xml:space="preserve"> </w:t>
      </w:r>
      <w:r>
        <w:rPr>
          <w:w w:val="105"/>
        </w:rPr>
        <w:t>resource</w:t>
      </w:r>
      <w:r>
        <w:rPr>
          <w:spacing w:val="-2"/>
          <w:w w:val="105"/>
        </w:rPr>
        <w:t xml:space="preserve"> </w:t>
      </w:r>
      <w:r>
        <w:rPr>
          <w:w w:val="105"/>
        </w:rPr>
        <w:t>management,</w:t>
      </w:r>
      <w:r>
        <w:rPr>
          <w:spacing w:val="-6"/>
          <w:w w:val="105"/>
        </w:rPr>
        <w:t xml:space="preserve"> </w:t>
      </w:r>
      <w:r>
        <w:rPr>
          <w:w w:val="105"/>
        </w:rPr>
        <w:t>and</w:t>
      </w:r>
      <w:r>
        <w:rPr>
          <w:spacing w:val="-2"/>
          <w:w w:val="105"/>
        </w:rPr>
        <w:t xml:space="preserve"> </w:t>
      </w:r>
      <w:r>
        <w:rPr>
          <w:w w:val="105"/>
        </w:rPr>
        <w:t>coordination</w:t>
      </w:r>
      <w:r>
        <w:rPr>
          <w:spacing w:val="-8"/>
          <w:w w:val="105"/>
        </w:rPr>
        <w:t xml:space="preserve"> </w:t>
      </w:r>
      <w:r>
        <w:rPr>
          <w:w w:val="105"/>
        </w:rPr>
        <w:t>are</w:t>
      </w:r>
      <w:r>
        <w:rPr>
          <w:spacing w:val="-9"/>
          <w:w w:val="105"/>
        </w:rPr>
        <w:t xml:space="preserve"> </w:t>
      </w:r>
      <w:r>
        <w:rPr>
          <w:w w:val="105"/>
        </w:rPr>
        <w:t>m</w:t>
      </w:r>
      <w:r>
        <w:rPr>
          <w:w w:val="105"/>
        </w:rPr>
        <w:t>ore</w:t>
      </w:r>
      <w:r>
        <w:rPr>
          <w:spacing w:val="-9"/>
          <w:w w:val="105"/>
        </w:rPr>
        <w:t xml:space="preserve"> </w:t>
      </w:r>
      <w:r>
        <w:rPr>
          <w:w w:val="105"/>
        </w:rPr>
        <w:t>capable</w:t>
      </w:r>
      <w:r>
        <w:rPr>
          <w:spacing w:val="-9"/>
          <w:w w:val="105"/>
        </w:rPr>
        <w:t xml:space="preserve"> </w:t>
      </w:r>
      <w:r>
        <w:rPr>
          <w:w w:val="105"/>
        </w:rPr>
        <w:t>of transforming market orientation into lasting competitive advantage.</w:t>
      </w:r>
    </w:p>
    <w:p w:rsidR="00487D64" w:rsidRDefault="00487D64">
      <w:pPr>
        <w:pStyle w:val="BodyText"/>
      </w:pPr>
    </w:p>
    <w:p w:rsidR="00487D64" w:rsidRDefault="00487D64">
      <w:pPr>
        <w:pStyle w:val="BodyText"/>
        <w:spacing w:before="24"/>
      </w:pPr>
    </w:p>
    <w:p w:rsidR="00487D64" w:rsidRDefault="006F0D93">
      <w:pPr>
        <w:pStyle w:val="ListParagraph"/>
        <w:numPr>
          <w:ilvl w:val="2"/>
          <w:numId w:val="6"/>
        </w:numPr>
        <w:tabs>
          <w:tab w:val="left" w:pos="2125"/>
          <w:tab w:val="left" w:pos="2204"/>
          <w:tab w:val="left" w:pos="3233"/>
          <w:tab w:val="left" w:pos="3737"/>
          <w:tab w:val="left" w:pos="5053"/>
          <w:tab w:val="left" w:pos="6549"/>
          <w:tab w:val="left" w:pos="7117"/>
          <w:tab w:val="left" w:pos="8441"/>
        </w:tabs>
        <w:spacing w:line="504" w:lineRule="auto"/>
        <w:ind w:right="865" w:hanging="707"/>
        <w:rPr>
          <w:b/>
          <w:sz w:val="23"/>
        </w:rPr>
      </w:pPr>
      <w:bookmarkStart w:id="211" w:name="6.2.1_Impact_of_Customer_Orientation_on_"/>
      <w:bookmarkStart w:id="212" w:name="_bookmark101"/>
      <w:bookmarkEnd w:id="211"/>
      <w:bookmarkEnd w:id="212"/>
      <w:r>
        <w:rPr>
          <w:b/>
          <w:sz w:val="23"/>
        </w:rPr>
        <w:tab/>
      </w:r>
      <w:r>
        <w:rPr>
          <w:b/>
          <w:spacing w:val="-2"/>
          <w:w w:val="105"/>
          <w:sz w:val="23"/>
        </w:rPr>
        <w:t>Impact</w:t>
      </w:r>
      <w:r>
        <w:rPr>
          <w:b/>
          <w:sz w:val="23"/>
        </w:rPr>
        <w:tab/>
      </w:r>
      <w:r>
        <w:rPr>
          <w:b/>
          <w:spacing w:val="-6"/>
          <w:w w:val="105"/>
          <w:sz w:val="23"/>
        </w:rPr>
        <w:t>of</w:t>
      </w:r>
      <w:r>
        <w:rPr>
          <w:b/>
          <w:sz w:val="23"/>
        </w:rPr>
        <w:tab/>
      </w:r>
      <w:r>
        <w:rPr>
          <w:b/>
          <w:spacing w:val="-2"/>
          <w:w w:val="105"/>
          <w:sz w:val="23"/>
        </w:rPr>
        <w:t>Customer</w:t>
      </w:r>
      <w:r>
        <w:rPr>
          <w:b/>
          <w:sz w:val="23"/>
        </w:rPr>
        <w:tab/>
      </w:r>
      <w:r>
        <w:rPr>
          <w:b/>
          <w:spacing w:val="-2"/>
          <w:w w:val="105"/>
          <w:sz w:val="23"/>
        </w:rPr>
        <w:t>Orientation</w:t>
      </w:r>
      <w:r>
        <w:rPr>
          <w:b/>
          <w:sz w:val="23"/>
        </w:rPr>
        <w:tab/>
      </w:r>
      <w:r>
        <w:rPr>
          <w:b/>
          <w:spacing w:val="-6"/>
          <w:w w:val="105"/>
          <w:sz w:val="23"/>
        </w:rPr>
        <w:t>on</w:t>
      </w:r>
      <w:r>
        <w:rPr>
          <w:b/>
          <w:sz w:val="23"/>
        </w:rPr>
        <w:tab/>
      </w:r>
      <w:r>
        <w:rPr>
          <w:b/>
          <w:spacing w:val="-2"/>
          <w:w w:val="105"/>
          <w:sz w:val="23"/>
        </w:rPr>
        <w:t>Achieving</w:t>
      </w:r>
      <w:r>
        <w:rPr>
          <w:b/>
          <w:sz w:val="23"/>
        </w:rPr>
        <w:tab/>
      </w:r>
      <w:r>
        <w:rPr>
          <w:b/>
          <w:spacing w:val="-2"/>
          <w:w w:val="105"/>
          <w:sz w:val="23"/>
        </w:rPr>
        <w:t>Sustainable Competitiveness</w:t>
      </w:r>
    </w:p>
    <w:p w:rsidR="00487D64" w:rsidRDefault="006F0D93">
      <w:pPr>
        <w:pStyle w:val="BodyText"/>
        <w:spacing w:line="248" w:lineRule="exact"/>
        <w:ind w:left="1419"/>
        <w:jc w:val="both"/>
      </w:pPr>
      <w:r>
        <w:rPr>
          <w:w w:val="105"/>
        </w:rPr>
        <w:t>The</w:t>
      </w:r>
      <w:r>
        <w:rPr>
          <w:spacing w:val="44"/>
          <w:w w:val="105"/>
        </w:rPr>
        <w:t xml:space="preserve"> </w:t>
      </w:r>
      <w:r>
        <w:rPr>
          <w:w w:val="105"/>
        </w:rPr>
        <w:t>study</w:t>
      </w:r>
      <w:r>
        <w:rPr>
          <w:spacing w:val="52"/>
          <w:w w:val="105"/>
        </w:rPr>
        <w:t xml:space="preserve"> </w:t>
      </w:r>
      <w:r>
        <w:rPr>
          <w:w w:val="105"/>
        </w:rPr>
        <w:t>confirmed</w:t>
      </w:r>
      <w:r>
        <w:rPr>
          <w:spacing w:val="39"/>
          <w:w w:val="105"/>
        </w:rPr>
        <w:t xml:space="preserve"> </w:t>
      </w:r>
      <w:r>
        <w:rPr>
          <w:w w:val="105"/>
        </w:rPr>
        <w:t>that</w:t>
      </w:r>
      <w:r>
        <w:rPr>
          <w:spacing w:val="48"/>
          <w:w w:val="105"/>
        </w:rPr>
        <w:t xml:space="preserve"> </w:t>
      </w:r>
      <w:r>
        <w:rPr>
          <w:w w:val="105"/>
        </w:rPr>
        <w:t>customer</w:t>
      </w:r>
      <w:r>
        <w:rPr>
          <w:spacing w:val="49"/>
          <w:w w:val="105"/>
        </w:rPr>
        <w:t xml:space="preserve"> </w:t>
      </w:r>
      <w:r>
        <w:rPr>
          <w:w w:val="105"/>
        </w:rPr>
        <w:t>orientation</w:t>
      </w:r>
      <w:r>
        <w:rPr>
          <w:spacing w:val="45"/>
          <w:w w:val="105"/>
        </w:rPr>
        <w:t xml:space="preserve"> </w:t>
      </w:r>
      <w:r>
        <w:rPr>
          <w:w w:val="105"/>
        </w:rPr>
        <w:t>has</w:t>
      </w:r>
      <w:r>
        <w:rPr>
          <w:spacing w:val="44"/>
          <w:w w:val="105"/>
        </w:rPr>
        <w:t xml:space="preserve"> </w:t>
      </w:r>
      <w:r>
        <w:rPr>
          <w:w w:val="105"/>
        </w:rPr>
        <w:t>a</w:t>
      </w:r>
      <w:r>
        <w:rPr>
          <w:spacing w:val="50"/>
          <w:w w:val="105"/>
        </w:rPr>
        <w:t xml:space="preserve"> </w:t>
      </w:r>
      <w:r>
        <w:rPr>
          <w:w w:val="105"/>
        </w:rPr>
        <w:t>statistically</w:t>
      </w:r>
      <w:r>
        <w:rPr>
          <w:spacing w:val="46"/>
          <w:w w:val="105"/>
        </w:rPr>
        <w:t xml:space="preserve"> </w:t>
      </w:r>
      <w:r>
        <w:rPr>
          <w:w w:val="105"/>
        </w:rPr>
        <w:t>significant</w:t>
      </w:r>
      <w:r>
        <w:rPr>
          <w:spacing w:val="41"/>
          <w:w w:val="105"/>
        </w:rPr>
        <w:t xml:space="preserve"> </w:t>
      </w:r>
      <w:r>
        <w:rPr>
          <w:spacing w:val="-5"/>
          <w:w w:val="105"/>
        </w:rPr>
        <w:t>and</w:t>
      </w:r>
    </w:p>
    <w:p w:rsidR="00487D64" w:rsidRDefault="00487D64">
      <w:pPr>
        <w:pStyle w:val="BodyText"/>
        <w:spacing w:before="25"/>
      </w:pPr>
    </w:p>
    <w:p w:rsidR="00487D64" w:rsidRDefault="006F0D93">
      <w:pPr>
        <w:pStyle w:val="BodyText"/>
        <w:ind w:left="1419"/>
        <w:jc w:val="both"/>
      </w:pPr>
      <w:r>
        <w:rPr>
          <w:w w:val="105"/>
        </w:rPr>
        <w:t>positive</w:t>
      </w:r>
      <w:r>
        <w:rPr>
          <w:spacing w:val="-3"/>
          <w:w w:val="105"/>
        </w:rPr>
        <w:t xml:space="preserve"> </w:t>
      </w:r>
      <w:r>
        <w:rPr>
          <w:w w:val="105"/>
        </w:rPr>
        <w:t>impact</w:t>
      </w:r>
      <w:r>
        <w:rPr>
          <w:spacing w:val="-1"/>
          <w:w w:val="105"/>
        </w:rPr>
        <w:t xml:space="preserve"> </w:t>
      </w:r>
      <w:r>
        <w:rPr>
          <w:w w:val="105"/>
        </w:rPr>
        <w:t>on</w:t>
      </w:r>
      <w:r>
        <w:rPr>
          <w:spacing w:val="4"/>
          <w:w w:val="105"/>
        </w:rPr>
        <w:t xml:space="preserve"> </w:t>
      </w:r>
      <w:r>
        <w:rPr>
          <w:w w:val="105"/>
        </w:rPr>
        <w:t>sustainable</w:t>
      </w:r>
      <w:r>
        <w:rPr>
          <w:spacing w:val="-2"/>
          <w:w w:val="105"/>
        </w:rPr>
        <w:t xml:space="preserve"> </w:t>
      </w:r>
      <w:r>
        <w:rPr>
          <w:w w:val="105"/>
        </w:rPr>
        <w:t>competitiveness</w:t>
      </w:r>
      <w:r>
        <w:rPr>
          <w:spacing w:val="-4"/>
          <w:w w:val="105"/>
        </w:rPr>
        <w:t xml:space="preserve"> </w:t>
      </w:r>
      <w:r>
        <w:rPr>
          <w:w w:val="105"/>
        </w:rPr>
        <w:t>among</w:t>
      </w:r>
      <w:r>
        <w:rPr>
          <w:spacing w:val="-2"/>
          <w:w w:val="105"/>
        </w:rPr>
        <w:t xml:space="preserve"> </w:t>
      </w:r>
      <w:r>
        <w:rPr>
          <w:w w:val="105"/>
        </w:rPr>
        <w:t>special group</w:t>
      </w:r>
      <w:r>
        <w:rPr>
          <w:spacing w:val="10"/>
          <w:w w:val="105"/>
        </w:rPr>
        <w:t xml:space="preserve"> </w:t>
      </w:r>
      <w:r>
        <w:rPr>
          <w:w w:val="105"/>
        </w:rPr>
        <w:t>SMEs</w:t>
      </w:r>
      <w:r>
        <w:rPr>
          <w:spacing w:val="2"/>
          <w:w w:val="105"/>
        </w:rPr>
        <w:t xml:space="preserve"> </w:t>
      </w:r>
      <w:r>
        <w:rPr>
          <w:w w:val="105"/>
        </w:rPr>
        <w:t>in</w:t>
      </w:r>
      <w:r>
        <w:rPr>
          <w:spacing w:val="-2"/>
          <w:w w:val="105"/>
        </w:rPr>
        <w:t xml:space="preserve"> public</w:t>
      </w:r>
    </w:p>
    <w:p w:rsidR="00487D64" w:rsidRDefault="00487D64">
      <w:pPr>
        <w:pStyle w:val="BodyText"/>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0"/>
        <w:jc w:val="both"/>
      </w:pPr>
      <w:r>
        <w:rPr>
          <w:w w:val="105"/>
        </w:rPr>
        <w:t>procurement. This finding supports the first hypothesis and affirms that SMEs that systematically prioritize customer needs, satisfaction, and responsiveness are</w:t>
      </w:r>
      <w:r>
        <w:rPr>
          <w:w w:val="105"/>
        </w:rPr>
        <w:t xml:space="preserve"> better positioned to achieve long-term competitive advantage. Rooted in Market Orientation</w:t>
      </w:r>
      <w:r>
        <w:rPr>
          <w:spacing w:val="-14"/>
          <w:w w:val="105"/>
        </w:rPr>
        <w:t xml:space="preserve"> </w:t>
      </w:r>
      <w:r>
        <w:rPr>
          <w:w w:val="105"/>
        </w:rPr>
        <w:t>Theory,</w:t>
      </w:r>
      <w:r>
        <w:rPr>
          <w:spacing w:val="-12"/>
          <w:w w:val="105"/>
        </w:rPr>
        <w:t xml:space="preserve"> </w:t>
      </w:r>
      <w:r>
        <w:rPr>
          <w:w w:val="105"/>
        </w:rPr>
        <w:t>the</w:t>
      </w:r>
      <w:r>
        <w:rPr>
          <w:spacing w:val="-15"/>
          <w:w w:val="105"/>
        </w:rPr>
        <w:t xml:space="preserve"> </w:t>
      </w:r>
      <w:r>
        <w:rPr>
          <w:w w:val="105"/>
        </w:rPr>
        <w:t>results</w:t>
      </w:r>
      <w:r>
        <w:rPr>
          <w:spacing w:val="-10"/>
          <w:w w:val="105"/>
        </w:rPr>
        <w:t xml:space="preserve"> </w:t>
      </w:r>
      <w:r>
        <w:rPr>
          <w:w w:val="105"/>
        </w:rPr>
        <w:t>highlight</w:t>
      </w:r>
      <w:r>
        <w:rPr>
          <w:spacing w:val="-6"/>
          <w:w w:val="105"/>
        </w:rPr>
        <w:t xml:space="preserve"> </w:t>
      </w:r>
      <w:r>
        <w:rPr>
          <w:w w:val="105"/>
        </w:rPr>
        <w:t>customer</w:t>
      </w:r>
      <w:r>
        <w:rPr>
          <w:spacing w:val="-4"/>
          <w:w w:val="105"/>
        </w:rPr>
        <w:t xml:space="preserve"> </w:t>
      </w:r>
      <w:r>
        <w:rPr>
          <w:w w:val="105"/>
        </w:rPr>
        <w:t>orientation</w:t>
      </w:r>
      <w:r>
        <w:rPr>
          <w:spacing w:val="-8"/>
          <w:w w:val="105"/>
        </w:rPr>
        <w:t xml:space="preserve"> </w:t>
      </w:r>
      <w:r>
        <w:rPr>
          <w:w w:val="105"/>
        </w:rPr>
        <w:t>as</w:t>
      </w:r>
      <w:r>
        <w:rPr>
          <w:spacing w:val="-10"/>
          <w:w w:val="105"/>
        </w:rPr>
        <w:t xml:space="preserve"> </w:t>
      </w:r>
      <w:r>
        <w:rPr>
          <w:w w:val="105"/>
        </w:rPr>
        <w:t>a</w:t>
      </w:r>
      <w:r>
        <w:rPr>
          <w:spacing w:val="-2"/>
          <w:w w:val="105"/>
        </w:rPr>
        <w:t xml:space="preserve"> </w:t>
      </w:r>
      <w:r>
        <w:rPr>
          <w:w w:val="105"/>
        </w:rPr>
        <w:t>strategic</w:t>
      </w:r>
      <w:r>
        <w:rPr>
          <w:spacing w:val="-8"/>
          <w:w w:val="105"/>
        </w:rPr>
        <w:t xml:space="preserve"> </w:t>
      </w:r>
      <w:r>
        <w:rPr>
          <w:w w:val="105"/>
        </w:rPr>
        <w:t>capability that enhances service quality, market alignment, and adaptability.</w:t>
      </w:r>
    </w:p>
    <w:p w:rsidR="00487D64" w:rsidRDefault="006F0D93">
      <w:pPr>
        <w:pStyle w:val="BodyText"/>
        <w:spacing w:before="240" w:line="501" w:lineRule="auto"/>
        <w:ind w:left="1419" w:right="851"/>
        <w:jc w:val="both"/>
      </w:pPr>
      <w:r>
        <w:rPr>
          <w:w w:val="105"/>
        </w:rPr>
        <w:t>The findings also</w:t>
      </w:r>
      <w:r>
        <w:rPr>
          <w:w w:val="105"/>
        </w:rPr>
        <w:t xml:space="preserve"> align with existing literature highlighting the role of customer- centric strategies in improving loyalty, efficiency, innovation, and strategic relevance, making customer orientation essential for sustained competitiveness in regulated procurement enviro</w:t>
      </w:r>
      <w:r>
        <w:rPr>
          <w:w w:val="105"/>
        </w:rPr>
        <w:t>nments.</w:t>
      </w:r>
    </w:p>
    <w:p w:rsidR="00487D64" w:rsidRDefault="00487D64">
      <w:pPr>
        <w:pStyle w:val="BodyText"/>
        <w:spacing w:before="247"/>
      </w:pPr>
    </w:p>
    <w:p w:rsidR="00487D64" w:rsidRDefault="006F0D93">
      <w:pPr>
        <w:pStyle w:val="ListParagraph"/>
        <w:numPr>
          <w:ilvl w:val="2"/>
          <w:numId w:val="6"/>
        </w:numPr>
        <w:tabs>
          <w:tab w:val="left" w:pos="2123"/>
          <w:tab w:val="left" w:pos="2125"/>
        </w:tabs>
        <w:spacing w:before="1" w:line="496" w:lineRule="auto"/>
        <w:ind w:right="855" w:hanging="707"/>
        <w:jc w:val="both"/>
        <w:rPr>
          <w:b/>
          <w:sz w:val="23"/>
        </w:rPr>
      </w:pPr>
      <w:bookmarkStart w:id="213" w:name="6.2.2__Role_of_Competitor_Orientation_in"/>
      <w:bookmarkStart w:id="214" w:name="_bookmark102"/>
      <w:bookmarkEnd w:id="213"/>
      <w:bookmarkEnd w:id="214"/>
      <w:r>
        <w:rPr>
          <w:b/>
          <w:w w:val="105"/>
          <w:sz w:val="23"/>
        </w:rPr>
        <w:t xml:space="preserve">Role of Competitor Orientation in Enhancing Sustainable </w:t>
      </w:r>
      <w:r>
        <w:rPr>
          <w:b/>
          <w:spacing w:val="-2"/>
          <w:w w:val="105"/>
          <w:sz w:val="23"/>
        </w:rPr>
        <w:t>Competitiveness</w:t>
      </w:r>
    </w:p>
    <w:p w:rsidR="00487D64" w:rsidRDefault="006F0D93">
      <w:pPr>
        <w:pStyle w:val="BodyText"/>
        <w:spacing w:line="501" w:lineRule="auto"/>
        <w:ind w:left="1419" w:right="851"/>
        <w:jc w:val="both"/>
      </w:pPr>
      <w:r>
        <w:rPr>
          <w:w w:val="105"/>
        </w:rPr>
        <w:t>The study established a statistically significant and positive relationship between competitor orientation and sustainable competitiveness among special group SMEs involved in</w:t>
      </w:r>
      <w:r>
        <w:rPr>
          <w:w w:val="105"/>
        </w:rPr>
        <w:t xml:space="preserve"> public procurement. This suggests that SMEs that proactively monitor and respond to competitor activities are more likely to maintain a sustainable competitive</w:t>
      </w:r>
      <w:r>
        <w:rPr>
          <w:spacing w:val="-10"/>
          <w:w w:val="105"/>
        </w:rPr>
        <w:t xml:space="preserve"> </w:t>
      </w:r>
      <w:r>
        <w:rPr>
          <w:w w:val="105"/>
        </w:rPr>
        <w:t>edge.</w:t>
      </w:r>
      <w:r>
        <w:rPr>
          <w:spacing w:val="-13"/>
          <w:w w:val="105"/>
        </w:rPr>
        <w:t xml:space="preserve"> </w:t>
      </w:r>
      <w:r>
        <w:rPr>
          <w:w w:val="105"/>
        </w:rPr>
        <w:t>Competitor</w:t>
      </w:r>
      <w:r>
        <w:rPr>
          <w:spacing w:val="-12"/>
          <w:w w:val="105"/>
        </w:rPr>
        <w:t xml:space="preserve"> </w:t>
      </w:r>
      <w:r>
        <w:rPr>
          <w:w w:val="105"/>
        </w:rPr>
        <w:t>orientation</w:t>
      </w:r>
      <w:r>
        <w:rPr>
          <w:spacing w:val="-15"/>
          <w:w w:val="105"/>
        </w:rPr>
        <w:t xml:space="preserve"> </w:t>
      </w:r>
      <w:r>
        <w:rPr>
          <w:w w:val="105"/>
        </w:rPr>
        <w:t>enhances</w:t>
      </w:r>
      <w:r>
        <w:rPr>
          <w:spacing w:val="-11"/>
          <w:w w:val="105"/>
        </w:rPr>
        <w:t xml:space="preserve"> </w:t>
      </w:r>
      <w:r>
        <w:rPr>
          <w:w w:val="105"/>
        </w:rPr>
        <w:t>strategic</w:t>
      </w:r>
      <w:r>
        <w:rPr>
          <w:spacing w:val="-15"/>
          <w:w w:val="105"/>
        </w:rPr>
        <w:t xml:space="preserve"> </w:t>
      </w:r>
      <w:r>
        <w:rPr>
          <w:w w:val="105"/>
        </w:rPr>
        <w:t>decision-making,</w:t>
      </w:r>
      <w:r>
        <w:rPr>
          <w:spacing w:val="-13"/>
          <w:w w:val="105"/>
        </w:rPr>
        <w:t xml:space="preserve"> </w:t>
      </w:r>
      <w:r>
        <w:rPr>
          <w:w w:val="105"/>
        </w:rPr>
        <w:t>market anticipation, and perfo</w:t>
      </w:r>
      <w:r>
        <w:rPr>
          <w:w w:val="105"/>
        </w:rPr>
        <w:t>rmance in tendering processes. The findings are in line with prior studies that emphasize competitor orientation as a key driver of strategic adaptation, innovation, and long-term competitiveness, especially in regulated procurement environments where comp</w:t>
      </w:r>
      <w:r>
        <w:rPr>
          <w:w w:val="105"/>
        </w:rPr>
        <w:t>etitive awareness and responsiveness are crucial for success.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48"/>
      </w:pPr>
    </w:p>
    <w:p w:rsidR="00487D64" w:rsidRDefault="006F0D93">
      <w:pPr>
        <w:pStyle w:val="ListParagraph"/>
        <w:numPr>
          <w:ilvl w:val="2"/>
          <w:numId w:val="6"/>
        </w:numPr>
        <w:tabs>
          <w:tab w:val="left" w:pos="1958"/>
        </w:tabs>
        <w:ind w:left="1958" w:hanging="539"/>
        <w:rPr>
          <w:b/>
          <w:sz w:val="23"/>
        </w:rPr>
      </w:pPr>
      <w:bookmarkStart w:id="215" w:name="6.2.3_Influence_of_Functional_Coordinati"/>
      <w:bookmarkStart w:id="216" w:name="_bookmark103"/>
      <w:bookmarkEnd w:id="215"/>
      <w:bookmarkEnd w:id="216"/>
      <w:r>
        <w:rPr>
          <w:b/>
          <w:sz w:val="23"/>
        </w:rPr>
        <w:t>Influence</w:t>
      </w:r>
      <w:r>
        <w:rPr>
          <w:b/>
          <w:spacing w:val="28"/>
          <w:sz w:val="23"/>
        </w:rPr>
        <w:t xml:space="preserve"> </w:t>
      </w:r>
      <w:r>
        <w:rPr>
          <w:b/>
          <w:sz w:val="23"/>
        </w:rPr>
        <w:t>of</w:t>
      </w:r>
      <w:r>
        <w:rPr>
          <w:b/>
          <w:spacing w:val="25"/>
          <w:sz w:val="23"/>
        </w:rPr>
        <w:t xml:space="preserve"> </w:t>
      </w:r>
      <w:r>
        <w:rPr>
          <w:b/>
          <w:sz w:val="23"/>
        </w:rPr>
        <w:t>Functional</w:t>
      </w:r>
      <w:r>
        <w:rPr>
          <w:b/>
          <w:spacing w:val="33"/>
          <w:sz w:val="23"/>
        </w:rPr>
        <w:t xml:space="preserve"> </w:t>
      </w:r>
      <w:r>
        <w:rPr>
          <w:b/>
          <w:sz w:val="23"/>
        </w:rPr>
        <w:t>Coordination</w:t>
      </w:r>
      <w:r>
        <w:rPr>
          <w:b/>
          <w:spacing w:val="21"/>
          <w:sz w:val="23"/>
        </w:rPr>
        <w:t xml:space="preserve"> </w:t>
      </w:r>
      <w:r>
        <w:rPr>
          <w:b/>
          <w:sz w:val="23"/>
        </w:rPr>
        <w:t>on</w:t>
      </w:r>
      <w:r>
        <w:rPr>
          <w:b/>
          <w:spacing w:val="41"/>
          <w:sz w:val="23"/>
        </w:rPr>
        <w:t xml:space="preserve"> </w:t>
      </w:r>
      <w:r>
        <w:rPr>
          <w:b/>
          <w:sz w:val="23"/>
        </w:rPr>
        <w:t>Sustainable</w:t>
      </w:r>
      <w:r>
        <w:rPr>
          <w:b/>
          <w:spacing w:val="39"/>
          <w:sz w:val="23"/>
        </w:rPr>
        <w:t xml:space="preserve"> </w:t>
      </w:r>
      <w:r>
        <w:rPr>
          <w:b/>
          <w:spacing w:val="-2"/>
          <w:sz w:val="23"/>
        </w:rPr>
        <w:t>Competitiveness</w:t>
      </w:r>
    </w:p>
    <w:p w:rsidR="00487D64" w:rsidRDefault="00487D64">
      <w:pPr>
        <w:pStyle w:val="BodyText"/>
        <w:spacing w:before="18"/>
        <w:rPr>
          <w:b/>
        </w:rPr>
      </w:pPr>
    </w:p>
    <w:p w:rsidR="00487D64" w:rsidRDefault="006F0D93">
      <w:pPr>
        <w:pStyle w:val="BodyText"/>
        <w:spacing w:line="501" w:lineRule="auto"/>
        <w:ind w:left="1419" w:right="855"/>
        <w:jc w:val="both"/>
      </w:pPr>
      <w:r>
        <w:rPr>
          <w:w w:val="105"/>
        </w:rPr>
        <w:t>The study found no significant relationship between functional coordination and sustainable</w:t>
      </w:r>
      <w:r>
        <w:rPr>
          <w:w w:val="105"/>
        </w:rPr>
        <w:t xml:space="preserve"> competitiveness, leading to the rejection of Hypothesis 3. Despite its theoretical importance in enhancing internal efficiency and strategic alignment, functional coordination did not significantly influence the sustainable competitiveness of special grou</w:t>
      </w:r>
      <w:r>
        <w:rPr>
          <w:w w:val="105"/>
        </w:rPr>
        <w:t>p SMEs</w:t>
      </w:r>
      <w:r>
        <w:rPr>
          <w:spacing w:val="-1"/>
          <w:w w:val="105"/>
        </w:rPr>
        <w:t xml:space="preserve"> </w:t>
      </w:r>
      <w:r>
        <w:rPr>
          <w:w w:val="105"/>
        </w:rPr>
        <w:t>in the context of public procurement.</w:t>
      </w:r>
    </w:p>
    <w:p w:rsidR="00487D64" w:rsidRDefault="006F0D93">
      <w:pPr>
        <w:pStyle w:val="BodyText"/>
        <w:spacing w:before="240" w:line="501" w:lineRule="auto"/>
        <w:ind w:left="1419" w:right="854"/>
        <w:jc w:val="both"/>
      </w:pPr>
      <w:r>
        <w:rPr>
          <w:w w:val="105"/>
        </w:rPr>
        <w:t xml:space="preserve">This outcome suggests that traditional coordination mechanisms, which are often compliance-oriented and administratively focused, may be insufficient in environments characterized by high regulatory demands and </w:t>
      </w:r>
      <w:r>
        <w:rPr>
          <w:w w:val="105"/>
        </w:rPr>
        <w:t>external sustainability pressures. The findings imply that, for SMEs in such settings, functional coordination alone</w:t>
      </w:r>
      <w:r>
        <w:rPr>
          <w:spacing w:val="-1"/>
          <w:w w:val="105"/>
        </w:rPr>
        <w:t xml:space="preserve"> </w:t>
      </w:r>
      <w:r>
        <w:rPr>
          <w:w w:val="105"/>
        </w:rPr>
        <w:t>does</w:t>
      </w:r>
      <w:r>
        <w:rPr>
          <w:spacing w:val="-2"/>
          <w:w w:val="105"/>
        </w:rPr>
        <w:t xml:space="preserve"> </w:t>
      </w:r>
      <w:r>
        <w:rPr>
          <w:w w:val="105"/>
        </w:rPr>
        <w:t>not</w:t>
      </w:r>
      <w:r>
        <w:rPr>
          <w:spacing w:val="-5"/>
          <w:w w:val="105"/>
        </w:rPr>
        <w:t xml:space="preserve"> </w:t>
      </w:r>
      <w:r>
        <w:rPr>
          <w:w w:val="105"/>
        </w:rPr>
        <w:t>translate</w:t>
      </w:r>
      <w:r>
        <w:rPr>
          <w:spacing w:val="-7"/>
          <w:w w:val="105"/>
        </w:rPr>
        <w:t xml:space="preserve"> </w:t>
      </w:r>
      <w:r>
        <w:rPr>
          <w:w w:val="105"/>
        </w:rPr>
        <w:t>into competitive</w:t>
      </w:r>
      <w:r>
        <w:rPr>
          <w:spacing w:val="-7"/>
          <w:w w:val="105"/>
        </w:rPr>
        <w:t xml:space="preserve"> </w:t>
      </w:r>
      <w:r>
        <w:rPr>
          <w:w w:val="105"/>
        </w:rPr>
        <w:t>advantage</w:t>
      </w:r>
      <w:r>
        <w:rPr>
          <w:spacing w:val="-7"/>
          <w:w w:val="105"/>
        </w:rPr>
        <w:t xml:space="preserve"> </w:t>
      </w:r>
      <w:r>
        <w:rPr>
          <w:w w:val="105"/>
        </w:rPr>
        <w:t>unless</w:t>
      </w:r>
      <w:r>
        <w:rPr>
          <w:spacing w:val="-2"/>
          <w:w w:val="105"/>
        </w:rPr>
        <w:t xml:space="preserve"> </w:t>
      </w:r>
      <w:r>
        <w:rPr>
          <w:w w:val="105"/>
        </w:rPr>
        <w:t>supported by more adaptive, innovative, and cross-functional strategies aligned with b</w:t>
      </w:r>
      <w:r>
        <w:rPr>
          <w:w w:val="105"/>
        </w:rPr>
        <w:t>roader sustainability goals.</w:t>
      </w:r>
    </w:p>
    <w:p w:rsidR="00487D64" w:rsidRDefault="00487D64">
      <w:pPr>
        <w:pStyle w:val="BodyText"/>
      </w:pPr>
    </w:p>
    <w:p w:rsidR="00487D64" w:rsidRDefault="00487D64">
      <w:pPr>
        <w:pStyle w:val="BodyText"/>
        <w:spacing w:before="25"/>
      </w:pPr>
    </w:p>
    <w:p w:rsidR="00487D64" w:rsidRDefault="006F0D93">
      <w:pPr>
        <w:pStyle w:val="ListParagraph"/>
        <w:numPr>
          <w:ilvl w:val="2"/>
          <w:numId w:val="6"/>
        </w:numPr>
        <w:tabs>
          <w:tab w:val="left" w:pos="1958"/>
        </w:tabs>
        <w:ind w:left="1958" w:hanging="539"/>
        <w:rPr>
          <w:b/>
          <w:sz w:val="23"/>
        </w:rPr>
      </w:pPr>
      <w:bookmarkStart w:id="217" w:name="6.2.4_The_Effect_of_Moderation_on_the_Re"/>
      <w:bookmarkStart w:id="218" w:name="_bookmark104"/>
      <w:bookmarkEnd w:id="217"/>
      <w:bookmarkEnd w:id="218"/>
      <w:r>
        <w:rPr>
          <w:b/>
          <w:w w:val="105"/>
          <w:sz w:val="23"/>
        </w:rPr>
        <w:t>The</w:t>
      </w:r>
      <w:r>
        <w:rPr>
          <w:b/>
          <w:spacing w:val="-9"/>
          <w:w w:val="105"/>
          <w:sz w:val="23"/>
        </w:rPr>
        <w:t xml:space="preserve"> </w:t>
      </w:r>
      <w:r>
        <w:rPr>
          <w:b/>
          <w:w w:val="105"/>
          <w:sz w:val="23"/>
        </w:rPr>
        <w:t>Effect</w:t>
      </w:r>
      <w:r>
        <w:rPr>
          <w:b/>
          <w:spacing w:val="-11"/>
          <w:w w:val="105"/>
          <w:sz w:val="23"/>
        </w:rPr>
        <w:t xml:space="preserve"> </w:t>
      </w:r>
      <w:r>
        <w:rPr>
          <w:b/>
          <w:w w:val="105"/>
          <w:sz w:val="23"/>
        </w:rPr>
        <w:t>of</w:t>
      </w:r>
      <w:r>
        <w:rPr>
          <w:b/>
          <w:spacing w:val="-11"/>
          <w:w w:val="105"/>
          <w:sz w:val="23"/>
        </w:rPr>
        <w:t xml:space="preserve"> </w:t>
      </w:r>
      <w:r>
        <w:rPr>
          <w:b/>
          <w:w w:val="105"/>
          <w:sz w:val="23"/>
        </w:rPr>
        <w:t>Moderation</w:t>
      </w:r>
      <w:r>
        <w:rPr>
          <w:b/>
          <w:spacing w:val="-13"/>
          <w:w w:val="105"/>
          <w:sz w:val="23"/>
        </w:rPr>
        <w:t xml:space="preserve"> </w:t>
      </w:r>
      <w:r>
        <w:rPr>
          <w:b/>
          <w:w w:val="105"/>
          <w:sz w:val="23"/>
        </w:rPr>
        <w:t>on</w:t>
      </w:r>
      <w:r>
        <w:rPr>
          <w:b/>
          <w:spacing w:val="-3"/>
          <w:w w:val="105"/>
          <w:sz w:val="23"/>
        </w:rPr>
        <w:t xml:space="preserve"> </w:t>
      </w:r>
      <w:r>
        <w:rPr>
          <w:b/>
          <w:w w:val="105"/>
          <w:sz w:val="23"/>
        </w:rPr>
        <w:t>the</w:t>
      </w:r>
      <w:r>
        <w:rPr>
          <w:b/>
          <w:spacing w:val="-2"/>
          <w:w w:val="105"/>
          <w:sz w:val="23"/>
        </w:rPr>
        <w:t xml:space="preserve"> </w:t>
      </w:r>
      <w:r>
        <w:rPr>
          <w:b/>
          <w:w w:val="105"/>
          <w:sz w:val="23"/>
        </w:rPr>
        <w:t>Relationship</w:t>
      </w:r>
      <w:r>
        <w:rPr>
          <w:b/>
          <w:spacing w:val="-8"/>
          <w:w w:val="105"/>
          <w:sz w:val="23"/>
        </w:rPr>
        <w:t xml:space="preserve"> </w:t>
      </w:r>
      <w:r>
        <w:rPr>
          <w:b/>
          <w:w w:val="105"/>
          <w:sz w:val="23"/>
        </w:rPr>
        <w:t>between</w:t>
      </w:r>
      <w:r>
        <w:rPr>
          <w:b/>
          <w:spacing w:val="-13"/>
          <w:w w:val="105"/>
          <w:sz w:val="23"/>
        </w:rPr>
        <w:t xml:space="preserve"> </w:t>
      </w:r>
      <w:r>
        <w:rPr>
          <w:b/>
          <w:w w:val="105"/>
          <w:sz w:val="23"/>
        </w:rPr>
        <w:t>CU</w:t>
      </w:r>
      <w:r>
        <w:rPr>
          <w:b/>
          <w:spacing w:val="-3"/>
          <w:w w:val="105"/>
          <w:sz w:val="23"/>
        </w:rPr>
        <w:t xml:space="preserve"> </w:t>
      </w:r>
      <w:r>
        <w:rPr>
          <w:b/>
          <w:w w:val="105"/>
          <w:sz w:val="23"/>
        </w:rPr>
        <w:t>and</w:t>
      </w:r>
      <w:r>
        <w:rPr>
          <w:b/>
          <w:spacing w:val="-14"/>
          <w:w w:val="105"/>
          <w:sz w:val="23"/>
        </w:rPr>
        <w:t xml:space="preserve"> </w:t>
      </w:r>
      <w:r>
        <w:rPr>
          <w:b/>
          <w:spacing w:val="-5"/>
          <w:w w:val="105"/>
          <w:sz w:val="23"/>
        </w:rPr>
        <w:t>SC</w:t>
      </w:r>
    </w:p>
    <w:p w:rsidR="00487D64" w:rsidRDefault="00487D64">
      <w:pPr>
        <w:pStyle w:val="BodyText"/>
        <w:spacing w:before="18"/>
        <w:rPr>
          <w:b/>
        </w:rPr>
      </w:pPr>
    </w:p>
    <w:p w:rsidR="00487D64" w:rsidRDefault="006F0D93">
      <w:pPr>
        <w:pStyle w:val="BodyText"/>
        <w:spacing w:line="501" w:lineRule="auto"/>
        <w:ind w:left="1419" w:right="859"/>
        <w:jc w:val="both"/>
      </w:pPr>
      <w:r>
        <w:rPr>
          <w:w w:val="105"/>
        </w:rPr>
        <w:t>The findings revealed that strategic flexibility did not significantly moderate the relationship between customer</w:t>
      </w:r>
      <w:r>
        <w:rPr>
          <w:spacing w:val="-2"/>
          <w:w w:val="105"/>
        </w:rPr>
        <w:t xml:space="preserve"> </w:t>
      </w:r>
      <w:r>
        <w:rPr>
          <w:w w:val="105"/>
        </w:rPr>
        <w:t>orientation</w:t>
      </w:r>
      <w:r>
        <w:rPr>
          <w:spacing w:val="-5"/>
          <w:w w:val="105"/>
        </w:rPr>
        <w:t xml:space="preserve"> </w:t>
      </w:r>
      <w:r>
        <w:rPr>
          <w:w w:val="105"/>
        </w:rPr>
        <w:t>and sustainable</w:t>
      </w:r>
      <w:r>
        <w:rPr>
          <w:spacing w:val="-6"/>
          <w:w w:val="105"/>
        </w:rPr>
        <w:t xml:space="preserve"> </w:t>
      </w:r>
      <w:r>
        <w:rPr>
          <w:w w:val="105"/>
        </w:rPr>
        <w:t>competitiveness, resulting in the rejection of</w:t>
      </w:r>
      <w:r>
        <w:rPr>
          <w:spacing w:val="-1"/>
          <w:w w:val="105"/>
        </w:rPr>
        <w:t xml:space="preserve"> </w:t>
      </w:r>
      <w:r>
        <w:rPr>
          <w:w w:val="105"/>
        </w:rPr>
        <w:t>Hypothesis 4. This suggests that, although customer orientation is a critical strategic capability, its influence on sustainable competitiveness among special group SMEs in public procurement is not substantia</w:t>
      </w:r>
      <w:r>
        <w:rPr>
          <w:w w:val="105"/>
        </w:rPr>
        <w:t xml:space="preserve">lly affected by strategic </w:t>
      </w:r>
      <w:r>
        <w:rPr>
          <w:spacing w:val="-2"/>
          <w:w w:val="105"/>
        </w:rPr>
        <w:t>flexibility.</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60"/>
        <w:jc w:val="both"/>
      </w:pPr>
      <w:r>
        <w:rPr>
          <w:w w:val="105"/>
        </w:rPr>
        <w:t>The</w:t>
      </w:r>
      <w:r>
        <w:rPr>
          <w:spacing w:val="-2"/>
          <w:w w:val="105"/>
        </w:rPr>
        <w:t xml:space="preserve"> </w:t>
      </w:r>
      <w:r>
        <w:rPr>
          <w:w w:val="105"/>
        </w:rPr>
        <w:t>lack of</w:t>
      </w:r>
      <w:r>
        <w:rPr>
          <w:spacing w:val="-4"/>
          <w:w w:val="105"/>
        </w:rPr>
        <w:t xml:space="preserve"> </w:t>
      </w:r>
      <w:r>
        <w:rPr>
          <w:w w:val="105"/>
        </w:rPr>
        <w:t>a significant moderating effect may be</w:t>
      </w:r>
      <w:r>
        <w:rPr>
          <w:spacing w:val="-2"/>
          <w:w w:val="105"/>
        </w:rPr>
        <w:t xml:space="preserve"> </w:t>
      </w:r>
      <w:r>
        <w:rPr>
          <w:w w:val="105"/>
        </w:rPr>
        <w:t>attributed to the highly regulated nature of the public procurement environment, which limits SMEs’ ability to adapt strategies flexibly.</w:t>
      </w:r>
    </w:p>
    <w:p w:rsidR="00487D64" w:rsidRDefault="006F0D93">
      <w:pPr>
        <w:pStyle w:val="BodyText"/>
        <w:spacing w:before="245" w:line="501" w:lineRule="auto"/>
        <w:ind w:left="1419" w:right="848"/>
        <w:jc w:val="both"/>
      </w:pPr>
      <w:r>
        <w:rPr>
          <w:w w:val="105"/>
        </w:rPr>
        <w:t>Furthe</w:t>
      </w:r>
      <w:r>
        <w:rPr>
          <w:w w:val="105"/>
        </w:rPr>
        <w:t>rmore, without enabling infrastructure such as digital technologies or innovation systems, strategic flexibility may be theoretically present but practically constrained. These findings support the notion that, without contextual enablers like organization</w:t>
      </w:r>
      <w:r>
        <w:rPr>
          <w:w w:val="105"/>
        </w:rPr>
        <w:t>al autonomy, technical capability, and innovation readiness, flexibility alone might not be enough to maximize the advantages of customer orientation.</w:t>
      </w:r>
    </w:p>
    <w:p w:rsidR="00487D64" w:rsidRDefault="00487D64">
      <w:pPr>
        <w:pStyle w:val="BodyText"/>
      </w:pPr>
    </w:p>
    <w:p w:rsidR="00487D64" w:rsidRDefault="00487D64">
      <w:pPr>
        <w:pStyle w:val="BodyText"/>
        <w:spacing w:before="27"/>
      </w:pPr>
    </w:p>
    <w:p w:rsidR="00487D64" w:rsidRDefault="006F0D93">
      <w:pPr>
        <w:pStyle w:val="ListParagraph"/>
        <w:numPr>
          <w:ilvl w:val="2"/>
          <w:numId w:val="6"/>
        </w:numPr>
        <w:tabs>
          <w:tab w:val="left" w:pos="1958"/>
        </w:tabs>
        <w:spacing w:before="1"/>
        <w:ind w:left="1958" w:hanging="539"/>
        <w:rPr>
          <w:b/>
          <w:sz w:val="23"/>
        </w:rPr>
      </w:pPr>
      <w:bookmarkStart w:id="219" w:name="6.2.5_The_Effect_of_Moderation_on_the_Re"/>
      <w:bookmarkStart w:id="220" w:name="_bookmark105"/>
      <w:bookmarkEnd w:id="219"/>
      <w:bookmarkEnd w:id="220"/>
      <w:r>
        <w:rPr>
          <w:b/>
          <w:w w:val="105"/>
          <w:sz w:val="23"/>
        </w:rPr>
        <w:t>The</w:t>
      </w:r>
      <w:r>
        <w:rPr>
          <w:b/>
          <w:spacing w:val="-10"/>
          <w:w w:val="105"/>
          <w:sz w:val="23"/>
        </w:rPr>
        <w:t xml:space="preserve"> </w:t>
      </w:r>
      <w:r>
        <w:rPr>
          <w:b/>
          <w:w w:val="105"/>
          <w:sz w:val="23"/>
        </w:rPr>
        <w:t>Effect</w:t>
      </w:r>
      <w:r>
        <w:rPr>
          <w:b/>
          <w:spacing w:val="-12"/>
          <w:w w:val="105"/>
          <w:sz w:val="23"/>
        </w:rPr>
        <w:t xml:space="preserve"> </w:t>
      </w:r>
      <w:r>
        <w:rPr>
          <w:b/>
          <w:w w:val="105"/>
          <w:sz w:val="23"/>
        </w:rPr>
        <w:t>of</w:t>
      </w:r>
      <w:r>
        <w:rPr>
          <w:b/>
          <w:spacing w:val="-11"/>
          <w:w w:val="105"/>
          <w:sz w:val="23"/>
        </w:rPr>
        <w:t xml:space="preserve"> </w:t>
      </w:r>
      <w:r>
        <w:rPr>
          <w:b/>
          <w:w w:val="105"/>
          <w:sz w:val="23"/>
        </w:rPr>
        <w:t>Moderation</w:t>
      </w:r>
      <w:r>
        <w:rPr>
          <w:b/>
          <w:spacing w:val="-14"/>
          <w:w w:val="105"/>
          <w:sz w:val="23"/>
        </w:rPr>
        <w:t xml:space="preserve"> </w:t>
      </w:r>
      <w:r>
        <w:rPr>
          <w:b/>
          <w:w w:val="105"/>
          <w:sz w:val="23"/>
        </w:rPr>
        <w:t>on</w:t>
      </w:r>
      <w:r>
        <w:rPr>
          <w:b/>
          <w:spacing w:val="-4"/>
          <w:w w:val="105"/>
          <w:sz w:val="23"/>
        </w:rPr>
        <w:t xml:space="preserve"> </w:t>
      </w:r>
      <w:r>
        <w:rPr>
          <w:b/>
          <w:w w:val="105"/>
          <w:sz w:val="23"/>
        </w:rPr>
        <w:t>the</w:t>
      </w:r>
      <w:r>
        <w:rPr>
          <w:b/>
          <w:spacing w:val="-3"/>
          <w:w w:val="105"/>
          <w:sz w:val="23"/>
        </w:rPr>
        <w:t xml:space="preserve"> </w:t>
      </w:r>
      <w:r>
        <w:rPr>
          <w:b/>
          <w:w w:val="105"/>
          <w:sz w:val="23"/>
        </w:rPr>
        <w:t>Relationship</w:t>
      </w:r>
      <w:r>
        <w:rPr>
          <w:b/>
          <w:spacing w:val="-8"/>
          <w:w w:val="105"/>
          <w:sz w:val="23"/>
        </w:rPr>
        <w:t xml:space="preserve"> </w:t>
      </w:r>
      <w:r>
        <w:rPr>
          <w:b/>
          <w:w w:val="105"/>
          <w:sz w:val="23"/>
        </w:rPr>
        <w:t>between</w:t>
      </w:r>
      <w:r>
        <w:rPr>
          <w:b/>
          <w:spacing w:val="-14"/>
          <w:w w:val="105"/>
          <w:sz w:val="23"/>
        </w:rPr>
        <w:t xml:space="preserve"> </w:t>
      </w:r>
      <w:r>
        <w:rPr>
          <w:b/>
          <w:w w:val="105"/>
          <w:sz w:val="23"/>
        </w:rPr>
        <w:t>CO</w:t>
      </w:r>
      <w:r>
        <w:rPr>
          <w:b/>
          <w:spacing w:val="-4"/>
          <w:w w:val="105"/>
          <w:sz w:val="23"/>
        </w:rPr>
        <w:t xml:space="preserve"> </w:t>
      </w:r>
      <w:r>
        <w:rPr>
          <w:b/>
          <w:w w:val="105"/>
          <w:sz w:val="23"/>
        </w:rPr>
        <w:t>and</w:t>
      </w:r>
      <w:r>
        <w:rPr>
          <w:b/>
          <w:spacing w:val="-8"/>
          <w:w w:val="105"/>
          <w:sz w:val="23"/>
        </w:rPr>
        <w:t xml:space="preserve"> </w:t>
      </w:r>
      <w:r>
        <w:rPr>
          <w:b/>
          <w:spacing w:val="-5"/>
          <w:w w:val="105"/>
          <w:sz w:val="23"/>
        </w:rPr>
        <w:t>SC</w:t>
      </w:r>
    </w:p>
    <w:p w:rsidR="00487D64" w:rsidRDefault="00487D64">
      <w:pPr>
        <w:pStyle w:val="BodyText"/>
        <w:spacing w:before="18"/>
        <w:rPr>
          <w:b/>
        </w:rPr>
      </w:pPr>
    </w:p>
    <w:p w:rsidR="00487D64" w:rsidRDefault="006F0D93">
      <w:pPr>
        <w:pStyle w:val="BodyText"/>
        <w:spacing w:line="501" w:lineRule="auto"/>
        <w:ind w:left="1419" w:right="849"/>
        <w:jc w:val="both"/>
      </w:pPr>
      <w:r>
        <w:rPr>
          <w:w w:val="105"/>
        </w:rPr>
        <w:t>The study found that strategic</w:t>
      </w:r>
      <w:r>
        <w:rPr>
          <w:w w:val="105"/>
        </w:rPr>
        <w:t xml:space="preserve"> flexibility significantly moderates the relationship between competitor orientation and sustainable competitiveness, thereby supporting Hypothesis 5. This indicates that special group SMEs operating in public procurement benefit more from competitor orien</w:t>
      </w:r>
      <w:r>
        <w:rPr>
          <w:w w:val="105"/>
        </w:rPr>
        <w:t>tation when they possess a high degree of strategic flexibility. Specifically, firms that can adapt quickly, reconfigure resources, and respond to competitor actions are better positioned to maintain sustainable competitive advantage in competitive and reg</w:t>
      </w:r>
      <w:r>
        <w:rPr>
          <w:w w:val="105"/>
        </w:rPr>
        <w:t>ulated environments.</w:t>
      </w:r>
    </w:p>
    <w:p w:rsidR="00487D64" w:rsidRDefault="006F0D93">
      <w:pPr>
        <w:pStyle w:val="BodyText"/>
        <w:spacing w:before="236" w:line="501" w:lineRule="auto"/>
        <w:ind w:left="1419" w:right="853"/>
        <w:jc w:val="both"/>
      </w:pPr>
      <w:r>
        <w:rPr>
          <w:w w:val="105"/>
        </w:rPr>
        <w:t>These results align with existing literature, which emphasizes that competitor orientation alone is insufficient unless firms also demonstrate the agility to act on market intelligence. Strategic flexibility</w:t>
      </w:r>
      <w:r>
        <w:rPr>
          <w:spacing w:val="-2"/>
          <w:w w:val="105"/>
        </w:rPr>
        <w:t xml:space="preserve"> </w:t>
      </w:r>
      <w:r>
        <w:rPr>
          <w:w w:val="105"/>
        </w:rPr>
        <w:t>enables such firms to trans</w:t>
      </w:r>
      <w:r>
        <w:rPr>
          <w:w w:val="105"/>
        </w:rPr>
        <w:t>form competitive insights, such as pricing strategies or bid patterns, into responsive and winning proposals.</w:t>
      </w:r>
      <w:r>
        <w:rPr>
          <w:spacing w:val="-8"/>
          <w:w w:val="105"/>
        </w:rPr>
        <w:t xml:space="preserve"> </w:t>
      </w:r>
      <w:r>
        <w:rPr>
          <w:w w:val="105"/>
        </w:rPr>
        <w:t>Consequently,</w:t>
      </w:r>
      <w:r>
        <w:rPr>
          <w:spacing w:val="-8"/>
          <w:w w:val="105"/>
        </w:rPr>
        <w:t xml:space="preserve"> </w:t>
      </w:r>
      <w:r>
        <w:rPr>
          <w:w w:val="105"/>
        </w:rPr>
        <w:t>the</w:t>
      </w:r>
      <w:r>
        <w:rPr>
          <w:spacing w:val="-4"/>
          <w:w w:val="105"/>
        </w:rPr>
        <w:t xml:space="preserve"> </w:t>
      </w:r>
      <w:r>
        <w:rPr>
          <w:w w:val="105"/>
        </w:rPr>
        <w:t>moderation</w:t>
      </w:r>
      <w:r>
        <w:rPr>
          <w:spacing w:val="-4"/>
          <w:w w:val="105"/>
        </w:rPr>
        <w:t xml:space="preserve"> </w:t>
      </w:r>
      <w:r>
        <w:rPr>
          <w:w w:val="105"/>
        </w:rPr>
        <w:t>between</w:t>
      </w:r>
      <w:r>
        <w:rPr>
          <w:spacing w:val="-4"/>
          <w:w w:val="105"/>
        </w:rPr>
        <w:t xml:space="preserve"> </w:t>
      </w:r>
      <w:r>
        <w:rPr>
          <w:w w:val="105"/>
        </w:rPr>
        <w:t>strategic</w:t>
      </w:r>
      <w:r>
        <w:rPr>
          <w:spacing w:val="-4"/>
          <w:w w:val="105"/>
        </w:rPr>
        <w:t xml:space="preserve"> </w:t>
      </w:r>
      <w:r>
        <w:rPr>
          <w:w w:val="105"/>
        </w:rPr>
        <w:t>flexibility</w:t>
      </w:r>
      <w:r>
        <w:rPr>
          <w:spacing w:val="-9"/>
          <w:w w:val="105"/>
        </w:rPr>
        <w:t xml:space="preserve"> </w:t>
      </w:r>
      <w:r>
        <w:rPr>
          <w:w w:val="105"/>
        </w:rPr>
        <w:t>and</w:t>
      </w:r>
      <w:r>
        <w:rPr>
          <w:spacing w:val="-4"/>
          <w:w w:val="105"/>
        </w:rPr>
        <w:t xml:space="preserve"> </w:t>
      </w:r>
      <w:r>
        <w:rPr>
          <w:w w:val="105"/>
        </w:rPr>
        <w:t>competitor</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5"/>
        <w:jc w:val="both"/>
      </w:pPr>
      <w:r>
        <w:rPr>
          <w:w w:val="105"/>
        </w:rPr>
        <w:t>orientation plays</w:t>
      </w:r>
      <w:r>
        <w:rPr>
          <w:spacing w:val="-2"/>
          <w:w w:val="105"/>
        </w:rPr>
        <w:t xml:space="preserve"> </w:t>
      </w:r>
      <w:r>
        <w:rPr>
          <w:w w:val="105"/>
        </w:rPr>
        <w:t>a vital role</w:t>
      </w:r>
      <w:r>
        <w:rPr>
          <w:spacing w:val="-2"/>
          <w:w w:val="105"/>
        </w:rPr>
        <w:t xml:space="preserve"> </w:t>
      </w:r>
      <w:r>
        <w:rPr>
          <w:w w:val="105"/>
        </w:rPr>
        <w:t>in enhancing SMEs’ tender responsiveness, bid</w:t>
      </w:r>
      <w:r>
        <w:rPr>
          <w:spacing w:val="-1"/>
          <w:w w:val="105"/>
        </w:rPr>
        <w:t xml:space="preserve"> </w:t>
      </w:r>
      <w:r>
        <w:rPr>
          <w:w w:val="105"/>
        </w:rPr>
        <w:t>quality, and overall performance in public procurement settings.</w:t>
      </w:r>
    </w:p>
    <w:p w:rsidR="00487D64" w:rsidRDefault="00487D64">
      <w:pPr>
        <w:pStyle w:val="BodyText"/>
      </w:pPr>
    </w:p>
    <w:p w:rsidR="00487D64" w:rsidRDefault="00487D64">
      <w:pPr>
        <w:pStyle w:val="BodyText"/>
        <w:spacing w:before="25"/>
      </w:pPr>
    </w:p>
    <w:p w:rsidR="00487D64" w:rsidRDefault="006F0D93">
      <w:pPr>
        <w:pStyle w:val="ListParagraph"/>
        <w:numPr>
          <w:ilvl w:val="2"/>
          <w:numId w:val="6"/>
        </w:numPr>
        <w:tabs>
          <w:tab w:val="left" w:pos="1958"/>
        </w:tabs>
        <w:ind w:left="1958" w:hanging="539"/>
        <w:rPr>
          <w:b/>
          <w:sz w:val="23"/>
        </w:rPr>
      </w:pPr>
      <w:bookmarkStart w:id="221" w:name="6.2.6_The_Effect_of_Moderation_on_the_Re"/>
      <w:bookmarkStart w:id="222" w:name="_bookmark106"/>
      <w:bookmarkEnd w:id="221"/>
      <w:bookmarkEnd w:id="222"/>
      <w:r>
        <w:rPr>
          <w:b/>
          <w:w w:val="105"/>
          <w:sz w:val="23"/>
        </w:rPr>
        <w:t>The</w:t>
      </w:r>
      <w:r>
        <w:rPr>
          <w:b/>
          <w:spacing w:val="-10"/>
          <w:w w:val="105"/>
          <w:sz w:val="23"/>
        </w:rPr>
        <w:t xml:space="preserve"> </w:t>
      </w:r>
      <w:r>
        <w:rPr>
          <w:b/>
          <w:w w:val="105"/>
          <w:sz w:val="23"/>
        </w:rPr>
        <w:t>Effect</w:t>
      </w:r>
      <w:r>
        <w:rPr>
          <w:b/>
          <w:spacing w:val="-12"/>
          <w:w w:val="105"/>
          <w:sz w:val="23"/>
        </w:rPr>
        <w:t xml:space="preserve"> </w:t>
      </w:r>
      <w:r>
        <w:rPr>
          <w:b/>
          <w:w w:val="105"/>
          <w:sz w:val="23"/>
        </w:rPr>
        <w:t>of</w:t>
      </w:r>
      <w:r>
        <w:rPr>
          <w:b/>
          <w:spacing w:val="-11"/>
          <w:w w:val="105"/>
          <w:sz w:val="23"/>
        </w:rPr>
        <w:t xml:space="preserve"> </w:t>
      </w:r>
      <w:r>
        <w:rPr>
          <w:b/>
          <w:w w:val="105"/>
          <w:sz w:val="23"/>
        </w:rPr>
        <w:t>Moderation</w:t>
      </w:r>
      <w:r>
        <w:rPr>
          <w:b/>
          <w:spacing w:val="-14"/>
          <w:w w:val="105"/>
          <w:sz w:val="23"/>
        </w:rPr>
        <w:t xml:space="preserve"> </w:t>
      </w:r>
      <w:r>
        <w:rPr>
          <w:b/>
          <w:w w:val="105"/>
          <w:sz w:val="23"/>
        </w:rPr>
        <w:t>on</w:t>
      </w:r>
      <w:r>
        <w:rPr>
          <w:b/>
          <w:spacing w:val="-5"/>
          <w:w w:val="105"/>
          <w:sz w:val="23"/>
        </w:rPr>
        <w:t xml:space="preserve"> </w:t>
      </w:r>
      <w:r>
        <w:rPr>
          <w:b/>
          <w:w w:val="105"/>
          <w:sz w:val="23"/>
        </w:rPr>
        <w:t>the</w:t>
      </w:r>
      <w:r>
        <w:rPr>
          <w:b/>
          <w:spacing w:val="-3"/>
          <w:w w:val="105"/>
          <w:sz w:val="23"/>
        </w:rPr>
        <w:t xml:space="preserve"> </w:t>
      </w:r>
      <w:r>
        <w:rPr>
          <w:b/>
          <w:w w:val="105"/>
          <w:sz w:val="23"/>
        </w:rPr>
        <w:t>Relationship</w:t>
      </w:r>
      <w:r>
        <w:rPr>
          <w:b/>
          <w:spacing w:val="-8"/>
          <w:w w:val="105"/>
          <w:sz w:val="23"/>
        </w:rPr>
        <w:t xml:space="preserve"> </w:t>
      </w:r>
      <w:r>
        <w:rPr>
          <w:b/>
          <w:w w:val="105"/>
          <w:sz w:val="23"/>
        </w:rPr>
        <w:t>between</w:t>
      </w:r>
      <w:r>
        <w:rPr>
          <w:b/>
          <w:spacing w:val="-8"/>
          <w:w w:val="105"/>
          <w:sz w:val="23"/>
        </w:rPr>
        <w:t xml:space="preserve"> </w:t>
      </w:r>
      <w:r>
        <w:rPr>
          <w:b/>
          <w:w w:val="105"/>
          <w:sz w:val="23"/>
        </w:rPr>
        <w:t>FC</w:t>
      </w:r>
      <w:r>
        <w:rPr>
          <w:b/>
          <w:spacing w:val="-4"/>
          <w:w w:val="105"/>
          <w:sz w:val="23"/>
        </w:rPr>
        <w:t xml:space="preserve"> </w:t>
      </w:r>
      <w:r>
        <w:rPr>
          <w:b/>
          <w:w w:val="105"/>
          <w:sz w:val="23"/>
        </w:rPr>
        <w:t>and</w:t>
      </w:r>
      <w:r>
        <w:rPr>
          <w:b/>
          <w:spacing w:val="-8"/>
          <w:w w:val="105"/>
          <w:sz w:val="23"/>
        </w:rPr>
        <w:t xml:space="preserve"> </w:t>
      </w:r>
      <w:r>
        <w:rPr>
          <w:b/>
          <w:spacing w:val="-5"/>
          <w:w w:val="105"/>
          <w:sz w:val="23"/>
        </w:rPr>
        <w:t>SC</w:t>
      </w:r>
    </w:p>
    <w:p w:rsidR="00487D64" w:rsidRDefault="00487D64">
      <w:pPr>
        <w:pStyle w:val="BodyText"/>
        <w:spacing w:before="18"/>
        <w:rPr>
          <w:b/>
        </w:rPr>
      </w:pPr>
    </w:p>
    <w:p w:rsidR="00487D64" w:rsidRDefault="006F0D93">
      <w:pPr>
        <w:pStyle w:val="BodyText"/>
        <w:spacing w:line="501" w:lineRule="auto"/>
        <w:ind w:left="1419" w:right="851"/>
        <w:jc w:val="both"/>
      </w:pPr>
      <w:r>
        <w:rPr>
          <w:w w:val="105"/>
        </w:rPr>
        <w:t>The findings revealed that strategic flexibility did not significantly moderate</w:t>
      </w:r>
      <w:r>
        <w:rPr>
          <w:w w:val="105"/>
        </w:rPr>
        <w:t xml:space="preserve"> the relationship between functional coordination and sustainable competitiveness, leading to the rejection of Hypothesis 6. This outcome suggests that, within the context of special group SMEs in public procurement, internal coordination mechanisms, even </w:t>
      </w:r>
      <w:r>
        <w:rPr>
          <w:w w:val="105"/>
        </w:rPr>
        <w:t>when coupled with strategic flexibility, may not effectively enhance long-term competitiveness.</w:t>
      </w:r>
    </w:p>
    <w:p w:rsidR="00487D64" w:rsidRDefault="006F0D93">
      <w:pPr>
        <w:pStyle w:val="BodyText"/>
        <w:spacing w:before="235" w:line="501" w:lineRule="auto"/>
        <w:ind w:left="1419" w:right="851"/>
        <w:jc w:val="both"/>
      </w:pPr>
      <w:r>
        <w:rPr>
          <w:w w:val="105"/>
        </w:rPr>
        <w:t>The results align with prior empirical studies, which indicate that the benefits of coordination flexibility are not guaranteed in environments where supporting</w:t>
      </w:r>
      <w:r>
        <w:rPr>
          <w:w w:val="105"/>
        </w:rPr>
        <w:t xml:space="preserve"> practices such as human resource management or innovation systems are weak. Moreover, the findings underscore that functional coordination alone may be insufficient to drive competitiveness in complex and bureaucratic procurement settings, particularly</w:t>
      </w:r>
      <w:r>
        <w:rPr>
          <w:spacing w:val="-1"/>
          <w:w w:val="105"/>
        </w:rPr>
        <w:t xml:space="preserve"> </w:t>
      </w:r>
      <w:r>
        <w:rPr>
          <w:w w:val="105"/>
        </w:rPr>
        <w:t>wh</w:t>
      </w:r>
      <w:r>
        <w:rPr>
          <w:w w:val="105"/>
        </w:rPr>
        <w:t>en</w:t>
      </w:r>
      <w:r>
        <w:rPr>
          <w:spacing w:val="-1"/>
          <w:w w:val="105"/>
        </w:rPr>
        <w:t xml:space="preserve"> </w:t>
      </w:r>
      <w:r>
        <w:rPr>
          <w:w w:val="105"/>
        </w:rPr>
        <w:t>firms cannot</w:t>
      </w:r>
      <w:r>
        <w:rPr>
          <w:spacing w:val="-3"/>
          <w:w w:val="105"/>
        </w:rPr>
        <w:t xml:space="preserve"> </w:t>
      </w:r>
      <w:r>
        <w:rPr>
          <w:w w:val="105"/>
        </w:rPr>
        <w:t>integrate</w:t>
      </w:r>
      <w:r>
        <w:rPr>
          <w:spacing w:val="-2"/>
          <w:w w:val="105"/>
        </w:rPr>
        <w:t xml:space="preserve"> </w:t>
      </w:r>
      <w:r>
        <w:rPr>
          <w:w w:val="105"/>
        </w:rPr>
        <w:t>coordination</w:t>
      </w:r>
      <w:r>
        <w:rPr>
          <w:spacing w:val="-1"/>
          <w:w w:val="105"/>
        </w:rPr>
        <w:t xml:space="preserve"> </w:t>
      </w:r>
      <w:r>
        <w:rPr>
          <w:w w:val="105"/>
        </w:rPr>
        <w:t>with</w:t>
      </w:r>
      <w:r>
        <w:rPr>
          <w:spacing w:val="-1"/>
          <w:w w:val="105"/>
        </w:rPr>
        <w:t xml:space="preserve"> </w:t>
      </w:r>
      <w:r>
        <w:rPr>
          <w:w w:val="105"/>
        </w:rPr>
        <w:t>broader strategic capabilities. This suggests</w:t>
      </w:r>
      <w:r>
        <w:rPr>
          <w:spacing w:val="-2"/>
          <w:w w:val="105"/>
        </w:rPr>
        <w:t xml:space="preserve"> </w:t>
      </w:r>
      <w:r>
        <w:rPr>
          <w:w w:val="105"/>
        </w:rPr>
        <w:t>that the moderating role of strategic flexibility is context- dependent and may be limited by institutional constraints, resource scarcity, and compliance pressures</w:t>
      </w:r>
      <w:r>
        <w:rPr>
          <w:w w:val="105"/>
        </w:rPr>
        <w:t xml:space="preserve"> commonly experienced by SMEs in public procurement. Generally, the study highlights the need for a more holistic capability framework beyond functional coordination and flexibility alone to achieve sustainable competitiveness in such regulated environment</w:t>
      </w:r>
      <w:r>
        <w:rPr>
          <w:w w:val="105"/>
        </w:rPr>
        <w:t>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2"/>
          <w:numId w:val="6"/>
        </w:numPr>
        <w:tabs>
          <w:tab w:val="left" w:pos="2125"/>
        </w:tabs>
        <w:spacing w:before="1"/>
        <w:ind w:hanging="706"/>
        <w:rPr>
          <w:b/>
          <w:sz w:val="23"/>
        </w:rPr>
      </w:pPr>
      <w:bookmarkStart w:id="223" w:name="6.2.7__The_effect_of_the_Interaction_Ter"/>
      <w:bookmarkStart w:id="224" w:name="_bookmark107"/>
      <w:bookmarkEnd w:id="223"/>
      <w:bookmarkEnd w:id="224"/>
      <w:r>
        <w:rPr>
          <w:b/>
          <w:w w:val="105"/>
          <w:sz w:val="23"/>
        </w:rPr>
        <w:t>The</w:t>
      </w:r>
      <w:r>
        <w:rPr>
          <w:b/>
          <w:spacing w:val="-8"/>
          <w:w w:val="105"/>
          <w:sz w:val="23"/>
        </w:rPr>
        <w:t xml:space="preserve"> </w:t>
      </w:r>
      <w:r>
        <w:rPr>
          <w:b/>
          <w:w w:val="105"/>
          <w:sz w:val="23"/>
        </w:rPr>
        <w:t>effect</w:t>
      </w:r>
      <w:r>
        <w:rPr>
          <w:b/>
          <w:spacing w:val="-9"/>
          <w:w w:val="105"/>
          <w:sz w:val="23"/>
        </w:rPr>
        <w:t xml:space="preserve"> </w:t>
      </w:r>
      <w:r>
        <w:rPr>
          <w:b/>
          <w:w w:val="105"/>
          <w:sz w:val="23"/>
        </w:rPr>
        <w:t>of</w:t>
      </w:r>
      <w:r>
        <w:rPr>
          <w:b/>
          <w:spacing w:val="-9"/>
          <w:w w:val="105"/>
          <w:sz w:val="23"/>
        </w:rPr>
        <w:t xml:space="preserve"> </w:t>
      </w:r>
      <w:r>
        <w:rPr>
          <w:b/>
          <w:w w:val="105"/>
          <w:sz w:val="23"/>
        </w:rPr>
        <w:t>the</w:t>
      </w:r>
      <w:r>
        <w:rPr>
          <w:b/>
          <w:spacing w:val="-7"/>
          <w:w w:val="105"/>
          <w:sz w:val="23"/>
        </w:rPr>
        <w:t xml:space="preserve"> </w:t>
      </w:r>
      <w:r>
        <w:rPr>
          <w:b/>
          <w:w w:val="105"/>
          <w:sz w:val="23"/>
        </w:rPr>
        <w:t>Interaction</w:t>
      </w:r>
      <w:r>
        <w:rPr>
          <w:b/>
          <w:spacing w:val="-4"/>
          <w:w w:val="105"/>
          <w:sz w:val="23"/>
        </w:rPr>
        <w:t xml:space="preserve"> </w:t>
      </w:r>
      <w:r>
        <w:rPr>
          <w:b/>
          <w:w w:val="105"/>
          <w:sz w:val="23"/>
        </w:rPr>
        <w:t>Term</w:t>
      </w:r>
      <w:r>
        <w:rPr>
          <w:b/>
          <w:spacing w:val="-6"/>
          <w:w w:val="105"/>
          <w:sz w:val="23"/>
        </w:rPr>
        <w:t xml:space="preserve"> </w:t>
      </w:r>
      <w:r>
        <w:rPr>
          <w:b/>
          <w:w w:val="105"/>
          <w:sz w:val="23"/>
        </w:rPr>
        <w:t>between</w:t>
      </w:r>
      <w:r>
        <w:rPr>
          <w:b/>
          <w:spacing w:val="-12"/>
          <w:w w:val="105"/>
          <w:sz w:val="23"/>
        </w:rPr>
        <w:t xml:space="preserve"> </w:t>
      </w:r>
      <w:r>
        <w:rPr>
          <w:b/>
          <w:w w:val="105"/>
          <w:sz w:val="23"/>
        </w:rPr>
        <w:t>(CU_SF)</w:t>
      </w:r>
      <w:r>
        <w:rPr>
          <w:b/>
          <w:spacing w:val="-9"/>
          <w:w w:val="105"/>
          <w:sz w:val="23"/>
        </w:rPr>
        <w:t xml:space="preserve"> </w:t>
      </w:r>
      <w:r>
        <w:rPr>
          <w:b/>
          <w:w w:val="105"/>
          <w:sz w:val="23"/>
        </w:rPr>
        <w:t>on</w:t>
      </w:r>
      <w:r>
        <w:rPr>
          <w:b/>
          <w:spacing w:val="-12"/>
          <w:w w:val="105"/>
          <w:sz w:val="23"/>
        </w:rPr>
        <w:t xml:space="preserve"> </w:t>
      </w:r>
      <w:r>
        <w:rPr>
          <w:b/>
          <w:spacing w:val="-5"/>
          <w:w w:val="105"/>
          <w:sz w:val="23"/>
        </w:rPr>
        <w:t>SC</w:t>
      </w:r>
    </w:p>
    <w:p w:rsidR="00487D64" w:rsidRDefault="00487D64">
      <w:pPr>
        <w:pStyle w:val="BodyText"/>
        <w:spacing w:before="18"/>
        <w:rPr>
          <w:b/>
        </w:rPr>
      </w:pPr>
    </w:p>
    <w:p w:rsidR="00487D64" w:rsidRDefault="006F0D93">
      <w:pPr>
        <w:pStyle w:val="BodyText"/>
        <w:spacing w:line="501" w:lineRule="auto"/>
        <w:ind w:left="1419" w:right="849"/>
        <w:jc w:val="both"/>
      </w:pPr>
      <w:r>
        <w:rPr>
          <w:w w:val="105"/>
        </w:rPr>
        <w:t>The study revealed that strategic flexibility significantly moderates the relationship between customer orientation and sustainable competitiveness among special group SMEs</w:t>
      </w:r>
      <w:r>
        <w:rPr>
          <w:spacing w:val="-3"/>
          <w:w w:val="105"/>
        </w:rPr>
        <w:t xml:space="preserve"> </w:t>
      </w:r>
      <w:r>
        <w:rPr>
          <w:w w:val="105"/>
        </w:rPr>
        <w:t>engaged</w:t>
      </w:r>
      <w:r>
        <w:rPr>
          <w:spacing w:val="-2"/>
          <w:w w:val="105"/>
        </w:rPr>
        <w:t xml:space="preserve"> </w:t>
      </w:r>
      <w:r>
        <w:rPr>
          <w:w w:val="105"/>
        </w:rPr>
        <w:t>in</w:t>
      </w:r>
      <w:r>
        <w:rPr>
          <w:spacing w:val="-2"/>
          <w:w w:val="105"/>
        </w:rPr>
        <w:t xml:space="preserve"> </w:t>
      </w:r>
      <w:r>
        <w:rPr>
          <w:w w:val="105"/>
        </w:rPr>
        <w:t>public</w:t>
      </w:r>
      <w:r>
        <w:rPr>
          <w:spacing w:val="-9"/>
          <w:w w:val="105"/>
        </w:rPr>
        <w:t xml:space="preserve"> </w:t>
      </w:r>
      <w:r>
        <w:rPr>
          <w:w w:val="105"/>
        </w:rPr>
        <w:t>procurement.</w:t>
      </w:r>
      <w:r>
        <w:rPr>
          <w:spacing w:val="-6"/>
          <w:w w:val="105"/>
        </w:rPr>
        <w:t xml:space="preserve"> </w:t>
      </w:r>
      <w:r>
        <w:rPr>
          <w:w w:val="105"/>
        </w:rPr>
        <w:t>The</w:t>
      </w:r>
      <w:r>
        <w:rPr>
          <w:spacing w:val="-3"/>
          <w:w w:val="105"/>
        </w:rPr>
        <w:t xml:space="preserve"> </w:t>
      </w:r>
      <w:r>
        <w:rPr>
          <w:w w:val="105"/>
        </w:rPr>
        <w:t>statistical</w:t>
      </w:r>
      <w:r>
        <w:rPr>
          <w:spacing w:val="-6"/>
          <w:w w:val="105"/>
        </w:rPr>
        <w:t xml:space="preserve"> </w:t>
      </w:r>
      <w:r>
        <w:rPr>
          <w:w w:val="105"/>
        </w:rPr>
        <w:t>results</w:t>
      </w:r>
      <w:r>
        <w:rPr>
          <w:spacing w:val="-10"/>
          <w:w w:val="105"/>
        </w:rPr>
        <w:t xml:space="preserve"> </w:t>
      </w:r>
      <w:r>
        <w:rPr>
          <w:w w:val="105"/>
        </w:rPr>
        <w:t>confirmed</w:t>
      </w:r>
      <w:r>
        <w:rPr>
          <w:spacing w:val="-8"/>
          <w:w w:val="105"/>
        </w:rPr>
        <w:t xml:space="preserve"> </w:t>
      </w:r>
      <w:r>
        <w:rPr>
          <w:w w:val="105"/>
        </w:rPr>
        <w:t>that customer orientation alone does not sufficiently drive sustainable competitiveness unless supported by</w:t>
      </w:r>
      <w:r>
        <w:rPr>
          <w:spacing w:val="-5"/>
          <w:w w:val="105"/>
        </w:rPr>
        <w:t xml:space="preserve"> </w:t>
      </w:r>
      <w:r>
        <w:rPr>
          <w:w w:val="105"/>
        </w:rPr>
        <w:t>an</w:t>
      </w:r>
      <w:r>
        <w:rPr>
          <w:spacing w:val="-5"/>
          <w:w w:val="105"/>
        </w:rPr>
        <w:t xml:space="preserve"> </w:t>
      </w:r>
      <w:r>
        <w:rPr>
          <w:w w:val="105"/>
        </w:rPr>
        <w:t>organization’s</w:t>
      </w:r>
      <w:r>
        <w:rPr>
          <w:spacing w:val="-8"/>
          <w:w w:val="105"/>
        </w:rPr>
        <w:t xml:space="preserve"> </w:t>
      </w:r>
      <w:r>
        <w:rPr>
          <w:w w:val="105"/>
        </w:rPr>
        <w:t>ability</w:t>
      </w:r>
      <w:r>
        <w:rPr>
          <w:spacing w:val="-5"/>
          <w:w w:val="105"/>
        </w:rPr>
        <w:t xml:space="preserve"> </w:t>
      </w:r>
      <w:r>
        <w:rPr>
          <w:w w:val="105"/>
        </w:rPr>
        <w:t>to</w:t>
      </w:r>
      <w:r>
        <w:rPr>
          <w:spacing w:val="-5"/>
          <w:w w:val="105"/>
        </w:rPr>
        <w:t xml:space="preserve"> </w:t>
      </w:r>
      <w:r>
        <w:rPr>
          <w:w w:val="105"/>
        </w:rPr>
        <w:t>adapt,</w:t>
      </w:r>
      <w:r>
        <w:rPr>
          <w:spacing w:val="-10"/>
          <w:w w:val="105"/>
        </w:rPr>
        <w:t xml:space="preserve"> </w:t>
      </w:r>
      <w:r>
        <w:rPr>
          <w:w w:val="105"/>
        </w:rPr>
        <w:t>reconfigure</w:t>
      </w:r>
      <w:r>
        <w:rPr>
          <w:spacing w:val="-6"/>
          <w:w w:val="105"/>
        </w:rPr>
        <w:t xml:space="preserve"> </w:t>
      </w:r>
      <w:r>
        <w:rPr>
          <w:w w:val="105"/>
        </w:rPr>
        <w:t>resources,</w:t>
      </w:r>
      <w:r>
        <w:rPr>
          <w:spacing w:val="-3"/>
          <w:w w:val="105"/>
        </w:rPr>
        <w:t xml:space="preserve"> </w:t>
      </w:r>
      <w:r>
        <w:rPr>
          <w:w w:val="105"/>
        </w:rPr>
        <w:t>and</w:t>
      </w:r>
      <w:r>
        <w:rPr>
          <w:spacing w:val="-11"/>
          <w:w w:val="105"/>
        </w:rPr>
        <w:t xml:space="preserve"> </w:t>
      </w:r>
      <w:r>
        <w:rPr>
          <w:w w:val="105"/>
        </w:rPr>
        <w:t>respond</w:t>
      </w:r>
      <w:r>
        <w:rPr>
          <w:spacing w:val="-5"/>
          <w:w w:val="105"/>
        </w:rPr>
        <w:t xml:space="preserve"> </w:t>
      </w:r>
      <w:r>
        <w:rPr>
          <w:w w:val="105"/>
        </w:rPr>
        <w:t>to dynamic</w:t>
      </w:r>
      <w:r>
        <w:rPr>
          <w:w w:val="105"/>
        </w:rPr>
        <w:t xml:space="preserve"> market changes. This finding aligns with the dynamic capabilities theory, emphasizing the importance of sensing and responding to external changes for maintaining competitive advantage. The results indicate that in uncertain environments, strategic flexib</w:t>
      </w:r>
      <w:r>
        <w:rPr>
          <w:w w:val="105"/>
        </w:rPr>
        <w:t xml:space="preserve">ility enables firms to translate customer-focused strategies into meaningful performance outcomes by fostering responsiveness, innovation, and real-time adaptation. Moreover, the integration of advanced technologies such as AI and machine learning further </w:t>
      </w:r>
      <w:r>
        <w:rPr>
          <w:w w:val="105"/>
        </w:rPr>
        <w:t xml:space="preserve">enhances strategic flexibility, empowering SMEs to interpret customer needs more effectively and personalize </w:t>
      </w:r>
      <w:r>
        <w:rPr>
          <w:spacing w:val="-2"/>
          <w:w w:val="105"/>
        </w:rPr>
        <w:t>services.</w:t>
      </w:r>
    </w:p>
    <w:p w:rsidR="00487D64" w:rsidRDefault="00487D64">
      <w:pPr>
        <w:pStyle w:val="BodyText"/>
      </w:pPr>
    </w:p>
    <w:p w:rsidR="00487D64" w:rsidRDefault="00487D64">
      <w:pPr>
        <w:pStyle w:val="BodyText"/>
        <w:spacing w:before="23"/>
      </w:pPr>
    </w:p>
    <w:p w:rsidR="00487D64" w:rsidRDefault="006F0D93">
      <w:pPr>
        <w:pStyle w:val="ListParagraph"/>
        <w:numPr>
          <w:ilvl w:val="1"/>
          <w:numId w:val="6"/>
        </w:numPr>
        <w:tabs>
          <w:tab w:val="left" w:pos="2139"/>
        </w:tabs>
        <w:ind w:left="2139" w:hanging="720"/>
        <w:rPr>
          <w:b/>
          <w:sz w:val="23"/>
        </w:rPr>
      </w:pPr>
      <w:bookmarkStart w:id="225" w:name="6.3___Conclusion"/>
      <w:bookmarkStart w:id="226" w:name="_bookmark108"/>
      <w:bookmarkEnd w:id="225"/>
      <w:bookmarkEnd w:id="226"/>
      <w:r>
        <w:rPr>
          <w:b/>
          <w:spacing w:val="-2"/>
          <w:w w:val="105"/>
          <w:sz w:val="23"/>
        </w:rPr>
        <w:t>Conclusion</w:t>
      </w:r>
    </w:p>
    <w:p w:rsidR="00487D64" w:rsidRDefault="00487D64">
      <w:pPr>
        <w:pStyle w:val="BodyText"/>
        <w:spacing w:before="19"/>
        <w:rPr>
          <w:b/>
        </w:rPr>
      </w:pPr>
    </w:p>
    <w:p w:rsidR="00487D64" w:rsidRDefault="006F0D93">
      <w:pPr>
        <w:pStyle w:val="ListParagraph"/>
        <w:numPr>
          <w:ilvl w:val="2"/>
          <w:numId w:val="6"/>
        </w:numPr>
        <w:tabs>
          <w:tab w:val="left" w:pos="2114"/>
          <w:tab w:val="left" w:pos="2125"/>
        </w:tabs>
        <w:spacing w:line="504" w:lineRule="auto"/>
        <w:ind w:right="859" w:hanging="707"/>
        <w:jc w:val="both"/>
        <w:rPr>
          <w:b/>
          <w:sz w:val="23"/>
        </w:rPr>
      </w:pPr>
      <w:bookmarkStart w:id="227" w:name="6.3.1_Customer_Orientation_on_Sustainabl"/>
      <w:bookmarkStart w:id="228" w:name="_bookmark109"/>
      <w:bookmarkEnd w:id="227"/>
      <w:bookmarkEnd w:id="228"/>
      <w:r>
        <w:rPr>
          <w:b/>
          <w:w w:val="105"/>
          <w:sz w:val="23"/>
        </w:rPr>
        <w:t xml:space="preserve">Customer Orientation on Sustainable Competitiveness in Public </w:t>
      </w:r>
      <w:r>
        <w:rPr>
          <w:b/>
          <w:spacing w:val="-2"/>
          <w:w w:val="105"/>
          <w:sz w:val="23"/>
        </w:rPr>
        <w:t>Procurement</w:t>
      </w:r>
    </w:p>
    <w:p w:rsidR="00487D64" w:rsidRDefault="006F0D93">
      <w:pPr>
        <w:pStyle w:val="BodyText"/>
        <w:spacing w:line="499" w:lineRule="auto"/>
        <w:ind w:left="1419" w:right="849"/>
        <w:jc w:val="both"/>
      </w:pPr>
      <w:r>
        <w:rPr>
          <w:w w:val="105"/>
        </w:rPr>
        <w:t>The convergent evidence across both scenarios aff</w:t>
      </w:r>
      <w:r>
        <w:rPr>
          <w:w w:val="105"/>
        </w:rPr>
        <w:t>irms that customer orientation constitutes a pivotal micro-mechanism through which special-group SMEs convert market information into sustainable competitiveness within public-procurement arenas. Consistent with</w:t>
      </w:r>
      <w:r>
        <w:rPr>
          <w:spacing w:val="-7"/>
          <w:w w:val="105"/>
        </w:rPr>
        <w:t xml:space="preserve"> </w:t>
      </w:r>
      <w:r>
        <w:rPr>
          <w:w w:val="105"/>
        </w:rPr>
        <w:t>the</w:t>
      </w:r>
      <w:r>
        <w:rPr>
          <w:spacing w:val="-2"/>
          <w:w w:val="105"/>
        </w:rPr>
        <w:t xml:space="preserve"> </w:t>
      </w:r>
      <w:r>
        <w:rPr>
          <w:w w:val="105"/>
        </w:rPr>
        <w:t>central principles</w:t>
      </w:r>
      <w:r>
        <w:rPr>
          <w:spacing w:val="-3"/>
          <w:w w:val="105"/>
        </w:rPr>
        <w:t xml:space="preserve"> </w:t>
      </w:r>
      <w:r>
        <w:rPr>
          <w:w w:val="105"/>
        </w:rPr>
        <w:t>of market-orientation</w:t>
      </w:r>
      <w:r>
        <w:rPr>
          <w:spacing w:val="-1"/>
          <w:w w:val="105"/>
        </w:rPr>
        <w:t xml:space="preserve"> </w:t>
      </w:r>
      <w:r>
        <w:rPr>
          <w:w w:val="105"/>
        </w:rPr>
        <w:t>theory, firms</w:t>
      </w:r>
      <w:r>
        <w:rPr>
          <w:spacing w:val="-3"/>
          <w:w w:val="105"/>
        </w:rPr>
        <w:t xml:space="preserve"> </w:t>
      </w:r>
      <w:r>
        <w:rPr>
          <w:w w:val="105"/>
        </w:rPr>
        <w:t>that systematically</w:t>
      </w:r>
      <w:r>
        <w:rPr>
          <w:spacing w:val="22"/>
          <w:w w:val="105"/>
        </w:rPr>
        <w:t xml:space="preserve"> </w:t>
      </w:r>
      <w:r>
        <w:rPr>
          <w:w w:val="105"/>
        </w:rPr>
        <w:t>identify,</w:t>
      </w:r>
      <w:r>
        <w:rPr>
          <w:spacing w:val="24"/>
          <w:w w:val="105"/>
        </w:rPr>
        <w:t xml:space="preserve"> </w:t>
      </w:r>
      <w:r>
        <w:rPr>
          <w:w w:val="105"/>
        </w:rPr>
        <w:t>interpret</w:t>
      </w:r>
      <w:r>
        <w:rPr>
          <w:spacing w:val="24"/>
          <w:w w:val="105"/>
        </w:rPr>
        <w:t xml:space="preserve"> </w:t>
      </w:r>
      <w:r>
        <w:rPr>
          <w:w w:val="105"/>
        </w:rPr>
        <w:t>and</w:t>
      </w:r>
      <w:r>
        <w:rPr>
          <w:spacing w:val="16"/>
          <w:w w:val="105"/>
        </w:rPr>
        <w:t xml:space="preserve"> </w:t>
      </w:r>
      <w:r>
        <w:rPr>
          <w:w w:val="105"/>
        </w:rPr>
        <w:t>respond</w:t>
      </w:r>
      <w:r>
        <w:rPr>
          <w:spacing w:val="23"/>
          <w:w w:val="105"/>
        </w:rPr>
        <w:t xml:space="preserve"> </w:t>
      </w:r>
      <w:r>
        <w:rPr>
          <w:w w:val="105"/>
        </w:rPr>
        <w:t>to</w:t>
      </w:r>
      <w:r>
        <w:rPr>
          <w:spacing w:val="22"/>
          <w:w w:val="105"/>
        </w:rPr>
        <w:t xml:space="preserve"> </w:t>
      </w:r>
      <w:r>
        <w:rPr>
          <w:w w:val="105"/>
        </w:rPr>
        <w:t>the</w:t>
      </w:r>
      <w:r>
        <w:rPr>
          <w:spacing w:val="16"/>
          <w:w w:val="105"/>
        </w:rPr>
        <w:t xml:space="preserve"> </w:t>
      </w:r>
      <w:r>
        <w:rPr>
          <w:w w:val="105"/>
        </w:rPr>
        <w:t>articulated</w:t>
      </w:r>
      <w:r>
        <w:rPr>
          <w:spacing w:val="22"/>
          <w:w w:val="105"/>
        </w:rPr>
        <w:t xml:space="preserve"> </w:t>
      </w:r>
      <w:r>
        <w:rPr>
          <w:w w:val="105"/>
        </w:rPr>
        <w:t>and</w:t>
      </w:r>
      <w:r>
        <w:rPr>
          <w:spacing w:val="22"/>
          <w:w w:val="105"/>
        </w:rPr>
        <w:t xml:space="preserve"> </w:t>
      </w:r>
      <w:r>
        <w:rPr>
          <w:w w:val="105"/>
        </w:rPr>
        <w:t>latent</w:t>
      </w:r>
      <w:r>
        <w:rPr>
          <w:spacing w:val="24"/>
          <w:w w:val="105"/>
        </w:rPr>
        <w:t xml:space="preserve"> </w:t>
      </w:r>
      <w:r>
        <w:rPr>
          <w:w w:val="105"/>
        </w:rPr>
        <w:t>needs</w:t>
      </w:r>
      <w:r>
        <w:rPr>
          <w:spacing w:val="20"/>
          <w:w w:val="105"/>
        </w:rPr>
        <w:t xml:space="preserve"> </w:t>
      </w:r>
      <w:r>
        <w:rPr>
          <w:spacing w:val="-5"/>
          <w:w w:val="105"/>
        </w:rPr>
        <w:t>of</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6"/>
        <w:jc w:val="both"/>
      </w:pPr>
      <w:r>
        <w:rPr>
          <w:w w:val="105"/>
        </w:rPr>
        <w:t>procuring entities secure superior contract attainment, enhanced</w:t>
      </w:r>
      <w:r>
        <w:rPr>
          <w:w w:val="105"/>
        </w:rPr>
        <w:t xml:space="preserve"> service-quality ratings and more durable client relationships. These performance rewards, however, are neither automatic nor unconditional: the mixed moderation results signal</w:t>
      </w:r>
      <w:r>
        <w:rPr>
          <w:spacing w:val="-3"/>
          <w:w w:val="105"/>
        </w:rPr>
        <w:t xml:space="preserve"> </w:t>
      </w:r>
      <w:r>
        <w:rPr>
          <w:w w:val="105"/>
        </w:rPr>
        <w:t>that the competitive</w:t>
      </w:r>
      <w:r>
        <w:rPr>
          <w:spacing w:val="-9"/>
          <w:w w:val="105"/>
        </w:rPr>
        <w:t xml:space="preserve"> </w:t>
      </w:r>
      <w:r>
        <w:rPr>
          <w:w w:val="105"/>
        </w:rPr>
        <w:t>returns</w:t>
      </w:r>
      <w:r>
        <w:rPr>
          <w:spacing w:val="-11"/>
          <w:w w:val="105"/>
        </w:rPr>
        <w:t xml:space="preserve"> </w:t>
      </w:r>
      <w:r>
        <w:rPr>
          <w:w w:val="105"/>
        </w:rPr>
        <w:t>to</w:t>
      </w:r>
      <w:r>
        <w:rPr>
          <w:spacing w:val="-8"/>
          <w:w w:val="105"/>
        </w:rPr>
        <w:t xml:space="preserve"> </w:t>
      </w:r>
      <w:r>
        <w:rPr>
          <w:w w:val="105"/>
        </w:rPr>
        <w:t>customer</w:t>
      </w:r>
      <w:r>
        <w:rPr>
          <w:spacing w:val="-5"/>
          <w:w w:val="105"/>
        </w:rPr>
        <w:t xml:space="preserve"> </w:t>
      </w:r>
      <w:r>
        <w:rPr>
          <w:w w:val="105"/>
        </w:rPr>
        <w:t>orientation</w:t>
      </w:r>
      <w:r>
        <w:rPr>
          <w:spacing w:val="-15"/>
          <w:w w:val="105"/>
        </w:rPr>
        <w:t xml:space="preserve"> </w:t>
      </w:r>
      <w:r>
        <w:rPr>
          <w:w w:val="105"/>
        </w:rPr>
        <w:t>are</w:t>
      </w:r>
      <w:r>
        <w:rPr>
          <w:spacing w:val="-15"/>
          <w:w w:val="105"/>
        </w:rPr>
        <w:t xml:space="preserve"> </w:t>
      </w:r>
      <w:r>
        <w:rPr>
          <w:w w:val="105"/>
        </w:rPr>
        <w:t>amplified</w:t>
      </w:r>
      <w:r>
        <w:rPr>
          <w:spacing w:val="-8"/>
          <w:w w:val="105"/>
        </w:rPr>
        <w:t xml:space="preserve"> </w:t>
      </w:r>
      <w:r>
        <w:rPr>
          <w:w w:val="105"/>
        </w:rPr>
        <w:t>when</w:t>
      </w:r>
      <w:r>
        <w:rPr>
          <w:spacing w:val="-8"/>
          <w:w w:val="105"/>
        </w:rPr>
        <w:t xml:space="preserve"> </w:t>
      </w:r>
      <w:r>
        <w:rPr>
          <w:w w:val="105"/>
        </w:rPr>
        <w:t>SMEs</w:t>
      </w:r>
      <w:r>
        <w:rPr>
          <w:spacing w:val="-4"/>
          <w:w w:val="105"/>
        </w:rPr>
        <w:t xml:space="preserve"> </w:t>
      </w:r>
      <w:r>
        <w:rPr>
          <w:w w:val="105"/>
        </w:rPr>
        <w:t>si</w:t>
      </w:r>
      <w:r>
        <w:rPr>
          <w:w w:val="105"/>
        </w:rPr>
        <w:t>multaneously possess strategic-flexibility routines capable of reconfiguring operational processes to accommodate shifting procurement specifications and regulatory strictures. Conversely, where institutional rigidity or capability constraints suppress ada</w:t>
      </w:r>
      <w:r>
        <w:rPr>
          <w:w w:val="105"/>
        </w:rPr>
        <w:t>ptive re-deployment, the customer-orientation–performance linkage is weakened. Collectively, the findings intimate that sustainable competitiveness in public procurement emerges from a configurational fit between customer-centric behaviors and</w:t>
      </w:r>
      <w:r>
        <w:rPr>
          <w:spacing w:val="-5"/>
          <w:w w:val="105"/>
        </w:rPr>
        <w:t xml:space="preserve"> </w:t>
      </w:r>
      <w:r>
        <w:rPr>
          <w:w w:val="105"/>
        </w:rPr>
        <w:t>dynamic,</w:t>
      </w:r>
      <w:r>
        <w:rPr>
          <w:spacing w:val="-4"/>
          <w:w w:val="105"/>
        </w:rPr>
        <w:t xml:space="preserve"> </w:t>
      </w:r>
      <w:r>
        <w:rPr>
          <w:w w:val="105"/>
        </w:rPr>
        <w:t>com</w:t>
      </w:r>
      <w:r>
        <w:rPr>
          <w:w w:val="105"/>
        </w:rPr>
        <w:t>pliance-oriented</w:t>
      </w:r>
      <w:r>
        <w:rPr>
          <w:spacing w:val="-5"/>
          <w:w w:val="105"/>
        </w:rPr>
        <w:t xml:space="preserve"> </w:t>
      </w:r>
      <w:r>
        <w:rPr>
          <w:w w:val="105"/>
        </w:rPr>
        <w:t>capabilities,</w:t>
      </w:r>
      <w:r>
        <w:rPr>
          <w:spacing w:val="-10"/>
          <w:w w:val="105"/>
        </w:rPr>
        <w:t xml:space="preserve"> </w:t>
      </w:r>
      <w:r>
        <w:rPr>
          <w:w w:val="105"/>
        </w:rPr>
        <w:t>thereby</w:t>
      </w:r>
      <w:r>
        <w:rPr>
          <w:spacing w:val="-5"/>
          <w:w w:val="105"/>
        </w:rPr>
        <w:t xml:space="preserve"> </w:t>
      </w:r>
      <w:r>
        <w:rPr>
          <w:w w:val="105"/>
        </w:rPr>
        <w:t>extending</w:t>
      </w:r>
      <w:r>
        <w:rPr>
          <w:spacing w:val="-5"/>
          <w:w w:val="105"/>
        </w:rPr>
        <w:t xml:space="preserve"> </w:t>
      </w:r>
      <w:r>
        <w:rPr>
          <w:w w:val="105"/>
        </w:rPr>
        <w:t>market-orientation theory into a contingent governance context characterized by high procedural framework and stakeholder inclusiveness.</w:t>
      </w:r>
    </w:p>
    <w:p w:rsidR="00487D64" w:rsidRDefault="00487D64">
      <w:pPr>
        <w:pStyle w:val="BodyText"/>
      </w:pPr>
    </w:p>
    <w:p w:rsidR="00487D64" w:rsidRDefault="00487D64">
      <w:pPr>
        <w:pStyle w:val="BodyText"/>
        <w:spacing w:before="22"/>
      </w:pPr>
    </w:p>
    <w:p w:rsidR="00487D64" w:rsidRDefault="006F0D93">
      <w:pPr>
        <w:pStyle w:val="ListParagraph"/>
        <w:numPr>
          <w:ilvl w:val="2"/>
          <w:numId w:val="6"/>
        </w:numPr>
        <w:tabs>
          <w:tab w:val="left" w:pos="2091"/>
          <w:tab w:val="left" w:pos="2125"/>
        </w:tabs>
        <w:spacing w:line="504" w:lineRule="auto"/>
        <w:ind w:right="868" w:hanging="707"/>
        <w:jc w:val="both"/>
        <w:rPr>
          <w:b/>
          <w:sz w:val="23"/>
        </w:rPr>
      </w:pPr>
      <w:bookmarkStart w:id="229" w:name="6.3.2_Competitor_Orientation_on_Sustaina"/>
      <w:bookmarkStart w:id="230" w:name="_bookmark110"/>
      <w:bookmarkEnd w:id="229"/>
      <w:bookmarkEnd w:id="230"/>
      <w:r>
        <w:rPr>
          <w:b/>
          <w:w w:val="105"/>
          <w:sz w:val="23"/>
        </w:rPr>
        <w:t xml:space="preserve">Competitor Orientation on Sustainable Competitiveness in Public </w:t>
      </w:r>
      <w:r>
        <w:rPr>
          <w:b/>
          <w:spacing w:val="-2"/>
          <w:w w:val="105"/>
          <w:sz w:val="23"/>
        </w:rPr>
        <w:t>Proc</w:t>
      </w:r>
      <w:r>
        <w:rPr>
          <w:b/>
          <w:spacing w:val="-2"/>
          <w:w w:val="105"/>
          <w:sz w:val="23"/>
        </w:rPr>
        <w:t>urement</w:t>
      </w:r>
    </w:p>
    <w:p w:rsidR="00487D64" w:rsidRDefault="006F0D93">
      <w:pPr>
        <w:pStyle w:val="BodyText"/>
        <w:spacing w:line="501" w:lineRule="auto"/>
        <w:ind w:left="1419" w:right="851"/>
        <w:jc w:val="both"/>
      </w:pPr>
      <w:r>
        <w:rPr>
          <w:w w:val="105"/>
        </w:rPr>
        <w:t>Combining</w:t>
      </w:r>
      <w:r>
        <w:rPr>
          <w:spacing w:val="-1"/>
          <w:w w:val="105"/>
        </w:rPr>
        <w:t xml:space="preserve"> </w:t>
      </w:r>
      <w:r>
        <w:rPr>
          <w:w w:val="105"/>
        </w:rPr>
        <w:t>the</w:t>
      </w:r>
      <w:r>
        <w:rPr>
          <w:spacing w:val="-2"/>
          <w:w w:val="105"/>
        </w:rPr>
        <w:t xml:space="preserve"> </w:t>
      </w:r>
      <w:r>
        <w:rPr>
          <w:w w:val="105"/>
        </w:rPr>
        <w:t>results from both scenarios, competitor orientation seems</w:t>
      </w:r>
      <w:r>
        <w:rPr>
          <w:spacing w:val="-3"/>
          <w:w w:val="105"/>
        </w:rPr>
        <w:t xml:space="preserve"> </w:t>
      </w:r>
      <w:r>
        <w:rPr>
          <w:w w:val="105"/>
        </w:rPr>
        <w:t>as a strong precursor to sustainable competitiveness for special-group SMEs in public- procurement competitive environments. Enterprises that consistently monitor, analyze, and</w:t>
      </w:r>
      <w:r>
        <w:rPr>
          <w:w w:val="105"/>
        </w:rPr>
        <w:t xml:space="preserve"> anticipate competitors' bidding behaviors, price strategies, and innovation</w:t>
      </w:r>
      <w:r>
        <w:rPr>
          <w:spacing w:val="-7"/>
          <w:w w:val="105"/>
        </w:rPr>
        <w:t xml:space="preserve"> </w:t>
      </w:r>
      <w:r>
        <w:rPr>
          <w:w w:val="105"/>
        </w:rPr>
        <w:t>paths</w:t>
      </w:r>
      <w:r>
        <w:rPr>
          <w:spacing w:val="-15"/>
          <w:w w:val="105"/>
        </w:rPr>
        <w:t xml:space="preserve"> </w:t>
      </w:r>
      <w:r>
        <w:rPr>
          <w:w w:val="105"/>
        </w:rPr>
        <w:t>are</w:t>
      </w:r>
      <w:r>
        <w:rPr>
          <w:spacing w:val="-2"/>
          <w:w w:val="105"/>
        </w:rPr>
        <w:t xml:space="preserve"> </w:t>
      </w:r>
      <w:r>
        <w:rPr>
          <w:w w:val="105"/>
        </w:rPr>
        <w:t>far</w:t>
      </w:r>
      <w:r>
        <w:rPr>
          <w:spacing w:val="-4"/>
          <w:w w:val="105"/>
        </w:rPr>
        <w:t xml:space="preserve"> </w:t>
      </w:r>
      <w:r>
        <w:rPr>
          <w:w w:val="105"/>
        </w:rPr>
        <w:t>more</w:t>
      </w:r>
      <w:r>
        <w:rPr>
          <w:spacing w:val="-2"/>
          <w:w w:val="105"/>
        </w:rPr>
        <w:t xml:space="preserve"> </w:t>
      </w:r>
      <w:r>
        <w:rPr>
          <w:w w:val="105"/>
        </w:rPr>
        <w:t>skilled</w:t>
      </w:r>
      <w:r>
        <w:rPr>
          <w:spacing w:val="-13"/>
          <w:w w:val="105"/>
        </w:rPr>
        <w:t xml:space="preserve"> </w:t>
      </w:r>
      <w:r>
        <w:rPr>
          <w:w w:val="105"/>
        </w:rPr>
        <w:t>at</w:t>
      </w:r>
      <w:r>
        <w:rPr>
          <w:spacing w:val="-5"/>
          <w:w w:val="105"/>
        </w:rPr>
        <w:t xml:space="preserve"> </w:t>
      </w:r>
      <w:r>
        <w:rPr>
          <w:w w:val="105"/>
        </w:rPr>
        <w:t>adjusting</w:t>
      </w:r>
      <w:r>
        <w:rPr>
          <w:spacing w:val="-7"/>
          <w:w w:val="105"/>
        </w:rPr>
        <w:t xml:space="preserve"> </w:t>
      </w:r>
      <w:r>
        <w:rPr>
          <w:w w:val="105"/>
        </w:rPr>
        <w:t>tender</w:t>
      </w:r>
      <w:r>
        <w:rPr>
          <w:spacing w:val="-4"/>
          <w:w w:val="105"/>
        </w:rPr>
        <w:t xml:space="preserve"> </w:t>
      </w:r>
      <w:r>
        <w:rPr>
          <w:w w:val="105"/>
        </w:rPr>
        <w:t>arrangements,</w:t>
      </w:r>
      <w:r>
        <w:rPr>
          <w:spacing w:val="-5"/>
          <w:w w:val="105"/>
        </w:rPr>
        <w:t xml:space="preserve"> </w:t>
      </w:r>
      <w:r>
        <w:rPr>
          <w:w w:val="105"/>
        </w:rPr>
        <w:t>distinguishing value propositions, and capitalizing on fleeting procurement opportunities. The substantial interaction</w:t>
      </w:r>
      <w:r>
        <w:rPr>
          <w:w w:val="105"/>
        </w:rPr>
        <w:t xml:space="preserve"> between competitor orientation and strategic flexibility supports</w:t>
      </w:r>
      <w:r>
        <w:rPr>
          <w:spacing w:val="80"/>
          <w:w w:val="150"/>
        </w:rPr>
        <w:t xml:space="preserve"> </w:t>
      </w:r>
      <w:r>
        <w:rPr>
          <w:w w:val="105"/>
        </w:rPr>
        <w:t>a</w:t>
      </w:r>
      <w:r>
        <w:rPr>
          <w:spacing w:val="80"/>
          <w:w w:val="150"/>
        </w:rPr>
        <w:t xml:space="preserve"> </w:t>
      </w:r>
      <w:r>
        <w:rPr>
          <w:w w:val="105"/>
        </w:rPr>
        <w:t>dynamic-capability</w:t>
      </w:r>
      <w:r>
        <w:rPr>
          <w:spacing w:val="80"/>
          <w:w w:val="150"/>
        </w:rPr>
        <w:t xml:space="preserve"> </w:t>
      </w:r>
      <w:r>
        <w:rPr>
          <w:w w:val="105"/>
        </w:rPr>
        <w:t>contingency:</w:t>
      </w:r>
      <w:r>
        <w:rPr>
          <w:spacing w:val="80"/>
          <w:w w:val="150"/>
        </w:rPr>
        <w:t xml:space="preserve"> </w:t>
      </w:r>
      <w:r>
        <w:rPr>
          <w:w w:val="105"/>
        </w:rPr>
        <w:t>the</w:t>
      </w:r>
      <w:r>
        <w:rPr>
          <w:spacing w:val="80"/>
          <w:w w:val="150"/>
        </w:rPr>
        <w:t xml:space="preserve"> </w:t>
      </w:r>
      <w:r>
        <w:rPr>
          <w:w w:val="105"/>
        </w:rPr>
        <w:t>effectiveness</w:t>
      </w:r>
      <w:r>
        <w:rPr>
          <w:spacing w:val="80"/>
          <w:w w:val="150"/>
        </w:rPr>
        <w:t xml:space="preserve"> </w:t>
      </w:r>
      <w:r>
        <w:rPr>
          <w:w w:val="105"/>
        </w:rPr>
        <w:t>of</w:t>
      </w:r>
      <w:r>
        <w:rPr>
          <w:spacing w:val="80"/>
          <w:w w:val="150"/>
        </w:rPr>
        <w:t xml:space="preserve"> </w:t>
      </w:r>
      <w:r>
        <w:rPr>
          <w:w w:val="105"/>
        </w:rPr>
        <w:t>competitive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9"/>
        <w:jc w:val="both"/>
      </w:pPr>
      <w:r>
        <w:rPr>
          <w:w w:val="105"/>
        </w:rPr>
        <w:t>intelligence significantly improves when SMEs have concurrent routines for swift resource</w:t>
      </w:r>
      <w:r>
        <w:rPr>
          <w:w w:val="105"/>
        </w:rPr>
        <w:t xml:space="preserve"> redeployment and strategy reconfiguration. Sustainable competitiveness arises not from mere competitor monitoring, but from the strategic alignment of competitive</w:t>
      </w:r>
      <w:r>
        <w:rPr>
          <w:spacing w:val="-5"/>
          <w:w w:val="105"/>
        </w:rPr>
        <w:t xml:space="preserve"> </w:t>
      </w:r>
      <w:r>
        <w:rPr>
          <w:w w:val="105"/>
        </w:rPr>
        <w:t>sensing</w:t>
      </w:r>
      <w:r>
        <w:rPr>
          <w:spacing w:val="-4"/>
          <w:w w:val="105"/>
        </w:rPr>
        <w:t xml:space="preserve"> </w:t>
      </w:r>
      <w:r>
        <w:rPr>
          <w:w w:val="105"/>
        </w:rPr>
        <w:t>with</w:t>
      </w:r>
      <w:r>
        <w:rPr>
          <w:spacing w:val="-10"/>
          <w:w w:val="105"/>
        </w:rPr>
        <w:t xml:space="preserve"> </w:t>
      </w:r>
      <w:r>
        <w:rPr>
          <w:w w:val="105"/>
        </w:rPr>
        <w:t>adaptable</w:t>
      </w:r>
      <w:r>
        <w:rPr>
          <w:spacing w:val="-10"/>
          <w:w w:val="105"/>
        </w:rPr>
        <w:t xml:space="preserve"> </w:t>
      </w:r>
      <w:r>
        <w:rPr>
          <w:w w:val="105"/>
        </w:rPr>
        <w:t>deployment</w:t>
      </w:r>
      <w:r>
        <w:rPr>
          <w:spacing w:val="-8"/>
          <w:w w:val="105"/>
        </w:rPr>
        <w:t xml:space="preserve"> </w:t>
      </w:r>
      <w:r>
        <w:rPr>
          <w:w w:val="105"/>
        </w:rPr>
        <w:t>capabilities</w:t>
      </w:r>
      <w:r>
        <w:rPr>
          <w:spacing w:val="-6"/>
          <w:w w:val="105"/>
        </w:rPr>
        <w:t xml:space="preserve"> </w:t>
      </w:r>
      <w:r>
        <w:rPr>
          <w:w w:val="105"/>
        </w:rPr>
        <w:t>a synthesis</w:t>
      </w:r>
      <w:r>
        <w:rPr>
          <w:spacing w:val="-12"/>
          <w:w w:val="105"/>
        </w:rPr>
        <w:t xml:space="preserve"> </w:t>
      </w:r>
      <w:r>
        <w:rPr>
          <w:w w:val="105"/>
        </w:rPr>
        <w:t>that</w:t>
      </w:r>
      <w:r>
        <w:rPr>
          <w:spacing w:val="-8"/>
          <w:w w:val="105"/>
        </w:rPr>
        <w:t xml:space="preserve"> </w:t>
      </w:r>
      <w:r>
        <w:rPr>
          <w:w w:val="105"/>
        </w:rPr>
        <w:t>enhances market-orientation</w:t>
      </w:r>
      <w:r>
        <w:rPr>
          <w:spacing w:val="-2"/>
          <w:w w:val="105"/>
        </w:rPr>
        <w:t xml:space="preserve"> </w:t>
      </w:r>
      <w:r>
        <w:rPr>
          <w:w w:val="105"/>
        </w:rPr>
        <w:t>theory</w:t>
      </w:r>
      <w:r>
        <w:rPr>
          <w:spacing w:val="-2"/>
          <w:w w:val="105"/>
        </w:rPr>
        <w:t xml:space="preserve"> </w:t>
      </w:r>
      <w:r>
        <w:rPr>
          <w:w w:val="105"/>
        </w:rPr>
        <w:t>by</w:t>
      </w:r>
      <w:r>
        <w:rPr>
          <w:spacing w:val="-2"/>
          <w:w w:val="105"/>
        </w:rPr>
        <w:t xml:space="preserve"> </w:t>
      </w:r>
      <w:r>
        <w:rPr>
          <w:w w:val="105"/>
        </w:rPr>
        <w:t>integrating</w:t>
      </w:r>
      <w:r>
        <w:rPr>
          <w:spacing w:val="-8"/>
          <w:w w:val="105"/>
        </w:rPr>
        <w:t xml:space="preserve"> </w:t>
      </w:r>
      <w:r>
        <w:rPr>
          <w:w w:val="105"/>
        </w:rPr>
        <w:t>it within</w:t>
      </w:r>
      <w:r>
        <w:rPr>
          <w:spacing w:val="-2"/>
          <w:w w:val="105"/>
        </w:rPr>
        <w:t xml:space="preserve"> </w:t>
      </w:r>
      <w:r>
        <w:rPr>
          <w:w w:val="105"/>
        </w:rPr>
        <w:t>the</w:t>
      </w:r>
      <w:r>
        <w:rPr>
          <w:spacing w:val="-3"/>
          <w:w w:val="105"/>
        </w:rPr>
        <w:t xml:space="preserve"> </w:t>
      </w:r>
      <w:r>
        <w:rPr>
          <w:w w:val="105"/>
        </w:rPr>
        <w:t>episodic,</w:t>
      </w:r>
      <w:r>
        <w:rPr>
          <w:spacing w:val="-6"/>
          <w:w w:val="105"/>
        </w:rPr>
        <w:t xml:space="preserve"> </w:t>
      </w:r>
      <w:r>
        <w:rPr>
          <w:w w:val="105"/>
        </w:rPr>
        <w:t>regulatory</w:t>
      </w:r>
      <w:r>
        <w:rPr>
          <w:spacing w:val="-2"/>
          <w:w w:val="105"/>
        </w:rPr>
        <w:t xml:space="preserve"> </w:t>
      </w:r>
      <w:r>
        <w:rPr>
          <w:w w:val="105"/>
        </w:rPr>
        <w:t>framework of public procurement.</w:t>
      </w:r>
    </w:p>
    <w:p w:rsidR="00487D64" w:rsidRDefault="00487D64">
      <w:pPr>
        <w:pStyle w:val="BodyText"/>
      </w:pPr>
    </w:p>
    <w:p w:rsidR="00487D64" w:rsidRDefault="00487D64">
      <w:pPr>
        <w:pStyle w:val="BodyText"/>
        <w:spacing w:before="30"/>
      </w:pPr>
    </w:p>
    <w:p w:rsidR="00487D64" w:rsidRDefault="006F0D93">
      <w:pPr>
        <w:pStyle w:val="ListParagraph"/>
        <w:numPr>
          <w:ilvl w:val="2"/>
          <w:numId w:val="6"/>
        </w:numPr>
        <w:tabs>
          <w:tab w:val="left" w:pos="2077"/>
          <w:tab w:val="left" w:pos="2125"/>
        </w:tabs>
        <w:spacing w:line="496" w:lineRule="auto"/>
        <w:ind w:right="865" w:hanging="707"/>
        <w:jc w:val="both"/>
        <w:rPr>
          <w:b/>
          <w:sz w:val="23"/>
        </w:rPr>
      </w:pPr>
      <w:bookmarkStart w:id="231" w:name="6.3.3_Functional_Coordination_on_Sustain"/>
      <w:bookmarkStart w:id="232" w:name="_bookmark111"/>
      <w:bookmarkEnd w:id="231"/>
      <w:bookmarkEnd w:id="232"/>
      <w:r>
        <w:rPr>
          <w:b/>
          <w:w w:val="105"/>
          <w:sz w:val="23"/>
        </w:rPr>
        <w:t xml:space="preserve">Functional Coordination on Sustainable Competitiveness in Public </w:t>
      </w:r>
      <w:r>
        <w:rPr>
          <w:b/>
          <w:spacing w:val="-2"/>
          <w:w w:val="105"/>
          <w:sz w:val="23"/>
        </w:rPr>
        <w:t>Procurement</w:t>
      </w:r>
    </w:p>
    <w:p w:rsidR="00487D64" w:rsidRDefault="006F0D93">
      <w:pPr>
        <w:pStyle w:val="BodyText"/>
        <w:spacing w:line="501" w:lineRule="auto"/>
        <w:ind w:left="1419" w:right="857"/>
        <w:jc w:val="both"/>
      </w:pPr>
      <w:r>
        <w:rPr>
          <w:w w:val="105"/>
        </w:rPr>
        <w:t>The study concludes that functional coordination does not significantly</w:t>
      </w:r>
      <w:r>
        <w:rPr>
          <w:w w:val="105"/>
        </w:rPr>
        <w:t xml:space="preserve"> influence sustainable</w:t>
      </w:r>
      <w:r>
        <w:rPr>
          <w:spacing w:val="-6"/>
          <w:w w:val="105"/>
        </w:rPr>
        <w:t xml:space="preserve"> </w:t>
      </w:r>
      <w:r>
        <w:rPr>
          <w:w w:val="105"/>
        </w:rPr>
        <w:t>competitiveness</w:t>
      </w:r>
      <w:r>
        <w:rPr>
          <w:spacing w:val="-11"/>
          <w:w w:val="105"/>
        </w:rPr>
        <w:t xml:space="preserve"> </w:t>
      </w:r>
      <w:r>
        <w:rPr>
          <w:w w:val="105"/>
        </w:rPr>
        <w:t>among</w:t>
      </w:r>
      <w:r>
        <w:rPr>
          <w:spacing w:val="-5"/>
          <w:w w:val="105"/>
        </w:rPr>
        <w:t xml:space="preserve"> </w:t>
      </w:r>
      <w:r>
        <w:rPr>
          <w:w w:val="105"/>
        </w:rPr>
        <w:t>special</w:t>
      </w:r>
      <w:r>
        <w:rPr>
          <w:spacing w:val="-3"/>
          <w:w w:val="105"/>
        </w:rPr>
        <w:t xml:space="preserve"> </w:t>
      </w:r>
      <w:r>
        <w:rPr>
          <w:w w:val="105"/>
        </w:rPr>
        <w:t>group</w:t>
      </w:r>
      <w:r>
        <w:rPr>
          <w:spacing w:val="-5"/>
          <w:w w:val="105"/>
        </w:rPr>
        <w:t xml:space="preserve"> </w:t>
      </w:r>
      <w:r>
        <w:rPr>
          <w:w w:val="105"/>
        </w:rPr>
        <w:t>SMEs.</w:t>
      </w:r>
      <w:r>
        <w:rPr>
          <w:spacing w:val="-9"/>
          <w:w w:val="105"/>
        </w:rPr>
        <w:t xml:space="preserve"> </w:t>
      </w:r>
      <w:r>
        <w:rPr>
          <w:w w:val="105"/>
        </w:rPr>
        <w:t>Weak</w:t>
      </w:r>
      <w:r>
        <w:rPr>
          <w:spacing w:val="-5"/>
          <w:w w:val="105"/>
        </w:rPr>
        <w:t xml:space="preserve"> </w:t>
      </w:r>
      <w:r>
        <w:rPr>
          <w:w w:val="105"/>
        </w:rPr>
        <w:t>internal</w:t>
      </w:r>
      <w:r>
        <w:rPr>
          <w:spacing w:val="-9"/>
          <w:w w:val="105"/>
        </w:rPr>
        <w:t xml:space="preserve"> </w:t>
      </w:r>
      <w:r>
        <w:rPr>
          <w:w w:val="105"/>
        </w:rPr>
        <w:t>collaboration between departments such as finance, procurement, and operations limits efficiency and responsiveness during tender preparation and execution. This suggests</w:t>
      </w:r>
      <w:r>
        <w:rPr>
          <w:w w:val="105"/>
        </w:rPr>
        <w:t xml:space="preserve"> that internal</w:t>
      </w:r>
      <w:r>
        <w:rPr>
          <w:spacing w:val="-8"/>
          <w:w w:val="105"/>
        </w:rPr>
        <w:t xml:space="preserve"> </w:t>
      </w:r>
      <w:r>
        <w:rPr>
          <w:w w:val="105"/>
        </w:rPr>
        <w:t>communication</w:t>
      </w:r>
      <w:r>
        <w:rPr>
          <w:spacing w:val="-10"/>
          <w:w w:val="105"/>
        </w:rPr>
        <w:t xml:space="preserve"> </w:t>
      </w:r>
      <w:r>
        <w:rPr>
          <w:w w:val="105"/>
        </w:rPr>
        <w:t>and</w:t>
      </w:r>
      <w:r>
        <w:rPr>
          <w:spacing w:val="-10"/>
          <w:w w:val="105"/>
        </w:rPr>
        <w:t xml:space="preserve"> </w:t>
      </w:r>
      <w:r>
        <w:rPr>
          <w:w w:val="105"/>
        </w:rPr>
        <w:t>information</w:t>
      </w:r>
      <w:r>
        <w:rPr>
          <w:spacing w:val="-10"/>
          <w:w w:val="105"/>
        </w:rPr>
        <w:t xml:space="preserve"> </w:t>
      </w:r>
      <w:r>
        <w:rPr>
          <w:w w:val="105"/>
        </w:rPr>
        <w:t>sharing</w:t>
      </w:r>
      <w:r>
        <w:rPr>
          <w:spacing w:val="-16"/>
          <w:w w:val="105"/>
        </w:rPr>
        <w:t xml:space="preserve"> </w:t>
      </w:r>
      <w:r>
        <w:rPr>
          <w:w w:val="105"/>
        </w:rPr>
        <w:t>remain</w:t>
      </w:r>
      <w:r>
        <w:rPr>
          <w:spacing w:val="-9"/>
          <w:w w:val="105"/>
        </w:rPr>
        <w:t xml:space="preserve"> </w:t>
      </w:r>
      <w:r>
        <w:rPr>
          <w:w w:val="105"/>
        </w:rPr>
        <w:t>underdeveloped</w:t>
      </w:r>
      <w:r>
        <w:rPr>
          <w:spacing w:val="-4"/>
          <w:w w:val="105"/>
        </w:rPr>
        <w:t xml:space="preserve"> </w:t>
      </w:r>
      <w:r>
        <w:rPr>
          <w:w w:val="105"/>
        </w:rPr>
        <w:t>within</w:t>
      </w:r>
      <w:r>
        <w:rPr>
          <w:spacing w:val="-10"/>
          <w:w w:val="105"/>
        </w:rPr>
        <w:t xml:space="preserve"> </w:t>
      </w:r>
      <w:r>
        <w:rPr>
          <w:w w:val="105"/>
        </w:rPr>
        <w:t>these enterprises. Therefore, improved cross-functional coordination and integration mechanisms are required to strengthen operational efficiency and align internal processes</w:t>
      </w:r>
      <w:r>
        <w:rPr>
          <w:w w:val="105"/>
        </w:rPr>
        <w:t xml:space="preserve"> with market and procurement requirements.</w:t>
      </w:r>
    </w:p>
    <w:p w:rsidR="00487D64" w:rsidRDefault="00487D64">
      <w:pPr>
        <w:pStyle w:val="BodyText"/>
      </w:pPr>
    </w:p>
    <w:p w:rsidR="00487D64" w:rsidRDefault="00487D64">
      <w:pPr>
        <w:pStyle w:val="BodyText"/>
        <w:spacing w:before="26"/>
      </w:pPr>
    </w:p>
    <w:p w:rsidR="00487D64" w:rsidRDefault="006F0D93">
      <w:pPr>
        <w:pStyle w:val="ListParagraph"/>
        <w:numPr>
          <w:ilvl w:val="2"/>
          <w:numId w:val="6"/>
        </w:numPr>
        <w:tabs>
          <w:tab w:val="left" w:pos="2034"/>
          <w:tab w:val="left" w:pos="2125"/>
        </w:tabs>
        <w:spacing w:line="504" w:lineRule="auto"/>
        <w:ind w:right="872" w:hanging="707"/>
        <w:jc w:val="both"/>
        <w:rPr>
          <w:b/>
          <w:sz w:val="23"/>
        </w:rPr>
      </w:pPr>
      <w:bookmarkStart w:id="233" w:name="6.3.4_Strategic_Flexibility_Moderation_o"/>
      <w:bookmarkStart w:id="234" w:name="_bookmark112"/>
      <w:bookmarkEnd w:id="233"/>
      <w:bookmarkEnd w:id="234"/>
      <w:r>
        <w:rPr>
          <w:b/>
          <w:w w:val="105"/>
          <w:sz w:val="23"/>
        </w:rPr>
        <w:t>Strategic Flexibility Moderation on the Relationship between Market Orientation and Sustainable Competitiveness in Public Procurement</w:t>
      </w:r>
    </w:p>
    <w:p w:rsidR="00487D64" w:rsidRDefault="006F0D93">
      <w:pPr>
        <w:pStyle w:val="BodyText"/>
        <w:spacing w:line="249" w:lineRule="exact"/>
        <w:ind w:left="1419"/>
        <w:jc w:val="both"/>
      </w:pPr>
      <w:r>
        <w:rPr>
          <w:w w:val="105"/>
        </w:rPr>
        <w:t>The</w:t>
      </w:r>
      <w:r>
        <w:rPr>
          <w:spacing w:val="28"/>
          <w:w w:val="105"/>
        </w:rPr>
        <w:t xml:space="preserve"> </w:t>
      </w:r>
      <w:r>
        <w:rPr>
          <w:w w:val="105"/>
        </w:rPr>
        <w:t>study</w:t>
      </w:r>
      <w:r>
        <w:rPr>
          <w:spacing w:val="29"/>
          <w:w w:val="105"/>
        </w:rPr>
        <w:t xml:space="preserve"> </w:t>
      </w:r>
      <w:r>
        <w:rPr>
          <w:w w:val="105"/>
        </w:rPr>
        <w:t>concludes</w:t>
      </w:r>
      <w:r>
        <w:rPr>
          <w:spacing w:val="28"/>
          <w:w w:val="105"/>
        </w:rPr>
        <w:t xml:space="preserve"> </w:t>
      </w:r>
      <w:r>
        <w:rPr>
          <w:w w:val="105"/>
        </w:rPr>
        <w:t>that</w:t>
      </w:r>
      <w:r>
        <w:rPr>
          <w:spacing w:val="37"/>
          <w:w w:val="105"/>
        </w:rPr>
        <w:t xml:space="preserve"> </w:t>
      </w:r>
      <w:r>
        <w:rPr>
          <w:w w:val="105"/>
        </w:rPr>
        <w:t>strategic</w:t>
      </w:r>
      <w:r>
        <w:rPr>
          <w:spacing w:val="35"/>
          <w:w w:val="105"/>
        </w:rPr>
        <w:t xml:space="preserve"> </w:t>
      </w:r>
      <w:r>
        <w:rPr>
          <w:w w:val="105"/>
        </w:rPr>
        <w:t>flexibility</w:t>
      </w:r>
      <w:r>
        <w:rPr>
          <w:spacing w:val="36"/>
          <w:w w:val="105"/>
        </w:rPr>
        <w:t xml:space="preserve"> </w:t>
      </w:r>
      <w:r>
        <w:rPr>
          <w:w w:val="105"/>
        </w:rPr>
        <w:t>strengthens</w:t>
      </w:r>
      <w:r>
        <w:rPr>
          <w:spacing w:val="27"/>
          <w:w w:val="105"/>
        </w:rPr>
        <w:t xml:space="preserve"> </w:t>
      </w:r>
      <w:r>
        <w:rPr>
          <w:w w:val="105"/>
        </w:rPr>
        <w:t>the</w:t>
      </w:r>
      <w:r>
        <w:rPr>
          <w:spacing w:val="28"/>
          <w:w w:val="105"/>
        </w:rPr>
        <w:t xml:space="preserve"> </w:t>
      </w:r>
      <w:r>
        <w:rPr>
          <w:w w:val="105"/>
        </w:rPr>
        <w:t>relationship</w:t>
      </w:r>
      <w:r>
        <w:rPr>
          <w:spacing w:val="29"/>
          <w:w w:val="105"/>
        </w:rPr>
        <w:t xml:space="preserve"> </w:t>
      </w:r>
      <w:r>
        <w:rPr>
          <w:spacing w:val="-2"/>
          <w:w w:val="105"/>
        </w:rPr>
        <w:t>b</w:t>
      </w:r>
      <w:r>
        <w:rPr>
          <w:spacing w:val="-2"/>
          <w:w w:val="105"/>
        </w:rPr>
        <w:t>etween</w:t>
      </w:r>
    </w:p>
    <w:p w:rsidR="00487D64" w:rsidRDefault="00487D64">
      <w:pPr>
        <w:pStyle w:val="BodyText"/>
        <w:spacing w:before="26"/>
      </w:pPr>
    </w:p>
    <w:p w:rsidR="00487D64" w:rsidRDefault="006F0D93">
      <w:pPr>
        <w:pStyle w:val="BodyText"/>
        <w:spacing w:line="499" w:lineRule="auto"/>
        <w:ind w:left="1419" w:right="864"/>
        <w:jc w:val="both"/>
      </w:pPr>
      <w:r>
        <w:rPr>
          <w:w w:val="105"/>
        </w:rPr>
        <w:t>market orientation and sustainable competitiveness, particularly through competitor and customer orientation. SMEs with flexible planning, adaptable resource allocation,</w:t>
      </w:r>
      <w:r>
        <w:rPr>
          <w:spacing w:val="33"/>
          <w:w w:val="105"/>
        </w:rPr>
        <w:t xml:space="preserve"> </w:t>
      </w:r>
      <w:r>
        <w:rPr>
          <w:w w:val="105"/>
        </w:rPr>
        <w:t>and</w:t>
      </w:r>
      <w:r>
        <w:rPr>
          <w:spacing w:val="33"/>
          <w:w w:val="105"/>
        </w:rPr>
        <w:t xml:space="preserve"> </w:t>
      </w:r>
      <w:r>
        <w:rPr>
          <w:w w:val="105"/>
        </w:rPr>
        <w:t>responsive</w:t>
      </w:r>
      <w:r>
        <w:rPr>
          <w:spacing w:val="42"/>
          <w:w w:val="105"/>
        </w:rPr>
        <w:t xml:space="preserve"> </w:t>
      </w:r>
      <w:r>
        <w:rPr>
          <w:w w:val="105"/>
        </w:rPr>
        <w:t>coordination</w:t>
      </w:r>
      <w:r>
        <w:rPr>
          <w:spacing w:val="39"/>
          <w:w w:val="105"/>
        </w:rPr>
        <w:t xml:space="preserve"> </w:t>
      </w:r>
      <w:r>
        <w:rPr>
          <w:w w:val="105"/>
        </w:rPr>
        <w:t>systems</w:t>
      </w:r>
      <w:r>
        <w:rPr>
          <w:spacing w:val="30"/>
          <w:w w:val="105"/>
        </w:rPr>
        <w:t xml:space="preserve"> </w:t>
      </w:r>
      <w:r>
        <w:rPr>
          <w:w w:val="105"/>
        </w:rPr>
        <w:t>are</w:t>
      </w:r>
      <w:r>
        <w:rPr>
          <w:spacing w:val="39"/>
          <w:w w:val="105"/>
        </w:rPr>
        <w:t xml:space="preserve"> </w:t>
      </w:r>
      <w:r>
        <w:rPr>
          <w:w w:val="105"/>
        </w:rPr>
        <w:t>better</w:t>
      </w:r>
      <w:r>
        <w:rPr>
          <w:spacing w:val="43"/>
          <w:w w:val="105"/>
        </w:rPr>
        <w:t xml:space="preserve"> </w:t>
      </w:r>
      <w:r>
        <w:rPr>
          <w:w w:val="105"/>
        </w:rPr>
        <w:t>equipped</w:t>
      </w:r>
      <w:r>
        <w:rPr>
          <w:spacing w:val="39"/>
          <w:w w:val="105"/>
        </w:rPr>
        <w:t xml:space="preserve"> </w:t>
      </w:r>
      <w:r>
        <w:rPr>
          <w:w w:val="105"/>
        </w:rPr>
        <w:t>to</w:t>
      </w:r>
      <w:r>
        <w:rPr>
          <w:spacing w:val="39"/>
          <w:w w:val="105"/>
        </w:rPr>
        <w:t xml:space="preserve"> </w:t>
      </w:r>
      <w:r>
        <w:rPr>
          <w:w w:val="105"/>
        </w:rPr>
        <w:t>cope</w:t>
      </w:r>
      <w:r>
        <w:rPr>
          <w:spacing w:val="39"/>
          <w:w w:val="105"/>
        </w:rPr>
        <w:t xml:space="preserve"> </w:t>
      </w:r>
      <w:r>
        <w:rPr>
          <w:spacing w:val="-4"/>
          <w:w w:val="105"/>
        </w:rPr>
        <w:t>with</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6"/>
        <w:jc w:val="both"/>
      </w:pPr>
      <w:r>
        <w:rPr>
          <w:w w:val="105"/>
        </w:rPr>
        <w:t>dynamic procurement conditions, regulatory changes, and market turbulence. This confirms</w:t>
      </w:r>
      <w:r>
        <w:rPr>
          <w:spacing w:val="-12"/>
          <w:w w:val="105"/>
        </w:rPr>
        <w:t xml:space="preserve"> </w:t>
      </w:r>
      <w:r>
        <w:rPr>
          <w:w w:val="105"/>
        </w:rPr>
        <w:t>that</w:t>
      </w:r>
      <w:r>
        <w:rPr>
          <w:spacing w:val="-2"/>
          <w:w w:val="105"/>
        </w:rPr>
        <w:t xml:space="preserve"> </w:t>
      </w:r>
      <w:r>
        <w:rPr>
          <w:w w:val="105"/>
        </w:rPr>
        <w:t>sustainable</w:t>
      </w:r>
      <w:r>
        <w:rPr>
          <w:spacing w:val="-10"/>
          <w:w w:val="105"/>
        </w:rPr>
        <w:t xml:space="preserve"> </w:t>
      </w:r>
      <w:r>
        <w:rPr>
          <w:w w:val="105"/>
        </w:rPr>
        <w:t>competitiveness</w:t>
      </w:r>
      <w:r>
        <w:rPr>
          <w:spacing w:val="-12"/>
          <w:w w:val="105"/>
        </w:rPr>
        <w:t xml:space="preserve"> </w:t>
      </w:r>
      <w:r>
        <w:rPr>
          <w:w w:val="105"/>
        </w:rPr>
        <w:t>depends</w:t>
      </w:r>
      <w:r>
        <w:rPr>
          <w:spacing w:val="-12"/>
          <w:w w:val="105"/>
        </w:rPr>
        <w:t xml:space="preserve"> </w:t>
      </w:r>
      <w:r>
        <w:rPr>
          <w:w w:val="105"/>
        </w:rPr>
        <w:t>not</w:t>
      </w:r>
      <w:r>
        <w:rPr>
          <w:spacing w:val="-2"/>
          <w:w w:val="105"/>
        </w:rPr>
        <w:t xml:space="preserve"> </w:t>
      </w:r>
      <w:r>
        <w:rPr>
          <w:w w:val="105"/>
        </w:rPr>
        <w:t>only</w:t>
      </w:r>
      <w:r>
        <w:rPr>
          <w:spacing w:val="-10"/>
          <w:w w:val="105"/>
        </w:rPr>
        <w:t xml:space="preserve"> </w:t>
      </w:r>
      <w:r>
        <w:rPr>
          <w:w w:val="105"/>
        </w:rPr>
        <w:t>on</w:t>
      </w:r>
      <w:r>
        <w:rPr>
          <w:spacing w:val="-4"/>
          <w:w w:val="105"/>
        </w:rPr>
        <w:t xml:space="preserve"> </w:t>
      </w:r>
      <w:r>
        <w:rPr>
          <w:w w:val="105"/>
        </w:rPr>
        <w:t>market</w:t>
      </w:r>
      <w:r>
        <w:rPr>
          <w:spacing w:val="-2"/>
          <w:w w:val="105"/>
        </w:rPr>
        <w:t xml:space="preserve"> </w:t>
      </w:r>
      <w:r>
        <w:rPr>
          <w:w w:val="105"/>
        </w:rPr>
        <w:t>orientation</w:t>
      </w:r>
      <w:r>
        <w:rPr>
          <w:spacing w:val="-10"/>
          <w:w w:val="105"/>
        </w:rPr>
        <w:t xml:space="preserve"> </w:t>
      </w:r>
      <w:r>
        <w:rPr>
          <w:w w:val="105"/>
        </w:rPr>
        <w:t>but also on a firm’s ability to adjust strategies and resources effectiv</w:t>
      </w:r>
      <w:r>
        <w:rPr>
          <w:w w:val="105"/>
        </w:rPr>
        <w:t>ely. Thus, strategic flexibility acts as a dynamic capability that transforms market intelligence into adaptive action and long-term competitive advantage.</w:t>
      </w:r>
    </w:p>
    <w:p w:rsidR="00487D64" w:rsidRDefault="00487D64">
      <w:pPr>
        <w:pStyle w:val="BodyText"/>
      </w:pPr>
    </w:p>
    <w:p w:rsidR="00487D64" w:rsidRDefault="00487D64">
      <w:pPr>
        <w:pStyle w:val="BodyText"/>
        <w:spacing w:before="28"/>
      </w:pPr>
    </w:p>
    <w:p w:rsidR="00487D64" w:rsidRDefault="006F0D93">
      <w:pPr>
        <w:pStyle w:val="ListParagraph"/>
        <w:numPr>
          <w:ilvl w:val="1"/>
          <w:numId w:val="6"/>
        </w:numPr>
        <w:tabs>
          <w:tab w:val="left" w:pos="2139"/>
        </w:tabs>
        <w:ind w:left="2139" w:hanging="720"/>
        <w:rPr>
          <w:b/>
          <w:sz w:val="23"/>
        </w:rPr>
      </w:pPr>
      <w:bookmarkStart w:id="235" w:name="6.4___Implications_of_the_Study"/>
      <w:bookmarkStart w:id="236" w:name="_bookmark113"/>
      <w:bookmarkEnd w:id="235"/>
      <w:bookmarkEnd w:id="236"/>
      <w:r>
        <w:rPr>
          <w:b/>
          <w:w w:val="105"/>
          <w:sz w:val="23"/>
        </w:rPr>
        <w:t>Implications</w:t>
      </w:r>
      <w:r>
        <w:rPr>
          <w:b/>
          <w:spacing w:val="-11"/>
          <w:w w:val="105"/>
          <w:sz w:val="23"/>
        </w:rPr>
        <w:t xml:space="preserve"> </w:t>
      </w:r>
      <w:r>
        <w:rPr>
          <w:b/>
          <w:w w:val="105"/>
          <w:sz w:val="23"/>
        </w:rPr>
        <w:t>of</w:t>
      </w:r>
      <w:r>
        <w:rPr>
          <w:b/>
          <w:spacing w:val="-12"/>
          <w:w w:val="105"/>
          <w:sz w:val="23"/>
        </w:rPr>
        <w:t xml:space="preserve"> </w:t>
      </w:r>
      <w:r>
        <w:rPr>
          <w:b/>
          <w:w w:val="105"/>
          <w:sz w:val="23"/>
        </w:rPr>
        <w:t>the</w:t>
      </w:r>
      <w:r>
        <w:rPr>
          <w:b/>
          <w:spacing w:val="-10"/>
          <w:w w:val="105"/>
          <w:sz w:val="23"/>
        </w:rPr>
        <w:t xml:space="preserve"> </w:t>
      </w:r>
      <w:r>
        <w:rPr>
          <w:b/>
          <w:spacing w:val="-4"/>
          <w:w w:val="105"/>
          <w:sz w:val="23"/>
        </w:rPr>
        <w:t>Study</w:t>
      </w:r>
    </w:p>
    <w:p w:rsidR="00487D64" w:rsidRDefault="00487D64">
      <w:pPr>
        <w:pStyle w:val="BodyText"/>
        <w:spacing w:before="26"/>
        <w:rPr>
          <w:b/>
        </w:rPr>
      </w:pPr>
    </w:p>
    <w:p w:rsidR="00487D64" w:rsidRDefault="006F0D93">
      <w:pPr>
        <w:pStyle w:val="ListParagraph"/>
        <w:numPr>
          <w:ilvl w:val="2"/>
          <w:numId w:val="6"/>
        </w:numPr>
        <w:tabs>
          <w:tab w:val="left" w:pos="2125"/>
        </w:tabs>
        <w:ind w:hanging="706"/>
        <w:rPr>
          <w:b/>
          <w:sz w:val="23"/>
        </w:rPr>
      </w:pPr>
      <w:bookmarkStart w:id="237" w:name="6.4.1__Theoretical_Contributions"/>
      <w:bookmarkStart w:id="238" w:name="_bookmark114"/>
      <w:bookmarkEnd w:id="237"/>
      <w:bookmarkEnd w:id="238"/>
      <w:r>
        <w:rPr>
          <w:b/>
          <w:sz w:val="23"/>
        </w:rPr>
        <w:t>Theoretical</w:t>
      </w:r>
      <w:r>
        <w:rPr>
          <w:b/>
          <w:spacing w:val="33"/>
          <w:sz w:val="23"/>
        </w:rPr>
        <w:t xml:space="preserve"> </w:t>
      </w:r>
      <w:r>
        <w:rPr>
          <w:b/>
          <w:spacing w:val="-2"/>
          <w:sz w:val="23"/>
        </w:rPr>
        <w:t>Contributions</w:t>
      </w:r>
    </w:p>
    <w:p w:rsidR="00487D64" w:rsidRDefault="00487D64">
      <w:pPr>
        <w:pStyle w:val="BodyText"/>
        <w:spacing w:before="11"/>
        <w:rPr>
          <w:b/>
        </w:rPr>
      </w:pPr>
    </w:p>
    <w:p w:rsidR="00487D64" w:rsidRDefault="006F0D93">
      <w:pPr>
        <w:pStyle w:val="BodyText"/>
        <w:spacing w:line="501" w:lineRule="auto"/>
        <w:ind w:left="1419" w:right="848"/>
        <w:jc w:val="both"/>
      </w:pPr>
      <w:r>
        <w:rPr>
          <w:w w:val="105"/>
        </w:rPr>
        <w:t>Findings contribute to Dynamic Capabilities</w:t>
      </w:r>
      <w:r>
        <w:rPr>
          <w:w w:val="105"/>
        </w:rPr>
        <w:t xml:space="preserve"> Theory, which emphasizes the firm’s ability to sense, seize, and transform resources in dynamic and uncertain environments (Teece, Pisano, &amp; Shuen, 1997). By demonstrating that strategic flexibility significantly moderated the relationships between custom</w:t>
      </w:r>
      <w:r>
        <w:rPr>
          <w:w w:val="105"/>
        </w:rPr>
        <w:t>er orientation and sustainable competitiveness</w:t>
      </w:r>
      <w:r>
        <w:rPr>
          <w:spacing w:val="-4"/>
          <w:w w:val="105"/>
        </w:rPr>
        <w:t xml:space="preserve"> </w:t>
      </w:r>
      <w:r>
        <w:rPr>
          <w:w w:val="105"/>
        </w:rPr>
        <w:t>and between competitor orientation</w:t>
      </w:r>
      <w:r>
        <w:rPr>
          <w:spacing w:val="-3"/>
          <w:w w:val="105"/>
        </w:rPr>
        <w:t xml:space="preserve"> </w:t>
      </w:r>
      <w:r>
        <w:rPr>
          <w:w w:val="105"/>
        </w:rPr>
        <w:t>and sustainable competitiveness, this study empirically validates the theoretical proposition that adaptability enhances the effectiveness</w:t>
      </w:r>
      <w:r>
        <w:rPr>
          <w:spacing w:val="-4"/>
          <w:w w:val="105"/>
        </w:rPr>
        <w:t xml:space="preserve"> </w:t>
      </w:r>
      <w:r>
        <w:rPr>
          <w:w w:val="105"/>
        </w:rPr>
        <w:t>of market-driven strategies</w:t>
      </w:r>
      <w:r>
        <w:rPr>
          <w:spacing w:val="-4"/>
          <w:w w:val="105"/>
        </w:rPr>
        <w:t xml:space="preserve"> </w:t>
      </w:r>
      <w:r>
        <w:rPr>
          <w:w w:val="105"/>
        </w:rPr>
        <w:t>(Massie</w:t>
      </w:r>
      <w:r>
        <w:rPr>
          <w:w w:val="105"/>
        </w:rPr>
        <w:t>ra,</w:t>
      </w:r>
      <w:r>
        <w:rPr>
          <w:spacing w:val="-1"/>
          <w:w w:val="105"/>
        </w:rPr>
        <w:t xml:space="preserve"> </w:t>
      </w:r>
      <w:r>
        <w:rPr>
          <w:w w:val="105"/>
        </w:rPr>
        <w:t>2024). These results highlights that dynamic capabilities, manifested through strategic flexibility, enable firms</w:t>
      </w:r>
      <w:r>
        <w:rPr>
          <w:spacing w:val="-3"/>
          <w:w w:val="105"/>
        </w:rPr>
        <w:t xml:space="preserve"> </w:t>
      </w:r>
      <w:r>
        <w:rPr>
          <w:w w:val="105"/>
        </w:rPr>
        <w:t>to</w:t>
      </w:r>
      <w:r>
        <w:rPr>
          <w:spacing w:val="-5"/>
          <w:w w:val="105"/>
        </w:rPr>
        <w:t xml:space="preserve"> </w:t>
      </w:r>
      <w:r>
        <w:rPr>
          <w:w w:val="105"/>
        </w:rPr>
        <w:t>reconfigure</w:t>
      </w:r>
      <w:r>
        <w:rPr>
          <w:spacing w:val="-6"/>
          <w:w w:val="105"/>
        </w:rPr>
        <w:t xml:space="preserve"> </w:t>
      </w:r>
      <w:r>
        <w:rPr>
          <w:w w:val="105"/>
        </w:rPr>
        <w:t>resources</w:t>
      </w:r>
      <w:r>
        <w:rPr>
          <w:spacing w:val="-7"/>
          <w:w w:val="105"/>
        </w:rPr>
        <w:t xml:space="preserve"> </w:t>
      </w:r>
      <w:r>
        <w:rPr>
          <w:w w:val="105"/>
        </w:rPr>
        <w:t>and make</w:t>
      </w:r>
      <w:r>
        <w:rPr>
          <w:spacing w:val="-6"/>
          <w:w w:val="105"/>
        </w:rPr>
        <w:t xml:space="preserve"> </w:t>
      </w:r>
      <w:r>
        <w:rPr>
          <w:w w:val="105"/>
        </w:rPr>
        <w:t>rapid</w:t>
      </w:r>
      <w:r>
        <w:rPr>
          <w:spacing w:val="-5"/>
          <w:w w:val="105"/>
        </w:rPr>
        <w:t xml:space="preserve"> </w:t>
      </w:r>
      <w:r>
        <w:rPr>
          <w:w w:val="105"/>
        </w:rPr>
        <w:t>adjustments</w:t>
      </w:r>
      <w:r>
        <w:rPr>
          <w:spacing w:val="-7"/>
          <w:w w:val="105"/>
        </w:rPr>
        <w:t xml:space="preserve"> </w:t>
      </w:r>
      <w:r>
        <w:rPr>
          <w:w w:val="105"/>
        </w:rPr>
        <w:t>to</w:t>
      </w:r>
      <w:r>
        <w:rPr>
          <w:spacing w:val="-5"/>
          <w:w w:val="105"/>
        </w:rPr>
        <w:t xml:space="preserve"> </w:t>
      </w:r>
      <w:r>
        <w:rPr>
          <w:w w:val="105"/>
        </w:rPr>
        <w:t>align with both customer demands and competitor movements. Importantly,</w:t>
      </w:r>
      <w:r>
        <w:rPr>
          <w:w w:val="105"/>
        </w:rPr>
        <w:t xml:space="preserve"> this moderating effect</w:t>
      </w:r>
      <w:r>
        <w:rPr>
          <w:spacing w:val="-4"/>
          <w:w w:val="105"/>
        </w:rPr>
        <w:t xml:space="preserve"> </w:t>
      </w:r>
      <w:r>
        <w:rPr>
          <w:w w:val="105"/>
        </w:rPr>
        <w:t>reveals</w:t>
      </w:r>
      <w:r>
        <w:rPr>
          <w:spacing w:val="-1"/>
          <w:w w:val="105"/>
        </w:rPr>
        <w:t xml:space="preserve"> </w:t>
      </w:r>
      <w:r>
        <w:rPr>
          <w:w w:val="105"/>
        </w:rPr>
        <w:t>that</w:t>
      </w:r>
      <w:r>
        <w:rPr>
          <w:spacing w:val="-4"/>
          <w:w w:val="105"/>
        </w:rPr>
        <w:t xml:space="preserve"> </w:t>
      </w:r>
      <w:r>
        <w:rPr>
          <w:w w:val="105"/>
        </w:rPr>
        <w:t>dynamic capabilities</w:t>
      </w:r>
      <w:r>
        <w:rPr>
          <w:spacing w:val="-8"/>
          <w:w w:val="105"/>
        </w:rPr>
        <w:t xml:space="preserve"> </w:t>
      </w:r>
      <w:r>
        <w:rPr>
          <w:w w:val="105"/>
        </w:rPr>
        <w:t>are not only valuable</w:t>
      </w:r>
      <w:r>
        <w:rPr>
          <w:spacing w:val="-7"/>
          <w:w w:val="105"/>
        </w:rPr>
        <w:t xml:space="preserve"> </w:t>
      </w:r>
      <w:r>
        <w:rPr>
          <w:w w:val="105"/>
        </w:rPr>
        <w:t>in turbulent markets but also within structured procurement proceedings where firms must navigate</w:t>
      </w:r>
      <w:r>
        <w:rPr>
          <w:spacing w:val="-15"/>
          <w:w w:val="105"/>
        </w:rPr>
        <w:t xml:space="preserve"> </w:t>
      </w:r>
      <w:r>
        <w:rPr>
          <w:w w:val="105"/>
        </w:rPr>
        <w:t>rigid</w:t>
      </w:r>
      <w:r>
        <w:rPr>
          <w:spacing w:val="-8"/>
          <w:w w:val="105"/>
        </w:rPr>
        <w:t xml:space="preserve"> </w:t>
      </w:r>
      <w:r>
        <w:rPr>
          <w:w w:val="105"/>
        </w:rPr>
        <w:t>compliance</w:t>
      </w:r>
      <w:r>
        <w:rPr>
          <w:spacing w:val="-3"/>
          <w:w w:val="105"/>
        </w:rPr>
        <w:t xml:space="preserve"> </w:t>
      </w:r>
      <w:r>
        <w:rPr>
          <w:w w:val="105"/>
        </w:rPr>
        <w:t>frameworks</w:t>
      </w:r>
      <w:r>
        <w:rPr>
          <w:spacing w:val="-10"/>
          <w:w w:val="105"/>
        </w:rPr>
        <w:t xml:space="preserve"> </w:t>
      </w:r>
      <w:r>
        <w:rPr>
          <w:w w:val="105"/>
        </w:rPr>
        <w:t>while</w:t>
      </w:r>
      <w:r>
        <w:rPr>
          <w:spacing w:val="-9"/>
          <w:w w:val="105"/>
        </w:rPr>
        <w:t xml:space="preserve"> </w:t>
      </w:r>
      <w:r>
        <w:rPr>
          <w:w w:val="105"/>
        </w:rPr>
        <w:t>responding</w:t>
      </w:r>
      <w:r>
        <w:rPr>
          <w:spacing w:val="-14"/>
          <w:w w:val="105"/>
        </w:rPr>
        <w:t xml:space="preserve"> </w:t>
      </w:r>
      <w:r>
        <w:rPr>
          <w:w w:val="105"/>
        </w:rPr>
        <w:t>to</w:t>
      </w:r>
      <w:r>
        <w:rPr>
          <w:spacing w:val="-8"/>
          <w:w w:val="105"/>
        </w:rPr>
        <w:t xml:space="preserve"> </w:t>
      </w:r>
      <w:r>
        <w:rPr>
          <w:w w:val="105"/>
        </w:rPr>
        <w:t>competitive</w:t>
      </w:r>
      <w:r>
        <w:rPr>
          <w:spacing w:val="-9"/>
          <w:w w:val="105"/>
        </w:rPr>
        <w:t xml:space="preserve"> </w:t>
      </w:r>
      <w:r>
        <w:rPr>
          <w:w w:val="105"/>
        </w:rPr>
        <w:t>pressures</w:t>
      </w:r>
      <w:r>
        <w:rPr>
          <w:spacing w:val="-11"/>
          <w:w w:val="105"/>
        </w:rPr>
        <w:t xml:space="preserve"> </w:t>
      </w:r>
      <w:r>
        <w:rPr>
          <w:w w:val="105"/>
        </w:rPr>
        <w:t>and evol</w:t>
      </w:r>
      <w:r>
        <w:rPr>
          <w:w w:val="105"/>
        </w:rPr>
        <w:t>ving buyer expectations.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7"/>
        <w:jc w:val="both"/>
      </w:pPr>
      <w:r>
        <w:rPr>
          <w:w w:val="105"/>
        </w:rPr>
        <w:t>Also, the results enrich Market Orientation Theory (Narver &amp; Slater, 1990) by reaffirming the centrality of its components customer orientation and competitor orientation in driving sustainable competitiveness</w:t>
      </w:r>
      <w:r>
        <w:rPr>
          <w:w w:val="105"/>
        </w:rPr>
        <w:t>. The results confirm that understanding customer needs and monitoring rival strategies remain critical for strategic success, even</w:t>
      </w:r>
      <w:r>
        <w:rPr>
          <w:spacing w:val="-2"/>
          <w:w w:val="105"/>
        </w:rPr>
        <w:t xml:space="preserve"> </w:t>
      </w:r>
      <w:r>
        <w:rPr>
          <w:w w:val="105"/>
        </w:rPr>
        <w:t>in</w:t>
      </w:r>
      <w:r>
        <w:rPr>
          <w:spacing w:val="-2"/>
          <w:w w:val="105"/>
        </w:rPr>
        <w:t xml:space="preserve"> </w:t>
      </w:r>
      <w:r>
        <w:rPr>
          <w:w w:val="105"/>
        </w:rPr>
        <w:t xml:space="preserve">public procurement undertakings dominated by formalized processes. However, the finding that functional coordination did </w:t>
      </w:r>
      <w:r>
        <w:rPr>
          <w:w w:val="105"/>
        </w:rPr>
        <w:t xml:space="preserve">not significantly influence sustainable competitiveness challenges traditional Market Orientation Theory assumptions, suggesting that internal alignment alone does not guarantee superior performance in regulated procurement. This result points to the need </w:t>
      </w:r>
      <w:r>
        <w:rPr>
          <w:w w:val="105"/>
        </w:rPr>
        <w:t>for Market Orientation Theory refinement to acknowledge that external orientation behaviors (customer and competitor orientation) may carry greater strategic weight than internal coordination in compliance-driven markets, particularly when sustainability i</w:t>
      </w:r>
      <w:r>
        <w:rPr>
          <w:w w:val="105"/>
        </w:rPr>
        <w:t>nvolves economic, social, and environmental objectives.</w:t>
      </w:r>
    </w:p>
    <w:p w:rsidR="00487D64" w:rsidRDefault="006F0D93">
      <w:pPr>
        <w:pStyle w:val="BodyText"/>
        <w:spacing w:before="234" w:line="501" w:lineRule="auto"/>
        <w:ind w:left="1419" w:right="847"/>
        <w:jc w:val="both"/>
      </w:pPr>
      <w:r>
        <w:rPr>
          <w:w w:val="105"/>
        </w:rPr>
        <w:t>More over the study advances theoretical integration by illustrating how Dynamic Capabilities Theory complements Market Orientation Theory in explaining organizational competitiveness. While Market Or</w:t>
      </w:r>
      <w:r>
        <w:rPr>
          <w:w w:val="105"/>
        </w:rPr>
        <w:t>ientation Theory explains the strategic direction through systematic customer focus and competitor analysis Dynamic Capabilities Theory clarifies the mechanism for implementation, emphasizing adaptive capacity as a critical enabler. The significant moderat</w:t>
      </w:r>
      <w:r>
        <w:rPr>
          <w:w w:val="105"/>
        </w:rPr>
        <w:t>ion effects demonstrate that market orientation and dynamic capabilities are not independent theoretical domains but interdependent constructs that jointly influence organizational</w:t>
      </w:r>
      <w:r>
        <w:rPr>
          <w:spacing w:val="-9"/>
          <w:w w:val="105"/>
        </w:rPr>
        <w:t xml:space="preserve"> </w:t>
      </w:r>
      <w:r>
        <w:rPr>
          <w:w w:val="105"/>
        </w:rPr>
        <w:t>outcomes.</w:t>
      </w:r>
      <w:r>
        <w:rPr>
          <w:spacing w:val="-9"/>
          <w:w w:val="105"/>
        </w:rPr>
        <w:t xml:space="preserve"> </w:t>
      </w:r>
      <w:r>
        <w:rPr>
          <w:w w:val="105"/>
        </w:rPr>
        <w:t>Firms</w:t>
      </w:r>
      <w:r>
        <w:rPr>
          <w:spacing w:val="-12"/>
          <w:w w:val="105"/>
        </w:rPr>
        <w:t xml:space="preserve"> </w:t>
      </w:r>
      <w:r>
        <w:rPr>
          <w:w w:val="105"/>
        </w:rPr>
        <w:t>that</w:t>
      </w:r>
      <w:r>
        <w:rPr>
          <w:spacing w:val="-2"/>
          <w:w w:val="105"/>
        </w:rPr>
        <w:t xml:space="preserve"> </w:t>
      </w:r>
      <w:r>
        <w:rPr>
          <w:w w:val="105"/>
        </w:rPr>
        <w:t>combine</w:t>
      </w:r>
      <w:r>
        <w:rPr>
          <w:spacing w:val="-5"/>
          <w:w w:val="105"/>
        </w:rPr>
        <w:t xml:space="preserve"> </w:t>
      </w:r>
      <w:r>
        <w:rPr>
          <w:w w:val="105"/>
        </w:rPr>
        <w:t>strong</w:t>
      </w:r>
      <w:r>
        <w:rPr>
          <w:spacing w:val="-5"/>
          <w:w w:val="105"/>
        </w:rPr>
        <w:t xml:space="preserve"> </w:t>
      </w:r>
      <w:r>
        <w:rPr>
          <w:w w:val="105"/>
        </w:rPr>
        <w:t>market</w:t>
      </w:r>
      <w:r>
        <w:rPr>
          <w:spacing w:val="-2"/>
          <w:w w:val="105"/>
        </w:rPr>
        <w:t xml:space="preserve"> </w:t>
      </w:r>
      <w:r>
        <w:rPr>
          <w:w w:val="105"/>
        </w:rPr>
        <w:t>orientation</w:t>
      </w:r>
      <w:r>
        <w:rPr>
          <w:spacing w:val="-5"/>
          <w:w w:val="105"/>
        </w:rPr>
        <w:t xml:space="preserve"> </w:t>
      </w:r>
      <w:r>
        <w:rPr>
          <w:w w:val="105"/>
        </w:rPr>
        <w:t>with</w:t>
      </w:r>
      <w:r>
        <w:rPr>
          <w:spacing w:val="-5"/>
          <w:w w:val="105"/>
        </w:rPr>
        <w:t xml:space="preserve"> </w:t>
      </w:r>
      <w:r>
        <w:rPr>
          <w:w w:val="105"/>
        </w:rPr>
        <w:t>strategic flexi</w:t>
      </w:r>
      <w:r>
        <w:rPr>
          <w:w w:val="105"/>
        </w:rPr>
        <w:t>bility are better positioned to convert market insights into actionable strategies,</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2"/>
        <w:jc w:val="both"/>
      </w:pPr>
      <w:r>
        <w:rPr>
          <w:w w:val="105"/>
        </w:rPr>
        <w:t>adapt to regulatory constraints, and maintain a sustainable competitive advantage. This synergistic relationship suggests that competitiveness is</w:t>
      </w:r>
      <w:r>
        <w:rPr>
          <w:w w:val="105"/>
        </w:rPr>
        <w:t xml:space="preserve"> maximized when sensing and responding (MOT) are supported by reconfiguring and transforming </w:t>
      </w:r>
      <w:r>
        <w:rPr>
          <w:spacing w:val="-2"/>
          <w:w w:val="105"/>
        </w:rPr>
        <w:t>(DCT).</w:t>
      </w:r>
    </w:p>
    <w:p w:rsidR="00487D64" w:rsidRDefault="006F0D93">
      <w:pPr>
        <w:pStyle w:val="BodyText"/>
        <w:spacing w:before="238" w:line="501" w:lineRule="auto"/>
        <w:ind w:left="1419" w:right="847"/>
        <w:jc w:val="both"/>
      </w:pPr>
      <w:r>
        <w:rPr>
          <w:w w:val="105"/>
        </w:rPr>
        <w:t>Finally, the study identifies key boundary conditions for theory application. While strategic</w:t>
      </w:r>
      <w:r>
        <w:rPr>
          <w:spacing w:val="-3"/>
          <w:w w:val="105"/>
        </w:rPr>
        <w:t xml:space="preserve"> </w:t>
      </w:r>
      <w:r>
        <w:rPr>
          <w:w w:val="105"/>
        </w:rPr>
        <w:t>flexibility</w:t>
      </w:r>
      <w:r>
        <w:rPr>
          <w:spacing w:val="-2"/>
          <w:w w:val="105"/>
        </w:rPr>
        <w:t xml:space="preserve"> </w:t>
      </w:r>
      <w:r>
        <w:rPr>
          <w:w w:val="105"/>
        </w:rPr>
        <w:t>strengthens</w:t>
      </w:r>
      <w:r>
        <w:rPr>
          <w:spacing w:val="-10"/>
          <w:w w:val="105"/>
        </w:rPr>
        <w:t xml:space="preserve"> </w:t>
      </w:r>
      <w:r>
        <w:rPr>
          <w:w w:val="105"/>
        </w:rPr>
        <w:t>the</w:t>
      </w:r>
      <w:r>
        <w:rPr>
          <w:spacing w:val="-9"/>
          <w:w w:val="105"/>
        </w:rPr>
        <w:t xml:space="preserve"> </w:t>
      </w:r>
      <w:r>
        <w:rPr>
          <w:w w:val="105"/>
        </w:rPr>
        <w:t>impact of</w:t>
      </w:r>
      <w:r>
        <w:rPr>
          <w:spacing w:val="-11"/>
          <w:w w:val="105"/>
        </w:rPr>
        <w:t xml:space="preserve"> </w:t>
      </w:r>
      <w:r>
        <w:rPr>
          <w:w w:val="105"/>
        </w:rPr>
        <w:t>customer</w:t>
      </w:r>
      <w:r>
        <w:rPr>
          <w:spacing w:val="-5"/>
          <w:w w:val="105"/>
        </w:rPr>
        <w:t xml:space="preserve"> </w:t>
      </w:r>
      <w:r>
        <w:rPr>
          <w:w w:val="105"/>
        </w:rPr>
        <w:t>and</w:t>
      </w:r>
      <w:r>
        <w:rPr>
          <w:spacing w:val="-8"/>
          <w:w w:val="105"/>
        </w:rPr>
        <w:t xml:space="preserve"> </w:t>
      </w:r>
      <w:r>
        <w:rPr>
          <w:w w:val="105"/>
        </w:rPr>
        <w:t>competitor</w:t>
      </w:r>
      <w:r>
        <w:rPr>
          <w:spacing w:val="-5"/>
          <w:w w:val="105"/>
        </w:rPr>
        <w:t xml:space="preserve"> </w:t>
      </w:r>
      <w:r>
        <w:rPr>
          <w:w w:val="105"/>
        </w:rPr>
        <w:t>orientation,</w:t>
      </w:r>
      <w:r>
        <w:rPr>
          <w:spacing w:val="-6"/>
          <w:w w:val="105"/>
        </w:rPr>
        <w:t xml:space="preserve"> </w:t>
      </w:r>
      <w:r>
        <w:rPr>
          <w:w w:val="105"/>
        </w:rPr>
        <w:t>its role remains contingent upon the presence of enabling factors such as digital readiness, resource availability, and institutional openness. These findings suggest that</w:t>
      </w:r>
      <w:r>
        <w:rPr>
          <w:spacing w:val="-6"/>
          <w:w w:val="105"/>
        </w:rPr>
        <w:t xml:space="preserve"> </w:t>
      </w:r>
      <w:r>
        <w:rPr>
          <w:w w:val="105"/>
        </w:rPr>
        <w:t>dynamic</w:t>
      </w:r>
      <w:r>
        <w:rPr>
          <w:spacing w:val="-2"/>
          <w:w w:val="105"/>
        </w:rPr>
        <w:t xml:space="preserve"> </w:t>
      </w:r>
      <w:r>
        <w:rPr>
          <w:w w:val="105"/>
        </w:rPr>
        <w:t>capabilities,</w:t>
      </w:r>
      <w:r>
        <w:rPr>
          <w:spacing w:val="-6"/>
          <w:w w:val="105"/>
        </w:rPr>
        <w:t xml:space="preserve"> </w:t>
      </w:r>
      <w:r>
        <w:rPr>
          <w:w w:val="105"/>
        </w:rPr>
        <w:t>such</w:t>
      </w:r>
      <w:r>
        <w:rPr>
          <w:spacing w:val="-14"/>
          <w:w w:val="105"/>
        </w:rPr>
        <w:t xml:space="preserve"> </w:t>
      </w:r>
      <w:r>
        <w:rPr>
          <w:w w:val="105"/>
        </w:rPr>
        <w:t>as</w:t>
      </w:r>
      <w:r>
        <w:rPr>
          <w:spacing w:val="-9"/>
          <w:w w:val="105"/>
        </w:rPr>
        <w:t xml:space="preserve"> </w:t>
      </w:r>
      <w:r>
        <w:rPr>
          <w:w w:val="105"/>
        </w:rPr>
        <w:t>strategic</w:t>
      </w:r>
      <w:r>
        <w:rPr>
          <w:spacing w:val="-2"/>
          <w:w w:val="105"/>
        </w:rPr>
        <w:t xml:space="preserve"> </w:t>
      </w:r>
      <w:r>
        <w:rPr>
          <w:w w:val="105"/>
        </w:rPr>
        <w:t>flexibility,</w:t>
      </w:r>
      <w:r>
        <w:rPr>
          <w:spacing w:val="-12"/>
          <w:w w:val="105"/>
        </w:rPr>
        <w:t xml:space="preserve"> </w:t>
      </w:r>
      <w:r>
        <w:rPr>
          <w:w w:val="105"/>
        </w:rPr>
        <w:t>are</w:t>
      </w:r>
      <w:r>
        <w:rPr>
          <w:spacing w:val="-8"/>
          <w:w w:val="105"/>
        </w:rPr>
        <w:t xml:space="preserve"> </w:t>
      </w:r>
      <w:r>
        <w:rPr>
          <w:w w:val="105"/>
        </w:rPr>
        <w:t>necessary</w:t>
      </w:r>
      <w:r>
        <w:rPr>
          <w:spacing w:val="-8"/>
          <w:w w:val="105"/>
        </w:rPr>
        <w:t xml:space="preserve"> </w:t>
      </w:r>
      <w:r>
        <w:rPr>
          <w:w w:val="105"/>
        </w:rPr>
        <w:t>but</w:t>
      </w:r>
      <w:r>
        <w:rPr>
          <w:spacing w:val="-6"/>
          <w:w w:val="105"/>
        </w:rPr>
        <w:t xml:space="preserve"> </w:t>
      </w:r>
      <w:r>
        <w:rPr>
          <w:w w:val="105"/>
        </w:rPr>
        <w:t>not sufficient to</w:t>
      </w:r>
      <w:r>
        <w:rPr>
          <w:spacing w:val="-1"/>
          <w:w w:val="105"/>
        </w:rPr>
        <w:t xml:space="preserve"> </w:t>
      </w:r>
      <w:r>
        <w:rPr>
          <w:w w:val="105"/>
        </w:rPr>
        <w:t>achieve sustainable competitiveness in</w:t>
      </w:r>
      <w:r>
        <w:rPr>
          <w:spacing w:val="-1"/>
          <w:w w:val="105"/>
        </w:rPr>
        <w:t xml:space="preserve"> </w:t>
      </w:r>
      <w:r>
        <w:rPr>
          <w:w w:val="105"/>
        </w:rPr>
        <w:t>isolation. Their effectiveness is contingent upon the presence of complementary enablers, including institutional support systems and technological infrastructure. This underscores the need for theor</w:t>
      </w:r>
      <w:r>
        <w:rPr>
          <w:w w:val="105"/>
        </w:rPr>
        <w:t>etical refinements in both the Market Orientation Theory and the Dynamic Capabilities Theory, integrating contextual factors such as regulatory frameworks and digital capabilities into their core assumptions to better explain competitive outcomes in highly</w:t>
      </w:r>
      <w:r>
        <w:rPr>
          <w:w w:val="105"/>
        </w:rPr>
        <w:t xml:space="preserve"> regulated and resource-constrained environments like public procurement.</w:t>
      </w:r>
    </w:p>
    <w:p w:rsidR="00487D64" w:rsidRDefault="00487D64">
      <w:pPr>
        <w:pStyle w:val="BodyText"/>
      </w:pPr>
    </w:p>
    <w:p w:rsidR="00487D64" w:rsidRDefault="00487D64">
      <w:pPr>
        <w:pStyle w:val="BodyText"/>
        <w:spacing w:before="27"/>
      </w:pPr>
    </w:p>
    <w:p w:rsidR="00487D64" w:rsidRDefault="006F0D93">
      <w:pPr>
        <w:pStyle w:val="ListParagraph"/>
        <w:numPr>
          <w:ilvl w:val="2"/>
          <w:numId w:val="6"/>
        </w:numPr>
        <w:tabs>
          <w:tab w:val="left" w:pos="2125"/>
        </w:tabs>
        <w:ind w:hanging="706"/>
        <w:rPr>
          <w:b/>
          <w:sz w:val="23"/>
        </w:rPr>
      </w:pPr>
      <w:bookmarkStart w:id="239" w:name="6.4.2__Contextual_Implications_of_the_St"/>
      <w:bookmarkStart w:id="240" w:name="_bookmark115"/>
      <w:bookmarkEnd w:id="239"/>
      <w:bookmarkEnd w:id="240"/>
      <w:r>
        <w:rPr>
          <w:b/>
          <w:w w:val="105"/>
          <w:sz w:val="23"/>
        </w:rPr>
        <w:t>Contextual</w:t>
      </w:r>
      <w:r>
        <w:rPr>
          <w:b/>
          <w:spacing w:val="-10"/>
          <w:w w:val="105"/>
          <w:sz w:val="23"/>
        </w:rPr>
        <w:t xml:space="preserve"> </w:t>
      </w:r>
      <w:r>
        <w:rPr>
          <w:b/>
          <w:w w:val="105"/>
          <w:sz w:val="23"/>
        </w:rPr>
        <w:t>Implications</w:t>
      </w:r>
      <w:r>
        <w:rPr>
          <w:b/>
          <w:spacing w:val="-10"/>
          <w:w w:val="105"/>
          <w:sz w:val="23"/>
        </w:rPr>
        <w:t xml:space="preserve"> </w:t>
      </w:r>
      <w:r>
        <w:rPr>
          <w:b/>
          <w:w w:val="105"/>
          <w:sz w:val="23"/>
        </w:rPr>
        <w:t>of</w:t>
      </w:r>
      <w:r>
        <w:rPr>
          <w:b/>
          <w:spacing w:val="-13"/>
          <w:w w:val="105"/>
          <w:sz w:val="23"/>
        </w:rPr>
        <w:t xml:space="preserve"> </w:t>
      </w:r>
      <w:r>
        <w:rPr>
          <w:b/>
          <w:w w:val="105"/>
          <w:sz w:val="23"/>
        </w:rPr>
        <w:t>the</w:t>
      </w:r>
      <w:r>
        <w:rPr>
          <w:b/>
          <w:spacing w:val="-11"/>
          <w:w w:val="105"/>
          <w:sz w:val="23"/>
        </w:rPr>
        <w:t xml:space="preserve"> </w:t>
      </w:r>
      <w:r>
        <w:rPr>
          <w:b/>
          <w:spacing w:val="-2"/>
          <w:w w:val="105"/>
          <w:sz w:val="23"/>
        </w:rPr>
        <w:t>Study</w:t>
      </w:r>
    </w:p>
    <w:p w:rsidR="00487D64" w:rsidRDefault="00487D64">
      <w:pPr>
        <w:pStyle w:val="BodyText"/>
        <w:spacing w:before="11"/>
        <w:rPr>
          <w:b/>
        </w:rPr>
      </w:pPr>
    </w:p>
    <w:p w:rsidR="00487D64" w:rsidRDefault="006F0D93">
      <w:pPr>
        <w:pStyle w:val="BodyText"/>
        <w:spacing w:line="501" w:lineRule="auto"/>
        <w:ind w:left="1419" w:right="850"/>
        <w:jc w:val="both"/>
      </w:pPr>
      <w:r>
        <w:rPr>
          <w:w w:val="105"/>
        </w:rPr>
        <w:t>The findings of</w:t>
      </w:r>
      <w:r>
        <w:rPr>
          <w:spacing w:val="-3"/>
          <w:w w:val="105"/>
        </w:rPr>
        <w:t xml:space="preserve"> </w:t>
      </w:r>
      <w:r>
        <w:rPr>
          <w:w w:val="105"/>
        </w:rPr>
        <w:t>this study carry significant contextual implications for special group SMEs operating within Tanzania’s public procurement.</w:t>
      </w:r>
      <w:r>
        <w:rPr>
          <w:w w:val="105"/>
        </w:rPr>
        <w:t xml:space="preserve"> The results point out the complexity</w:t>
      </w:r>
      <w:r>
        <w:rPr>
          <w:spacing w:val="-12"/>
          <w:w w:val="105"/>
        </w:rPr>
        <w:t xml:space="preserve"> </w:t>
      </w:r>
      <w:r>
        <w:rPr>
          <w:w w:val="105"/>
        </w:rPr>
        <w:t>of</w:t>
      </w:r>
      <w:r>
        <w:rPr>
          <w:spacing w:val="-14"/>
          <w:w w:val="105"/>
        </w:rPr>
        <w:t xml:space="preserve"> </w:t>
      </w:r>
      <w:r>
        <w:rPr>
          <w:w w:val="105"/>
        </w:rPr>
        <w:t>achieving</w:t>
      </w:r>
      <w:r>
        <w:rPr>
          <w:spacing w:val="-6"/>
          <w:w w:val="105"/>
        </w:rPr>
        <w:t xml:space="preserve"> </w:t>
      </w:r>
      <w:r>
        <w:rPr>
          <w:w w:val="105"/>
        </w:rPr>
        <w:t>sustainable</w:t>
      </w:r>
      <w:r>
        <w:rPr>
          <w:spacing w:val="-13"/>
          <w:w w:val="105"/>
        </w:rPr>
        <w:t xml:space="preserve"> </w:t>
      </w:r>
      <w:r>
        <w:rPr>
          <w:w w:val="105"/>
        </w:rPr>
        <w:t>competitiveness</w:t>
      </w:r>
      <w:r>
        <w:rPr>
          <w:spacing w:val="-14"/>
          <w:w w:val="105"/>
        </w:rPr>
        <w:t xml:space="preserve"> </w:t>
      </w:r>
      <w:r>
        <w:rPr>
          <w:w w:val="105"/>
        </w:rPr>
        <w:t>in</w:t>
      </w:r>
      <w:r>
        <w:rPr>
          <w:spacing w:val="-12"/>
          <w:w w:val="105"/>
        </w:rPr>
        <w:t xml:space="preserve"> </w:t>
      </w:r>
      <w:r>
        <w:rPr>
          <w:w w:val="105"/>
        </w:rPr>
        <w:t>an</w:t>
      </w:r>
      <w:r>
        <w:rPr>
          <w:spacing w:val="-6"/>
          <w:w w:val="105"/>
        </w:rPr>
        <w:t xml:space="preserve"> </w:t>
      </w:r>
      <w:r>
        <w:rPr>
          <w:w w:val="105"/>
        </w:rPr>
        <w:t>environment</w:t>
      </w:r>
      <w:r>
        <w:rPr>
          <w:spacing w:val="-4"/>
          <w:w w:val="105"/>
        </w:rPr>
        <w:t xml:space="preserve"> </w:t>
      </w:r>
      <w:r>
        <w:rPr>
          <w:w w:val="105"/>
        </w:rPr>
        <w:t>characterized by stringent regulatory frameworks, limited resource availability, and institutional rigidity.</w:t>
      </w:r>
      <w:r>
        <w:rPr>
          <w:spacing w:val="24"/>
          <w:w w:val="105"/>
        </w:rPr>
        <w:t xml:space="preserve"> </w:t>
      </w:r>
      <w:r>
        <w:rPr>
          <w:w w:val="105"/>
        </w:rPr>
        <w:t>While</w:t>
      </w:r>
      <w:r>
        <w:rPr>
          <w:spacing w:val="21"/>
          <w:w w:val="105"/>
        </w:rPr>
        <w:t xml:space="preserve"> </w:t>
      </w:r>
      <w:r>
        <w:rPr>
          <w:w w:val="105"/>
        </w:rPr>
        <w:t>market</w:t>
      </w:r>
      <w:r>
        <w:rPr>
          <w:spacing w:val="25"/>
          <w:w w:val="105"/>
        </w:rPr>
        <w:t xml:space="preserve"> </w:t>
      </w:r>
      <w:r>
        <w:rPr>
          <w:w w:val="105"/>
        </w:rPr>
        <w:t>orientation</w:t>
      </w:r>
      <w:r>
        <w:rPr>
          <w:spacing w:val="21"/>
          <w:w w:val="105"/>
        </w:rPr>
        <w:t xml:space="preserve"> </w:t>
      </w:r>
      <w:r>
        <w:rPr>
          <w:w w:val="105"/>
        </w:rPr>
        <w:t>particularly</w:t>
      </w:r>
      <w:r>
        <w:rPr>
          <w:spacing w:val="22"/>
          <w:w w:val="105"/>
        </w:rPr>
        <w:t xml:space="preserve"> </w:t>
      </w:r>
      <w:r>
        <w:rPr>
          <w:w w:val="105"/>
        </w:rPr>
        <w:t>customer and</w:t>
      </w:r>
      <w:r>
        <w:rPr>
          <w:spacing w:val="22"/>
          <w:w w:val="105"/>
        </w:rPr>
        <w:t xml:space="preserve"> </w:t>
      </w:r>
      <w:r>
        <w:rPr>
          <w:w w:val="105"/>
        </w:rPr>
        <w:t>competitor</w:t>
      </w:r>
      <w:r>
        <w:rPr>
          <w:spacing w:val="26"/>
          <w:w w:val="105"/>
        </w:rPr>
        <w:t xml:space="preserve"> </w:t>
      </w:r>
      <w:r>
        <w:rPr>
          <w:w w:val="105"/>
        </w:rPr>
        <w:t>orientation</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1419" w:right="866"/>
        <w:jc w:val="both"/>
      </w:pPr>
      <w:r>
        <w:rPr>
          <w:w w:val="105"/>
        </w:rPr>
        <w:t>emerged as critical strategic dimensions for enhancing competitiveness, their practical effectiveness is shaped by contextual constraints that influence how these orientations are implemented.</w:t>
      </w:r>
    </w:p>
    <w:p w:rsidR="00487D64" w:rsidRDefault="006F0D93">
      <w:pPr>
        <w:pStyle w:val="BodyText"/>
        <w:spacing w:before="245" w:line="501" w:lineRule="auto"/>
        <w:ind w:left="1419" w:right="848"/>
        <w:jc w:val="both"/>
      </w:pPr>
      <w:r>
        <w:rPr>
          <w:w w:val="105"/>
        </w:rPr>
        <w:t>First, the</w:t>
      </w:r>
      <w:r>
        <w:rPr>
          <w:w w:val="105"/>
        </w:rPr>
        <w:t xml:space="preserve"> evidence that customer orientation positively influences sustainable competitiveness indicates that SMEs that actively engage in understanding and meeting customer needs can improve their tender success and service delivery in public procurement markets. </w:t>
      </w:r>
      <w:r>
        <w:rPr>
          <w:w w:val="105"/>
        </w:rPr>
        <w:t>However, the implementation of customer-centric strategies in this context often encounters challenges such as rigid tendering processes and limited flexibility in modifying proposals once bids are submitted. These constraints suggest that while customer o</w:t>
      </w:r>
      <w:r>
        <w:rPr>
          <w:w w:val="105"/>
        </w:rPr>
        <w:t>rientation remains valuable, its contribution is maximized only when procurement systems allow for adaptive responses and feedback integration. Hence, public procurement authorities should consider revising tendering guidelines to incorporate mechanisms th</w:t>
      </w:r>
      <w:r>
        <w:rPr>
          <w:w w:val="105"/>
        </w:rPr>
        <w:t xml:space="preserve">at enable suppliers to demonstrate customer-focused innovations within the compliance </w:t>
      </w:r>
      <w:r>
        <w:rPr>
          <w:spacing w:val="-2"/>
          <w:w w:val="105"/>
        </w:rPr>
        <w:t>framework.</w:t>
      </w:r>
    </w:p>
    <w:p w:rsidR="00487D64" w:rsidRDefault="006F0D93">
      <w:pPr>
        <w:pStyle w:val="BodyText"/>
        <w:spacing w:before="238" w:line="501" w:lineRule="auto"/>
        <w:ind w:left="1419" w:right="848"/>
        <w:jc w:val="both"/>
      </w:pPr>
      <w:r>
        <w:rPr>
          <w:w w:val="105"/>
        </w:rPr>
        <w:t>Second, the study highlights the critical role of competitor orientation in shaping sustainable competitiveness under competitive bidding conditions. The abili</w:t>
      </w:r>
      <w:r>
        <w:rPr>
          <w:w w:val="105"/>
        </w:rPr>
        <w:t>ty of SMEs to monitor competitors’ strategies, pricing, and performance offers an important advantage in preparing winning bids. Nevertheless, the institutional context limits the extent of strategic collaboration or co-opetition, which is increasingly emp</w:t>
      </w:r>
      <w:r>
        <w:rPr>
          <w:w w:val="105"/>
        </w:rPr>
        <w:t>hasized in global literature as</w:t>
      </w:r>
      <w:r>
        <w:rPr>
          <w:spacing w:val="-1"/>
          <w:w w:val="105"/>
        </w:rPr>
        <w:t xml:space="preserve"> </w:t>
      </w:r>
      <w:r>
        <w:rPr>
          <w:w w:val="105"/>
        </w:rPr>
        <w:t>a means</w:t>
      </w:r>
      <w:r>
        <w:rPr>
          <w:spacing w:val="-1"/>
          <w:w w:val="105"/>
        </w:rPr>
        <w:t xml:space="preserve"> </w:t>
      </w:r>
      <w:r>
        <w:rPr>
          <w:w w:val="105"/>
        </w:rPr>
        <w:t>of driving shared innovation and</w:t>
      </w:r>
      <w:r>
        <w:rPr>
          <w:spacing w:val="2"/>
          <w:w w:val="105"/>
        </w:rPr>
        <w:t xml:space="preserve"> </w:t>
      </w:r>
      <w:r>
        <w:rPr>
          <w:w w:val="105"/>
        </w:rPr>
        <w:t>sustainability.</w:t>
      </w:r>
      <w:r>
        <w:rPr>
          <w:spacing w:val="-1"/>
          <w:w w:val="105"/>
        </w:rPr>
        <w:t xml:space="preserve"> </w:t>
      </w:r>
      <w:r>
        <w:rPr>
          <w:w w:val="105"/>
        </w:rPr>
        <w:t>This</w:t>
      </w:r>
      <w:r>
        <w:rPr>
          <w:spacing w:val="1"/>
          <w:w w:val="105"/>
        </w:rPr>
        <w:t xml:space="preserve"> </w:t>
      </w:r>
      <w:r>
        <w:rPr>
          <w:w w:val="105"/>
        </w:rPr>
        <w:t>calls</w:t>
      </w:r>
      <w:r>
        <w:rPr>
          <w:spacing w:val="1"/>
          <w:w w:val="105"/>
        </w:rPr>
        <w:t xml:space="preserve"> </w:t>
      </w:r>
      <w:r>
        <w:rPr>
          <w:w w:val="105"/>
        </w:rPr>
        <w:t>for</w:t>
      </w:r>
      <w:r>
        <w:rPr>
          <w:spacing w:val="7"/>
          <w:w w:val="105"/>
        </w:rPr>
        <w:t xml:space="preserve"> </w:t>
      </w:r>
      <w:r>
        <w:rPr>
          <w:w w:val="105"/>
        </w:rPr>
        <w:t>contextual</w:t>
      </w:r>
      <w:r>
        <w:rPr>
          <w:spacing w:val="-1"/>
          <w:w w:val="105"/>
        </w:rPr>
        <w:t xml:space="preserve"> </w:t>
      </w:r>
      <w:r>
        <w:rPr>
          <w:w w:val="105"/>
        </w:rPr>
        <w:t>reforms</w:t>
      </w:r>
      <w:r>
        <w:rPr>
          <w:spacing w:val="-5"/>
          <w:w w:val="105"/>
        </w:rPr>
        <w:t xml:space="preserve"> </w:t>
      </w:r>
      <w:r>
        <w:rPr>
          <w:w w:val="105"/>
        </w:rPr>
        <w:t>that</w:t>
      </w:r>
      <w:r>
        <w:rPr>
          <w:spacing w:val="6"/>
          <w:w w:val="105"/>
        </w:rPr>
        <w:t xml:space="preserve"> </w:t>
      </w:r>
      <w:r>
        <w:rPr>
          <w:w w:val="105"/>
        </w:rPr>
        <w:t>promote</w:t>
      </w:r>
      <w:r>
        <w:rPr>
          <w:spacing w:val="-4"/>
          <w:w w:val="105"/>
        </w:rPr>
        <w:t xml:space="preserve"> </w:t>
      </w:r>
      <w:r>
        <w:rPr>
          <w:w w:val="105"/>
        </w:rPr>
        <w:t>knowledge-</w:t>
      </w:r>
      <w:r>
        <w:rPr>
          <w:spacing w:val="-2"/>
          <w:w w:val="105"/>
        </w:rPr>
        <w:t>sharing</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48"/>
        <w:jc w:val="both"/>
      </w:pPr>
      <w:r>
        <w:rPr>
          <w:w w:val="105"/>
        </w:rPr>
        <w:t>platforms</w:t>
      </w:r>
      <w:r>
        <w:rPr>
          <w:spacing w:val="-11"/>
          <w:w w:val="105"/>
        </w:rPr>
        <w:t xml:space="preserve"> </w:t>
      </w:r>
      <w:r>
        <w:rPr>
          <w:w w:val="105"/>
        </w:rPr>
        <w:t>and</w:t>
      </w:r>
      <w:r>
        <w:rPr>
          <w:spacing w:val="-3"/>
          <w:w w:val="105"/>
        </w:rPr>
        <w:t xml:space="preserve"> </w:t>
      </w:r>
      <w:r>
        <w:rPr>
          <w:w w:val="105"/>
        </w:rPr>
        <w:t>competitive</w:t>
      </w:r>
      <w:r>
        <w:rPr>
          <w:spacing w:val="-4"/>
          <w:w w:val="105"/>
        </w:rPr>
        <w:t xml:space="preserve"> </w:t>
      </w:r>
      <w:r>
        <w:rPr>
          <w:w w:val="105"/>
        </w:rPr>
        <w:t>intelligence</w:t>
      </w:r>
      <w:r>
        <w:rPr>
          <w:spacing w:val="-4"/>
          <w:w w:val="105"/>
        </w:rPr>
        <w:t xml:space="preserve"> </w:t>
      </w:r>
      <w:r>
        <w:rPr>
          <w:w w:val="105"/>
        </w:rPr>
        <w:t>systems,</w:t>
      </w:r>
      <w:r>
        <w:rPr>
          <w:spacing w:val="-2"/>
          <w:w w:val="105"/>
        </w:rPr>
        <w:t xml:space="preserve"> </w:t>
      </w:r>
      <w:r>
        <w:rPr>
          <w:w w:val="105"/>
        </w:rPr>
        <w:t>which</w:t>
      </w:r>
      <w:r>
        <w:rPr>
          <w:spacing w:val="-3"/>
          <w:w w:val="105"/>
        </w:rPr>
        <w:t xml:space="preserve"> </w:t>
      </w:r>
      <w:r>
        <w:rPr>
          <w:w w:val="105"/>
        </w:rPr>
        <w:t>can</w:t>
      </w:r>
      <w:r>
        <w:rPr>
          <w:spacing w:val="-3"/>
          <w:w w:val="105"/>
        </w:rPr>
        <w:t xml:space="preserve"> </w:t>
      </w:r>
      <w:r>
        <w:rPr>
          <w:w w:val="105"/>
        </w:rPr>
        <w:t>help SMEs</w:t>
      </w:r>
      <w:r>
        <w:rPr>
          <w:spacing w:val="-4"/>
          <w:w w:val="105"/>
        </w:rPr>
        <w:t xml:space="preserve"> </w:t>
      </w:r>
      <w:r>
        <w:rPr>
          <w:w w:val="105"/>
        </w:rPr>
        <w:t>compete</w:t>
      </w:r>
      <w:r>
        <w:rPr>
          <w:spacing w:val="-4"/>
          <w:w w:val="105"/>
        </w:rPr>
        <w:t xml:space="preserve"> </w:t>
      </w:r>
      <w:r>
        <w:rPr>
          <w:w w:val="105"/>
        </w:rPr>
        <w:t>more effectively without breaching ethical or regulatory norms.</w:t>
      </w:r>
    </w:p>
    <w:p w:rsidR="00487D64" w:rsidRDefault="006F0D93">
      <w:pPr>
        <w:pStyle w:val="BodyText"/>
        <w:spacing w:before="236" w:line="499" w:lineRule="auto"/>
        <w:ind w:left="1419" w:right="858"/>
        <w:jc w:val="both"/>
      </w:pPr>
      <w:r>
        <w:rPr>
          <w:w w:val="105"/>
        </w:rPr>
        <w:t>The</w:t>
      </w:r>
      <w:r>
        <w:rPr>
          <w:spacing w:val="-5"/>
          <w:w w:val="105"/>
        </w:rPr>
        <w:t xml:space="preserve"> </w:t>
      </w:r>
      <w:r>
        <w:rPr>
          <w:w w:val="105"/>
        </w:rPr>
        <w:t>moderating effect</w:t>
      </w:r>
      <w:r>
        <w:rPr>
          <w:spacing w:val="-3"/>
          <w:w w:val="105"/>
        </w:rPr>
        <w:t xml:space="preserve"> </w:t>
      </w:r>
      <w:r>
        <w:rPr>
          <w:w w:val="105"/>
        </w:rPr>
        <w:t>of strategic flexibility on customer</w:t>
      </w:r>
      <w:r>
        <w:rPr>
          <w:spacing w:val="-1"/>
          <w:w w:val="105"/>
        </w:rPr>
        <w:t xml:space="preserve"> </w:t>
      </w:r>
      <w:r>
        <w:rPr>
          <w:w w:val="105"/>
        </w:rPr>
        <w:t>and competitor orientation further points to the importance of adaptive capabilities in this highly regulated environment. While stra</w:t>
      </w:r>
      <w:r>
        <w:rPr>
          <w:w w:val="105"/>
        </w:rPr>
        <w:t>tegic flexibility enables firms to reconfigure resources and respond to external changes, its utility in public procurement is often curtailed by bureaucratic procedures and compliance requirements.</w:t>
      </w:r>
    </w:p>
    <w:p w:rsidR="00487D64" w:rsidRDefault="006F0D93">
      <w:pPr>
        <w:pStyle w:val="BodyText"/>
        <w:spacing w:before="246" w:line="501" w:lineRule="auto"/>
        <w:ind w:left="1419" w:right="851"/>
        <w:jc w:val="both"/>
      </w:pPr>
      <w:r>
        <w:rPr>
          <w:w w:val="105"/>
        </w:rPr>
        <w:t>For SMEs in Tanzania, this finding implies that investmen</w:t>
      </w:r>
      <w:r>
        <w:rPr>
          <w:w w:val="105"/>
        </w:rPr>
        <w:t>ts in strategic flexibility such as training for dynamic decision-making, resource reallocation, and rapid innovation must be supported by institutional mechanisms that reduce procedural rigidity. Policymakers should consider introducing regulatory provisi</w:t>
      </w:r>
      <w:r>
        <w:rPr>
          <w:w w:val="105"/>
        </w:rPr>
        <w:t>ons that encourage agile practices without compromising transparency and fairness.</w:t>
      </w:r>
    </w:p>
    <w:p w:rsidR="00487D64" w:rsidRDefault="006F0D93">
      <w:pPr>
        <w:pStyle w:val="BodyText"/>
        <w:spacing w:before="241" w:line="501" w:lineRule="auto"/>
        <w:ind w:left="1419" w:right="861"/>
        <w:jc w:val="both"/>
      </w:pPr>
      <w:r>
        <w:rPr>
          <w:w w:val="105"/>
        </w:rPr>
        <w:t>Finally, the non-significant moderation of strategic flexibility in the functional coordination–competitiveness relationship emphasizes the limitations of traditional intern</w:t>
      </w:r>
      <w:r>
        <w:rPr>
          <w:w w:val="105"/>
        </w:rPr>
        <w:t>al coordination mechanisms in influencing sustainable outcomes within this context. SMEs must therefore look beyond internal efficiency toward external adaptability and capability integration.</w:t>
      </w:r>
    </w:p>
    <w:p w:rsidR="00487D64" w:rsidRDefault="006F0D93">
      <w:pPr>
        <w:pStyle w:val="BodyText"/>
        <w:spacing w:before="239" w:line="501" w:lineRule="auto"/>
        <w:ind w:left="1419" w:right="847"/>
        <w:jc w:val="both"/>
      </w:pPr>
      <w:r>
        <w:rPr>
          <w:w w:val="105"/>
        </w:rPr>
        <w:t>The</w:t>
      </w:r>
      <w:r>
        <w:rPr>
          <w:spacing w:val="-4"/>
          <w:w w:val="105"/>
        </w:rPr>
        <w:t xml:space="preserve"> </w:t>
      </w:r>
      <w:r>
        <w:rPr>
          <w:w w:val="105"/>
        </w:rPr>
        <w:t>findings</w:t>
      </w:r>
      <w:r>
        <w:rPr>
          <w:spacing w:val="-5"/>
          <w:w w:val="105"/>
        </w:rPr>
        <w:t xml:space="preserve"> </w:t>
      </w:r>
      <w:r>
        <w:rPr>
          <w:w w:val="105"/>
        </w:rPr>
        <w:t>collectively</w:t>
      </w:r>
      <w:r>
        <w:rPr>
          <w:spacing w:val="-3"/>
          <w:w w:val="105"/>
        </w:rPr>
        <w:t xml:space="preserve"> </w:t>
      </w:r>
      <w:r>
        <w:rPr>
          <w:w w:val="105"/>
        </w:rPr>
        <w:t>call</w:t>
      </w:r>
      <w:r>
        <w:rPr>
          <w:spacing w:val="-1"/>
          <w:w w:val="105"/>
        </w:rPr>
        <w:t xml:space="preserve"> </w:t>
      </w:r>
      <w:r>
        <w:rPr>
          <w:w w:val="105"/>
        </w:rPr>
        <w:t>for</w:t>
      </w:r>
      <w:r>
        <w:rPr>
          <w:spacing w:val="-6"/>
          <w:w w:val="105"/>
        </w:rPr>
        <w:t xml:space="preserve"> </w:t>
      </w:r>
      <w:r>
        <w:rPr>
          <w:w w:val="105"/>
        </w:rPr>
        <w:t>a</w:t>
      </w:r>
      <w:r>
        <w:rPr>
          <w:spacing w:val="-4"/>
          <w:w w:val="105"/>
        </w:rPr>
        <w:t xml:space="preserve"> </w:t>
      </w:r>
      <w:r>
        <w:rPr>
          <w:w w:val="105"/>
        </w:rPr>
        <w:t>dual</w:t>
      </w:r>
      <w:r>
        <w:rPr>
          <w:spacing w:val="-7"/>
          <w:w w:val="105"/>
        </w:rPr>
        <w:t xml:space="preserve"> </w:t>
      </w:r>
      <w:r>
        <w:rPr>
          <w:w w:val="105"/>
        </w:rPr>
        <w:t>approach:</w:t>
      </w:r>
      <w:r>
        <w:rPr>
          <w:spacing w:val="-1"/>
          <w:w w:val="105"/>
        </w:rPr>
        <w:t xml:space="preserve"> </w:t>
      </w:r>
      <w:r>
        <w:rPr>
          <w:w w:val="105"/>
        </w:rPr>
        <w:t>strengtheni</w:t>
      </w:r>
      <w:r>
        <w:rPr>
          <w:w w:val="105"/>
        </w:rPr>
        <w:t>ng</w:t>
      </w:r>
      <w:r>
        <w:rPr>
          <w:spacing w:val="-3"/>
          <w:w w:val="105"/>
        </w:rPr>
        <w:t xml:space="preserve"> </w:t>
      </w:r>
      <w:r>
        <w:rPr>
          <w:w w:val="105"/>
        </w:rPr>
        <w:t>the</w:t>
      </w:r>
      <w:r>
        <w:rPr>
          <w:spacing w:val="-10"/>
          <w:w w:val="105"/>
        </w:rPr>
        <w:t xml:space="preserve"> </w:t>
      </w:r>
      <w:r>
        <w:rPr>
          <w:w w:val="105"/>
        </w:rPr>
        <w:t>internal</w:t>
      </w:r>
      <w:r>
        <w:rPr>
          <w:spacing w:val="-2"/>
          <w:w w:val="105"/>
        </w:rPr>
        <w:t xml:space="preserve"> </w:t>
      </w:r>
      <w:r>
        <w:rPr>
          <w:w w:val="105"/>
        </w:rPr>
        <w:t xml:space="preserve">strategic capabilities of SMEs while simultaneously addressing systemic barriers in the procurement ecosystem to create an enabling environment for competitive </w:t>
      </w:r>
      <w:r>
        <w:rPr>
          <w:spacing w:val="-2"/>
          <w:w w:val="105"/>
        </w:rPr>
        <w:t>sustainability.</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2"/>
          <w:numId w:val="6"/>
        </w:numPr>
        <w:tabs>
          <w:tab w:val="left" w:pos="2139"/>
        </w:tabs>
        <w:spacing w:before="1"/>
        <w:ind w:left="2139" w:hanging="720"/>
        <w:rPr>
          <w:b/>
          <w:sz w:val="23"/>
        </w:rPr>
      </w:pPr>
      <w:bookmarkStart w:id="241" w:name="6.4.3___Policy_Implications_of_the_Study"/>
      <w:bookmarkStart w:id="242" w:name="_bookmark116"/>
      <w:bookmarkEnd w:id="241"/>
      <w:bookmarkEnd w:id="242"/>
      <w:r>
        <w:rPr>
          <w:b/>
          <w:w w:val="105"/>
          <w:sz w:val="23"/>
        </w:rPr>
        <w:t>Policy</w:t>
      </w:r>
      <w:r>
        <w:rPr>
          <w:b/>
          <w:spacing w:val="-18"/>
          <w:w w:val="105"/>
          <w:sz w:val="23"/>
        </w:rPr>
        <w:t xml:space="preserve"> </w:t>
      </w:r>
      <w:r>
        <w:rPr>
          <w:b/>
          <w:w w:val="105"/>
          <w:sz w:val="23"/>
        </w:rPr>
        <w:t>Implications</w:t>
      </w:r>
      <w:r>
        <w:rPr>
          <w:b/>
          <w:spacing w:val="-10"/>
          <w:w w:val="105"/>
          <w:sz w:val="23"/>
        </w:rPr>
        <w:t xml:space="preserve"> </w:t>
      </w:r>
      <w:r>
        <w:rPr>
          <w:b/>
          <w:w w:val="105"/>
          <w:sz w:val="23"/>
        </w:rPr>
        <w:t>of</w:t>
      </w:r>
      <w:r>
        <w:rPr>
          <w:b/>
          <w:spacing w:val="-7"/>
          <w:w w:val="105"/>
          <w:sz w:val="23"/>
        </w:rPr>
        <w:t xml:space="preserve"> </w:t>
      </w:r>
      <w:r>
        <w:rPr>
          <w:b/>
          <w:w w:val="105"/>
          <w:sz w:val="23"/>
        </w:rPr>
        <w:t>the</w:t>
      </w:r>
      <w:r>
        <w:rPr>
          <w:b/>
          <w:spacing w:val="-4"/>
          <w:w w:val="105"/>
          <w:sz w:val="23"/>
        </w:rPr>
        <w:t xml:space="preserve"> </w:t>
      </w:r>
      <w:r>
        <w:rPr>
          <w:b/>
          <w:spacing w:val="-2"/>
          <w:w w:val="105"/>
          <w:sz w:val="23"/>
        </w:rPr>
        <w:t>Study</w:t>
      </w:r>
    </w:p>
    <w:p w:rsidR="00487D64" w:rsidRDefault="00487D64">
      <w:pPr>
        <w:pStyle w:val="BodyText"/>
        <w:spacing w:before="18"/>
        <w:rPr>
          <w:b/>
        </w:rPr>
      </w:pPr>
    </w:p>
    <w:p w:rsidR="00487D64" w:rsidRDefault="006F0D93">
      <w:pPr>
        <w:pStyle w:val="BodyText"/>
        <w:spacing w:line="501" w:lineRule="auto"/>
        <w:ind w:left="1419" w:right="847"/>
        <w:jc w:val="both"/>
      </w:pPr>
      <w:r>
        <w:rPr>
          <w:w w:val="105"/>
        </w:rPr>
        <w:t>The findings of this study offer several important policy implications for enhancing the performance and participation of special group SMES, particularly women, the elderly, youth, and disabled-owned enterprises within public procurement systems. These im</w:t>
      </w:r>
      <w:r>
        <w:rPr>
          <w:w w:val="105"/>
        </w:rPr>
        <w:t>plications are relevant for policy-makers, procurement authorities, SMEs development agencies, and other institutional stakeholders seeking to promote inclusive economic development through strategic procurement reforms.</w:t>
      </w:r>
    </w:p>
    <w:p w:rsidR="00487D64" w:rsidRDefault="006F0D93">
      <w:pPr>
        <w:pStyle w:val="BodyText"/>
        <w:spacing w:before="235" w:line="501" w:lineRule="auto"/>
        <w:ind w:left="1419" w:right="854"/>
        <w:jc w:val="both"/>
      </w:pPr>
      <w:r>
        <w:rPr>
          <w:w w:val="105"/>
        </w:rPr>
        <w:t>First, the demonstrated positive re</w:t>
      </w:r>
      <w:r>
        <w:rPr>
          <w:w w:val="105"/>
        </w:rPr>
        <w:t>lationship between customer orientation and sustainable competitiveness supports the need for capacity-building policies that enhance</w:t>
      </w:r>
      <w:r>
        <w:rPr>
          <w:spacing w:val="-9"/>
          <w:w w:val="105"/>
        </w:rPr>
        <w:t xml:space="preserve"> </w:t>
      </w:r>
      <w:r>
        <w:rPr>
          <w:w w:val="105"/>
        </w:rPr>
        <w:t>SMEs’</w:t>
      </w:r>
      <w:r>
        <w:rPr>
          <w:spacing w:val="-5"/>
          <w:w w:val="105"/>
        </w:rPr>
        <w:t xml:space="preserve"> </w:t>
      </w:r>
      <w:r>
        <w:rPr>
          <w:w w:val="105"/>
        </w:rPr>
        <w:t>market</w:t>
      </w:r>
      <w:r>
        <w:rPr>
          <w:spacing w:val="-7"/>
          <w:w w:val="105"/>
        </w:rPr>
        <w:t xml:space="preserve"> </w:t>
      </w:r>
      <w:r>
        <w:rPr>
          <w:w w:val="105"/>
        </w:rPr>
        <w:t>orientation.</w:t>
      </w:r>
      <w:r>
        <w:rPr>
          <w:spacing w:val="-7"/>
          <w:w w:val="105"/>
        </w:rPr>
        <w:t xml:space="preserve"> </w:t>
      </w:r>
      <w:r>
        <w:rPr>
          <w:w w:val="105"/>
        </w:rPr>
        <w:t>Public</w:t>
      </w:r>
      <w:r>
        <w:rPr>
          <w:spacing w:val="-15"/>
          <w:w w:val="105"/>
        </w:rPr>
        <w:t xml:space="preserve"> </w:t>
      </w:r>
      <w:r>
        <w:rPr>
          <w:w w:val="105"/>
        </w:rPr>
        <w:t>agencies</w:t>
      </w:r>
      <w:r>
        <w:rPr>
          <w:spacing w:val="-10"/>
          <w:w w:val="105"/>
        </w:rPr>
        <w:t xml:space="preserve"> </w:t>
      </w:r>
      <w:r>
        <w:rPr>
          <w:w w:val="105"/>
        </w:rPr>
        <w:t>should</w:t>
      </w:r>
      <w:r>
        <w:rPr>
          <w:spacing w:val="-9"/>
          <w:w w:val="105"/>
        </w:rPr>
        <w:t xml:space="preserve"> </w:t>
      </w:r>
      <w:r>
        <w:rPr>
          <w:w w:val="105"/>
        </w:rPr>
        <w:t>develop</w:t>
      </w:r>
      <w:r>
        <w:rPr>
          <w:spacing w:val="-15"/>
          <w:w w:val="105"/>
        </w:rPr>
        <w:t xml:space="preserve"> </w:t>
      </w:r>
      <w:r>
        <w:rPr>
          <w:w w:val="105"/>
        </w:rPr>
        <w:t>and</w:t>
      </w:r>
      <w:r>
        <w:rPr>
          <w:spacing w:val="-2"/>
          <w:w w:val="105"/>
        </w:rPr>
        <w:t xml:space="preserve"> </w:t>
      </w:r>
      <w:r>
        <w:rPr>
          <w:w w:val="105"/>
        </w:rPr>
        <w:t>fund</w:t>
      </w:r>
      <w:r>
        <w:rPr>
          <w:spacing w:val="-15"/>
          <w:w w:val="105"/>
        </w:rPr>
        <w:t xml:space="preserve"> </w:t>
      </w:r>
      <w:r>
        <w:rPr>
          <w:w w:val="105"/>
        </w:rPr>
        <w:t>targeted training programs, strategic marketing workshop</w:t>
      </w:r>
      <w:r>
        <w:rPr>
          <w:w w:val="105"/>
        </w:rPr>
        <w:t>s, and mentorship initiatives aimed at equipping SMEs with capabilities in customer analysis, market scanning, and tender responsiveness (Narver &amp; Slater, 1990; Bankole et al., 2022).</w:t>
      </w:r>
    </w:p>
    <w:p w:rsidR="00487D64" w:rsidRDefault="006F0D93">
      <w:pPr>
        <w:pStyle w:val="BodyText"/>
        <w:spacing w:before="234" w:line="501" w:lineRule="auto"/>
        <w:ind w:left="1419" w:right="850"/>
        <w:jc w:val="both"/>
      </w:pPr>
      <w:r>
        <w:rPr>
          <w:w w:val="105"/>
        </w:rPr>
        <w:t>Second, the finding that competitor orientation significantly enhances c</w:t>
      </w:r>
      <w:r>
        <w:rPr>
          <w:w w:val="105"/>
        </w:rPr>
        <w:t>ompetitiveness</w:t>
      </w:r>
      <w:r>
        <w:rPr>
          <w:spacing w:val="-2"/>
          <w:w w:val="105"/>
        </w:rPr>
        <w:t xml:space="preserve"> </w:t>
      </w:r>
      <w:r>
        <w:rPr>
          <w:w w:val="105"/>
        </w:rPr>
        <w:t>suggests</w:t>
      </w:r>
      <w:r>
        <w:rPr>
          <w:spacing w:val="-8"/>
          <w:w w:val="105"/>
        </w:rPr>
        <w:t xml:space="preserve"> </w:t>
      </w:r>
      <w:r>
        <w:rPr>
          <w:w w:val="105"/>
        </w:rPr>
        <w:t>that market</w:t>
      </w:r>
      <w:r>
        <w:rPr>
          <w:spacing w:val="-5"/>
          <w:w w:val="105"/>
        </w:rPr>
        <w:t xml:space="preserve"> </w:t>
      </w:r>
      <w:r>
        <w:rPr>
          <w:w w:val="105"/>
        </w:rPr>
        <w:t>intelligence</w:t>
      </w:r>
      <w:r>
        <w:rPr>
          <w:spacing w:val="-1"/>
          <w:w w:val="105"/>
        </w:rPr>
        <w:t xml:space="preserve"> </w:t>
      </w:r>
      <w:r>
        <w:rPr>
          <w:w w:val="105"/>
        </w:rPr>
        <w:t>plays</w:t>
      </w:r>
      <w:r>
        <w:rPr>
          <w:spacing w:val="-8"/>
          <w:w w:val="105"/>
        </w:rPr>
        <w:t xml:space="preserve"> </w:t>
      </w:r>
      <w:r>
        <w:rPr>
          <w:w w:val="105"/>
        </w:rPr>
        <w:t>a critical</w:t>
      </w:r>
      <w:r>
        <w:rPr>
          <w:spacing w:val="-5"/>
          <w:w w:val="105"/>
        </w:rPr>
        <w:t xml:space="preserve"> </w:t>
      </w:r>
      <w:r>
        <w:rPr>
          <w:w w:val="105"/>
        </w:rPr>
        <w:t>role</w:t>
      </w:r>
      <w:r>
        <w:rPr>
          <w:spacing w:val="-7"/>
          <w:w w:val="105"/>
        </w:rPr>
        <w:t xml:space="preserve"> </w:t>
      </w:r>
      <w:r>
        <w:rPr>
          <w:w w:val="105"/>
        </w:rPr>
        <w:t xml:space="preserve">in procurement success. However, many SMEs lack access to reliable information on competitor activities, pricing trends, and market dynamics. Therefore, procurement authorities such as </w:t>
      </w:r>
      <w:r>
        <w:rPr>
          <w:w w:val="105"/>
        </w:rPr>
        <w:t>the Public Procurement Regulatory Authority (PPRA) should establish centralized e-procurement platforms</w:t>
      </w:r>
      <w:r>
        <w:rPr>
          <w:spacing w:val="-4"/>
          <w:w w:val="105"/>
        </w:rPr>
        <w:t xml:space="preserve"> </w:t>
      </w:r>
      <w:r>
        <w:rPr>
          <w:w w:val="105"/>
        </w:rPr>
        <w:t>and</w:t>
      </w:r>
      <w:r>
        <w:rPr>
          <w:spacing w:val="-3"/>
          <w:w w:val="105"/>
        </w:rPr>
        <w:t xml:space="preserve"> </w:t>
      </w:r>
      <w:r>
        <w:rPr>
          <w:w w:val="105"/>
        </w:rPr>
        <w:t>knowledge-sharing portals</w:t>
      </w:r>
      <w:r>
        <w:rPr>
          <w:spacing w:val="-4"/>
          <w:w w:val="105"/>
        </w:rPr>
        <w:t xml:space="preserve"> </w:t>
      </w:r>
      <w:r>
        <w:rPr>
          <w:w w:val="105"/>
        </w:rPr>
        <w:t xml:space="preserve">that disseminate aggregated market intelligence. These platforms can include anonymized benchmarking data, tender trends, </w:t>
      </w:r>
      <w:r>
        <w:rPr>
          <w:w w:val="105"/>
        </w:rPr>
        <w:t>and price analysis, helping SMEs make informed strategic</w:t>
      </w:r>
      <w:r>
        <w:rPr>
          <w:spacing w:val="41"/>
          <w:w w:val="105"/>
        </w:rPr>
        <w:t xml:space="preserve">  </w:t>
      </w:r>
      <w:r>
        <w:rPr>
          <w:w w:val="105"/>
        </w:rPr>
        <w:t>decisions</w:t>
      </w:r>
      <w:r>
        <w:rPr>
          <w:spacing w:val="44"/>
          <w:w w:val="105"/>
        </w:rPr>
        <w:t xml:space="preserve">  </w:t>
      </w:r>
      <w:r>
        <w:rPr>
          <w:w w:val="105"/>
        </w:rPr>
        <w:t>without</w:t>
      </w:r>
      <w:r>
        <w:rPr>
          <w:spacing w:val="43"/>
          <w:w w:val="105"/>
        </w:rPr>
        <w:t xml:space="preserve">  </w:t>
      </w:r>
      <w:r>
        <w:rPr>
          <w:w w:val="105"/>
        </w:rPr>
        <w:t>compromising</w:t>
      </w:r>
      <w:r>
        <w:rPr>
          <w:spacing w:val="39"/>
          <w:w w:val="105"/>
        </w:rPr>
        <w:t xml:space="preserve">  </w:t>
      </w:r>
      <w:r>
        <w:rPr>
          <w:w w:val="105"/>
        </w:rPr>
        <w:t>transparency</w:t>
      </w:r>
      <w:r>
        <w:rPr>
          <w:spacing w:val="42"/>
          <w:w w:val="105"/>
        </w:rPr>
        <w:t xml:space="preserve">  </w:t>
      </w:r>
      <w:r>
        <w:rPr>
          <w:w w:val="105"/>
        </w:rPr>
        <w:t>and</w:t>
      </w:r>
      <w:r>
        <w:rPr>
          <w:spacing w:val="42"/>
          <w:w w:val="105"/>
        </w:rPr>
        <w:t xml:space="preserve">  </w:t>
      </w:r>
      <w:r>
        <w:rPr>
          <w:w w:val="105"/>
        </w:rPr>
        <w:t>fairness.</w:t>
      </w:r>
      <w:r>
        <w:rPr>
          <w:spacing w:val="50"/>
          <w:w w:val="105"/>
        </w:rPr>
        <w:t xml:space="preserve">  </w:t>
      </w:r>
      <w:r>
        <w:rPr>
          <w:spacing w:val="-4"/>
          <w:w w:val="105"/>
        </w:rPr>
        <w:t>Such</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6"/>
        <w:jc w:val="both"/>
      </w:pPr>
      <w:r>
        <w:rPr>
          <w:w w:val="105"/>
        </w:rPr>
        <w:t>interventions would empower SMEs to craft competitive proposals aligned</w:t>
      </w:r>
      <w:r>
        <w:rPr>
          <w:w w:val="105"/>
        </w:rPr>
        <w:t xml:space="preserve"> with client expectations, thus enhancing their procurement success rates.</w:t>
      </w:r>
    </w:p>
    <w:p w:rsidR="00487D64" w:rsidRDefault="006F0D93">
      <w:pPr>
        <w:pStyle w:val="BodyText"/>
        <w:spacing w:before="236" w:line="501" w:lineRule="auto"/>
        <w:ind w:left="1419" w:right="847"/>
        <w:jc w:val="both"/>
      </w:pPr>
      <w:r>
        <w:rPr>
          <w:w w:val="105"/>
        </w:rPr>
        <w:t>Thirdly, given</w:t>
      </w:r>
      <w:r>
        <w:rPr>
          <w:spacing w:val="-1"/>
          <w:w w:val="105"/>
        </w:rPr>
        <w:t xml:space="preserve"> </w:t>
      </w:r>
      <w:r>
        <w:rPr>
          <w:w w:val="105"/>
        </w:rPr>
        <w:t>the study’s finding that strategic flexibility significantly enhances</w:t>
      </w:r>
      <w:r>
        <w:rPr>
          <w:spacing w:val="-3"/>
          <w:w w:val="105"/>
        </w:rPr>
        <w:t xml:space="preserve"> </w:t>
      </w:r>
      <w:r>
        <w:rPr>
          <w:w w:val="105"/>
        </w:rPr>
        <w:t>the effect of competitor orientation yet remains constrained by structural barriers, there is a</w:t>
      </w:r>
      <w:r>
        <w:rPr>
          <w:w w:val="105"/>
        </w:rPr>
        <w:t xml:space="preserve"> clear need for policy efforts that promote digital and innovation capabilities. Governments should facilitate access to e-procurement platforms, digital customer relationship management (CRM) tools, artificial intelligence-driven analytics, and mobile</w:t>
      </w:r>
      <w:r>
        <w:rPr>
          <w:spacing w:val="-1"/>
          <w:w w:val="105"/>
        </w:rPr>
        <w:t xml:space="preserve"> </w:t>
      </w:r>
      <w:r>
        <w:rPr>
          <w:w w:val="105"/>
        </w:rPr>
        <w:t>ten</w:t>
      </w:r>
      <w:r>
        <w:rPr>
          <w:w w:val="105"/>
        </w:rPr>
        <w:t>dering applications</w:t>
      </w:r>
      <w:r>
        <w:rPr>
          <w:spacing w:val="-2"/>
          <w:w w:val="105"/>
        </w:rPr>
        <w:t xml:space="preserve"> </w:t>
      </w:r>
      <w:r>
        <w:rPr>
          <w:w w:val="105"/>
        </w:rPr>
        <w:t xml:space="preserve">through subsidies, tax incentives, or innovation grants (Akbar, 2024; Chen et al., 2020). Additionally, integrating special group SMEs into national innovation frameworks via incubators, vouchers, and technical assistance can cultivate </w:t>
      </w:r>
      <w:r>
        <w:rPr>
          <w:w w:val="105"/>
        </w:rPr>
        <w:t>the dynamic capabilities needed for long-term competitiveness.</w:t>
      </w:r>
    </w:p>
    <w:p w:rsidR="00487D64" w:rsidRDefault="006F0D93">
      <w:pPr>
        <w:pStyle w:val="BodyText"/>
        <w:spacing w:before="234" w:line="501" w:lineRule="auto"/>
        <w:ind w:left="1419" w:right="847"/>
        <w:jc w:val="both"/>
      </w:pPr>
      <w:r>
        <w:rPr>
          <w:w w:val="105"/>
        </w:rPr>
        <w:t>Fourth, the insignificant role of functional coordination in driving sustainable competitiveness suggests that public procurement evaluation criteria may need reform. Current procurement practi</w:t>
      </w:r>
      <w:r>
        <w:rPr>
          <w:w w:val="105"/>
        </w:rPr>
        <w:t>ces often emphasize compliance and procedural conformity over strategic value. Therefore, policy-makers should revise tender evaluation frameworks to incorporate innovation, customer responsiveness, and service quality as core scoring components (Maurer, 2</w:t>
      </w:r>
      <w:r>
        <w:rPr>
          <w:w w:val="105"/>
        </w:rPr>
        <w:t>022). This would shift procurement practices from being primarily transactional to strategically developmental, incentivizing SMEs to invest in strategic alignment and long-term capability building.</w:t>
      </w:r>
    </w:p>
    <w:p w:rsidR="00487D64" w:rsidRDefault="006F0D93">
      <w:pPr>
        <w:pStyle w:val="BodyText"/>
        <w:spacing w:before="233" w:line="504" w:lineRule="auto"/>
        <w:ind w:left="1419" w:right="848"/>
        <w:jc w:val="both"/>
      </w:pPr>
      <w:r>
        <w:rPr>
          <w:w w:val="105"/>
        </w:rPr>
        <w:t>Fifth,</w:t>
      </w:r>
      <w:r>
        <w:rPr>
          <w:spacing w:val="-8"/>
          <w:w w:val="105"/>
        </w:rPr>
        <w:t xml:space="preserve"> </w:t>
      </w:r>
      <w:r>
        <w:rPr>
          <w:w w:val="105"/>
        </w:rPr>
        <w:t>the</w:t>
      </w:r>
      <w:r>
        <w:rPr>
          <w:spacing w:val="-5"/>
          <w:w w:val="105"/>
        </w:rPr>
        <w:t xml:space="preserve"> </w:t>
      </w:r>
      <w:r>
        <w:rPr>
          <w:w w:val="105"/>
        </w:rPr>
        <w:t>study</w:t>
      </w:r>
      <w:r>
        <w:rPr>
          <w:spacing w:val="-10"/>
          <w:w w:val="105"/>
        </w:rPr>
        <w:t xml:space="preserve"> </w:t>
      </w:r>
      <w:r>
        <w:rPr>
          <w:w w:val="105"/>
        </w:rPr>
        <w:t>highlights</w:t>
      </w:r>
      <w:r>
        <w:rPr>
          <w:spacing w:val="-12"/>
          <w:w w:val="105"/>
        </w:rPr>
        <w:t xml:space="preserve"> </w:t>
      </w:r>
      <w:r>
        <w:rPr>
          <w:w w:val="105"/>
        </w:rPr>
        <w:t>the</w:t>
      </w:r>
      <w:r>
        <w:rPr>
          <w:spacing w:val="-11"/>
          <w:w w:val="105"/>
        </w:rPr>
        <w:t xml:space="preserve"> </w:t>
      </w:r>
      <w:r>
        <w:rPr>
          <w:w w:val="105"/>
        </w:rPr>
        <w:t>continued</w:t>
      </w:r>
      <w:r>
        <w:rPr>
          <w:spacing w:val="-4"/>
          <w:w w:val="105"/>
        </w:rPr>
        <w:t xml:space="preserve"> </w:t>
      </w:r>
      <w:r>
        <w:rPr>
          <w:w w:val="105"/>
        </w:rPr>
        <w:t>structural</w:t>
      </w:r>
      <w:r>
        <w:rPr>
          <w:spacing w:val="-8"/>
          <w:w w:val="105"/>
        </w:rPr>
        <w:t xml:space="preserve"> </w:t>
      </w:r>
      <w:r>
        <w:rPr>
          <w:w w:val="105"/>
        </w:rPr>
        <w:t>disa</w:t>
      </w:r>
      <w:r>
        <w:rPr>
          <w:w w:val="105"/>
        </w:rPr>
        <w:t>dvantages</w:t>
      </w:r>
      <w:r>
        <w:rPr>
          <w:spacing w:val="-12"/>
          <w:w w:val="105"/>
        </w:rPr>
        <w:t xml:space="preserve"> </w:t>
      </w:r>
      <w:r>
        <w:rPr>
          <w:w w:val="105"/>
        </w:rPr>
        <w:t>facing</w:t>
      </w:r>
      <w:r>
        <w:rPr>
          <w:spacing w:val="-4"/>
          <w:w w:val="105"/>
        </w:rPr>
        <w:t xml:space="preserve"> </w:t>
      </w:r>
      <w:r>
        <w:rPr>
          <w:w w:val="105"/>
        </w:rPr>
        <w:t>special</w:t>
      </w:r>
      <w:r>
        <w:rPr>
          <w:spacing w:val="-14"/>
          <w:w w:val="105"/>
        </w:rPr>
        <w:t xml:space="preserve"> </w:t>
      </w:r>
      <w:r>
        <w:rPr>
          <w:w w:val="105"/>
        </w:rPr>
        <w:t>group SMEs.</w:t>
      </w:r>
      <w:r>
        <w:rPr>
          <w:spacing w:val="-6"/>
          <w:w w:val="105"/>
        </w:rPr>
        <w:t xml:space="preserve"> </w:t>
      </w:r>
      <w:r>
        <w:rPr>
          <w:w w:val="105"/>
        </w:rPr>
        <w:t>To</w:t>
      </w:r>
      <w:r>
        <w:rPr>
          <w:spacing w:val="-8"/>
          <w:w w:val="105"/>
        </w:rPr>
        <w:t xml:space="preserve"> </w:t>
      </w:r>
      <w:r>
        <w:rPr>
          <w:w w:val="105"/>
        </w:rPr>
        <w:t>address</w:t>
      </w:r>
      <w:r>
        <w:rPr>
          <w:spacing w:val="-10"/>
          <w:w w:val="105"/>
        </w:rPr>
        <w:t xml:space="preserve"> </w:t>
      </w:r>
      <w:r>
        <w:rPr>
          <w:w w:val="105"/>
        </w:rPr>
        <w:t>these</w:t>
      </w:r>
      <w:r>
        <w:rPr>
          <w:spacing w:val="-3"/>
          <w:w w:val="105"/>
        </w:rPr>
        <w:t xml:space="preserve"> </w:t>
      </w:r>
      <w:r>
        <w:rPr>
          <w:w w:val="105"/>
        </w:rPr>
        <w:t>barriers, policies</w:t>
      </w:r>
      <w:r>
        <w:rPr>
          <w:spacing w:val="-3"/>
          <w:w w:val="105"/>
        </w:rPr>
        <w:t xml:space="preserve"> </w:t>
      </w:r>
      <w:r>
        <w:rPr>
          <w:w w:val="105"/>
        </w:rPr>
        <w:t>must</w:t>
      </w:r>
      <w:r>
        <w:rPr>
          <w:spacing w:val="-6"/>
          <w:w w:val="105"/>
        </w:rPr>
        <w:t xml:space="preserve"> </w:t>
      </w:r>
      <w:r>
        <w:rPr>
          <w:w w:val="105"/>
        </w:rPr>
        <w:t>institutionalize</w:t>
      </w:r>
      <w:r>
        <w:rPr>
          <w:spacing w:val="-9"/>
          <w:w w:val="105"/>
        </w:rPr>
        <w:t xml:space="preserve"> </w:t>
      </w:r>
      <w:r>
        <w:rPr>
          <w:w w:val="105"/>
        </w:rPr>
        <w:t>inclusive</w:t>
      </w:r>
      <w:r>
        <w:rPr>
          <w:spacing w:val="-3"/>
          <w:w w:val="105"/>
        </w:rPr>
        <w:t xml:space="preserve"> </w:t>
      </w:r>
      <w:r>
        <w:rPr>
          <w:w w:val="105"/>
        </w:rPr>
        <w:t>procurement mechanisms</w:t>
      </w:r>
      <w:r>
        <w:rPr>
          <w:spacing w:val="60"/>
          <w:w w:val="150"/>
        </w:rPr>
        <w:t xml:space="preserve"> </w:t>
      </w:r>
      <w:r>
        <w:rPr>
          <w:w w:val="105"/>
        </w:rPr>
        <w:t>such</w:t>
      </w:r>
      <w:r>
        <w:rPr>
          <w:spacing w:val="57"/>
          <w:w w:val="150"/>
        </w:rPr>
        <w:t xml:space="preserve"> </w:t>
      </w:r>
      <w:r>
        <w:rPr>
          <w:w w:val="105"/>
        </w:rPr>
        <w:t>as</w:t>
      </w:r>
      <w:r>
        <w:rPr>
          <w:spacing w:val="60"/>
          <w:w w:val="150"/>
        </w:rPr>
        <w:t xml:space="preserve"> </w:t>
      </w:r>
      <w:r>
        <w:rPr>
          <w:w w:val="105"/>
        </w:rPr>
        <w:t>set-asides,</w:t>
      </w:r>
      <w:r>
        <w:rPr>
          <w:spacing w:val="64"/>
          <w:w w:val="150"/>
        </w:rPr>
        <w:t xml:space="preserve"> </w:t>
      </w:r>
      <w:r>
        <w:rPr>
          <w:w w:val="105"/>
        </w:rPr>
        <w:t>preferential</w:t>
      </w:r>
      <w:r>
        <w:rPr>
          <w:spacing w:val="65"/>
          <w:w w:val="150"/>
        </w:rPr>
        <w:t xml:space="preserve"> </w:t>
      </w:r>
      <w:r>
        <w:rPr>
          <w:w w:val="105"/>
        </w:rPr>
        <w:t>scoring</w:t>
      </w:r>
      <w:r>
        <w:rPr>
          <w:spacing w:val="63"/>
          <w:w w:val="150"/>
        </w:rPr>
        <w:t xml:space="preserve"> </w:t>
      </w:r>
      <w:r>
        <w:rPr>
          <w:w w:val="105"/>
        </w:rPr>
        <w:t>systems,</w:t>
      </w:r>
      <w:r>
        <w:rPr>
          <w:spacing w:val="58"/>
          <w:w w:val="150"/>
        </w:rPr>
        <w:t xml:space="preserve"> </w:t>
      </w:r>
      <w:r>
        <w:rPr>
          <w:w w:val="105"/>
        </w:rPr>
        <w:t>and</w:t>
      </w:r>
      <w:r>
        <w:rPr>
          <w:spacing w:val="57"/>
          <w:w w:val="150"/>
        </w:rPr>
        <w:t xml:space="preserve"> </w:t>
      </w:r>
      <w:r>
        <w:rPr>
          <w:w w:val="105"/>
        </w:rPr>
        <w:t>quota-</w:t>
      </w:r>
      <w:r>
        <w:rPr>
          <w:spacing w:val="-2"/>
          <w:w w:val="105"/>
        </w:rPr>
        <w:t>based</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59"/>
        <w:jc w:val="both"/>
      </w:pPr>
      <w:r>
        <w:rPr>
          <w:w w:val="105"/>
        </w:rPr>
        <w:t>allocations. These affirmative action</w:t>
      </w:r>
      <w:r>
        <w:rPr>
          <w:w w:val="105"/>
        </w:rPr>
        <w:t xml:space="preserve"> tools have proven effective in increasing participation</w:t>
      </w:r>
      <w:r>
        <w:rPr>
          <w:spacing w:val="-8"/>
          <w:w w:val="105"/>
        </w:rPr>
        <w:t xml:space="preserve"> </w:t>
      </w:r>
      <w:r>
        <w:rPr>
          <w:w w:val="105"/>
        </w:rPr>
        <w:t>rates</w:t>
      </w:r>
      <w:r>
        <w:rPr>
          <w:spacing w:val="-16"/>
          <w:w w:val="105"/>
        </w:rPr>
        <w:t xml:space="preserve"> </w:t>
      </w:r>
      <w:r>
        <w:rPr>
          <w:w w:val="105"/>
        </w:rPr>
        <w:t>and</w:t>
      </w:r>
      <w:r>
        <w:rPr>
          <w:spacing w:val="-7"/>
          <w:w w:val="105"/>
        </w:rPr>
        <w:t xml:space="preserve"> </w:t>
      </w:r>
      <w:r>
        <w:rPr>
          <w:w w:val="105"/>
        </w:rPr>
        <w:t>leveling</w:t>
      </w:r>
      <w:r>
        <w:rPr>
          <w:spacing w:val="-8"/>
          <w:w w:val="105"/>
        </w:rPr>
        <w:t xml:space="preserve"> </w:t>
      </w:r>
      <w:r>
        <w:rPr>
          <w:w w:val="105"/>
        </w:rPr>
        <w:t>the</w:t>
      </w:r>
      <w:r>
        <w:rPr>
          <w:spacing w:val="-9"/>
          <w:w w:val="105"/>
        </w:rPr>
        <w:t xml:space="preserve"> </w:t>
      </w:r>
      <w:r>
        <w:rPr>
          <w:w w:val="105"/>
        </w:rPr>
        <w:t>playing</w:t>
      </w:r>
      <w:r>
        <w:rPr>
          <w:spacing w:val="-2"/>
          <w:w w:val="105"/>
        </w:rPr>
        <w:t xml:space="preserve"> </w:t>
      </w:r>
      <w:r>
        <w:rPr>
          <w:w w:val="105"/>
        </w:rPr>
        <w:t>field</w:t>
      </w:r>
      <w:r>
        <w:rPr>
          <w:spacing w:val="-14"/>
          <w:w w:val="105"/>
        </w:rPr>
        <w:t xml:space="preserve"> </w:t>
      </w:r>
      <w:r>
        <w:rPr>
          <w:w w:val="105"/>
        </w:rPr>
        <w:t>in</w:t>
      </w:r>
      <w:r>
        <w:rPr>
          <w:spacing w:val="-8"/>
          <w:w w:val="105"/>
        </w:rPr>
        <w:t xml:space="preserve"> </w:t>
      </w:r>
      <w:r>
        <w:rPr>
          <w:w w:val="105"/>
        </w:rPr>
        <w:t>other</w:t>
      </w:r>
      <w:r>
        <w:rPr>
          <w:spacing w:val="-4"/>
          <w:w w:val="105"/>
        </w:rPr>
        <w:t xml:space="preserve"> </w:t>
      </w:r>
      <w:r>
        <w:rPr>
          <w:w w:val="105"/>
        </w:rPr>
        <w:t>procurement</w:t>
      </w:r>
      <w:r>
        <w:rPr>
          <w:spacing w:val="-6"/>
          <w:w w:val="105"/>
        </w:rPr>
        <w:t xml:space="preserve"> </w:t>
      </w:r>
      <w:r>
        <w:rPr>
          <w:w w:val="105"/>
        </w:rPr>
        <w:t>settings</w:t>
      </w:r>
      <w:r>
        <w:rPr>
          <w:spacing w:val="-16"/>
          <w:w w:val="105"/>
        </w:rPr>
        <w:t xml:space="preserve"> </w:t>
      </w:r>
      <w:r>
        <w:rPr>
          <w:w w:val="105"/>
        </w:rPr>
        <w:t>(World Bank,</w:t>
      </w:r>
      <w:r>
        <w:rPr>
          <w:spacing w:val="-1"/>
          <w:w w:val="105"/>
        </w:rPr>
        <w:t xml:space="preserve"> </w:t>
      </w:r>
      <w:r>
        <w:rPr>
          <w:w w:val="105"/>
        </w:rPr>
        <w:t>2022).</w:t>
      </w:r>
      <w:r>
        <w:rPr>
          <w:spacing w:val="-1"/>
          <w:w w:val="105"/>
        </w:rPr>
        <w:t xml:space="preserve"> </w:t>
      </w:r>
      <w:r>
        <w:rPr>
          <w:w w:val="105"/>
        </w:rPr>
        <w:t>Further, simplifying registration, qualification,</w:t>
      </w:r>
      <w:r>
        <w:rPr>
          <w:spacing w:val="-1"/>
          <w:w w:val="105"/>
        </w:rPr>
        <w:t xml:space="preserve"> </w:t>
      </w:r>
      <w:r>
        <w:rPr>
          <w:w w:val="105"/>
        </w:rPr>
        <w:t>and bidding procedures through digitalization and standardized</w:t>
      </w:r>
      <w:r>
        <w:rPr>
          <w:w w:val="105"/>
        </w:rPr>
        <w:t xml:space="preserve"> documentation would reduce administrative burdens and encourage broader SMEs engagement.</w:t>
      </w:r>
    </w:p>
    <w:p w:rsidR="00487D64" w:rsidRDefault="006F0D93">
      <w:pPr>
        <w:pStyle w:val="BodyText"/>
        <w:spacing w:before="240" w:line="501" w:lineRule="auto"/>
        <w:ind w:left="1419" w:right="852"/>
        <w:jc w:val="both"/>
      </w:pPr>
      <w:r>
        <w:rPr>
          <w:w w:val="105"/>
        </w:rPr>
        <w:t xml:space="preserve">Finally, the implementation of these policy measures requires coordinated action among various stakeholders. Effective support for SMEs demands collaboration between </w:t>
      </w:r>
      <w:r>
        <w:rPr>
          <w:w w:val="105"/>
        </w:rPr>
        <w:t>procurement regulators, SMEs development institutions, academia, and the private</w:t>
      </w:r>
      <w:r>
        <w:rPr>
          <w:spacing w:val="-11"/>
          <w:w w:val="105"/>
        </w:rPr>
        <w:t xml:space="preserve"> </w:t>
      </w:r>
      <w:r>
        <w:rPr>
          <w:w w:val="105"/>
        </w:rPr>
        <w:t>sector.</w:t>
      </w:r>
      <w:r>
        <w:rPr>
          <w:spacing w:val="-14"/>
          <w:w w:val="105"/>
        </w:rPr>
        <w:t xml:space="preserve"> </w:t>
      </w:r>
      <w:r>
        <w:rPr>
          <w:w w:val="105"/>
        </w:rPr>
        <w:t>Joint</w:t>
      </w:r>
      <w:r>
        <w:rPr>
          <w:spacing w:val="-8"/>
          <w:w w:val="105"/>
        </w:rPr>
        <w:t xml:space="preserve"> </w:t>
      </w:r>
      <w:r>
        <w:rPr>
          <w:w w:val="105"/>
        </w:rPr>
        <w:t>initiatives</w:t>
      </w:r>
      <w:r>
        <w:rPr>
          <w:spacing w:val="-11"/>
          <w:w w:val="105"/>
        </w:rPr>
        <w:t xml:space="preserve"> </w:t>
      </w:r>
      <w:r>
        <w:rPr>
          <w:w w:val="105"/>
        </w:rPr>
        <w:t>such</w:t>
      </w:r>
      <w:r>
        <w:rPr>
          <w:spacing w:val="-10"/>
          <w:w w:val="105"/>
        </w:rPr>
        <w:t xml:space="preserve"> </w:t>
      </w:r>
      <w:r>
        <w:rPr>
          <w:w w:val="105"/>
        </w:rPr>
        <w:t>as</w:t>
      </w:r>
      <w:r>
        <w:rPr>
          <w:spacing w:val="-12"/>
          <w:w w:val="105"/>
        </w:rPr>
        <w:t xml:space="preserve"> </w:t>
      </w:r>
      <w:r>
        <w:rPr>
          <w:w w:val="105"/>
        </w:rPr>
        <w:t>public-private</w:t>
      </w:r>
      <w:r>
        <w:rPr>
          <w:spacing w:val="-11"/>
          <w:w w:val="105"/>
        </w:rPr>
        <w:t xml:space="preserve"> </w:t>
      </w:r>
      <w:r>
        <w:rPr>
          <w:w w:val="105"/>
        </w:rPr>
        <w:t>supplier</w:t>
      </w:r>
      <w:r>
        <w:rPr>
          <w:spacing w:val="-6"/>
          <w:w w:val="105"/>
        </w:rPr>
        <w:t xml:space="preserve"> </w:t>
      </w:r>
      <w:r>
        <w:rPr>
          <w:w w:val="105"/>
        </w:rPr>
        <w:t>development</w:t>
      </w:r>
      <w:r>
        <w:rPr>
          <w:spacing w:val="-8"/>
          <w:w w:val="105"/>
        </w:rPr>
        <w:t xml:space="preserve"> </w:t>
      </w:r>
      <w:r>
        <w:rPr>
          <w:w w:val="105"/>
        </w:rPr>
        <w:t>programs, e-procurement training,</w:t>
      </w:r>
      <w:r>
        <w:rPr>
          <w:spacing w:val="-1"/>
          <w:w w:val="105"/>
        </w:rPr>
        <w:t xml:space="preserve"> </w:t>
      </w:r>
      <w:r>
        <w:rPr>
          <w:w w:val="105"/>
        </w:rPr>
        <w:t>and capacity assessment frameworks can ensure that special group</w:t>
      </w:r>
      <w:r>
        <w:rPr>
          <w:spacing w:val="-5"/>
          <w:w w:val="105"/>
        </w:rPr>
        <w:t xml:space="preserve"> </w:t>
      </w:r>
      <w:r>
        <w:rPr>
          <w:w w:val="105"/>
        </w:rPr>
        <w:t>SMEs</w:t>
      </w:r>
      <w:r>
        <w:rPr>
          <w:spacing w:val="-14"/>
          <w:w w:val="105"/>
        </w:rPr>
        <w:t xml:space="preserve"> </w:t>
      </w:r>
      <w:r>
        <w:rPr>
          <w:w w:val="105"/>
        </w:rPr>
        <w:t>are</w:t>
      </w:r>
      <w:r>
        <w:rPr>
          <w:spacing w:val="-7"/>
          <w:w w:val="105"/>
        </w:rPr>
        <w:t xml:space="preserve"> </w:t>
      </w:r>
      <w:r>
        <w:rPr>
          <w:w w:val="105"/>
        </w:rPr>
        <w:t>not</w:t>
      </w:r>
      <w:r>
        <w:rPr>
          <w:spacing w:val="-4"/>
          <w:w w:val="105"/>
        </w:rPr>
        <w:t xml:space="preserve"> </w:t>
      </w:r>
      <w:r>
        <w:rPr>
          <w:w w:val="105"/>
        </w:rPr>
        <w:t>only</w:t>
      </w:r>
      <w:r>
        <w:rPr>
          <w:spacing w:val="-6"/>
          <w:w w:val="105"/>
        </w:rPr>
        <w:t xml:space="preserve"> </w:t>
      </w:r>
      <w:r>
        <w:rPr>
          <w:w w:val="105"/>
        </w:rPr>
        <w:t>able</w:t>
      </w:r>
      <w:r>
        <w:rPr>
          <w:spacing w:val="-7"/>
          <w:w w:val="105"/>
        </w:rPr>
        <w:t xml:space="preserve"> </w:t>
      </w:r>
      <w:r>
        <w:rPr>
          <w:w w:val="105"/>
        </w:rPr>
        <w:t>to</w:t>
      </w:r>
      <w:r>
        <w:rPr>
          <w:spacing w:val="-6"/>
          <w:w w:val="105"/>
        </w:rPr>
        <w:t xml:space="preserve"> </w:t>
      </w:r>
      <w:r>
        <w:rPr>
          <w:w w:val="105"/>
        </w:rPr>
        <w:t>access</w:t>
      </w:r>
      <w:r>
        <w:rPr>
          <w:spacing w:val="-8"/>
          <w:w w:val="105"/>
        </w:rPr>
        <w:t xml:space="preserve"> </w:t>
      </w:r>
      <w:r>
        <w:rPr>
          <w:w w:val="105"/>
        </w:rPr>
        <w:t>public</w:t>
      </w:r>
      <w:r>
        <w:rPr>
          <w:spacing w:val="-7"/>
          <w:w w:val="105"/>
        </w:rPr>
        <w:t xml:space="preserve"> </w:t>
      </w:r>
      <w:r>
        <w:rPr>
          <w:w w:val="105"/>
        </w:rPr>
        <w:t>procurement</w:t>
      </w:r>
      <w:r>
        <w:rPr>
          <w:spacing w:val="-4"/>
          <w:w w:val="105"/>
        </w:rPr>
        <w:t xml:space="preserve"> </w:t>
      </w:r>
      <w:r>
        <w:rPr>
          <w:w w:val="105"/>
        </w:rPr>
        <w:t>opportunities</w:t>
      </w:r>
      <w:r>
        <w:rPr>
          <w:spacing w:val="-9"/>
          <w:w w:val="105"/>
        </w:rPr>
        <w:t xml:space="preserve"> </w:t>
      </w:r>
      <w:r>
        <w:rPr>
          <w:w w:val="105"/>
        </w:rPr>
        <w:t>but</w:t>
      </w:r>
      <w:r>
        <w:rPr>
          <w:spacing w:val="-10"/>
          <w:w w:val="105"/>
        </w:rPr>
        <w:t xml:space="preserve"> </w:t>
      </w:r>
      <w:r>
        <w:rPr>
          <w:w w:val="105"/>
        </w:rPr>
        <w:t>are</w:t>
      </w:r>
      <w:r>
        <w:rPr>
          <w:spacing w:val="-7"/>
          <w:w w:val="105"/>
        </w:rPr>
        <w:t xml:space="preserve"> </w:t>
      </w:r>
      <w:r>
        <w:rPr>
          <w:w w:val="105"/>
        </w:rPr>
        <w:t xml:space="preserve">also equipped to deliver competitively and sustainably (Tammi et al., 2014; Khan et al., </w:t>
      </w:r>
      <w:r>
        <w:rPr>
          <w:spacing w:val="-2"/>
          <w:w w:val="105"/>
        </w:rPr>
        <w:t>2022).</w:t>
      </w:r>
    </w:p>
    <w:p w:rsidR="00487D64" w:rsidRDefault="00487D64">
      <w:pPr>
        <w:pStyle w:val="BodyText"/>
      </w:pPr>
    </w:p>
    <w:p w:rsidR="00487D64" w:rsidRDefault="00487D64">
      <w:pPr>
        <w:pStyle w:val="BodyText"/>
        <w:spacing w:before="26"/>
      </w:pPr>
    </w:p>
    <w:p w:rsidR="00487D64" w:rsidRDefault="006F0D93">
      <w:pPr>
        <w:pStyle w:val="ListParagraph"/>
        <w:numPr>
          <w:ilvl w:val="1"/>
          <w:numId w:val="6"/>
        </w:numPr>
        <w:tabs>
          <w:tab w:val="left" w:pos="1988"/>
        </w:tabs>
        <w:spacing w:before="1"/>
        <w:ind w:hanging="569"/>
        <w:rPr>
          <w:b/>
          <w:sz w:val="23"/>
        </w:rPr>
      </w:pPr>
      <w:bookmarkStart w:id="243" w:name="6.5__Study_Recommendations"/>
      <w:bookmarkStart w:id="244" w:name="_bookmark117"/>
      <w:bookmarkEnd w:id="243"/>
      <w:bookmarkEnd w:id="244"/>
      <w:r>
        <w:rPr>
          <w:b/>
          <w:w w:val="105"/>
          <w:sz w:val="23"/>
        </w:rPr>
        <w:t>Study</w:t>
      </w:r>
      <w:r>
        <w:rPr>
          <w:b/>
          <w:spacing w:val="-14"/>
          <w:w w:val="105"/>
          <w:sz w:val="23"/>
        </w:rPr>
        <w:t xml:space="preserve"> </w:t>
      </w:r>
      <w:r>
        <w:rPr>
          <w:b/>
          <w:spacing w:val="-2"/>
          <w:w w:val="105"/>
          <w:sz w:val="23"/>
        </w:rPr>
        <w:t>Recommendations</w:t>
      </w:r>
    </w:p>
    <w:p w:rsidR="00487D64" w:rsidRDefault="00487D64">
      <w:pPr>
        <w:pStyle w:val="BodyText"/>
        <w:spacing w:before="11"/>
        <w:rPr>
          <w:b/>
        </w:rPr>
      </w:pPr>
    </w:p>
    <w:p w:rsidR="00487D64" w:rsidRDefault="006F0D93">
      <w:pPr>
        <w:pStyle w:val="BodyText"/>
        <w:spacing w:line="504" w:lineRule="auto"/>
        <w:ind w:left="1419" w:right="870"/>
        <w:jc w:val="both"/>
      </w:pPr>
      <w:r>
        <w:rPr>
          <w:w w:val="105"/>
        </w:rPr>
        <w:t>Drawing from the study’s findings, several recommendations are</w:t>
      </w:r>
      <w:r>
        <w:rPr>
          <w:w w:val="105"/>
        </w:rPr>
        <w:t xml:space="preserve"> proposed to enhance the sustainable competitiveness of SMEs engaged in public procurement.</w:t>
      </w:r>
    </w:p>
    <w:p w:rsidR="00487D64" w:rsidRDefault="00487D64">
      <w:pPr>
        <w:pStyle w:val="BodyText"/>
      </w:pPr>
    </w:p>
    <w:p w:rsidR="00487D64" w:rsidRDefault="00487D64">
      <w:pPr>
        <w:pStyle w:val="BodyText"/>
        <w:spacing w:before="24"/>
      </w:pPr>
    </w:p>
    <w:p w:rsidR="00487D64" w:rsidRDefault="006F0D93">
      <w:pPr>
        <w:pStyle w:val="ListParagraph"/>
        <w:numPr>
          <w:ilvl w:val="2"/>
          <w:numId w:val="6"/>
        </w:numPr>
        <w:tabs>
          <w:tab w:val="left" w:pos="2125"/>
        </w:tabs>
        <w:ind w:hanging="706"/>
        <w:rPr>
          <w:b/>
          <w:sz w:val="23"/>
        </w:rPr>
      </w:pPr>
      <w:bookmarkStart w:id="245" w:name="6.5.1__Influence_of_Customer_Orientation"/>
      <w:bookmarkStart w:id="246" w:name="_bookmark118"/>
      <w:bookmarkEnd w:id="245"/>
      <w:bookmarkEnd w:id="246"/>
      <w:r>
        <w:rPr>
          <w:b/>
          <w:sz w:val="23"/>
        </w:rPr>
        <w:t>Influence</w:t>
      </w:r>
      <w:r>
        <w:rPr>
          <w:b/>
          <w:spacing w:val="27"/>
          <w:sz w:val="23"/>
        </w:rPr>
        <w:t xml:space="preserve"> </w:t>
      </w:r>
      <w:r>
        <w:rPr>
          <w:b/>
          <w:sz w:val="23"/>
        </w:rPr>
        <w:t>of</w:t>
      </w:r>
      <w:r>
        <w:rPr>
          <w:b/>
          <w:spacing w:val="26"/>
          <w:sz w:val="23"/>
        </w:rPr>
        <w:t xml:space="preserve"> </w:t>
      </w:r>
      <w:r>
        <w:rPr>
          <w:b/>
          <w:sz w:val="23"/>
        </w:rPr>
        <w:t>Customer</w:t>
      </w:r>
      <w:r>
        <w:rPr>
          <w:b/>
          <w:spacing w:val="27"/>
          <w:sz w:val="23"/>
        </w:rPr>
        <w:t xml:space="preserve"> </w:t>
      </w:r>
      <w:r>
        <w:rPr>
          <w:b/>
          <w:sz w:val="23"/>
        </w:rPr>
        <w:t>Orientation</w:t>
      </w:r>
      <w:r>
        <w:rPr>
          <w:b/>
          <w:spacing w:val="30"/>
          <w:sz w:val="23"/>
        </w:rPr>
        <w:t xml:space="preserve"> </w:t>
      </w:r>
      <w:r>
        <w:rPr>
          <w:b/>
          <w:sz w:val="23"/>
        </w:rPr>
        <w:t>on</w:t>
      </w:r>
      <w:r>
        <w:rPr>
          <w:b/>
          <w:spacing w:val="33"/>
          <w:sz w:val="23"/>
        </w:rPr>
        <w:t xml:space="preserve"> </w:t>
      </w:r>
      <w:r>
        <w:rPr>
          <w:b/>
          <w:sz w:val="23"/>
        </w:rPr>
        <w:t>Sustainable</w:t>
      </w:r>
      <w:r>
        <w:rPr>
          <w:b/>
          <w:spacing w:val="27"/>
          <w:sz w:val="23"/>
        </w:rPr>
        <w:t xml:space="preserve"> </w:t>
      </w:r>
      <w:r>
        <w:rPr>
          <w:b/>
          <w:spacing w:val="-2"/>
          <w:sz w:val="23"/>
        </w:rPr>
        <w:t>Competitiveness</w:t>
      </w:r>
    </w:p>
    <w:p w:rsidR="00487D64" w:rsidRDefault="00487D64">
      <w:pPr>
        <w:pStyle w:val="BodyText"/>
        <w:spacing w:before="19"/>
        <w:rPr>
          <w:b/>
        </w:rPr>
      </w:pPr>
    </w:p>
    <w:p w:rsidR="00487D64" w:rsidRDefault="006F0D93">
      <w:pPr>
        <w:pStyle w:val="BodyText"/>
        <w:spacing w:line="499" w:lineRule="auto"/>
        <w:ind w:left="1419" w:right="845"/>
        <w:jc w:val="both"/>
      </w:pPr>
      <w:r>
        <w:rPr>
          <w:w w:val="105"/>
        </w:rPr>
        <w:t>The study established that customer orientation significantly contributes to SMEs ability to</w:t>
      </w:r>
      <w:r>
        <w:rPr>
          <w:w w:val="105"/>
        </w:rPr>
        <w:t xml:space="preserve"> remain competitive in the public procurement environment. This finding supports</w:t>
      </w:r>
      <w:r>
        <w:rPr>
          <w:spacing w:val="70"/>
          <w:w w:val="105"/>
        </w:rPr>
        <w:t xml:space="preserve"> </w:t>
      </w:r>
      <w:r>
        <w:rPr>
          <w:w w:val="105"/>
        </w:rPr>
        <w:t>the</w:t>
      </w:r>
      <w:r>
        <w:rPr>
          <w:spacing w:val="78"/>
          <w:w w:val="105"/>
        </w:rPr>
        <w:t xml:space="preserve"> </w:t>
      </w:r>
      <w:r>
        <w:rPr>
          <w:w w:val="105"/>
        </w:rPr>
        <w:t>Market</w:t>
      </w:r>
      <w:r>
        <w:rPr>
          <w:spacing w:val="80"/>
          <w:w w:val="105"/>
        </w:rPr>
        <w:t xml:space="preserve"> </w:t>
      </w:r>
      <w:r>
        <w:rPr>
          <w:w w:val="105"/>
        </w:rPr>
        <w:t>Orientation</w:t>
      </w:r>
      <w:r>
        <w:rPr>
          <w:spacing w:val="72"/>
          <w:w w:val="105"/>
        </w:rPr>
        <w:t xml:space="preserve"> </w:t>
      </w:r>
      <w:r>
        <w:rPr>
          <w:w w:val="105"/>
        </w:rPr>
        <w:t>Theory,</w:t>
      </w:r>
      <w:r>
        <w:rPr>
          <w:spacing w:val="80"/>
          <w:w w:val="105"/>
        </w:rPr>
        <w:t xml:space="preserve"> </w:t>
      </w:r>
      <w:r>
        <w:rPr>
          <w:w w:val="105"/>
        </w:rPr>
        <w:t>which</w:t>
      </w:r>
      <w:r>
        <w:rPr>
          <w:spacing w:val="79"/>
          <w:w w:val="105"/>
        </w:rPr>
        <w:t xml:space="preserve"> </w:t>
      </w:r>
      <w:r>
        <w:rPr>
          <w:w w:val="105"/>
        </w:rPr>
        <w:t>emphasizes</w:t>
      </w:r>
      <w:r>
        <w:rPr>
          <w:spacing w:val="70"/>
          <w:w w:val="105"/>
        </w:rPr>
        <w:t xml:space="preserve"> </w:t>
      </w:r>
      <w:r>
        <w:rPr>
          <w:w w:val="105"/>
        </w:rPr>
        <w:t>the</w:t>
      </w:r>
      <w:r>
        <w:rPr>
          <w:spacing w:val="78"/>
          <w:w w:val="105"/>
        </w:rPr>
        <w:t xml:space="preserve"> </w:t>
      </w:r>
      <w:r>
        <w:rPr>
          <w:w w:val="105"/>
        </w:rPr>
        <w:t>importance</w:t>
      </w:r>
      <w:r>
        <w:rPr>
          <w:spacing w:val="78"/>
          <w:w w:val="105"/>
        </w:rPr>
        <w:t xml:space="preserve"> </w:t>
      </w:r>
      <w:r>
        <w:rPr>
          <w:w w:val="105"/>
        </w:rPr>
        <w:t>of</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44"/>
        <w:jc w:val="both"/>
      </w:pPr>
      <w:r>
        <w:rPr>
          <w:w w:val="105"/>
        </w:rPr>
        <w:t>understanding and addressing customer needs as a foundation for achieving long- term co</w:t>
      </w:r>
      <w:r>
        <w:rPr>
          <w:w w:val="105"/>
        </w:rPr>
        <w:t>mpetitive advantage.</w:t>
      </w:r>
    </w:p>
    <w:p w:rsidR="00487D64" w:rsidRDefault="006F0D93">
      <w:pPr>
        <w:pStyle w:val="BodyText"/>
        <w:spacing w:before="236" w:line="499" w:lineRule="auto"/>
        <w:ind w:left="1419" w:right="859"/>
        <w:jc w:val="both"/>
      </w:pPr>
      <w:r>
        <w:rPr>
          <w:w w:val="105"/>
        </w:rPr>
        <w:t>It</w:t>
      </w:r>
      <w:r>
        <w:rPr>
          <w:spacing w:val="-16"/>
          <w:w w:val="105"/>
        </w:rPr>
        <w:t xml:space="preserve"> </w:t>
      </w:r>
      <w:r>
        <w:rPr>
          <w:w w:val="105"/>
        </w:rPr>
        <w:t>is</w:t>
      </w:r>
      <w:r>
        <w:rPr>
          <w:spacing w:val="-15"/>
          <w:w w:val="105"/>
        </w:rPr>
        <w:t xml:space="preserve"> </w:t>
      </w:r>
      <w:r>
        <w:rPr>
          <w:w w:val="105"/>
        </w:rPr>
        <w:t>recommended</w:t>
      </w:r>
      <w:r>
        <w:rPr>
          <w:spacing w:val="-11"/>
          <w:w w:val="105"/>
        </w:rPr>
        <w:t xml:space="preserve"> </w:t>
      </w:r>
      <w:r>
        <w:rPr>
          <w:w w:val="105"/>
        </w:rPr>
        <w:t>that</w:t>
      </w:r>
      <w:r>
        <w:rPr>
          <w:spacing w:val="-5"/>
          <w:w w:val="105"/>
        </w:rPr>
        <w:t xml:space="preserve"> </w:t>
      </w:r>
      <w:r>
        <w:rPr>
          <w:w w:val="105"/>
        </w:rPr>
        <w:t>SMEs</w:t>
      </w:r>
      <w:r>
        <w:rPr>
          <w:spacing w:val="-11"/>
          <w:w w:val="105"/>
        </w:rPr>
        <w:t xml:space="preserve"> </w:t>
      </w:r>
      <w:r>
        <w:rPr>
          <w:w w:val="105"/>
        </w:rPr>
        <w:t>development</w:t>
      </w:r>
      <w:r>
        <w:rPr>
          <w:spacing w:val="-9"/>
          <w:w w:val="105"/>
        </w:rPr>
        <w:t xml:space="preserve"> </w:t>
      </w:r>
      <w:r>
        <w:rPr>
          <w:w w:val="105"/>
        </w:rPr>
        <w:t>programs</w:t>
      </w:r>
      <w:r>
        <w:rPr>
          <w:spacing w:val="-12"/>
          <w:w w:val="105"/>
        </w:rPr>
        <w:t xml:space="preserve"> </w:t>
      </w:r>
      <w:r>
        <w:rPr>
          <w:w w:val="105"/>
        </w:rPr>
        <w:t>prioritize</w:t>
      </w:r>
      <w:r>
        <w:rPr>
          <w:spacing w:val="-11"/>
          <w:w w:val="105"/>
        </w:rPr>
        <w:t xml:space="preserve"> </w:t>
      </w:r>
      <w:r>
        <w:rPr>
          <w:w w:val="105"/>
        </w:rPr>
        <w:t>customer</w:t>
      </w:r>
      <w:r>
        <w:rPr>
          <w:spacing w:val="-7"/>
          <w:w w:val="105"/>
        </w:rPr>
        <w:t xml:space="preserve"> </w:t>
      </w:r>
      <w:r>
        <w:rPr>
          <w:w w:val="105"/>
        </w:rPr>
        <w:t>engagement capacity</w:t>
      </w:r>
      <w:r>
        <w:rPr>
          <w:spacing w:val="-5"/>
          <w:w w:val="105"/>
        </w:rPr>
        <w:t xml:space="preserve"> </w:t>
      </w:r>
      <w:r>
        <w:rPr>
          <w:w w:val="105"/>
        </w:rPr>
        <w:t>by</w:t>
      </w:r>
      <w:r>
        <w:rPr>
          <w:spacing w:val="-9"/>
          <w:w w:val="105"/>
        </w:rPr>
        <w:t xml:space="preserve"> </w:t>
      </w:r>
      <w:r>
        <w:rPr>
          <w:w w:val="105"/>
        </w:rPr>
        <w:t>offering</w:t>
      </w:r>
      <w:r>
        <w:rPr>
          <w:spacing w:val="-5"/>
          <w:w w:val="105"/>
        </w:rPr>
        <w:t xml:space="preserve"> </w:t>
      </w:r>
      <w:r>
        <w:rPr>
          <w:w w:val="105"/>
        </w:rPr>
        <w:t>training</w:t>
      </w:r>
      <w:r>
        <w:rPr>
          <w:spacing w:val="-5"/>
          <w:w w:val="105"/>
        </w:rPr>
        <w:t xml:space="preserve"> </w:t>
      </w:r>
      <w:r>
        <w:rPr>
          <w:w w:val="105"/>
        </w:rPr>
        <w:t>on</w:t>
      </w:r>
      <w:r>
        <w:rPr>
          <w:spacing w:val="-5"/>
          <w:w w:val="105"/>
        </w:rPr>
        <w:t xml:space="preserve"> </w:t>
      </w:r>
      <w:r>
        <w:rPr>
          <w:w w:val="105"/>
        </w:rPr>
        <w:t>customer</w:t>
      </w:r>
      <w:r>
        <w:rPr>
          <w:spacing w:val="-8"/>
          <w:w w:val="105"/>
        </w:rPr>
        <w:t xml:space="preserve"> </w:t>
      </w:r>
      <w:r>
        <w:rPr>
          <w:w w:val="105"/>
        </w:rPr>
        <w:t>relationship management,</w:t>
      </w:r>
      <w:r>
        <w:rPr>
          <w:spacing w:val="-4"/>
          <w:w w:val="105"/>
        </w:rPr>
        <w:t xml:space="preserve"> </w:t>
      </w:r>
      <w:r>
        <w:rPr>
          <w:w w:val="105"/>
        </w:rPr>
        <w:t>market</w:t>
      </w:r>
      <w:r>
        <w:rPr>
          <w:spacing w:val="-3"/>
          <w:w w:val="105"/>
        </w:rPr>
        <w:t xml:space="preserve"> </w:t>
      </w:r>
      <w:r>
        <w:rPr>
          <w:w w:val="105"/>
        </w:rPr>
        <w:t>research, and service customization. Moreover, procurement authorities should rec</w:t>
      </w:r>
      <w:r>
        <w:rPr>
          <w:w w:val="105"/>
        </w:rPr>
        <w:t>ognize and incentivize SMEs that demonstrate responsiveness to client needs, perhaps by integrating customer satisfaction indicators into procurement evaluations.</w:t>
      </w:r>
    </w:p>
    <w:p w:rsidR="00487D64" w:rsidRDefault="006F0D93">
      <w:pPr>
        <w:pStyle w:val="BodyText"/>
        <w:spacing w:before="246" w:line="504" w:lineRule="auto"/>
        <w:ind w:left="1419" w:right="863"/>
        <w:jc w:val="both"/>
      </w:pPr>
      <w:r>
        <w:rPr>
          <w:w w:val="105"/>
        </w:rPr>
        <w:t>Digital platforms that enable real-time feedback from public sector clients could further enh</w:t>
      </w:r>
      <w:r>
        <w:rPr>
          <w:w w:val="105"/>
        </w:rPr>
        <w:t>ance SMEs</w:t>
      </w:r>
      <w:r>
        <w:rPr>
          <w:spacing w:val="-7"/>
          <w:w w:val="105"/>
        </w:rPr>
        <w:t xml:space="preserve"> </w:t>
      </w:r>
      <w:r>
        <w:rPr>
          <w:w w:val="105"/>
        </w:rPr>
        <w:t>ability to</w:t>
      </w:r>
      <w:r>
        <w:rPr>
          <w:spacing w:val="-5"/>
          <w:w w:val="105"/>
        </w:rPr>
        <w:t xml:space="preserve"> </w:t>
      </w:r>
      <w:r>
        <w:rPr>
          <w:w w:val="105"/>
        </w:rPr>
        <w:t>align</w:t>
      </w:r>
      <w:r>
        <w:rPr>
          <w:spacing w:val="-5"/>
          <w:w w:val="105"/>
        </w:rPr>
        <w:t xml:space="preserve"> </w:t>
      </w:r>
      <w:r>
        <w:rPr>
          <w:w w:val="105"/>
        </w:rPr>
        <w:t>their offerings with procurement expectations.</w:t>
      </w:r>
    </w:p>
    <w:p w:rsidR="00487D64" w:rsidRDefault="00487D64">
      <w:pPr>
        <w:pStyle w:val="BodyText"/>
      </w:pPr>
    </w:p>
    <w:p w:rsidR="00487D64" w:rsidRDefault="00487D64">
      <w:pPr>
        <w:pStyle w:val="BodyText"/>
        <w:spacing w:before="25"/>
      </w:pPr>
    </w:p>
    <w:p w:rsidR="00487D64" w:rsidRDefault="006F0D93">
      <w:pPr>
        <w:pStyle w:val="ListParagraph"/>
        <w:numPr>
          <w:ilvl w:val="2"/>
          <w:numId w:val="6"/>
        </w:numPr>
        <w:tabs>
          <w:tab w:val="left" w:pos="1958"/>
        </w:tabs>
        <w:ind w:left="1958" w:hanging="539"/>
        <w:rPr>
          <w:b/>
          <w:sz w:val="23"/>
        </w:rPr>
      </w:pPr>
      <w:bookmarkStart w:id="247" w:name="6.5.2_Influence_of_Competitor_Orientatio"/>
      <w:bookmarkStart w:id="248" w:name="_bookmark119"/>
      <w:bookmarkEnd w:id="247"/>
      <w:bookmarkEnd w:id="248"/>
      <w:r>
        <w:rPr>
          <w:b/>
          <w:w w:val="105"/>
          <w:sz w:val="23"/>
        </w:rPr>
        <w:t>Influence</w:t>
      </w:r>
      <w:r>
        <w:rPr>
          <w:b/>
          <w:spacing w:val="-14"/>
          <w:w w:val="105"/>
          <w:sz w:val="23"/>
        </w:rPr>
        <w:t xml:space="preserve"> </w:t>
      </w:r>
      <w:r>
        <w:rPr>
          <w:b/>
          <w:w w:val="105"/>
          <w:sz w:val="23"/>
        </w:rPr>
        <w:t>of</w:t>
      </w:r>
      <w:r>
        <w:rPr>
          <w:b/>
          <w:spacing w:val="-14"/>
          <w:w w:val="105"/>
          <w:sz w:val="23"/>
        </w:rPr>
        <w:t xml:space="preserve"> </w:t>
      </w:r>
      <w:r>
        <w:rPr>
          <w:b/>
          <w:w w:val="105"/>
          <w:sz w:val="23"/>
        </w:rPr>
        <w:t>Competitor</w:t>
      </w:r>
      <w:r>
        <w:rPr>
          <w:b/>
          <w:spacing w:val="-12"/>
          <w:w w:val="105"/>
          <w:sz w:val="23"/>
        </w:rPr>
        <w:t xml:space="preserve"> </w:t>
      </w:r>
      <w:r>
        <w:rPr>
          <w:b/>
          <w:w w:val="105"/>
          <w:sz w:val="23"/>
        </w:rPr>
        <w:t>Orientation</w:t>
      </w:r>
      <w:r>
        <w:rPr>
          <w:b/>
          <w:spacing w:val="-12"/>
          <w:w w:val="105"/>
          <w:sz w:val="23"/>
        </w:rPr>
        <w:t xml:space="preserve"> </w:t>
      </w:r>
      <w:r>
        <w:rPr>
          <w:b/>
          <w:w w:val="105"/>
          <w:sz w:val="23"/>
        </w:rPr>
        <w:t>on</w:t>
      </w:r>
      <w:r>
        <w:rPr>
          <w:b/>
          <w:spacing w:val="-11"/>
          <w:w w:val="105"/>
          <w:sz w:val="23"/>
        </w:rPr>
        <w:t xml:space="preserve"> </w:t>
      </w:r>
      <w:r>
        <w:rPr>
          <w:b/>
          <w:w w:val="105"/>
          <w:sz w:val="23"/>
        </w:rPr>
        <w:t>Sustainable</w:t>
      </w:r>
      <w:r>
        <w:rPr>
          <w:b/>
          <w:spacing w:val="-6"/>
          <w:w w:val="105"/>
          <w:sz w:val="23"/>
        </w:rPr>
        <w:t xml:space="preserve"> </w:t>
      </w:r>
      <w:r>
        <w:rPr>
          <w:b/>
          <w:spacing w:val="-2"/>
          <w:w w:val="105"/>
          <w:sz w:val="23"/>
        </w:rPr>
        <w:t>Competitiveness</w:t>
      </w:r>
    </w:p>
    <w:p w:rsidR="00487D64" w:rsidRDefault="00487D64">
      <w:pPr>
        <w:pStyle w:val="BodyText"/>
        <w:spacing w:before="18"/>
        <w:rPr>
          <w:b/>
        </w:rPr>
      </w:pPr>
    </w:p>
    <w:p w:rsidR="00487D64" w:rsidRDefault="006F0D93">
      <w:pPr>
        <w:pStyle w:val="BodyText"/>
        <w:spacing w:line="501" w:lineRule="auto"/>
        <w:ind w:left="1419" w:right="854"/>
        <w:jc w:val="both"/>
      </w:pPr>
      <w:r>
        <w:rPr>
          <w:w w:val="105"/>
        </w:rPr>
        <w:t>The</w:t>
      </w:r>
      <w:r>
        <w:rPr>
          <w:spacing w:val="-2"/>
          <w:w w:val="105"/>
        </w:rPr>
        <w:t xml:space="preserve"> </w:t>
      </w:r>
      <w:r>
        <w:rPr>
          <w:w w:val="105"/>
        </w:rPr>
        <w:t>results show that competitor orientation also has a significant positive effect on sustainable</w:t>
      </w:r>
      <w:r>
        <w:rPr>
          <w:w w:val="105"/>
        </w:rPr>
        <w:t xml:space="preserve"> competitiveness. SMEs that systematically monitor and respond to competitor behavior are more likely to adopt adaptive strategies, innovate, and improve performance. Therefore, SMEs should be supported in developing capabilities for market intelligence, b</w:t>
      </w:r>
      <w:r>
        <w:rPr>
          <w:w w:val="105"/>
        </w:rPr>
        <w:t>enchmarking, and competitive analysis.</w:t>
      </w:r>
    </w:p>
    <w:p w:rsidR="00487D64" w:rsidRDefault="006F0D93">
      <w:pPr>
        <w:pStyle w:val="BodyText"/>
        <w:spacing w:before="240" w:line="499" w:lineRule="auto"/>
        <w:ind w:left="1419" w:right="851"/>
        <w:jc w:val="both"/>
      </w:pPr>
      <w:r>
        <w:rPr>
          <w:w w:val="105"/>
        </w:rPr>
        <w:t>This can be achieved through tailored entrepreneurial training programs that include modules on strategic positioning, innovation tracking, and performance comparison. Industry associations and support agencies can al</w:t>
      </w:r>
      <w:r>
        <w:rPr>
          <w:w w:val="105"/>
        </w:rPr>
        <w:t>so play a role by facilitating peer- learning networks and platforms for sharing insights on market trends and procurement strategies.</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pStyle w:val="ListParagraph"/>
        <w:numPr>
          <w:ilvl w:val="2"/>
          <w:numId w:val="6"/>
        </w:numPr>
        <w:tabs>
          <w:tab w:val="left" w:pos="2125"/>
        </w:tabs>
        <w:spacing w:before="1" w:line="499" w:lineRule="auto"/>
        <w:ind w:left="1419" w:right="849" w:firstLine="0"/>
        <w:rPr>
          <w:sz w:val="23"/>
        </w:rPr>
      </w:pPr>
      <w:bookmarkStart w:id="249" w:name="6.5.3__Influence_of_Functional_Coordinat"/>
      <w:bookmarkStart w:id="250" w:name="_bookmark120"/>
      <w:bookmarkEnd w:id="249"/>
      <w:bookmarkEnd w:id="250"/>
      <w:r>
        <w:rPr>
          <w:b/>
          <w:w w:val="105"/>
          <w:sz w:val="23"/>
        </w:rPr>
        <w:t xml:space="preserve">Influence of Functional Coordination on Sustainable Competitiveness </w:t>
      </w:r>
      <w:r>
        <w:rPr>
          <w:w w:val="105"/>
          <w:sz w:val="23"/>
        </w:rPr>
        <w:t>The</w:t>
      </w:r>
      <w:r>
        <w:rPr>
          <w:spacing w:val="80"/>
          <w:w w:val="105"/>
          <w:sz w:val="23"/>
        </w:rPr>
        <w:t xml:space="preserve"> </w:t>
      </w:r>
      <w:r>
        <w:rPr>
          <w:w w:val="105"/>
          <w:sz w:val="23"/>
        </w:rPr>
        <w:t>study</w:t>
      </w:r>
      <w:r>
        <w:rPr>
          <w:spacing w:val="80"/>
          <w:w w:val="105"/>
          <w:sz w:val="23"/>
        </w:rPr>
        <w:t xml:space="preserve"> </w:t>
      </w:r>
      <w:r>
        <w:rPr>
          <w:w w:val="105"/>
          <w:sz w:val="23"/>
        </w:rPr>
        <w:t>found</w:t>
      </w:r>
      <w:r>
        <w:rPr>
          <w:spacing w:val="80"/>
          <w:w w:val="105"/>
          <w:sz w:val="23"/>
        </w:rPr>
        <w:t xml:space="preserve"> </w:t>
      </w:r>
      <w:r>
        <w:rPr>
          <w:w w:val="105"/>
          <w:sz w:val="23"/>
        </w:rPr>
        <w:t>that</w:t>
      </w:r>
      <w:r>
        <w:rPr>
          <w:spacing w:val="80"/>
          <w:w w:val="105"/>
          <w:sz w:val="23"/>
        </w:rPr>
        <w:t xml:space="preserve"> </w:t>
      </w:r>
      <w:r>
        <w:rPr>
          <w:w w:val="105"/>
          <w:sz w:val="23"/>
        </w:rPr>
        <w:t>functional</w:t>
      </w:r>
      <w:r>
        <w:rPr>
          <w:spacing w:val="80"/>
          <w:w w:val="105"/>
          <w:sz w:val="23"/>
        </w:rPr>
        <w:t xml:space="preserve"> </w:t>
      </w:r>
      <w:r>
        <w:rPr>
          <w:w w:val="105"/>
          <w:sz w:val="23"/>
        </w:rPr>
        <w:t>coordination</w:t>
      </w:r>
      <w:r>
        <w:rPr>
          <w:spacing w:val="80"/>
          <w:w w:val="105"/>
          <w:sz w:val="23"/>
        </w:rPr>
        <w:t xml:space="preserve"> </w:t>
      </w:r>
      <w:r>
        <w:rPr>
          <w:w w:val="105"/>
          <w:sz w:val="23"/>
        </w:rPr>
        <w:t>did</w:t>
      </w:r>
      <w:r>
        <w:rPr>
          <w:spacing w:val="80"/>
          <w:w w:val="105"/>
          <w:sz w:val="23"/>
        </w:rPr>
        <w:t xml:space="preserve"> </w:t>
      </w:r>
      <w:r>
        <w:rPr>
          <w:w w:val="105"/>
          <w:sz w:val="23"/>
        </w:rPr>
        <w:t>not</w:t>
      </w:r>
      <w:r>
        <w:rPr>
          <w:spacing w:val="80"/>
          <w:w w:val="105"/>
          <w:sz w:val="23"/>
        </w:rPr>
        <w:t xml:space="preserve"> </w:t>
      </w:r>
      <w:r>
        <w:rPr>
          <w:w w:val="105"/>
          <w:sz w:val="23"/>
        </w:rPr>
        <w:t>significantly</w:t>
      </w:r>
      <w:r>
        <w:rPr>
          <w:spacing w:val="80"/>
          <w:w w:val="105"/>
          <w:sz w:val="23"/>
        </w:rPr>
        <w:t xml:space="preserve"> </w:t>
      </w:r>
      <w:r>
        <w:rPr>
          <w:w w:val="105"/>
          <w:sz w:val="23"/>
        </w:rPr>
        <w:t>influence sustainable competitiveness. However, this does not negate its potential value. The lack</w:t>
      </w:r>
      <w:r>
        <w:rPr>
          <w:spacing w:val="-1"/>
          <w:w w:val="105"/>
          <w:sz w:val="23"/>
        </w:rPr>
        <w:t xml:space="preserve"> </w:t>
      </w:r>
      <w:r>
        <w:rPr>
          <w:w w:val="105"/>
          <w:sz w:val="23"/>
        </w:rPr>
        <w:t>of</w:t>
      </w:r>
      <w:r>
        <w:rPr>
          <w:spacing w:val="-4"/>
          <w:w w:val="105"/>
          <w:sz w:val="23"/>
        </w:rPr>
        <w:t xml:space="preserve"> </w:t>
      </w:r>
      <w:r>
        <w:rPr>
          <w:w w:val="105"/>
          <w:sz w:val="23"/>
        </w:rPr>
        <w:t>statistical</w:t>
      </w:r>
      <w:r>
        <w:rPr>
          <w:spacing w:val="-6"/>
          <w:w w:val="105"/>
          <w:sz w:val="23"/>
        </w:rPr>
        <w:t xml:space="preserve"> </w:t>
      </w:r>
      <w:r>
        <w:rPr>
          <w:w w:val="105"/>
          <w:sz w:val="23"/>
        </w:rPr>
        <w:t>significance</w:t>
      </w:r>
      <w:r>
        <w:rPr>
          <w:spacing w:val="-2"/>
          <w:w w:val="105"/>
          <w:sz w:val="23"/>
        </w:rPr>
        <w:t xml:space="preserve"> </w:t>
      </w:r>
      <w:r>
        <w:rPr>
          <w:w w:val="105"/>
          <w:sz w:val="23"/>
        </w:rPr>
        <w:t>suggests</w:t>
      </w:r>
      <w:r>
        <w:rPr>
          <w:spacing w:val="-10"/>
          <w:w w:val="105"/>
          <w:sz w:val="23"/>
        </w:rPr>
        <w:t xml:space="preserve"> </w:t>
      </w:r>
      <w:r>
        <w:rPr>
          <w:w w:val="105"/>
          <w:sz w:val="23"/>
        </w:rPr>
        <w:t>that</w:t>
      </w:r>
      <w:r>
        <w:rPr>
          <w:spacing w:val="-6"/>
          <w:w w:val="105"/>
          <w:sz w:val="23"/>
        </w:rPr>
        <w:t xml:space="preserve"> </w:t>
      </w:r>
      <w:r>
        <w:rPr>
          <w:w w:val="105"/>
          <w:sz w:val="23"/>
        </w:rPr>
        <w:t>current</w:t>
      </w:r>
      <w:r>
        <w:rPr>
          <w:spacing w:val="-6"/>
          <w:w w:val="105"/>
          <w:sz w:val="23"/>
        </w:rPr>
        <w:t xml:space="preserve"> </w:t>
      </w:r>
      <w:r>
        <w:rPr>
          <w:w w:val="105"/>
          <w:sz w:val="23"/>
        </w:rPr>
        <w:t>coordination</w:t>
      </w:r>
      <w:r>
        <w:rPr>
          <w:spacing w:val="-8"/>
          <w:w w:val="105"/>
          <w:sz w:val="23"/>
        </w:rPr>
        <w:t xml:space="preserve"> </w:t>
      </w:r>
      <w:r>
        <w:rPr>
          <w:w w:val="105"/>
          <w:sz w:val="23"/>
        </w:rPr>
        <w:t>practices</w:t>
      </w:r>
      <w:r>
        <w:rPr>
          <w:spacing w:val="-3"/>
          <w:w w:val="105"/>
          <w:sz w:val="23"/>
        </w:rPr>
        <w:t xml:space="preserve"> </w:t>
      </w:r>
      <w:r>
        <w:rPr>
          <w:w w:val="105"/>
          <w:sz w:val="23"/>
        </w:rPr>
        <w:t>may</w:t>
      </w:r>
      <w:r>
        <w:rPr>
          <w:spacing w:val="-8"/>
          <w:w w:val="105"/>
          <w:sz w:val="23"/>
        </w:rPr>
        <w:t xml:space="preserve"> </w:t>
      </w:r>
      <w:r>
        <w:rPr>
          <w:w w:val="105"/>
          <w:sz w:val="23"/>
        </w:rPr>
        <w:t>be</w:t>
      </w:r>
      <w:r>
        <w:rPr>
          <w:spacing w:val="-8"/>
          <w:w w:val="105"/>
          <w:sz w:val="23"/>
        </w:rPr>
        <w:t xml:space="preserve"> </w:t>
      </w:r>
      <w:r>
        <w:rPr>
          <w:w w:val="105"/>
          <w:sz w:val="23"/>
        </w:rPr>
        <w:t>too operational</w:t>
      </w:r>
      <w:r>
        <w:rPr>
          <w:spacing w:val="80"/>
          <w:w w:val="105"/>
          <w:sz w:val="23"/>
        </w:rPr>
        <w:t xml:space="preserve"> </w:t>
      </w:r>
      <w:r>
        <w:rPr>
          <w:w w:val="105"/>
          <w:sz w:val="23"/>
        </w:rPr>
        <w:t>or</w:t>
      </w:r>
      <w:r>
        <w:rPr>
          <w:spacing w:val="80"/>
          <w:w w:val="105"/>
          <w:sz w:val="23"/>
        </w:rPr>
        <w:t xml:space="preserve"> </w:t>
      </w:r>
      <w:r>
        <w:rPr>
          <w:w w:val="105"/>
          <w:sz w:val="23"/>
        </w:rPr>
        <w:t>compliance-driven</w:t>
      </w:r>
      <w:r>
        <w:rPr>
          <w:spacing w:val="80"/>
          <w:w w:val="105"/>
          <w:sz w:val="23"/>
        </w:rPr>
        <w:t xml:space="preserve"> </w:t>
      </w:r>
      <w:r>
        <w:rPr>
          <w:w w:val="105"/>
          <w:sz w:val="23"/>
        </w:rPr>
        <w:t>to</w:t>
      </w:r>
      <w:r>
        <w:rPr>
          <w:spacing w:val="80"/>
          <w:w w:val="105"/>
          <w:sz w:val="23"/>
        </w:rPr>
        <w:t xml:space="preserve"> </w:t>
      </w:r>
      <w:r>
        <w:rPr>
          <w:w w:val="105"/>
          <w:sz w:val="23"/>
        </w:rPr>
        <w:t>impact</w:t>
      </w:r>
      <w:r>
        <w:rPr>
          <w:spacing w:val="80"/>
          <w:w w:val="105"/>
          <w:sz w:val="23"/>
        </w:rPr>
        <w:t xml:space="preserve"> </w:t>
      </w:r>
      <w:r>
        <w:rPr>
          <w:w w:val="105"/>
          <w:sz w:val="23"/>
        </w:rPr>
        <w:t>strategic</w:t>
      </w:r>
      <w:r>
        <w:rPr>
          <w:spacing w:val="80"/>
          <w:w w:val="105"/>
          <w:sz w:val="23"/>
        </w:rPr>
        <w:t xml:space="preserve"> </w:t>
      </w:r>
      <w:r>
        <w:rPr>
          <w:w w:val="105"/>
          <w:sz w:val="23"/>
        </w:rPr>
        <w:t>outcomes.</w:t>
      </w:r>
      <w:r>
        <w:rPr>
          <w:spacing w:val="80"/>
          <w:w w:val="105"/>
          <w:sz w:val="23"/>
        </w:rPr>
        <w:t xml:space="preserve"> </w:t>
      </w:r>
      <w:r>
        <w:rPr>
          <w:w w:val="105"/>
          <w:sz w:val="23"/>
        </w:rPr>
        <w:t>It</w:t>
      </w:r>
      <w:r>
        <w:rPr>
          <w:spacing w:val="80"/>
          <w:w w:val="105"/>
          <w:sz w:val="23"/>
        </w:rPr>
        <w:t xml:space="preserve"> </w:t>
      </w:r>
      <w:r>
        <w:rPr>
          <w:w w:val="105"/>
          <w:sz w:val="23"/>
        </w:rPr>
        <w:t>is</w:t>
      </w:r>
      <w:r>
        <w:rPr>
          <w:spacing w:val="80"/>
          <w:w w:val="105"/>
          <w:sz w:val="23"/>
        </w:rPr>
        <w:t xml:space="preserve"> </w:t>
      </w:r>
      <w:r>
        <w:rPr>
          <w:w w:val="105"/>
          <w:sz w:val="23"/>
        </w:rPr>
        <w:t>therfore recommended that</w:t>
      </w:r>
      <w:r>
        <w:rPr>
          <w:spacing w:val="25"/>
          <w:w w:val="105"/>
          <w:sz w:val="23"/>
        </w:rPr>
        <w:t xml:space="preserve"> </w:t>
      </w:r>
      <w:r>
        <w:rPr>
          <w:w w:val="105"/>
          <w:sz w:val="23"/>
        </w:rPr>
        <w:t>SMEs reconfigure their internal coordination mechanisms to go beyond</w:t>
      </w:r>
      <w:r>
        <w:rPr>
          <w:spacing w:val="80"/>
          <w:w w:val="105"/>
          <w:sz w:val="23"/>
        </w:rPr>
        <w:t xml:space="preserve"> </w:t>
      </w:r>
      <w:r>
        <w:rPr>
          <w:w w:val="105"/>
          <w:sz w:val="23"/>
        </w:rPr>
        <w:t>routine</w:t>
      </w:r>
      <w:r>
        <w:rPr>
          <w:spacing w:val="40"/>
          <w:w w:val="105"/>
          <w:sz w:val="23"/>
        </w:rPr>
        <w:t xml:space="preserve"> </w:t>
      </w:r>
      <w:r>
        <w:rPr>
          <w:w w:val="105"/>
          <w:sz w:val="23"/>
        </w:rPr>
        <w:t>administrative</w:t>
      </w:r>
      <w:r>
        <w:rPr>
          <w:spacing w:val="40"/>
          <w:w w:val="105"/>
          <w:sz w:val="23"/>
        </w:rPr>
        <w:t xml:space="preserve"> </w:t>
      </w:r>
      <w:r>
        <w:rPr>
          <w:w w:val="105"/>
          <w:sz w:val="23"/>
        </w:rPr>
        <w:t>tasks</w:t>
      </w:r>
      <w:r>
        <w:rPr>
          <w:spacing w:val="40"/>
          <w:w w:val="105"/>
          <w:sz w:val="23"/>
        </w:rPr>
        <w:t xml:space="preserve"> </w:t>
      </w:r>
      <w:r>
        <w:rPr>
          <w:w w:val="105"/>
          <w:sz w:val="23"/>
        </w:rPr>
        <w:t>and</w:t>
      </w:r>
      <w:r>
        <w:rPr>
          <w:spacing w:val="80"/>
          <w:w w:val="105"/>
          <w:sz w:val="23"/>
        </w:rPr>
        <w:t xml:space="preserve"> </w:t>
      </w:r>
      <w:r>
        <w:rPr>
          <w:w w:val="105"/>
          <w:sz w:val="23"/>
        </w:rPr>
        <w:t>support</w:t>
      </w:r>
      <w:r>
        <w:rPr>
          <w:spacing w:val="80"/>
          <w:w w:val="105"/>
          <w:sz w:val="23"/>
        </w:rPr>
        <w:t xml:space="preserve"> </w:t>
      </w:r>
      <w:r>
        <w:rPr>
          <w:w w:val="105"/>
          <w:sz w:val="23"/>
        </w:rPr>
        <w:t>cross-functional</w:t>
      </w:r>
      <w:r>
        <w:rPr>
          <w:spacing w:val="80"/>
          <w:w w:val="105"/>
          <w:sz w:val="23"/>
        </w:rPr>
        <w:t xml:space="preserve"> </w:t>
      </w:r>
      <w:r>
        <w:rPr>
          <w:w w:val="105"/>
          <w:sz w:val="23"/>
        </w:rPr>
        <w:t xml:space="preserve">collaboration aligned with strategic goals. This transformation would </w:t>
      </w:r>
      <w:r>
        <w:rPr>
          <w:w w:val="105"/>
          <w:sz w:val="23"/>
        </w:rPr>
        <w:t>require capacity building in strategic planning, knowledge</w:t>
      </w:r>
      <w:r>
        <w:rPr>
          <w:spacing w:val="27"/>
          <w:w w:val="105"/>
          <w:sz w:val="23"/>
        </w:rPr>
        <w:t xml:space="preserve"> </w:t>
      </w:r>
      <w:r>
        <w:rPr>
          <w:w w:val="105"/>
          <w:sz w:val="23"/>
        </w:rPr>
        <w:t>sharing, and the adoption of integrated management systems such as ERP tools. Additionally,</w:t>
      </w:r>
      <w:r>
        <w:rPr>
          <w:spacing w:val="28"/>
          <w:w w:val="105"/>
          <w:sz w:val="23"/>
        </w:rPr>
        <w:t xml:space="preserve"> </w:t>
      </w:r>
      <w:r>
        <w:rPr>
          <w:w w:val="105"/>
          <w:sz w:val="23"/>
        </w:rPr>
        <w:t>SMEs</w:t>
      </w:r>
      <w:r>
        <w:rPr>
          <w:spacing w:val="27"/>
          <w:w w:val="105"/>
          <w:sz w:val="23"/>
        </w:rPr>
        <w:t xml:space="preserve"> </w:t>
      </w:r>
      <w:r>
        <w:rPr>
          <w:w w:val="105"/>
          <w:sz w:val="23"/>
        </w:rPr>
        <w:t>should be encouraged to establish communication</w:t>
      </w:r>
      <w:r>
        <w:rPr>
          <w:spacing w:val="23"/>
          <w:w w:val="105"/>
          <w:sz w:val="23"/>
        </w:rPr>
        <w:t xml:space="preserve"> </w:t>
      </w:r>
      <w:r>
        <w:rPr>
          <w:w w:val="105"/>
          <w:sz w:val="23"/>
        </w:rPr>
        <w:t>frameworks that promote alignment between procuremen</w:t>
      </w:r>
      <w:r>
        <w:rPr>
          <w:w w:val="105"/>
          <w:sz w:val="23"/>
        </w:rPr>
        <w:t>t, finance, and operations functions to support agile decision-making.</w:t>
      </w:r>
    </w:p>
    <w:p w:rsidR="00487D64" w:rsidRDefault="00487D64">
      <w:pPr>
        <w:pStyle w:val="BodyText"/>
      </w:pPr>
    </w:p>
    <w:p w:rsidR="00487D64" w:rsidRDefault="00487D64">
      <w:pPr>
        <w:pStyle w:val="BodyText"/>
        <w:spacing w:before="51"/>
      </w:pPr>
    </w:p>
    <w:p w:rsidR="00487D64" w:rsidRDefault="006F0D93">
      <w:pPr>
        <w:pStyle w:val="ListParagraph"/>
        <w:numPr>
          <w:ilvl w:val="2"/>
          <w:numId w:val="6"/>
        </w:numPr>
        <w:tabs>
          <w:tab w:val="left" w:pos="2125"/>
        </w:tabs>
        <w:ind w:hanging="706"/>
        <w:rPr>
          <w:b/>
          <w:sz w:val="23"/>
        </w:rPr>
      </w:pPr>
      <w:bookmarkStart w:id="251" w:name="6.5.4__Moderating_Role_of_Strategic_Flex"/>
      <w:bookmarkStart w:id="252" w:name="_bookmark121"/>
      <w:bookmarkEnd w:id="251"/>
      <w:bookmarkEnd w:id="252"/>
      <w:r>
        <w:rPr>
          <w:b/>
          <w:w w:val="105"/>
          <w:sz w:val="23"/>
        </w:rPr>
        <w:t>Moderating</w:t>
      </w:r>
      <w:r>
        <w:rPr>
          <w:b/>
          <w:spacing w:val="-13"/>
          <w:w w:val="105"/>
          <w:sz w:val="23"/>
        </w:rPr>
        <w:t xml:space="preserve"> </w:t>
      </w:r>
      <w:r>
        <w:rPr>
          <w:b/>
          <w:w w:val="105"/>
          <w:sz w:val="23"/>
        </w:rPr>
        <w:t>Role</w:t>
      </w:r>
      <w:r>
        <w:rPr>
          <w:b/>
          <w:spacing w:val="-14"/>
          <w:w w:val="105"/>
          <w:sz w:val="23"/>
        </w:rPr>
        <w:t xml:space="preserve"> </w:t>
      </w:r>
      <w:r>
        <w:rPr>
          <w:b/>
          <w:w w:val="105"/>
          <w:sz w:val="23"/>
        </w:rPr>
        <w:t>of</w:t>
      </w:r>
      <w:r>
        <w:rPr>
          <w:b/>
          <w:spacing w:val="-9"/>
          <w:w w:val="105"/>
          <w:sz w:val="23"/>
        </w:rPr>
        <w:t xml:space="preserve"> </w:t>
      </w:r>
      <w:r>
        <w:rPr>
          <w:b/>
          <w:w w:val="105"/>
          <w:sz w:val="23"/>
        </w:rPr>
        <w:t>Strategic</w:t>
      </w:r>
      <w:r>
        <w:rPr>
          <w:b/>
          <w:spacing w:val="-14"/>
          <w:w w:val="105"/>
          <w:sz w:val="23"/>
        </w:rPr>
        <w:t xml:space="preserve"> </w:t>
      </w:r>
      <w:r>
        <w:rPr>
          <w:b/>
          <w:spacing w:val="-2"/>
          <w:w w:val="105"/>
          <w:sz w:val="23"/>
        </w:rPr>
        <w:t>Flexibility</w:t>
      </w:r>
    </w:p>
    <w:p w:rsidR="00487D64" w:rsidRDefault="00487D64">
      <w:pPr>
        <w:pStyle w:val="BodyText"/>
        <w:spacing w:before="11"/>
        <w:rPr>
          <w:b/>
        </w:rPr>
      </w:pPr>
    </w:p>
    <w:p w:rsidR="00487D64" w:rsidRDefault="006F0D93">
      <w:pPr>
        <w:pStyle w:val="BodyText"/>
        <w:spacing w:line="501" w:lineRule="auto"/>
        <w:ind w:left="1419" w:right="848"/>
        <w:jc w:val="both"/>
      </w:pPr>
      <w:r>
        <w:rPr>
          <w:w w:val="105"/>
        </w:rPr>
        <w:t>The study confirmed its significant role in strengthening the relationship between market orientation (especially competitor orientation) and</w:t>
      </w:r>
      <w:r>
        <w:rPr>
          <w:w w:val="105"/>
        </w:rPr>
        <w:t xml:space="preserve"> sustainable competitiveness. This shows the importance of strategic flexibility as a dynamic capability that enables firms to adapt quickly to market changes and procurement requirements. To promote strategic flexibility, interventions should aim to impro</w:t>
      </w:r>
      <w:r>
        <w:rPr>
          <w:w w:val="105"/>
        </w:rPr>
        <w:t>ve SMEs innovation capacity, contingency planning, and responsiveness to shifting regulatory environments. Policy frameworks should support these capabilities by providing access to digital tools, innovation grants, and capacity-building programs focused</w:t>
      </w:r>
      <w:r>
        <w:rPr>
          <w:spacing w:val="64"/>
          <w:w w:val="105"/>
        </w:rPr>
        <w:t xml:space="preserve"> </w:t>
      </w:r>
      <w:r>
        <w:rPr>
          <w:w w:val="105"/>
        </w:rPr>
        <w:t>o</w:t>
      </w:r>
      <w:r>
        <w:rPr>
          <w:w w:val="105"/>
        </w:rPr>
        <w:t>n</w:t>
      </w:r>
      <w:r>
        <w:rPr>
          <w:spacing w:val="71"/>
          <w:w w:val="105"/>
        </w:rPr>
        <w:t xml:space="preserve"> </w:t>
      </w:r>
      <w:r>
        <w:rPr>
          <w:w w:val="105"/>
        </w:rPr>
        <w:t>strategic</w:t>
      </w:r>
      <w:r>
        <w:rPr>
          <w:spacing w:val="63"/>
          <w:w w:val="105"/>
        </w:rPr>
        <w:t xml:space="preserve"> </w:t>
      </w:r>
      <w:r>
        <w:rPr>
          <w:w w:val="105"/>
        </w:rPr>
        <w:t>agility.</w:t>
      </w:r>
      <w:r>
        <w:rPr>
          <w:spacing w:val="72"/>
          <w:w w:val="105"/>
        </w:rPr>
        <w:t xml:space="preserve"> </w:t>
      </w:r>
      <w:r>
        <w:rPr>
          <w:w w:val="105"/>
        </w:rPr>
        <w:t>Furthermore,</w:t>
      </w:r>
      <w:r>
        <w:rPr>
          <w:spacing w:val="78"/>
          <w:w w:val="105"/>
        </w:rPr>
        <w:t xml:space="preserve"> </w:t>
      </w:r>
      <w:r>
        <w:rPr>
          <w:w w:val="105"/>
        </w:rPr>
        <w:t>SMEs</w:t>
      </w:r>
      <w:r>
        <w:rPr>
          <w:spacing w:val="70"/>
          <w:w w:val="105"/>
        </w:rPr>
        <w:t xml:space="preserve"> </w:t>
      </w:r>
      <w:r>
        <w:rPr>
          <w:w w:val="105"/>
        </w:rPr>
        <w:t>should</w:t>
      </w:r>
      <w:r>
        <w:rPr>
          <w:spacing w:val="65"/>
          <w:w w:val="105"/>
        </w:rPr>
        <w:t xml:space="preserve"> </w:t>
      </w:r>
      <w:r>
        <w:rPr>
          <w:w w:val="105"/>
        </w:rPr>
        <w:t>be</w:t>
      </w:r>
      <w:r>
        <w:rPr>
          <w:spacing w:val="62"/>
          <w:w w:val="105"/>
        </w:rPr>
        <w:t xml:space="preserve"> </w:t>
      </w:r>
      <w:r>
        <w:rPr>
          <w:w w:val="105"/>
        </w:rPr>
        <w:t>trained</w:t>
      </w:r>
      <w:r>
        <w:rPr>
          <w:spacing w:val="65"/>
          <w:w w:val="105"/>
        </w:rPr>
        <w:t xml:space="preserve"> </w:t>
      </w:r>
      <w:r>
        <w:rPr>
          <w:w w:val="105"/>
        </w:rPr>
        <w:t>in</w:t>
      </w:r>
      <w:r>
        <w:rPr>
          <w:spacing w:val="70"/>
          <w:w w:val="105"/>
        </w:rPr>
        <w:t xml:space="preserve"> </w:t>
      </w:r>
      <w:r>
        <w:rPr>
          <w:spacing w:val="-2"/>
          <w:w w:val="105"/>
        </w:rPr>
        <w:t>adaptive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1"/>
        <w:jc w:val="both"/>
      </w:pPr>
      <w:r>
        <w:rPr>
          <w:w w:val="105"/>
        </w:rPr>
        <w:t>planning and scenario-based forecasting to improve their responsiveness and long- term sustainability.</w:t>
      </w:r>
    </w:p>
    <w:p w:rsidR="00487D64" w:rsidRDefault="006F0D93">
      <w:pPr>
        <w:pStyle w:val="BodyText"/>
        <w:spacing w:before="236" w:line="501" w:lineRule="auto"/>
        <w:ind w:left="1419" w:right="849"/>
        <w:jc w:val="both"/>
      </w:pPr>
      <w:r>
        <w:rPr>
          <w:w w:val="105"/>
        </w:rPr>
        <w:t>Hence, enhancing sustainable competitiveness in public procure</w:t>
      </w:r>
      <w:r>
        <w:rPr>
          <w:w w:val="105"/>
        </w:rPr>
        <w:t>ment requires an integrated approach that combines internal SMEs capabilities with supportive institutional and policy environments. This study highlights the need for a coordinated</w:t>
      </w:r>
      <w:r>
        <w:rPr>
          <w:spacing w:val="-4"/>
          <w:w w:val="105"/>
        </w:rPr>
        <w:t xml:space="preserve"> </w:t>
      </w:r>
      <w:r>
        <w:rPr>
          <w:w w:val="105"/>
        </w:rPr>
        <w:t>response</w:t>
      </w:r>
      <w:r>
        <w:rPr>
          <w:spacing w:val="-5"/>
          <w:w w:val="105"/>
        </w:rPr>
        <w:t xml:space="preserve"> </w:t>
      </w:r>
      <w:r>
        <w:rPr>
          <w:w w:val="105"/>
        </w:rPr>
        <w:t>across multiple</w:t>
      </w:r>
      <w:r>
        <w:rPr>
          <w:spacing w:val="-5"/>
          <w:w w:val="105"/>
        </w:rPr>
        <w:t xml:space="preserve"> </w:t>
      </w:r>
      <w:r>
        <w:rPr>
          <w:w w:val="105"/>
        </w:rPr>
        <w:t>levels</w:t>
      </w:r>
      <w:r>
        <w:rPr>
          <w:spacing w:val="-5"/>
          <w:w w:val="105"/>
        </w:rPr>
        <w:t xml:space="preserve"> </w:t>
      </w:r>
      <w:r>
        <w:rPr>
          <w:w w:val="105"/>
        </w:rPr>
        <w:t>organizational,</w:t>
      </w:r>
      <w:r>
        <w:rPr>
          <w:spacing w:val="-2"/>
          <w:w w:val="105"/>
        </w:rPr>
        <w:t xml:space="preserve"> </w:t>
      </w:r>
      <w:r>
        <w:rPr>
          <w:w w:val="105"/>
        </w:rPr>
        <w:t>contextual,</w:t>
      </w:r>
      <w:r>
        <w:rPr>
          <w:spacing w:val="-2"/>
          <w:w w:val="105"/>
        </w:rPr>
        <w:t xml:space="preserve"> </w:t>
      </w:r>
      <w:r>
        <w:rPr>
          <w:w w:val="105"/>
        </w:rPr>
        <w:t xml:space="preserve">and systemic, </w:t>
      </w:r>
      <w:r>
        <w:rPr>
          <w:w w:val="105"/>
        </w:rPr>
        <w:t xml:space="preserve">to enable special group SMEs to thrive in competitive and regulated procurement </w:t>
      </w:r>
      <w:r>
        <w:rPr>
          <w:spacing w:val="-2"/>
          <w:w w:val="105"/>
        </w:rPr>
        <w:t>markets.</w:t>
      </w:r>
    </w:p>
    <w:p w:rsidR="00487D64" w:rsidRDefault="00487D64">
      <w:pPr>
        <w:pStyle w:val="BodyText"/>
      </w:pPr>
    </w:p>
    <w:p w:rsidR="00487D64" w:rsidRDefault="00487D64">
      <w:pPr>
        <w:pStyle w:val="BodyText"/>
        <w:spacing w:before="23"/>
      </w:pPr>
    </w:p>
    <w:p w:rsidR="00487D64" w:rsidRDefault="006F0D93">
      <w:pPr>
        <w:pStyle w:val="ListParagraph"/>
        <w:numPr>
          <w:ilvl w:val="1"/>
          <w:numId w:val="6"/>
        </w:numPr>
        <w:tabs>
          <w:tab w:val="left" w:pos="1988"/>
        </w:tabs>
        <w:ind w:hanging="569"/>
        <w:rPr>
          <w:b/>
          <w:sz w:val="23"/>
        </w:rPr>
      </w:pPr>
      <w:bookmarkStart w:id="253" w:name="6.6__Limitations_and_Delimitations_of_th"/>
      <w:bookmarkStart w:id="254" w:name="_bookmark122"/>
      <w:bookmarkEnd w:id="253"/>
      <w:bookmarkEnd w:id="254"/>
      <w:r>
        <w:rPr>
          <w:b/>
          <w:w w:val="105"/>
          <w:sz w:val="23"/>
        </w:rPr>
        <w:t>Limitations</w:t>
      </w:r>
      <w:r>
        <w:rPr>
          <w:b/>
          <w:spacing w:val="-7"/>
          <w:w w:val="105"/>
          <w:sz w:val="23"/>
        </w:rPr>
        <w:t xml:space="preserve"> </w:t>
      </w:r>
      <w:r>
        <w:rPr>
          <w:b/>
          <w:w w:val="105"/>
          <w:sz w:val="23"/>
        </w:rPr>
        <w:t>and</w:t>
      </w:r>
      <w:r>
        <w:rPr>
          <w:b/>
          <w:spacing w:val="-15"/>
          <w:w w:val="105"/>
          <w:sz w:val="23"/>
        </w:rPr>
        <w:t xml:space="preserve"> </w:t>
      </w:r>
      <w:r>
        <w:rPr>
          <w:b/>
          <w:w w:val="105"/>
          <w:sz w:val="23"/>
        </w:rPr>
        <w:t>Delimitations</w:t>
      </w:r>
      <w:r>
        <w:rPr>
          <w:b/>
          <w:spacing w:val="-13"/>
          <w:w w:val="105"/>
          <w:sz w:val="23"/>
        </w:rPr>
        <w:t xml:space="preserve"> </w:t>
      </w:r>
      <w:r>
        <w:rPr>
          <w:b/>
          <w:w w:val="105"/>
          <w:sz w:val="23"/>
        </w:rPr>
        <w:t>of</w:t>
      </w:r>
      <w:r>
        <w:rPr>
          <w:b/>
          <w:spacing w:val="-13"/>
          <w:w w:val="105"/>
          <w:sz w:val="23"/>
        </w:rPr>
        <w:t xml:space="preserve"> </w:t>
      </w:r>
      <w:r>
        <w:rPr>
          <w:b/>
          <w:w w:val="105"/>
          <w:sz w:val="23"/>
        </w:rPr>
        <w:t>the</w:t>
      </w:r>
      <w:r>
        <w:rPr>
          <w:b/>
          <w:spacing w:val="-5"/>
          <w:w w:val="105"/>
          <w:sz w:val="23"/>
        </w:rPr>
        <w:t xml:space="preserve"> </w:t>
      </w:r>
      <w:r>
        <w:rPr>
          <w:b/>
          <w:spacing w:val="-2"/>
          <w:w w:val="105"/>
          <w:sz w:val="23"/>
        </w:rPr>
        <w:t>Study</w:t>
      </w:r>
    </w:p>
    <w:p w:rsidR="00487D64" w:rsidRDefault="00487D64">
      <w:pPr>
        <w:pStyle w:val="BodyText"/>
        <w:spacing w:before="18"/>
        <w:rPr>
          <w:b/>
        </w:rPr>
      </w:pPr>
    </w:p>
    <w:p w:rsidR="00487D64" w:rsidRDefault="006F0D93">
      <w:pPr>
        <w:pStyle w:val="BodyText"/>
        <w:spacing w:before="1" w:line="504" w:lineRule="auto"/>
        <w:ind w:left="1419" w:right="860"/>
        <w:jc w:val="both"/>
      </w:pPr>
      <w:r>
        <w:rPr>
          <w:w w:val="105"/>
        </w:rPr>
        <w:t>Despite</w:t>
      </w:r>
      <w:r>
        <w:rPr>
          <w:spacing w:val="-10"/>
          <w:w w:val="105"/>
        </w:rPr>
        <w:t xml:space="preserve"> </w:t>
      </w:r>
      <w:r>
        <w:rPr>
          <w:w w:val="105"/>
        </w:rPr>
        <w:t>offering</w:t>
      </w:r>
      <w:r>
        <w:rPr>
          <w:spacing w:val="-2"/>
          <w:w w:val="105"/>
        </w:rPr>
        <w:t xml:space="preserve"> </w:t>
      </w:r>
      <w:r>
        <w:rPr>
          <w:w w:val="105"/>
        </w:rPr>
        <w:t>valuable</w:t>
      </w:r>
      <w:r>
        <w:rPr>
          <w:spacing w:val="-15"/>
          <w:w w:val="105"/>
        </w:rPr>
        <w:t xml:space="preserve"> </w:t>
      </w:r>
      <w:r>
        <w:rPr>
          <w:w w:val="105"/>
        </w:rPr>
        <w:t>insights,</w:t>
      </w:r>
      <w:r>
        <w:rPr>
          <w:spacing w:val="-7"/>
          <w:w w:val="105"/>
        </w:rPr>
        <w:t xml:space="preserve"> </w:t>
      </w:r>
      <w:r>
        <w:rPr>
          <w:w w:val="105"/>
        </w:rPr>
        <w:t>this</w:t>
      </w:r>
      <w:r>
        <w:rPr>
          <w:spacing w:val="-10"/>
          <w:w w:val="105"/>
        </w:rPr>
        <w:t xml:space="preserve"> </w:t>
      </w:r>
      <w:r>
        <w:rPr>
          <w:w w:val="105"/>
        </w:rPr>
        <w:t>study</w:t>
      </w:r>
      <w:r>
        <w:rPr>
          <w:spacing w:val="-8"/>
          <w:w w:val="105"/>
        </w:rPr>
        <w:t xml:space="preserve"> </w:t>
      </w:r>
      <w:r>
        <w:rPr>
          <w:w w:val="105"/>
        </w:rPr>
        <w:t>has</w:t>
      </w:r>
      <w:r>
        <w:rPr>
          <w:spacing w:val="-10"/>
          <w:w w:val="105"/>
        </w:rPr>
        <w:t xml:space="preserve"> </w:t>
      </w:r>
      <w:r>
        <w:rPr>
          <w:w w:val="105"/>
        </w:rPr>
        <w:t>several</w:t>
      </w:r>
      <w:r>
        <w:rPr>
          <w:spacing w:val="-13"/>
          <w:w w:val="105"/>
        </w:rPr>
        <w:t xml:space="preserve"> </w:t>
      </w:r>
      <w:r>
        <w:rPr>
          <w:w w:val="105"/>
        </w:rPr>
        <w:t>limitations</w:t>
      </w:r>
      <w:r>
        <w:rPr>
          <w:spacing w:val="-16"/>
          <w:w w:val="105"/>
        </w:rPr>
        <w:t xml:space="preserve"> </w:t>
      </w:r>
      <w:r>
        <w:rPr>
          <w:w w:val="105"/>
        </w:rPr>
        <w:t>and</w:t>
      </w:r>
      <w:r>
        <w:rPr>
          <w:spacing w:val="-8"/>
          <w:w w:val="105"/>
        </w:rPr>
        <w:t xml:space="preserve"> </w:t>
      </w:r>
      <w:r>
        <w:rPr>
          <w:w w:val="105"/>
        </w:rPr>
        <w:t>delimitations that must be</w:t>
      </w:r>
      <w:r>
        <w:rPr>
          <w:spacing w:val="-1"/>
          <w:w w:val="105"/>
        </w:rPr>
        <w:t xml:space="preserve"> </w:t>
      </w:r>
      <w:r>
        <w:rPr>
          <w:w w:val="105"/>
        </w:rPr>
        <w:t>acknowledged for a clearer interpretation of the</w:t>
      </w:r>
      <w:r>
        <w:rPr>
          <w:spacing w:val="-1"/>
          <w:w w:val="105"/>
        </w:rPr>
        <w:t xml:space="preserve"> </w:t>
      </w:r>
      <w:r>
        <w:rPr>
          <w:w w:val="105"/>
        </w:rPr>
        <w:t>results.</w:t>
      </w:r>
    </w:p>
    <w:p w:rsidR="00487D64" w:rsidRDefault="006F0D93">
      <w:pPr>
        <w:pStyle w:val="BodyText"/>
        <w:spacing w:line="501" w:lineRule="auto"/>
        <w:ind w:left="1419" w:right="850"/>
        <w:jc w:val="both"/>
      </w:pPr>
      <w:r>
        <w:rPr>
          <w:w w:val="105"/>
        </w:rPr>
        <w:t>First, the study is delimited to special group SMEs namely, enterprises owned by youth, women, and persons with disabilities operating within the Tanzanian public procurement sector. This purposeful</w:t>
      </w:r>
      <w:r>
        <w:rPr>
          <w:w w:val="105"/>
        </w:rPr>
        <w:t xml:space="preserve"> focus provides a detailed understanding of a unique and policy-relevant group but limits the generalizability of the findings to other types of SMEs or to enterprises operating in non-procurement sectors or different countries.</w:t>
      </w:r>
    </w:p>
    <w:p w:rsidR="00487D64" w:rsidRDefault="006F0D93">
      <w:pPr>
        <w:pStyle w:val="BodyText"/>
        <w:spacing w:before="233" w:line="501" w:lineRule="auto"/>
        <w:ind w:left="1419" w:right="854"/>
        <w:jc w:val="both"/>
      </w:pPr>
      <w:r>
        <w:rPr>
          <w:w w:val="105"/>
        </w:rPr>
        <w:t>Second,</w:t>
      </w:r>
      <w:r>
        <w:rPr>
          <w:spacing w:val="-6"/>
          <w:w w:val="105"/>
        </w:rPr>
        <w:t xml:space="preserve"> </w:t>
      </w:r>
      <w:r>
        <w:rPr>
          <w:w w:val="105"/>
        </w:rPr>
        <w:t>the</w:t>
      </w:r>
      <w:r>
        <w:rPr>
          <w:spacing w:val="-2"/>
          <w:w w:val="105"/>
        </w:rPr>
        <w:t xml:space="preserve"> </w:t>
      </w:r>
      <w:r>
        <w:rPr>
          <w:w w:val="105"/>
        </w:rPr>
        <w:t>study</w:t>
      </w:r>
      <w:r>
        <w:rPr>
          <w:spacing w:val="-8"/>
          <w:w w:val="105"/>
        </w:rPr>
        <w:t xml:space="preserve"> </w:t>
      </w:r>
      <w:r>
        <w:rPr>
          <w:w w:val="105"/>
        </w:rPr>
        <w:t>utilized</w:t>
      </w:r>
      <w:r>
        <w:rPr>
          <w:spacing w:val="-14"/>
          <w:w w:val="105"/>
        </w:rPr>
        <w:t xml:space="preserve"> </w:t>
      </w:r>
      <w:r>
        <w:rPr>
          <w:w w:val="105"/>
        </w:rPr>
        <w:t>a cross-sectional design, collecting</w:t>
      </w:r>
      <w:r>
        <w:rPr>
          <w:spacing w:val="-2"/>
          <w:w w:val="105"/>
        </w:rPr>
        <w:t xml:space="preserve"> </w:t>
      </w:r>
      <w:r>
        <w:rPr>
          <w:w w:val="105"/>
        </w:rPr>
        <w:t>data</w:t>
      </w:r>
      <w:r>
        <w:rPr>
          <w:spacing w:val="-9"/>
          <w:w w:val="105"/>
        </w:rPr>
        <w:t xml:space="preserve"> </w:t>
      </w:r>
      <w:r>
        <w:rPr>
          <w:w w:val="105"/>
        </w:rPr>
        <w:t>at</w:t>
      </w:r>
      <w:r>
        <w:rPr>
          <w:spacing w:val="-12"/>
          <w:w w:val="105"/>
        </w:rPr>
        <w:t xml:space="preserve"> </w:t>
      </w:r>
      <w:r>
        <w:rPr>
          <w:w w:val="105"/>
        </w:rPr>
        <w:t>a single</w:t>
      </w:r>
      <w:r>
        <w:rPr>
          <w:spacing w:val="-9"/>
          <w:w w:val="105"/>
        </w:rPr>
        <w:t xml:space="preserve"> </w:t>
      </w:r>
      <w:r>
        <w:rPr>
          <w:w w:val="105"/>
        </w:rPr>
        <w:t>point</w:t>
      </w:r>
      <w:r>
        <w:rPr>
          <w:spacing w:val="-6"/>
          <w:w w:val="105"/>
        </w:rPr>
        <w:t xml:space="preserve"> </w:t>
      </w:r>
      <w:r>
        <w:rPr>
          <w:w w:val="105"/>
        </w:rPr>
        <w:t>in time. While this allows for snapshot analysis of the relationships between market orientation, strategic flexibility, and sustainable competitiveness, it restricts causal interpretations.</w:t>
      </w:r>
      <w:r>
        <w:rPr>
          <w:spacing w:val="35"/>
          <w:w w:val="105"/>
        </w:rPr>
        <w:t xml:space="preserve"> </w:t>
      </w:r>
      <w:r>
        <w:rPr>
          <w:w w:val="105"/>
        </w:rPr>
        <w:t>Given</w:t>
      </w:r>
      <w:r>
        <w:rPr>
          <w:spacing w:val="40"/>
          <w:w w:val="105"/>
        </w:rPr>
        <w:t xml:space="preserve"> </w:t>
      </w:r>
      <w:r>
        <w:rPr>
          <w:w w:val="105"/>
        </w:rPr>
        <w:t>that</w:t>
      </w:r>
      <w:r>
        <w:rPr>
          <w:spacing w:val="40"/>
          <w:w w:val="105"/>
        </w:rPr>
        <w:t xml:space="preserve"> </w:t>
      </w:r>
      <w:r>
        <w:rPr>
          <w:w w:val="105"/>
        </w:rPr>
        <w:t>constructs</w:t>
      </w:r>
      <w:r>
        <w:rPr>
          <w:spacing w:val="39"/>
          <w:w w:val="105"/>
        </w:rPr>
        <w:t xml:space="preserve"> </w:t>
      </w:r>
      <w:r>
        <w:rPr>
          <w:w w:val="105"/>
        </w:rPr>
        <w:t>such</w:t>
      </w:r>
      <w:r>
        <w:rPr>
          <w:spacing w:val="34"/>
          <w:w w:val="105"/>
        </w:rPr>
        <w:t xml:space="preserve"> </w:t>
      </w:r>
      <w:r>
        <w:rPr>
          <w:w w:val="105"/>
        </w:rPr>
        <w:t>as</w:t>
      </w:r>
      <w:r>
        <w:rPr>
          <w:spacing w:val="39"/>
          <w:w w:val="105"/>
        </w:rPr>
        <w:t xml:space="preserve"> </w:t>
      </w:r>
      <w:r>
        <w:rPr>
          <w:w w:val="105"/>
        </w:rPr>
        <w:t>strategic</w:t>
      </w:r>
      <w:r>
        <w:rPr>
          <w:spacing w:val="40"/>
          <w:w w:val="105"/>
        </w:rPr>
        <w:t xml:space="preserve"> </w:t>
      </w:r>
      <w:r>
        <w:rPr>
          <w:w w:val="105"/>
        </w:rPr>
        <w:t>flexibility</w:t>
      </w:r>
      <w:r>
        <w:rPr>
          <w:spacing w:val="34"/>
          <w:w w:val="105"/>
        </w:rPr>
        <w:t xml:space="preserve"> </w:t>
      </w:r>
      <w:r>
        <w:rPr>
          <w:w w:val="105"/>
        </w:rPr>
        <w:t>and</w:t>
      </w:r>
      <w:r>
        <w:rPr>
          <w:spacing w:val="40"/>
          <w:w w:val="105"/>
        </w:rPr>
        <w:t xml:space="preserve"> </w:t>
      </w:r>
      <w:r>
        <w:rPr>
          <w:w w:val="105"/>
        </w:rPr>
        <w:t>competitive</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8"/>
        <w:jc w:val="both"/>
      </w:pPr>
      <w:r>
        <w:rPr>
          <w:w w:val="105"/>
        </w:rPr>
        <w:t>advantage</w:t>
      </w:r>
      <w:r>
        <w:rPr>
          <w:spacing w:val="-4"/>
          <w:w w:val="105"/>
        </w:rPr>
        <w:t xml:space="preserve"> </w:t>
      </w:r>
      <w:r>
        <w:rPr>
          <w:w w:val="105"/>
        </w:rPr>
        <w:t>evolve</w:t>
      </w:r>
      <w:r>
        <w:rPr>
          <w:spacing w:val="-4"/>
          <w:w w:val="105"/>
        </w:rPr>
        <w:t xml:space="preserve"> </w:t>
      </w:r>
      <w:r>
        <w:rPr>
          <w:w w:val="105"/>
        </w:rPr>
        <w:t>dynamically,</w:t>
      </w:r>
      <w:r>
        <w:rPr>
          <w:spacing w:val="-7"/>
          <w:w w:val="105"/>
        </w:rPr>
        <w:t xml:space="preserve"> </w:t>
      </w:r>
      <w:r>
        <w:rPr>
          <w:w w:val="105"/>
        </w:rPr>
        <w:t>a longitudinal study</w:t>
      </w:r>
      <w:r>
        <w:rPr>
          <w:spacing w:val="-3"/>
          <w:w w:val="105"/>
        </w:rPr>
        <w:t xml:space="preserve"> </w:t>
      </w:r>
      <w:r>
        <w:rPr>
          <w:w w:val="105"/>
        </w:rPr>
        <w:t>design</w:t>
      </w:r>
      <w:r>
        <w:rPr>
          <w:spacing w:val="-1"/>
          <w:w w:val="105"/>
        </w:rPr>
        <w:t xml:space="preserve"> </w:t>
      </w:r>
      <w:r>
        <w:rPr>
          <w:w w:val="105"/>
        </w:rPr>
        <w:t>could</w:t>
      </w:r>
      <w:r>
        <w:rPr>
          <w:spacing w:val="-3"/>
          <w:w w:val="105"/>
        </w:rPr>
        <w:t xml:space="preserve"> </w:t>
      </w:r>
      <w:r>
        <w:rPr>
          <w:w w:val="105"/>
        </w:rPr>
        <w:t>better capture</w:t>
      </w:r>
      <w:r>
        <w:rPr>
          <w:spacing w:val="-10"/>
          <w:w w:val="105"/>
        </w:rPr>
        <w:t xml:space="preserve"> </w:t>
      </w:r>
      <w:r>
        <w:rPr>
          <w:w w:val="105"/>
        </w:rPr>
        <w:t>these shifts and interactions over time.</w:t>
      </w:r>
    </w:p>
    <w:p w:rsidR="00487D64" w:rsidRDefault="006F0D93">
      <w:pPr>
        <w:pStyle w:val="BodyText"/>
        <w:spacing w:before="236" w:line="501" w:lineRule="auto"/>
        <w:ind w:left="1419" w:right="849"/>
        <w:jc w:val="both"/>
      </w:pPr>
      <w:r>
        <w:rPr>
          <w:w w:val="105"/>
        </w:rPr>
        <w:t xml:space="preserve">Third, the data was self-reported by SMEs managers </w:t>
      </w:r>
      <w:r>
        <w:rPr>
          <w:w w:val="105"/>
        </w:rPr>
        <w:t>or representatives, which may introduce common method bias or social desirability effects</w:t>
      </w:r>
      <w:r>
        <w:rPr>
          <w:b/>
          <w:w w:val="105"/>
        </w:rPr>
        <w:t xml:space="preserve">. </w:t>
      </w:r>
      <w:r>
        <w:rPr>
          <w:w w:val="105"/>
        </w:rPr>
        <w:t>Although statistical techniques were used to address these concerns, the reliance on a single informant type still poses validity concerns. A more rigorous design in</w:t>
      </w:r>
      <w:r>
        <w:rPr>
          <w:w w:val="105"/>
        </w:rPr>
        <w:t>volving multiple data sources, such as procurement records, customer evaluations, or external audits, would strengthen future studies.</w:t>
      </w:r>
    </w:p>
    <w:p w:rsidR="00487D64" w:rsidRDefault="006F0D93">
      <w:pPr>
        <w:pStyle w:val="BodyText"/>
        <w:spacing w:before="236" w:line="501" w:lineRule="auto"/>
        <w:ind w:left="1419" w:right="848"/>
        <w:jc w:val="both"/>
      </w:pPr>
      <w:r>
        <w:rPr>
          <w:w w:val="105"/>
        </w:rPr>
        <w:t>Fourth, while this study included strategic flexibility as</w:t>
      </w:r>
      <w:r>
        <w:rPr>
          <w:spacing w:val="-1"/>
          <w:w w:val="105"/>
        </w:rPr>
        <w:t xml:space="preserve"> </w:t>
      </w:r>
      <w:r>
        <w:rPr>
          <w:w w:val="105"/>
        </w:rPr>
        <w:t>a moderating variable, it did not explore</w:t>
      </w:r>
      <w:r>
        <w:rPr>
          <w:spacing w:val="-3"/>
          <w:w w:val="105"/>
        </w:rPr>
        <w:t xml:space="preserve"> </w:t>
      </w:r>
      <w:r>
        <w:rPr>
          <w:w w:val="105"/>
        </w:rPr>
        <w:t>other potential mode</w:t>
      </w:r>
      <w:r>
        <w:rPr>
          <w:w w:val="105"/>
        </w:rPr>
        <w:t>rators</w:t>
      </w:r>
      <w:r>
        <w:rPr>
          <w:spacing w:val="-4"/>
          <w:w w:val="105"/>
        </w:rPr>
        <w:t xml:space="preserve"> </w:t>
      </w:r>
      <w:r>
        <w:rPr>
          <w:w w:val="105"/>
        </w:rPr>
        <w:t>or mediators, such</w:t>
      </w:r>
      <w:r>
        <w:rPr>
          <w:spacing w:val="-2"/>
          <w:w w:val="105"/>
        </w:rPr>
        <w:t xml:space="preserve"> </w:t>
      </w:r>
      <w:r>
        <w:rPr>
          <w:w w:val="105"/>
        </w:rPr>
        <w:t>as</w:t>
      </w:r>
      <w:r>
        <w:rPr>
          <w:spacing w:val="-4"/>
          <w:w w:val="105"/>
        </w:rPr>
        <w:t xml:space="preserve"> </w:t>
      </w:r>
      <w:r>
        <w:rPr>
          <w:w w:val="105"/>
        </w:rPr>
        <w:t>technological</w:t>
      </w:r>
      <w:r>
        <w:rPr>
          <w:spacing w:val="-7"/>
          <w:w w:val="105"/>
        </w:rPr>
        <w:t xml:space="preserve"> </w:t>
      </w:r>
      <w:r>
        <w:rPr>
          <w:w w:val="105"/>
        </w:rPr>
        <w:t>readiness, innovation capability, or institutional frameworks. These constructs may also influence the strength or direction of the relationships explored and are worth investigating in future studies.</w:t>
      </w:r>
    </w:p>
    <w:p w:rsidR="00487D64" w:rsidRDefault="006F0D93">
      <w:pPr>
        <w:pStyle w:val="BodyText"/>
        <w:spacing w:line="501" w:lineRule="auto"/>
        <w:ind w:left="1419" w:right="846"/>
        <w:jc w:val="both"/>
      </w:pPr>
      <w:r>
        <w:rPr>
          <w:w w:val="105"/>
        </w:rPr>
        <w:t>Lastly, the</w:t>
      </w:r>
      <w:r>
        <w:rPr>
          <w:w w:val="105"/>
        </w:rPr>
        <w:t xml:space="preserve"> use of quantitative analysis via Structural Equation Modeling (SEM) provided empirical robustness but limited exploration of underlying organizational processes and contextual nuances. Consequently, qualitative or mixed-methods approaches</w:t>
      </w:r>
      <w:r>
        <w:rPr>
          <w:spacing w:val="-1"/>
          <w:w w:val="105"/>
        </w:rPr>
        <w:t xml:space="preserve"> </w:t>
      </w:r>
      <w:r>
        <w:rPr>
          <w:w w:val="105"/>
        </w:rPr>
        <w:t>could</w:t>
      </w:r>
      <w:r>
        <w:rPr>
          <w:spacing w:val="-7"/>
          <w:w w:val="105"/>
        </w:rPr>
        <w:t xml:space="preserve"> </w:t>
      </w:r>
      <w:r>
        <w:rPr>
          <w:w w:val="105"/>
        </w:rPr>
        <w:t>complement</w:t>
      </w:r>
      <w:r>
        <w:rPr>
          <w:w w:val="105"/>
        </w:rPr>
        <w:t xml:space="preserve"> the</w:t>
      </w:r>
      <w:r>
        <w:rPr>
          <w:spacing w:val="-2"/>
          <w:w w:val="105"/>
        </w:rPr>
        <w:t xml:space="preserve"> </w:t>
      </w:r>
      <w:r>
        <w:rPr>
          <w:w w:val="105"/>
        </w:rPr>
        <w:t>statistical</w:t>
      </w:r>
      <w:r>
        <w:rPr>
          <w:spacing w:val="-6"/>
          <w:w w:val="105"/>
        </w:rPr>
        <w:t xml:space="preserve"> </w:t>
      </w:r>
      <w:r>
        <w:rPr>
          <w:w w:val="105"/>
        </w:rPr>
        <w:t>results</w:t>
      </w:r>
      <w:r>
        <w:rPr>
          <w:spacing w:val="-9"/>
          <w:w w:val="105"/>
        </w:rPr>
        <w:t xml:space="preserve"> </w:t>
      </w:r>
      <w:r>
        <w:rPr>
          <w:w w:val="105"/>
        </w:rPr>
        <w:t>and</w:t>
      </w:r>
      <w:r>
        <w:rPr>
          <w:spacing w:val="-7"/>
          <w:w w:val="105"/>
        </w:rPr>
        <w:t xml:space="preserve"> </w:t>
      </w:r>
      <w:r>
        <w:rPr>
          <w:w w:val="105"/>
        </w:rPr>
        <w:t>offer deeper</w:t>
      </w:r>
      <w:r>
        <w:rPr>
          <w:spacing w:val="-4"/>
          <w:w w:val="105"/>
        </w:rPr>
        <w:t xml:space="preserve"> </w:t>
      </w:r>
      <w:r>
        <w:rPr>
          <w:w w:val="105"/>
        </w:rPr>
        <w:t>insight</w:t>
      </w:r>
      <w:r>
        <w:rPr>
          <w:spacing w:val="-6"/>
          <w:w w:val="105"/>
        </w:rPr>
        <w:t xml:space="preserve"> </w:t>
      </w:r>
      <w:r>
        <w:rPr>
          <w:w w:val="105"/>
        </w:rPr>
        <w:t>into</w:t>
      </w:r>
      <w:r>
        <w:rPr>
          <w:spacing w:val="-7"/>
          <w:w w:val="105"/>
        </w:rPr>
        <w:t xml:space="preserve"> </w:t>
      </w:r>
      <w:r>
        <w:rPr>
          <w:w w:val="105"/>
        </w:rPr>
        <w:t>how market orientation</w:t>
      </w:r>
      <w:r>
        <w:rPr>
          <w:spacing w:val="-1"/>
          <w:w w:val="105"/>
        </w:rPr>
        <w:t xml:space="preserve"> </w:t>
      </w:r>
      <w:r>
        <w:rPr>
          <w:w w:val="105"/>
        </w:rPr>
        <w:t>is operationalized</w:t>
      </w:r>
      <w:r>
        <w:rPr>
          <w:spacing w:val="-1"/>
          <w:w w:val="105"/>
        </w:rPr>
        <w:t xml:space="preserve"> </w:t>
      </w:r>
      <w:r>
        <w:rPr>
          <w:w w:val="105"/>
        </w:rPr>
        <w:t xml:space="preserve">in practice within SMEs participating in public </w:t>
      </w:r>
      <w:r>
        <w:rPr>
          <w:spacing w:val="-2"/>
          <w:w w:val="105"/>
        </w:rPr>
        <w:t>procurement.</w:t>
      </w:r>
    </w:p>
    <w:p w:rsidR="00487D64" w:rsidRDefault="00487D64">
      <w:pPr>
        <w:pStyle w:val="BodyText"/>
      </w:pPr>
    </w:p>
    <w:p w:rsidR="00487D64" w:rsidRDefault="00487D64">
      <w:pPr>
        <w:pStyle w:val="BodyText"/>
        <w:spacing w:before="24"/>
      </w:pPr>
    </w:p>
    <w:p w:rsidR="00487D64" w:rsidRDefault="006F0D93">
      <w:pPr>
        <w:pStyle w:val="ListParagraph"/>
        <w:numPr>
          <w:ilvl w:val="1"/>
          <w:numId w:val="6"/>
        </w:numPr>
        <w:tabs>
          <w:tab w:val="left" w:pos="1988"/>
        </w:tabs>
        <w:ind w:hanging="569"/>
        <w:rPr>
          <w:b/>
          <w:sz w:val="23"/>
        </w:rPr>
      </w:pPr>
      <w:bookmarkStart w:id="255" w:name="6.7__Areas_for_Future_Research"/>
      <w:bookmarkStart w:id="256" w:name="_bookmark123"/>
      <w:bookmarkEnd w:id="255"/>
      <w:bookmarkEnd w:id="256"/>
      <w:r>
        <w:rPr>
          <w:b/>
          <w:w w:val="105"/>
          <w:sz w:val="23"/>
        </w:rPr>
        <w:t>Areas</w:t>
      </w:r>
      <w:r>
        <w:rPr>
          <w:b/>
          <w:spacing w:val="-7"/>
          <w:w w:val="105"/>
          <w:sz w:val="23"/>
        </w:rPr>
        <w:t xml:space="preserve"> </w:t>
      </w:r>
      <w:r>
        <w:rPr>
          <w:b/>
          <w:w w:val="105"/>
          <w:sz w:val="23"/>
        </w:rPr>
        <w:t>for</w:t>
      </w:r>
      <w:r>
        <w:rPr>
          <w:b/>
          <w:spacing w:val="-12"/>
          <w:w w:val="105"/>
          <w:sz w:val="23"/>
        </w:rPr>
        <w:t xml:space="preserve"> </w:t>
      </w:r>
      <w:r>
        <w:rPr>
          <w:b/>
          <w:w w:val="105"/>
          <w:sz w:val="23"/>
        </w:rPr>
        <w:t>Future</w:t>
      </w:r>
      <w:r>
        <w:rPr>
          <w:b/>
          <w:spacing w:val="-11"/>
          <w:w w:val="105"/>
          <w:sz w:val="23"/>
        </w:rPr>
        <w:t xml:space="preserve"> </w:t>
      </w:r>
      <w:r>
        <w:rPr>
          <w:b/>
          <w:spacing w:val="-2"/>
          <w:w w:val="105"/>
          <w:sz w:val="23"/>
        </w:rPr>
        <w:t>Research</w:t>
      </w:r>
    </w:p>
    <w:p w:rsidR="00487D64" w:rsidRDefault="00487D64">
      <w:pPr>
        <w:pStyle w:val="BodyText"/>
        <w:spacing w:before="18"/>
        <w:rPr>
          <w:b/>
        </w:rPr>
      </w:pPr>
    </w:p>
    <w:p w:rsidR="00487D64" w:rsidRDefault="006F0D93">
      <w:pPr>
        <w:pStyle w:val="BodyText"/>
        <w:spacing w:line="496" w:lineRule="auto"/>
        <w:ind w:left="1419" w:right="866"/>
        <w:jc w:val="both"/>
      </w:pPr>
      <w:r>
        <w:rPr>
          <w:w w:val="105"/>
        </w:rPr>
        <w:t>Building</w:t>
      </w:r>
      <w:r>
        <w:rPr>
          <w:spacing w:val="-8"/>
          <w:w w:val="105"/>
        </w:rPr>
        <w:t xml:space="preserve"> </w:t>
      </w:r>
      <w:r>
        <w:rPr>
          <w:w w:val="105"/>
        </w:rPr>
        <w:t>upon</w:t>
      </w:r>
      <w:r>
        <w:rPr>
          <w:spacing w:val="-8"/>
          <w:w w:val="105"/>
        </w:rPr>
        <w:t xml:space="preserve"> </w:t>
      </w:r>
      <w:r>
        <w:rPr>
          <w:w w:val="105"/>
        </w:rPr>
        <w:t>the</w:t>
      </w:r>
      <w:r>
        <w:rPr>
          <w:spacing w:val="-3"/>
          <w:w w:val="105"/>
        </w:rPr>
        <w:t xml:space="preserve"> </w:t>
      </w:r>
      <w:r>
        <w:rPr>
          <w:w w:val="105"/>
        </w:rPr>
        <w:t>current study's findings</w:t>
      </w:r>
      <w:r>
        <w:rPr>
          <w:spacing w:val="-10"/>
          <w:w w:val="105"/>
        </w:rPr>
        <w:t xml:space="preserve"> </w:t>
      </w:r>
      <w:r>
        <w:rPr>
          <w:w w:val="105"/>
        </w:rPr>
        <w:t>and</w:t>
      </w:r>
      <w:r>
        <w:rPr>
          <w:spacing w:val="-2"/>
          <w:w w:val="105"/>
        </w:rPr>
        <w:t xml:space="preserve"> </w:t>
      </w:r>
      <w:r>
        <w:rPr>
          <w:w w:val="105"/>
        </w:rPr>
        <w:t>acknowledging</w:t>
      </w:r>
      <w:r>
        <w:rPr>
          <w:spacing w:val="-2"/>
          <w:w w:val="105"/>
        </w:rPr>
        <w:t xml:space="preserve"> </w:t>
      </w:r>
      <w:r>
        <w:rPr>
          <w:w w:val="105"/>
        </w:rPr>
        <w:t>its</w:t>
      </w:r>
      <w:r>
        <w:rPr>
          <w:spacing w:val="-4"/>
          <w:w w:val="105"/>
        </w:rPr>
        <w:t xml:space="preserve"> </w:t>
      </w:r>
      <w:r>
        <w:rPr>
          <w:w w:val="105"/>
        </w:rPr>
        <w:t>limitations, several avenues for future research</w:t>
      </w:r>
      <w:r>
        <w:rPr>
          <w:spacing w:val="-1"/>
          <w:w w:val="105"/>
        </w:rPr>
        <w:t xml:space="preserve"> </w:t>
      </w:r>
      <w:r>
        <w:rPr>
          <w:w w:val="105"/>
        </w:rPr>
        <w:t>are proposed to</w:t>
      </w:r>
      <w:r>
        <w:rPr>
          <w:spacing w:val="-1"/>
          <w:w w:val="105"/>
        </w:rPr>
        <w:t xml:space="preserve"> </w:t>
      </w:r>
      <w:r>
        <w:rPr>
          <w:w w:val="105"/>
        </w:rPr>
        <w:t>advance</w:t>
      </w:r>
      <w:r>
        <w:rPr>
          <w:spacing w:val="-2"/>
          <w:w w:val="105"/>
        </w:rPr>
        <w:t xml:space="preserve"> </w:t>
      </w:r>
      <w:r>
        <w:rPr>
          <w:w w:val="105"/>
        </w:rPr>
        <w:t>understanding in this domain.</w:t>
      </w:r>
    </w:p>
    <w:p w:rsidR="00487D64" w:rsidRDefault="00487D64">
      <w:pPr>
        <w:pStyle w:val="BodyText"/>
        <w:spacing w:line="496"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1419" w:right="849"/>
        <w:jc w:val="both"/>
      </w:pPr>
      <w:r>
        <w:rPr>
          <w:w w:val="105"/>
        </w:rPr>
        <w:t>First, researchers should consider replicating this study in other contexts, including non-special</w:t>
      </w:r>
      <w:r>
        <w:rPr>
          <w:spacing w:val="-2"/>
          <w:w w:val="105"/>
        </w:rPr>
        <w:t xml:space="preserve"> </w:t>
      </w:r>
      <w:r>
        <w:rPr>
          <w:w w:val="105"/>
        </w:rPr>
        <w:t>group</w:t>
      </w:r>
      <w:r>
        <w:rPr>
          <w:spacing w:val="-2"/>
          <w:w w:val="105"/>
        </w:rPr>
        <w:t xml:space="preserve"> </w:t>
      </w:r>
      <w:r>
        <w:rPr>
          <w:w w:val="105"/>
        </w:rPr>
        <w:t>SMEs,</w:t>
      </w:r>
      <w:r>
        <w:rPr>
          <w:spacing w:val="-3"/>
          <w:w w:val="105"/>
        </w:rPr>
        <w:t xml:space="preserve"> </w:t>
      </w:r>
      <w:r>
        <w:rPr>
          <w:w w:val="105"/>
        </w:rPr>
        <w:t>different sectors</w:t>
      </w:r>
      <w:r>
        <w:rPr>
          <w:spacing w:val="-6"/>
          <w:w w:val="105"/>
        </w:rPr>
        <w:t xml:space="preserve"> </w:t>
      </w:r>
      <w:r>
        <w:rPr>
          <w:w w:val="105"/>
        </w:rPr>
        <w:t>(e</w:t>
      </w:r>
      <w:r>
        <w:rPr>
          <w:w w:val="105"/>
        </w:rPr>
        <w:t>.g.,</w:t>
      </w:r>
      <w:r>
        <w:rPr>
          <w:spacing w:val="-3"/>
          <w:w w:val="105"/>
        </w:rPr>
        <w:t xml:space="preserve"> </w:t>
      </w:r>
      <w:r>
        <w:rPr>
          <w:w w:val="105"/>
        </w:rPr>
        <w:t>manufacturing,</w:t>
      </w:r>
      <w:r>
        <w:rPr>
          <w:spacing w:val="-3"/>
          <w:w w:val="105"/>
        </w:rPr>
        <w:t xml:space="preserve"> </w:t>
      </w:r>
      <w:r>
        <w:rPr>
          <w:w w:val="105"/>
        </w:rPr>
        <w:t>services),</w:t>
      </w:r>
      <w:r>
        <w:rPr>
          <w:spacing w:val="-3"/>
          <w:w w:val="105"/>
        </w:rPr>
        <w:t xml:space="preserve"> </w:t>
      </w:r>
      <w:r>
        <w:rPr>
          <w:w w:val="105"/>
        </w:rPr>
        <w:t>and</w:t>
      </w:r>
      <w:r>
        <w:rPr>
          <w:spacing w:val="-4"/>
          <w:w w:val="105"/>
        </w:rPr>
        <w:t xml:space="preserve"> </w:t>
      </w:r>
      <w:r>
        <w:rPr>
          <w:w w:val="105"/>
        </w:rPr>
        <w:t>across various countries or regions. This would allow for comparative insights and help assess the external validity of the proposed model across different institutional and cultural settings.</w:t>
      </w:r>
    </w:p>
    <w:p w:rsidR="00487D64" w:rsidRDefault="006F0D93">
      <w:pPr>
        <w:pStyle w:val="BodyText"/>
        <w:spacing w:before="240" w:line="501" w:lineRule="auto"/>
        <w:ind w:left="1419" w:right="845"/>
        <w:jc w:val="both"/>
      </w:pPr>
      <w:r>
        <w:rPr>
          <w:w w:val="105"/>
        </w:rPr>
        <w:t>Second, future studies could</w:t>
      </w:r>
      <w:r>
        <w:rPr>
          <w:w w:val="105"/>
        </w:rPr>
        <w:t xml:space="preserve"> adopt longitudinal research designs to explore how the constructs</w:t>
      </w:r>
      <w:r>
        <w:rPr>
          <w:spacing w:val="-7"/>
          <w:w w:val="105"/>
        </w:rPr>
        <w:t xml:space="preserve"> </w:t>
      </w:r>
      <w:r>
        <w:rPr>
          <w:w w:val="105"/>
        </w:rPr>
        <w:t>of</w:t>
      </w:r>
      <w:r>
        <w:rPr>
          <w:spacing w:val="-14"/>
          <w:w w:val="105"/>
        </w:rPr>
        <w:t xml:space="preserve"> </w:t>
      </w:r>
      <w:r>
        <w:rPr>
          <w:w w:val="105"/>
        </w:rPr>
        <w:t>market</w:t>
      </w:r>
      <w:r>
        <w:rPr>
          <w:spacing w:val="-10"/>
          <w:w w:val="105"/>
        </w:rPr>
        <w:t xml:space="preserve"> </w:t>
      </w:r>
      <w:r>
        <w:rPr>
          <w:w w:val="105"/>
        </w:rPr>
        <w:t>orientation,</w:t>
      </w:r>
      <w:r>
        <w:rPr>
          <w:spacing w:val="-4"/>
          <w:w w:val="105"/>
        </w:rPr>
        <w:t xml:space="preserve"> </w:t>
      </w:r>
      <w:r>
        <w:rPr>
          <w:w w:val="105"/>
        </w:rPr>
        <w:t>strategic</w:t>
      </w:r>
      <w:r>
        <w:rPr>
          <w:spacing w:val="-6"/>
          <w:w w:val="105"/>
        </w:rPr>
        <w:t xml:space="preserve"> </w:t>
      </w:r>
      <w:r>
        <w:rPr>
          <w:w w:val="105"/>
        </w:rPr>
        <w:t>flexibility,</w:t>
      </w:r>
      <w:r>
        <w:rPr>
          <w:spacing w:val="-10"/>
          <w:w w:val="105"/>
        </w:rPr>
        <w:t xml:space="preserve"> </w:t>
      </w:r>
      <w:r>
        <w:rPr>
          <w:w w:val="105"/>
        </w:rPr>
        <w:t>and</w:t>
      </w:r>
      <w:r>
        <w:rPr>
          <w:spacing w:val="-6"/>
          <w:w w:val="105"/>
        </w:rPr>
        <w:t xml:space="preserve"> </w:t>
      </w:r>
      <w:r>
        <w:rPr>
          <w:w w:val="105"/>
        </w:rPr>
        <w:t>sustainable</w:t>
      </w:r>
      <w:r>
        <w:rPr>
          <w:spacing w:val="-6"/>
          <w:w w:val="105"/>
        </w:rPr>
        <w:t xml:space="preserve"> </w:t>
      </w:r>
      <w:r>
        <w:rPr>
          <w:w w:val="105"/>
        </w:rPr>
        <w:t>competitiveness evolve over time. This would provide a more accurate depiction of how SMEs respond</w:t>
      </w:r>
      <w:r>
        <w:rPr>
          <w:spacing w:val="-2"/>
          <w:w w:val="105"/>
        </w:rPr>
        <w:t xml:space="preserve"> </w:t>
      </w:r>
      <w:r>
        <w:rPr>
          <w:w w:val="105"/>
        </w:rPr>
        <w:t>to changes in procurement policies, market dynamics, or economic shocks.</w:t>
      </w:r>
    </w:p>
    <w:p w:rsidR="00487D64" w:rsidRDefault="006F0D93">
      <w:pPr>
        <w:pStyle w:val="BodyText"/>
        <w:spacing w:line="501" w:lineRule="auto"/>
        <w:ind w:left="1419" w:right="852"/>
        <w:jc w:val="both"/>
      </w:pPr>
      <w:r>
        <w:rPr>
          <w:w w:val="105"/>
        </w:rPr>
        <w:t>Third, expanding the model to include additional moderating or mediating variables such as digitalization, access to finance, innovation systems, or regulatory support would provide a</w:t>
      </w:r>
      <w:r>
        <w:rPr>
          <w:w w:val="105"/>
        </w:rPr>
        <w:t xml:space="preserve"> richer understanding of the pathways through which market orientation influences competitiveness. Constructs like absorptive capacity</w:t>
      </w:r>
      <w:r>
        <w:rPr>
          <w:b/>
          <w:w w:val="105"/>
        </w:rPr>
        <w:t xml:space="preserve">, </w:t>
      </w:r>
      <w:r>
        <w:rPr>
          <w:w w:val="105"/>
        </w:rPr>
        <w:t xml:space="preserve">entrepreneurial orientation, or supply chain agility could be especially useful in this </w:t>
      </w:r>
      <w:r>
        <w:rPr>
          <w:spacing w:val="-2"/>
          <w:w w:val="105"/>
        </w:rPr>
        <w:t>regard.</w:t>
      </w:r>
    </w:p>
    <w:p w:rsidR="00487D64" w:rsidRDefault="006F0D93">
      <w:pPr>
        <w:pStyle w:val="BodyText"/>
        <w:spacing w:before="235" w:line="501" w:lineRule="auto"/>
        <w:ind w:left="1419" w:right="851"/>
        <w:jc w:val="both"/>
      </w:pPr>
      <w:r>
        <w:rPr>
          <w:w w:val="105"/>
        </w:rPr>
        <w:t xml:space="preserve">Fourth, future research </w:t>
      </w:r>
      <w:r>
        <w:rPr>
          <w:w w:val="105"/>
        </w:rPr>
        <w:t>may also benefit from industry-specific studies, focusing on sectors like construction, agriculture, or ICT where public procurement plays a critical role. These sectoral studies could reveal unique enablers and constraints that shape SMEs performance outc</w:t>
      </w:r>
      <w:r>
        <w:rPr>
          <w:w w:val="105"/>
        </w:rPr>
        <w:t>omes.</w:t>
      </w:r>
    </w:p>
    <w:p w:rsidR="00487D64" w:rsidRDefault="006F0D93">
      <w:pPr>
        <w:pStyle w:val="BodyText"/>
        <w:spacing w:before="238" w:line="501" w:lineRule="auto"/>
        <w:ind w:left="1419" w:right="859"/>
        <w:jc w:val="both"/>
      </w:pPr>
      <w:r>
        <w:rPr>
          <w:w w:val="105"/>
        </w:rPr>
        <w:t>Finally, qualitative research such as case studies, interviews, or ethnographic fieldwork could be employed to uncover the internal decision-making processes, learning mechanisms, and leadership behaviors that influence how strategic flexibility</w:t>
      </w:r>
      <w:r>
        <w:rPr>
          <w:spacing w:val="36"/>
          <w:w w:val="105"/>
        </w:rPr>
        <w:t xml:space="preserve"> </w:t>
      </w:r>
      <w:r>
        <w:rPr>
          <w:w w:val="105"/>
        </w:rPr>
        <w:t>is</w:t>
      </w:r>
      <w:r>
        <w:rPr>
          <w:spacing w:val="34"/>
          <w:w w:val="105"/>
        </w:rPr>
        <w:t xml:space="preserve"> </w:t>
      </w:r>
      <w:r>
        <w:rPr>
          <w:w w:val="105"/>
        </w:rPr>
        <w:t>d</w:t>
      </w:r>
      <w:r>
        <w:rPr>
          <w:w w:val="105"/>
        </w:rPr>
        <w:t>eveloped</w:t>
      </w:r>
      <w:r>
        <w:rPr>
          <w:spacing w:val="29"/>
          <w:w w:val="105"/>
        </w:rPr>
        <w:t xml:space="preserve"> </w:t>
      </w:r>
      <w:r>
        <w:rPr>
          <w:w w:val="105"/>
        </w:rPr>
        <w:t>and</w:t>
      </w:r>
      <w:r>
        <w:rPr>
          <w:spacing w:val="29"/>
          <w:w w:val="105"/>
        </w:rPr>
        <w:t xml:space="preserve"> </w:t>
      </w:r>
      <w:r>
        <w:rPr>
          <w:w w:val="105"/>
        </w:rPr>
        <w:t>leveraged.</w:t>
      </w:r>
      <w:r>
        <w:rPr>
          <w:spacing w:val="38"/>
          <w:w w:val="105"/>
        </w:rPr>
        <w:t xml:space="preserve"> </w:t>
      </w:r>
      <w:r>
        <w:rPr>
          <w:w w:val="105"/>
        </w:rPr>
        <w:t>Such</w:t>
      </w:r>
      <w:r>
        <w:rPr>
          <w:spacing w:val="29"/>
          <w:w w:val="105"/>
        </w:rPr>
        <w:t xml:space="preserve"> </w:t>
      </w:r>
      <w:r>
        <w:rPr>
          <w:w w:val="105"/>
        </w:rPr>
        <w:t>insights</w:t>
      </w:r>
      <w:r>
        <w:rPr>
          <w:spacing w:val="34"/>
          <w:w w:val="105"/>
        </w:rPr>
        <w:t xml:space="preserve"> </w:t>
      </w:r>
      <w:r>
        <w:rPr>
          <w:w w:val="105"/>
        </w:rPr>
        <w:t>would</w:t>
      </w:r>
      <w:r>
        <w:rPr>
          <w:spacing w:val="36"/>
          <w:w w:val="105"/>
        </w:rPr>
        <w:t xml:space="preserve"> </w:t>
      </w:r>
      <w:r>
        <w:rPr>
          <w:w w:val="105"/>
        </w:rPr>
        <w:t>enrich</w:t>
      </w:r>
      <w:r>
        <w:rPr>
          <w:spacing w:val="29"/>
          <w:w w:val="105"/>
        </w:rPr>
        <w:t xml:space="preserve"> </w:t>
      </w:r>
      <w:r>
        <w:rPr>
          <w:w w:val="105"/>
        </w:rPr>
        <w:t>the</w:t>
      </w:r>
      <w:r>
        <w:rPr>
          <w:spacing w:val="36"/>
          <w:w w:val="105"/>
        </w:rPr>
        <w:t xml:space="preserve"> </w:t>
      </w:r>
      <w:r>
        <w:rPr>
          <w:w w:val="105"/>
        </w:rPr>
        <w:t>conceptual</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1419" w:right="851"/>
      </w:pPr>
      <w:r>
        <w:rPr>
          <w:w w:val="105"/>
        </w:rPr>
        <w:t>framework</w:t>
      </w:r>
      <w:r>
        <w:rPr>
          <w:spacing w:val="80"/>
          <w:w w:val="105"/>
        </w:rPr>
        <w:t xml:space="preserve"> </w:t>
      </w:r>
      <w:r>
        <w:rPr>
          <w:w w:val="105"/>
        </w:rPr>
        <w:t>and</w:t>
      </w:r>
      <w:r>
        <w:rPr>
          <w:spacing w:val="80"/>
          <w:w w:val="105"/>
        </w:rPr>
        <w:t xml:space="preserve"> </w:t>
      </w:r>
      <w:r>
        <w:rPr>
          <w:w w:val="105"/>
        </w:rPr>
        <w:t>offer</w:t>
      </w:r>
      <w:r>
        <w:rPr>
          <w:spacing w:val="80"/>
          <w:w w:val="105"/>
        </w:rPr>
        <w:t xml:space="preserve"> </w:t>
      </w:r>
      <w:r>
        <w:rPr>
          <w:w w:val="105"/>
        </w:rPr>
        <w:t>practical</w:t>
      </w:r>
      <w:r>
        <w:rPr>
          <w:spacing w:val="80"/>
          <w:w w:val="105"/>
        </w:rPr>
        <w:t xml:space="preserve"> </w:t>
      </w:r>
      <w:r>
        <w:rPr>
          <w:w w:val="105"/>
        </w:rPr>
        <w:t>guidance</w:t>
      </w:r>
      <w:r>
        <w:rPr>
          <w:spacing w:val="80"/>
          <w:w w:val="105"/>
        </w:rPr>
        <w:t xml:space="preserve"> </w:t>
      </w:r>
      <w:r>
        <w:rPr>
          <w:w w:val="105"/>
        </w:rPr>
        <w:t>for</w:t>
      </w:r>
      <w:r>
        <w:rPr>
          <w:spacing w:val="80"/>
          <w:w w:val="105"/>
        </w:rPr>
        <w:t xml:space="preserve"> </w:t>
      </w:r>
      <w:r>
        <w:rPr>
          <w:w w:val="105"/>
        </w:rPr>
        <w:t>SME</w:t>
      </w:r>
      <w:r>
        <w:rPr>
          <w:spacing w:val="80"/>
          <w:w w:val="105"/>
        </w:rPr>
        <w:t xml:space="preserve"> </w:t>
      </w:r>
      <w:r>
        <w:rPr>
          <w:w w:val="105"/>
        </w:rPr>
        <w:t>development</w:t>
      </w:r>
      <w:r>
        <w:rPr>
          <w:spacing w:val="80"/>
          <w:w w:val="105"/>
        </w:rPr>
        <w:t xml:space="preserve"> </w:t>
      </w:r>
      <w:r>
        <w:rPr>
          <w:w w:val="105"/>
        </w:rPr>
        <w:t>programs</w:t>
      </w:r>
      <w:r>
        <w:rPr>
          <w:spacing w:val="74"/>
          <w:w w:val="105"/>
        </w:rPr>
        <w:t xml:space="preserve"> </w:t>
      </w:r>
      <w:r>
        <w:rPr>
          <w:w w:val="105"/>
        </w:rPr>
        <w:t>and procurement policy interventions.</w:t>
      </w:r>
    </w:p>
    <w:p w:rsidR="00487D64" w:rsidRDefault="00487D64">
      <w:pPr>
        <w:pStyle w:val="BodyText"/>
        <w:spacing w:line="504" w:lineRule="auto"/>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3066" w:right="2499"/>
        <w:jc w:val="center"/>
        <w:rPr>
          <w:b/>
          <w:sz w:val="23"/>
        </w:rPr>
      </w:pPr>
      <w:bookmarkStart w:id="257" w:name="REFERENCES"/>
      <w:bookmarkStart w:id="258" w:name="_bookmark124"/>
      <w:bookmarkEnd w:id="257"/>
      <w:bookmarkEnd w:id="258"/>
      <w:r>
        <w:rPr>
          <w:b/>
          <w:spacing w:val="-2"/>
          <w:w w:val="105"/>
          <w:sz w:val="23"/>
        </w:rPr>
        <w:t>REFERENCES</w:t>
      </w:r>
    </w:p>
    <w:p w:rsidR="00487D64" w:rsidRDefault="00487D64">
      <w:pPr>
        <w:pStyle w:val="BodyText"/>
        <w:spacing w:before="18"/>
        <w:rPr>
          <w:b/>
        </w:rPr>
      </w:pPr>
    </w:p>
    <w:p w:rsidR="00487D64" w:rsidRDefault="006F0D93">
      <w:pPr>
        <w:pStyle w:val="BodyText"/>
        <w:spacing w:line="499" w:lineRule="auto"/>
        <w:ind w:left="2550" w:right="852" w:hanging="1131"/>
        <w:jc w:val="both"/>
      </w:pPr>
      <w:r>
        <w:rPr>
          <w:w w:val="105"/>
        </w:rPr>
        <w:t>Aabo, T., Pantzalis, C.,</w:t>
      </w:r>
      <w:r>
        <w:rPr>
          <w:w w:val="105"/>
        </w:rPr>
        <w:t xml:space="preserve"> Park, J. C., Trigeorgis, L., and Wulff, J. N. (2024). CEO personality traits, strategic flexibility, and firm dynamics. </w:t>
      </w:r>
      <w:r>
        <w:rPr>
          <w:i/>
          <w:w w:val="105"/>
        </w:rPr>
        <w:t>Journal of Corporate Finance</w:t>
      </w:r>
      <w:r>
        <w:rPr>
          <w:w w:val="105"/>
        </w:rPr>
        <w:t xml:space="preserve">, </w:t>
      </w:r>
      <w:r>
        <w:rPr>
          <w:i/>
          <w:w w:val="105"/>
        </w:rPr>
        <w:t>84</w:t>
      </w:r>
      <w:r>
        <w:rPr>
          <w:w w:val="105"/>
        </w:rPr>
        <w:t>, 102524.</w:t>
      </w:r>
    </w:p>
    <w:p w:rsidR="00487D64" w:rsidRDefault="006F0D93">
      <w:pPr>
        <w:pStyle w:val="BodyText"/>
        <w:spacing w:before="7" w:line="501" w:lineRule="auto"/>
        <w:ind w:left="2550" w:right="859" w:hanging="1131"/>
        <w:jc w:val="both"/>
      </w:pPr>
      <w:r>
        <w:rPr>
          <w:w w:val="105"/>
        </w:rPr>
        <w:t>Acikdilli,</w:t>
      </w:r>
      <w:r>
        <w:rPr>
          <w:spacing w:val="-14"/>
          <w:w w:val="105"/>
        </w:rPr>
        <w:t xml:space="preserve"> </w:t>
      </w:r>
      <w:r>
        <w:rPr>
          <w:w w:val="105"/>
        </w:rPr>
        <w:t>Gaye,</w:t>
      </w:r>
      <w:r>
        <w:rPr>
          <w:spacing w:val="-8"/>
          <w:w w:val="105"/>
        </w:rPr>
        <w:t xml:space="preserve"> </w:t>
      </w:r>
      <w:r>
        <w:rPr>
          <w:w w:val="105"/>
        </w:rPr>
        <w:t>Alma Mintu-Wimsatt,</w:t>
      </w:r>
      <w:r>
        <w:rPr>
          <w:spacing w:val="-8"/>
          <w:w w:val="105"/>
        </w:rPr>
        <w:t xml:space="preserve"> </w:t>
      </w:r>
      <w:r>
        <w:rPr>
          <w:w w:val="105"/>
        </w:rPr>
        <w:t>Ali</w:t>
      </w:r>
      <w:r>
        <w:rPr>
          <w:spacing w:val="-8"/>
          <w:w w:val="105"/>
        </w:rPr>
        <w:t xml:space="preserve"> </w:t>
      </w:r>
      <w:r>
        <w:rPr>
          <w:w w:val="105"/>
        </w:rPr>
        <w:t>Kara,</w:t>
      </w:r>
      <w:r>
        <w:rPr>
          <w:spacing w:val="-8"/>
          <w:w w:val="105"/>
        </w:rPr>
        <w:t xml:space="preserve"> </w:t>
      </w:r>
      <w:r>
        <w:rPr>
          <w:w w:val="105"/>
        </w:rPr>
        <w:t>and</w:t>
      </w:r>
      <w:r>
        <w:rPr>
          <w:spacing w:val="-15"/>
          <w:w w:val="105"/>
        </w:rPr>
        <w:t xml:space="preserve"> </w:t>
      </w:r>
      <w:r>
        <w:rPr>
          <w:w w:val="105"/>
        </w:rPr>
        <w:t>John</w:t>
      </w:r>
      <w:r>
        <w:rPr>
          <w:spacing w:val="-9"/>
          <w:w w:val="105"/>
        </w:rPr>
        <w:t xml:space="preserve"> </w:t>
      </w:r>
      <w:r>
        <w:rPr>
          <w:w w:val="105"/>
        </w:rPr>
        <w:t>E.</w:t>
      </w:r>
      <w:r>
        <w:rPr>
          <w:spacing w:val="-8"/>
          <w:w w:val="105"/>
        </w:rPr>
        <w:t xml:space="preserve"> </w:t>
      </w:r>
      <w:r>
        <w:rPr>
          <w:w w:val="105"/>
        </w:rPr>
        <w:t>Spillan.</w:t>
      </w:r>
      <w:r>
        <w:rPr>
          <w:spacing w:val="-8"/>
          <w:w w:val="105"/>
        </w:rPr>
        <w:t xml:space="preserve"> </w:t>
      </w:r>
      <w:r>
        <w:rPr>
          <w:w w:val="105"/>
        </w:rPr>
        <w:t>"Export</w:t>
      </w:r>
      <w:r>
        <w:rPr>
          <w:spacing w:val="-8"/>
          <w:w w:val="105"/>
        </w:rPr>
        <w:t xml:space="preserve"> </w:t>
      </w:r>
      <w:r>
        <w:rPr>
          <w:w w:val="105"/>
        </w:rPr>
        <w:t>market orientation, marketing</w:t>
      </w:r>
      <w:r>
        <w:rPr>
          <w:spacing w:val="-2"/>
          <w:w w:val="105"/>
        </w:rPr>
        <w:t xml:space="preserve"> </w:t>
      </w:r>
      <w:r>
        <w:rPr>
          <w:w w:val="105"/>
        </w:rPr>
        <w:t>capabilities</w:t>
      </w:r>
      <w:r>
        <w:rPr>
          <w:spacing w:val="-3"/>
          <w:w w:val="105"/>
        </w:rPr>
        <w:t xml:space="preserve"> </w:t>
      </w:r>
      <w:r>
        <w:rPr>
          <w:w w:val="105"/>
        </w:rPr>
        <w:t>and export performance</w:t>
      </w:r>
      <w:r>
        <w:rPr>
          <w:spacing w:val="-2"/>
          <w:w w:val="105"/>
        </w:rPr>
        <w:t xml:space="preserve"> </w:t>
      </w:r>
      <w:r>
        <w:rPr>
          <w:w w:val="105"/>
        </w:rPr>
        <w:t>of SME in</w:t>
      </w:r>
      <w:r>
        <w:rPr>
          <w:spacing w:val="-2"/>
          <w:w w:val="105"/>
        </w:rPr>
        <w:t xml:space="preserve"> </w:t>
      </w:r>
      <w:r>
        <w:rPr>
          <w:w w:val="105"/>
        </w:rPr>
        <w:t>an emerging market: A resource-based approach."</w:t>
      </w:r>
      <w:r>
        <w:rPr>
          <w:spacing w:val="-9"/>
          <w:w w:val="105"/>
        </w:rPr>
        <w:t xml:space="preserve"> </w:t>
      </w:r>
      <w:r>
        <w:rPr>
          <w:i/>
          <w:w w:val="105"/>
        </w:rPr>
        <w:t xml:space="preserve">Journal of Marketing Theory and Practice </w:t>
      </w:r>
      <w:r>
        <w:rPr>
          <w:w w:val="105"/>
        </w:rPr>
        <w:t>30, no. 4 (2022): 526-541.</w:t>
      </w:r>
    </w:p>
    <w:p w:rsidR="00487D64" w:rsidRDefault="006F0D93">
      <w:pPr>
        <w:pStyle w:val="BodyText"/>
        <w:spacing w:line="504" w:lineRule="auto"/>
        <w:ind w:left="2550" w:right="857" w:hanging="1131"/>
        <w:jc w:val="both"/>
      </w:pPr>
      <w:r>
        <w:rPr>
          <w:w w:val="105"/>
        </w:rPr>
        <w:t xml:space="preserve">Adefare, T., Adeola, O., Mogaji, E., Nguyen, N. P., and Mogaji, </w:t>
      </w:r>
      <w:r>
        <w:rPr>
          <w:w w:val="105"/>
        </w:rPr>
        <w:t>S. A. (2024). Empowering women agriculture entrepreneurs: banks' role in achieving sustainable</w:t>
      </w:r>
      <w:r>
        <w:rPr>
          <w:spacing w:val="-6"/>
          <w:w w:val="105"/>
        </w:rPr>
        <w:t xml:space="preserve"> </w:t>
      </w:r>
      <w:r>
        <w:rPr>
          <w:w w:val="105"/>
        </w:rPr>
        <w:t>development</w:t>
      </w:r>
      <w:r>
        <w:rPr>
          <w:spacing w:val="-3"/>
          <w:w w:val="105"/>
        </w:rPr>
        <w:t xml:space="preserve"> </w:t>
      </w:r>
      <w:r>
        <w:rPr>
          <w:w w:val="105"/>
        </w:rPr>
        <w:t>goals.</w:t>
      </w:r>
      <w:r>
        <w:rPr>
          <w:spacing w:val="-5"/>
          <w:w w:val="105"/>
        </w:rPr>
        <w:t xml:space="preserve"> </w:t>
      </w:r>
      <w:r>
        <w:rPr>
          <w:i/>
          <w:w w:val="105"/>
        </w:rPr>
        <w:t>International</w:t>
      </w:r>
      <w:r>
        <w:rPr>
          <w:i/>
          <w:spacing w:val="-9"/>
          <w:w w:val="105"/>
        </w:rPr>
        <w:t xml:space="preserve"> </w:t>
      </w:r>
      <w:r>
        <w:rPr>
          <w:i/>
          <w:w w:val="105"/>
        </w:rPr>
        <w:t>Journal</w:t>
      </w:r>
      <w:r>
        <w:rPr>
          <w:i/>
          <w:spacing w:val="-9"/>
          <w:w w:val="105"/>
        </w:rPr>
        <w:t xml:space="preserve"> </w:t>
      </w:r>
      <w:r>
        <w:rPr>
          <w:i/>
          <w:w w:val="105"/>
        </w:rPr>
        <w:t>of</w:t>
      </w:r>
      <w:r>
        <w:rPr>
          <w:i/>
          <w:spacing w:val="-9"/>
          <w:w w:val="105"/>
        </w:rPr>
        <w:t xml:space="preserve"> </w:t>
      </w:r>
      <w:r>
        <w:rPr>
          <w:i/>
          <w:w w:val="105"/>
        </w:rPr>
        <w:t>Bank</w:t>
      </w:r>
      <w:r>
        <w:rPr>
          <w:i/>
          <w:spacing w:val="-6"/>
          <w:w w:val="105"/>
        </w:rPr>
        <w:t xml:space="preserve"> </w:t>
      </w:r>
      <w:r>
        <w:rPr>
          <w:i/>
          <w:w w:val="105"/>
        </w:rPr>
        <w:t>Marketing</w:t>
      </w:r>
      <w:r>
        <w:rPr>
          <w:w w:val="105"/>
        </w:rPr>
        <w:t>.</w:t>
      </w:r>
    </w:p>
    <w:p w:rsidR="00487D64" w:rsidRDefault="006F0D93">
      <w:pPr>
        <w:pStyle w:val="BodyText"/>
        <w:spacing w:line="501" w:lineRule="auto"/>
        <w:ind w:left="2550" w:right="851" w:hanging="1131"/>
        <w:jc w:val="both"/>
      </w:pPr>
      <w:r>
        <w:rPr>
          <w:w w:val="105"/>
        </w:rPr>
        <w:t>Africa Freedom</w:t>
      </w:r>
      <w:r>
        <w:rPr>
          <w:spacing w:val="-2"/>
          <w:w w:val="105"/>
        </w:rPr>
        <w:t xml:space="preserve"> </w:t>
      </w:r>
      <w:r>
        <w:rPr>
          <w:w w:val="105"/>
        </w:rPr>
        <w:t>of</w:t>
      </w:r>
      <w:r>
        <w:rPr>
          <w:spacing w:val="-4"/>
          <w:w w:val="105"/>
        </w:rPr>
        <w:t xml:space="preserve"> </w:t>
      </w:r>
      <w:r>
        <w:rPr>
          <w:w w:val="105"/>
        </w:rPr>
        <w:t>Information</w:t>
      </w:r>
      <w:r>
        <w:rPr>
          <w:spacing w:val="-1"/>
          <w:w w:val="105"/>
        </w:rPr>
        <w:t xml:space="preserve"> </w:t>
      </w:r>
      <w:r>
        <w:rPr>
          <w:w w:val="105"/>
        </w:rPr>
        <w:t>Centre. “Inclusive</w:t>
      </w:r>
      <w:r>
        <w:rPr>
          <w:spacing w:val="-2"/>
          <w:w w:val="105"/>
        </w:rPr>
        <w:t xml:space="preserve"> </w:t>
      </w:r>
      <w:r>
        <w:rPr>
          <w:w w:val="105"/>
        </w:rPr>
        <w:t>Public</w:t>
      </w:r>
      <w:r>
        <w:rPr>
          <w:spacing w:val="-2"/>
          <w:w w:val="105"/>
        </w:rPr>
        <w:t xml:space="preserve"> </w:t>
      </w:r>
      <w:r>
        <w:rPr>
          <w:w w:val="105"/>
        </w:rPr>
        <w:t xml:space="preserve">Procurement: Empowering Women-Led Businesses </w:t>
      </w:r>
      <w:r>
        <w:rPr>
          <w:w w:val="105"/>
        </w:rPr>
        <w:t>in Tanzania.” Africa Freedom of Information Centre, https://</w:t>
      </w:r>
      <w:hyperlink r:id="rId19">
        <w:r>
          <w:rPr>
            <w:w w:val="105"/>
          </w:rPr>
          <w:t>www.africafoicentre.org/inclusive-public-procurement-</w:t>
        </w:r>
      </w:hyperlink>
      <w:r>
        <w:rPr>
          <w:w w:val="105"/>
        </w:rPr>
        <w:t xml:space="preserve"> empowering-women-led-businesses-in-tanzania/. Accessed</w:t>
      </w:r>
      <w:r>
        <w:rPr>
          <w:spacing w:val="-2"/>
          <w:w w:val="105"/>
        </w:rPr>
        <w:t xml:space="preserve"> </w:t>
      </w:r>
      <w:r>
        <w:rPr>
          <w:w w:val="105"/>
        </w:rPr>
        <w:t>3 Aug. 2025.</w:t>
      </w:r>
    </w:p>
    <w:p w:rsidR="00487D64" w:rsidRDefault="006F0D93">
      <w:pPr>
        <w:pStyle w:val="BodyText"/>
        <w:spacing w:line="499" w:lineRule="auto"/>
        <w:ind w:left="2550" w:right="850" w:hanging="1131"/>
        <w:jc w:val="both"/>
      </w:pPr>
      <w:r>
        <w:rPr>
          <w:w w:val="105"/>
        </w:rPr>
        <w:t>Aguinis, H., Gottfredson, R. K., and Joo, H. (2013). Best-practice recommendations for defining,</w:t>
      </w:r>
      <w:r>
        <w:rPr>
          <w:spacing w:val="-1"/>
          <w:w w:val="105"/>
        </w:rPr>
        <w:t xml:space="preserve"> </w:t>
      </w:r>
      <w:r>
        <w:rPr>
          <w:w w:val="105"/>
        </w:rPr>
        <w:t>identifying,</w:t>
      </w:r>
      <w:r>
        <w:rPr>
          <w:spacing w:val="-1"/>
          <w:w w:val="105"/>
        </w:rPr>
        <w:t xml:space="preserve"> </w:t>
      </w:r>
      <w:r>
        <w:rPr>
          <w:w w:val="105"/>
        </w:rPr>
        <w:t>and handling outliers.</w:t>
      </w:r>
      <w:r>
        <w:rPr>
          <w:spacing w:val="-5"/>
          <w:w w:val="105"/>
        </w:rPr>
        <w:t xml:space="preserve"> </w:t>
      </w:r>
      <w:r>
        <w:rPr>
          <w:i/>
          <w:w w:val="105"/>
        </w:rPr>
        <w:t>Organizational Research Methods</w:t>
      </w:r>
      <w:r>
        <w:rPr>
          <w:w w:val="105"/>
        </w:rPr>
        <w:t xml:space="preserve">, </w:t>
      </w:r>
      <w:r>
        <w:rPr>
          <w:i/>
          <w:w w:val="105"/>
        </w:rPr>
        <w:t>16</w:t>
      </w:r>
      <w:r>
        <w:rPr>
          <w:w w:val="105"/>
        </w:rPr>
        <w:t>(2), 270-301.</w:t>
      </w:r>
    </w:p>
    <w:p w:rsidR="00487D64" w:rsidRDefault="006F0D93">
      <w:pPr>
        <w:pStyle w:val="BodyText"/>
        <w:spacing w:line="499" w:lineRule="auto"/>
        <w:ind w:left="2550" w:right="856" w:hanging="1131"/>
        <w:jc w:val="both"/>
      </w:pPr>
      <w:r>
        <w:rPr>
          <w:w w:val="105"/>
        </w:rPr>
        <w:t>Alotaibi, M. B. G., and Zhang, Y. (2017). The relationship</w:t>
      </w:r>
      <w:r>
        <w:rPr>
          <w:w w:val="105"/>
        </w:rPr>
        <w:t xml:space="preserve"> between export market orientation and export performance: an empirical study. </w:t>
      </w:r>
      <w:r>
        <w:rPr>
          <w:i/>
          <w:w w:val="105"/>
        </w:rPr>
        <w:t>Applied Economics</w:t>
      </w:r>
      <w:r>
        <w:rPr>
          <w:w w:val="105"/>
        </w:rPr>
        <w:t xml:space="preserve">, </w:t>
      </w:r>
      <w:r>
        <w:rPr>
          <w:i/>
          <w:w w:val="105"/>
        </w:rPr>
        <w:t>49</w:t>
      </w:r>
      <w:r>
        <w:rPr>
          <w:w w:val="105"/>
        </w:rPr>
        <w:t>(23), 2253-2258.</w:t>
      </w:r>
    </w:p>
    <w:p w:rsidR="00487D64" w:rsidRDefault="006F0D93">
      <w:pPr>
        <w:pStyle w:val="BodyText"/>
        <w:spacing w:line="504" w:lineRule="auto"/>
        <w:ind w:left="2550" w:right="860" w:hanging="1131"/>
        <w:jc w:val="both"/>
      </w:pPr>
      <w:r>
        <w:rPr>
          <w:w w:val="105"/>
        </w:rPr>
        <w:t>Ashrafi, A., and Ravasan, A. Z. (2018). How market orientation contributes to innovation</w:t>
      </w:r>
      <w:r>
        <w:rPr>
          <w:spacing w:val="15"/>
          <w:w w:val="105"/>
        </w:rPr>
        <w:t xml:space="preserve"> </w:t>
      </w:r>
      <w:r>
        <w:rPr>
          <w:w w:val="105"/>
        </w:rPr>
        <w:t>and</w:t>
      </w:r>
      <w:r>
        <w:rPr>
          <w:spacing w:val="21"/>
          <w:w w:val="105"/>
        </w:rPr>
        <w:t xml:space="preserve"> </w:t>
      </w:r>
      <w:r>
        <w:rPr>
          <w:w w:val="105"/>
        </w:rPr>
        <w:t>market</w:t>
      </w:r>
      <w:r>
        <w:rPr>
          <w:spacing w:val="23"/>
          <w:w w:val="105"/>
        </w:rPr>
        <w:t xml:space="preserve"> </w:t>
      </w:r>
      <w:r>
        <w:rPr>
          <w:w w:val="105"/>
        </w:rPr>
        <w:t>performance:</w:t>
      </w:r>
      <w:r>
        <w:rPr>
          <w:spacing w:val="17"/>
          <w:w w:val="105"/>
        </w:rPr>
        <w:t xml:space="preserve"> </w:t>
      </w:r>
      <w:r>
        <w:rPr>
          <w:w w:val="105"/>
        </w:rPr>
        <w:t>the</w:t>
      </w:r>
      <w:r>
        <w:rPr>
          <w:spacing w:val="15"/>
          <w:w w:val="105"/>
        </w:rPr>
        <w:t xml:space="preserve"> </w:t>
      </w:r>
      <w:r>
        <w:rPr>
          <w:w w:val="105"/>
        </w:rPr>
        <w:t>roles</w:t>
      </w:r>
      <w:r>
        <w:rPr>
          <w:spacing w:val="19"/>
          <w:w w:val="105"/>
        </w:rPr>
        <w:t xml:space="preserve"> </w:t>
      </w:r>
      <w:r>
        <w:rPr>
          <w:w w:val="105"/>
        </w:rPr>
        <w:t>of</w:t>
      </w:r>
      <w:r>
        <w:rPr>
          <w:spacing w:val="18"/>
          <w:w w:val="105"/>
        </w:rPr>
        <w:t xml:space="preserve"> </w:t>
      </w:r>
      <w:r>
        <w:rPr>
          <w:w w:val="105"/>
        </w:rPr>
        <w:t>business</w:t>
      </w:r>
      <w:r>
        <w:rPr>
          <w:spacing w:val="12"/>
          <w:w w:val="105"/>
        </w:rPr>
        <w:t xml:space="preserve"> </w:t>
      </w:r>
      <w:r>
        <w:rPr>
          <w:w w:val="105"/>
        </w:rPr>
        <w:t>anal</w:t>
      </w:r>
      <w:r>
        <w:rPr>
          <w:w w:val="105"/>
        </w:rPr>
        <w:t>ytics</w:t>
      </w:r>
      <w:r>
        <w:rPr>
          <w:spacing w:val="13"/>
          <w:w w:val="105"/>
        </w:rPr>
        <w:t xml:space="preserve"> </w:t>
      </w:r>
      <w:r>
        <w:rPr>
          <w:spacing w:val="-5"/>
          <w:w w:val="105"/>
        </w:rPr>
        <w:t>and</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504" w:lineRule="auto"/>
        <w:ind w:left="2550" w:right="858"/>
        <w:jc w:val="both"/>
        <w:rPr>
          <w:sz w:val="23"/>
        </w:rPr>
      </w:pPr>
      <w:r>
        <w:rPr>
          <w:w w:val="105"/>
          <w:sz w:val="23"/>
        </w:rPr>
        <w:t>flexible</w:t>
      </w:r>
      <w:r>
        <w:rPr>
          <w:spacing w:val="40"/>
          <w:w w:val="105"/>
          <w:sz w:val="23"/>
        </w:rPr>
        <w:t xml:space="preserve"> </w:t>
      </w:r>
      <w:r>
        <w:rPr>
          <w:w w:val="105"/>
          <w:sz w:val="23"/>
        </w:rPr>
        <w:t>IT</w:t>
      </w:r>
      <w:r>
        <w:rPr>
          <w:spacing w:val="40"/>
          <w:w w:val="105"/>
          <w:sz w:val="23"/>
        </w:rPr>
        <w:t xml:space="preserve"> </w:t>
      </w:r>
      <w:r>
        <w:rPr>
          <w:w w:val="105"/>
          <w:sz w:val="23"/>
        </w:rPr>
        <w:t>infrastructure.</w:t>
      </w:r>
      <w:r>
        <w:rPr>
          <w:spacing w:val="-7"/>
          <w:w w:val="105"/>
          <w:sz w:val="23"/>
        </w:rPr>
        <w:t xml:space="preserve"> </w:t>
      </w:r>
      <w:r>
        <w:rPr>
          <w:i/>
          <w:w w:val="105"/>
          <w:sz w:val="23"/>
        </w:rPr>
        <w:t>Journal</w:t>
      </w:r>
      <w:r>
        <w:rPr>
          <w:i/>
          <w:spacing w:val="40"/>
          <w:w w:val="105"/>
          <w:sz w:val="23"/>
        </w:rPr>
        <w:t xml:space="preserve"> </w:t>
      </w:r>
      <w:r>
        <w:rPr>
          <w:i/>
          <w:w w:val="105"/>
          <w:sz w:val="23"/>
        </w:rPr>
        <w:t>of</w:t>
      </w:r>
      <w:r>
        <w:rPr>
          <w:i/>
          <w:spacing w:val="40"/>
          <w:w w:val="105"/>
          <w:sz w:val="23"/>
        </w:rPr>
        <w:t xml:space="preserve"> </w:t>
      </w:r>
      <w:r>
        <w:rPr>
          <w:i/>
          <w:w w:val="105"/>
          <w:sz w:val="23"/>
        </w:rPr>
        <w:t>Business</w:t>
      </w:r>
      <w:r>
        <w:rPr>
          <w:i/>
          <w:spacing w:val="40"/>
          <w:w w:val="105"/>
          <w:sz w:val="23"/>
        </w:rPr>
        <w:t xml:space="preserve"> </w:t>
      </w:r>
      <w:r>
        <w:rPr>
          <w:i/>
          <w:w w:val="105"/>
          <w:sz w:val="23"/>
        </w:rPr>
        <w:t>and</w:t>
      </w:r>
      <w:r>
        <w:rPr>
          <w:i/>
          <w:spacing w:val="40"/>
          <w:w w:val="105"/>
          <w:sz w:val="23"/>
        </w:rPr>
        <w:t xml:space="preserve"> </w:t>
      </w:r>
      <w:r>
        <w:rPr>
          <w:i/>
          <w:w w:val="105"/>
          <w:sz w:val="23"/>
        </w:rPr>
        <w:t>Industrial Marketing</w:t>
      </w:r>
      <w:r>
        <w:rPr>
          <w:w w:val="105"/>
          <w:sz w:val="23"/>
        </w:rPr>
        <w:t xml:space="preserve">, </w:t>
      </w:r>
      <w:r>
        <w:rPr>
          <w:i/>
          <w:w w:val="105"/>
          <w:sz w:val="23"/>
        </w:rPr>
        <w:t>33</w:t>
      </w:r>
      <w:r>
        <w:rPr>
          <w:w w:val="105"/>
          <w:sz w:val="23"/>
        </w:rPr>
        <w:t>(7), 970-983.</w:t>
      </w:r>
    </w:p>
    <w:p w:rsidR="00487D64" w:rsidRDefault="006F0D93">
      <w:pPr>
        <w:pStyle w:val="BodyText"/>
        <w:spacing w:line="504" w:lineRule="auto"/>
        <w:ind w:left="2550" w:right="860" w:hanging="1131"/>
        <w:jc w:val="both"/>
      </w:pPr>
      <w:r>
        <w:rPr>
          <w:w w:val="105"/>
        </w:rPr>
        <w:t>Auh, S., and Menguc, B. (2005). Top management team diversity and innovativeness:</w:t>
      </w:r>
      <w:r>
        <w:rPr>
          <w:spacing w:val="80"/>
          <w:w w:val="150"/>
        </w:rPr>
        <w:t xml:space="preserve"> </w:t>
      </w:r>
      <w:r>
        <w:rPr>
          <w:w w:val="105"/>
        </w:rPr>
        <w:t>The</w:t>
      </w:r>
      <w:r>
        <w:rPr>
          <w:spacing w:val="80"/>
          <w:w w:val="150"/>
        </w:rPr>
        <w:t xml:space="preserve"> </w:t>
      </w:r>
      <w:r>
        <w:rPr>
          <w:w w:val="105"/>
        </w:rPr>
        <w:t>moderating</w:t>
      </w:r>
      <w:r>
        <w:rPr>
          <w:spacing w:val="80"/>
          <w:w w:val="150"/>
        </w:rPr>
        <w:t xml:space="preserve"> </w:t>
      </w:r>
      <w:r>
        <w:rPr>
          <w:w w:val="105"/>
        </w:rPr>
        <w:t>role</w:t>
      </w:r>
      <w:r>
        <w:rPr>
          <w:spacing w:val="80"/>
          <w:w w:val="150"/>
        </w:rPr>
        <w:t xml:space="preserve"> </w:t>
      </w:r>
      <w:r>
        <w:rPr>
          <w:w w:val="105"/>
        </w:rPr>
        <w:t>of</w:t>
      </w:r>
      <w:r>
        <w:rPr>
          <w:spacing w:val="80"/>
          <w:w w:val="150"/>
        </w:rPr>
        <w:t xml:space="preserve"> </w:t>
      </w:r>
      <w:r>
        <w:rPr>
          <w:w w:val="105"/>
        </w:rPr>
        <w:t xml:space="preserve">interfunctional coordination. </w:t>
      </w:r>
      <w:r>
        <w:rPr>
          <w:i/>
          <w:w w:val="105"/>
        </w:rPr>
        <w:t>Industrial Marketing Management</w:t>
      </w:r>
      <w:r>
        <w:rPr>
          <w:w w:val="105"/>
        </w:rPr>
        <w:t xml:space="preserve">, </w:t>
      </w:r>
      <w:r>
        <w:rPr>
          <w:i/>
          <w:w w:val="105"/>
        </w:rPr>
        <w:t>34</w:t>
      </w:r>
      <w:r>
        <w:rPr>
          <w:w w:val="105"/>
        </w:rPr>
        <w:t>(3), 249-261.</w:t>
      </w:r>
    </w:p>
    <w:p w:rsidR="00487D64" w:rsidRDefault="006F0D93">
      <w:pPr>
        <w:pStyle w:val="BodyText"/>
        <w:spacing w:line="504" w:lineRule="auto"/>
        <w:ind w:left="2550" w:right="853" w:hanging="1131"/>
        <w:jc w:val="both"/>
      </w:pPr>
      <w:r>
        <w:rPr>
          <w:w w:val="105"/>
        </w:rPr>
        <w:t>Awais, M., Afzal, A., Firdousi, S., and Hasnaoui, A. (2023). Is fintech the new path to</w:t>
      </w:r>
      <w:r>
        <w:rPr>
          <w:spacing w:val="80"/>
          <w:w w:val="105"/>
        </w:rPr>
        <w:t xml:space="preserve">  </w:t>
      </w:r>
      <w:r>
        <w:rPr>
          <w:w w:val="105"/>
        </w:rPr>
        <w:t>sustainable</w:t>
      </w:r>
      <w:r>
        <w:rPr>
          <w:spacing w:val="80"/>
          <w:w w:val="105"/>
        </w:rPr>
        <w:t xml:space="preserve">  </w:t>
      </w:r>
      <w:r>
        <w:rPr>
          <w:w w:val="105"/>
        </w:rPr>
        <w:t>resource</w:t>
      </w:r>
      <w:r>
        <w:rPr>
          <w:spacing w:val="80"/>
          <w:w w:val="105"/>
        </w:rPr>
        <w:t xml:space="preserve">  </w:t>
      </w:r>
      <w:r>
        <w:rPr>
          <w:w w:val="105"/>
        </w:rPr>
        <w:t>utilisation</w:t>
      </w:r>
      <w:r>
        <w:rPr>
          <w:spacing w:val="80"/>
          <w:w w:val="105"/>
        </w:rPr>
        <w:t xml:space="preserve">  </w:t>
      </w:r>
      <w:r>
        <w:rPr>
          <w:w w:val="105"/>
        </w:rPr>
        <w:t>and</w:t>
      </w:r>
      <w:r>
        <w:rPr>
          <w:spacing w:val="80"/>
          <w:w w:val="105"/>
        </w:rPr>
        <w:t xml:space="preserve">  </w:t>
      </w:r>
      <w:r>
        <w:rPr>
          <w:w w:val="105"/>
        </w:rPr>
        <w:t xml:space="preserve">economic development?. </w:t>
      </w:r>
      <w:r>
        <w:rPr>
          <w:i/>
          <w:w w:val="105"/>
        </w:rPr>
        <w:t>Resources Policy</w:t>
      </w:r>
      <w:r>
        <w:rPr>
          <w:w w:val="105"/>
        </w:rPr>
        <w:t xml:space="preserve">, </w:t>
      </w:r>
      <w:r>
        <w:rPr>
          <w:i/>
          <w:w w:val="105"/>
        </w:rPr>
        <w:t>81</w:t>
      </w:r>
      <w:r>
        <w:rPr>
          <w:w w:val="105"/>
        </w:rPr>
        <w:t>, 10</w:t>
      </w:r>
      <w:r>
        <w:rPr>
          <w:w w:val="105"/>
        </w:rPr>
        <w:t>3309.</w:t>
      </w:r>
    </w:p>
    <w:p w:rsidR="00487D64" w:rsidRDefault="006F0D93">
      <w:pPr>
        <w:pStyle w:val="BodyText"/>
        <w:spacing w:line="255" w:lineRule="exact"/>
        <w:ind w:left="1419"/>
      </w:pPr>
      <w:r>
        <w:rPr>
          <w:w w:val="105"/>
        </w:rPr>
        <w:t>Bagozzi,</w:t>
      </w:r>
      <w:r>
        <w:rPr>
          <w:spacing w:val="23"/>
          <w:w w:val="105"/>
        </w:rPr>
        <w:t xml:space="preserve"> </w:t>
      </w:r>
      <w:r>
        <w:rPr>
          <w:w w:val="105"/>
        </w:rPr>
        <w:t>R.</w:t>
      </w:r>
      <w:r>
        <w:rPr>
          <w:spacing w:val="23"/>
          <w:w w:val="105"/>
        </w:rPr>
        <w:t xml:space="preserve"> </w:t>
      </w:r>
      <w:r>
        <w:rPr>
          <w:w w:val="105"/>
        </w:rPr>
        <w:t>P.,</w:t>
      </w:r>
      <w:r>
        <w:rPr>
          <w:spacing w:val="30"/>
          <w:w w:val="105"/>
        </w:rPr>
        <w:t xml:space="preserve"> </w:t>
      </w:r>
      <w:r>
        <w:rPr>
          <w:w w:val="105"/>
        </w:rPr>
        <w:t>&amp;</w:t>
      </w:r>
      <w:r>
        <w:rPr>
          <w:spacing w:val="20"/>
          <w:w w:val="105"/>
        </w:rPr>
        <w:t xml:space="preserve"> </w:t>
      </w:r>
      <w:r>
        <w:rPr>
          <w:w w:val="105"/>
        </w:rPr>
        <w:t>Yi,</w:t>
      </w:r>
      <w:r>
        <w:rPr>
          <w:spacing w:val="24"/>
          <w:w w:val="105"/>
        </w:rPr>
        <w:t xml:space="preserve"> </w:t>
      </w:r>
      <w:r>
        <w:rPr>
          <w:w w:val="105"/>
        </w:rPr>
        <w:t>Y.</w:t>
      </w:r>
      <w:r>
        <w:rPr>
          <w:spacing w:val="23"/>
          <w:w w:val="105"/>
        </w:rPr>
        <w:t xml:space="preserve"> </w:t>
      </w:r>
      <w:r>
        <w:rPr>
          <w:w w:val="105"/>
        </w:rPr>
        <w:t>(1988).</w:t>
      </w:r>
      <w:r>
        <w:rPr>
          <w:spacing w:val="23"/>
          <w:w w:val="105"/>
        </w:rPr>
        <w:t xml:space="preserve"> </w:t>
      </w:r>
      <w:r>
        <w:rPr>
          <w:w w:val="105"/>
        </w:rPr>
        <w:t>On</w:t>
      </w:r>
      <w:r>
        <w:rPr>
          <w:spacing w:val="22"/>
          <w:w w:val="105"/>
        </w:rPr>
        <w:t xml:space="preserve"> </w:t>
      </w:r>
      <w:r>
        <w:rPr>
          <w:w w:val="105"/>
        </w:rPr>
        <w:t>the</w:t>
      </w:r>
      <w:r>
        <w:rPr>
          <w:spacing w:val="27"/>
          <w:w w:val="105"/>
        </w:rPr>
        <w:t xml:space="preserve"> </w:t>
      </w:r>
      <w:r>
        <w:rPr>
          <w:w w:val="105"/>
        </w:rPr>
        <w:t>evaluation</w:t>
      </w:r>
      <w:r>
        <w:rPr>
          <w:spacing w:val="21"/>
          <w:w w:val="105"/>
        </w:rPr>
        <w:t xml:space="preserve"> </w:t>
      </w:r>
      <w:r>
        <w:rPr>
          <w:w w:val="105"/>
        </w:rPr>
        <w:t>of</w:t>
      </w:r>
      <w:r>
        <w:rPr>
          <w:spacing w:val="25"/>
          <w:w w:val="105"/>
        </w:rPr>
        <w:t xml:space="preserve"> </w:t>
      </w:r>
      <w:r>
        <w:rPr>
          <w:w w:val="105"/>
        </w:rPr>
        <w:t>structural</w:t>
      </w:r>
      <w:r>
        <w:rPr>
          <w:spacing w:val="31"/>
          <w:w w:val="105"/>
        </w:rPr>
        <w:t xml:space="preserve"> </w:t>
      </w:r>
      <w:r>
        <w:rPr>
          <w:w w:val="105"/>
        </w:rPr>
        <w:t>equation</w:t>
      </w:r>
      <w:r>
        <w:rPr>
          <w:spacing w:val="21"/>
          <w:w w:val="105"/>
        </w:rPr>
        <w:t xml:space="preserve"> </w:t>
      </w:r>
      <w:r>
        <w:rPr>
          <w:spacing w:val="-2"/>
          <w:w w:val="105"/>
        </w:rPr>
        <w:t>models.</w:t>
      </w:r>
    </w:p>
    <w:p w:rsidR="00487D64" w:rsidRDefault="00487D64">
      <w:pPr>
        <w:pStyle w:val="BodyText"/>
        <w:spacing w:before="8"/>
      </w:pPr>
    </w:p>
    <w:p w:rsidR="00487D64" w:rsidRDefault="006F0D93">
      <w:pPr>
        <w:ind w:left="2550"/>
        <w:jc w:val="both"/>
        <w:rPr>
          <w:sz w:val="23"/>
        </w:rPr>
      </w:pPr>
      <w:r>
        <w:rPr>
          <w:i/>
          <w:sz w:val="23"/>
        </w:rPr>
        <w:t>Journal</w:t>
      </w:r>
      <w:r>
        <w:rPr>
          <w:i/>
          <w:spacing w:val="22"/>
          <w:sz w:val="23"/>
        </w:rPr>
        <w:t xml:space="preserve"> </w:t>
      </w:r>
      <w:r>
        <w:rPr>
          <w:i/>
          <w:sz w:val="23"/>
        </w:rPr>
        <w:t>of</w:t>
      </w:r>
      <w:r>
        <w:rPr>
          <w:i/>
          <w:spacing w:val="22"/>
          <w:sz w:val="23"/>
        </w:rPr>
        <w:t xml:space="preserve"> </w:t>
      </w:r>
      <w:r>
        <w:rPr>
          <w:i/>
          <w:sz w:val="23"/>
        </w:rPr>
        <w:t>the</w:t>
      </w:r>
      <w:r>
        <w:rPr>
          <w:i/>
          <w:spacing w:val="27"/>
          <w:sz w:val="23"/>
        </w:rPr>
        <w:t xml:space="preserve"> </w:t>
      </w:r>
      <w:r>
        <w:rPr>
          <w:i/>
          <w:sz w:val="23"/>
        </w:rPr>
        <w:t>Academy</w:t>
      </w:r>
      <w:r>
        <w:rPr>
          <w:i/>
          <w:spacing w:val="28"/>
          <w:sz w:val="23"/>
        </w:rPr>
        <w:t xml:space="preserve"> </w:t>
      </w:r>
      <w:r>
        <w:rPr>
          <w:i/>
          <w:sz w:val="23"/>
        </w:rPr>
        <w:t>of</w:t>
      </w:r>
      <w:r>
        <w:rPr>
          <w:i/>
          <w:spacing w:val="22"/>
          <w:sz w:val="23"/>
        </w:rPr>
        <w:t xml:space="preserve"> </w:t>
      </w:r>
      <w:r>
        <w:rPr>
          <w:i/>
          <w:sz w:val="23"/>
        </w:rPr>
        <w:t>Marketing</w:t>
      </w:r>
      <w:r>
        <w:rPr>
          <w:i/>
          <w:spacing w:val="30"/>
          <w:sz w:val="23"/>
        </w:rPr>
        <w:t xml:space="preserve"> </w:t>
      </w:r>
      <w:r>
        <w:rPr>
          <w:i/>
          <w:sz w:val="23"/>
        </w:rPr>
        <w:t>Science,</w:t>
      </w:r>
      <w:r>
        <w:rPr>
          <w:i/>
          <w:spacing w:val="22"/>
          <w:sz w:val="23"/>
        </w:rPr>
        <w:t xml:space="preserve"> </w:t>
      </w:r>
      <w:r>
        <w:rPr>
          <w:i/>
          <w:sz w:val="23"/>
        </w:rPr>
        <w:t>16</w:t>
      </w:r>
      <w:r>
        <w:rPr>
          <w:sz w:val="23"/>
        </w:rPr>
        <w:t>(1),</w:t>
      </w:r>
      <w:r>
        <w:rPr>
          <w:spacing w:val="22"/>
          <w:sz w:val="23"/>
        </w:rPr>
        <w:t xml:space="preserve"> </w:t>
      </w:r>
      <w:r>
        <w:rPr>
          <w:sz w:val="23"/>
        </w:rPr>
        <w:t>74-</w:t>
      </w:r>
      <w:r>
        <w:rPr>
          <w:spacing w:val="-5"/>
          <w:sz w:val="23"/>
        </w:rPr>
        <w:t>94.</w:t>
      </w:r>
    </w:p>
    <w:p w:rsidR="00487D64" w:rsidRDefault="00487D64">
      <w:pPr>
        <w:pStyle w:val="BodyText"/>
        <w:spacing w:before="26"/>
      </w:pPr>
    </w:p>
    <w:p w:rsidR="00487D64" w:rsidRDefault="006F0D93">
      <w:pPr>
        <w:pStyle w:val="BodyText"/>
        <w:spacing w:line="499" w:lineRule="auto"/>
        <w:ind w:left="2550" w:right="854" w:hanging="1131"/>
        <w:jc w:val="both"/>
      </w:pPr>
      <w:r>
        <w:rPr>
          <w:w w:val="105"/>
        </w:rPr>
        <w:t>Bankole, O. A., Olaremu, Y. B., &amp; Oghogho, V. O. (2022). Customer Orientation and</w:t>
      </w:r>
      <w:r>
        <w:rPr>
          <w:spacing w:val="-1"/>
          <w:w w:val="105"/>
        </w:rPr>
        <w:t xml:space="preserve"> </w:t>
      </w:r>
      <w:r>
        <w:rPr>
          <w:w w:val="105"/>
        </w:rPr>
        <w:t>Firm</w:t>
      </w:r>
      <w:r>
        <w:rPr>
          <w:spacing w:val="-8"/>
          <w:w w:val="105"/>
        </w:rPr>
        <w:t xml:space="preserve"> </w:t>
      </w:r>
      <w:r>
        <w:rPr>
          <w:w w:val="105"/>
        </w:rPr>
        <w:t>Competitiveness</w:t>
      </w:r>
      <w:r>
        <w:rPr>
          <w:spacing w:val="-9"/>
          <w:w w:val="105"/>
        </w:rPr>
        <w:t xml:space="preserve"> </w:t>
      </w:r>
      <w:r>
        <w:rPr>
          <w:w w:val="105"/>
        </w:rPr>
        <w:t>of</w:t>
      </w:r>
      <w:r>
        <w:rPr>
          <w:spacing w:val="-4"/>
          <w:w w:val="105"/>
        </w:rPr>
        <w:t xml:space="preserve"> </w:t>
      </w:r>
      <w:r>
        <w:rPr>
          <w:w w:val="105"/>
        </w:rPr>
        <w:t>Selected</w:t>
      </w:r>
      <w:r>
        <w:rPr>
          <w:spacing w:val="-7"/>
          <w:w w:val="105"/>
        </w:rPr>
        <w:t xml:space="preserve"> </w:t>
      </w:r>
      <w:r>
        <w:rPr>
          <w:w w:val="105"/>
        </w:rPr>
        <w:t>Banks</w:t>
      </w:r>
      <w:r>
        <w:rPr>
          <w:spacing w:val="-9"/>
          <w:w w:val="105"/>
        </w:rPr>
        <w:t xml:space="preserve"> </w:t>
      </w:r>
      <w:r>
        <w:rPr>
          <w:w w:val="105"/>
        </w:rPr>
        <w:t>in</w:t>
      </w:r>
      <w:r>
        <w:rPr>
          <w:spacing w:val="-7"/>
          <w:w w:val="105"/>
        </w:rPr>
        <w:t xml:space="preserve"> </w:t>
      </w:r>
      <w:r>
        <w:rPr>
          <w:w w:val="105"/>
        </w:rPr>
        <w:t>Ekiti</w:t>
      </w:r>
      <w:r>
        <w:rPr>
          <w:spacing w:val="-5"/>
          <w:w w:val="105"/>
        </w:rPr>
        <w:t xml:space="preserve"> </w:t>
      </w:r>
      <w:r>
        <w:rPr>
          <w:w w:val="105"/>
        </w:rPr>
        <w:t>State,</w:t>
      </w:r>
      <w:r>
        <w:rPr>
          <w:spacing w:val="-5"/>
          <w:w w:val="105"/>
        </w:rPr>
        <w:t xml:space="preserve"> </w:t>
      </w:r>
      <w:r>
        <w:rPr>
          <w:w w:val="105"/>
        </w:rPr>
        <w:t xml:space="preserve">Nigeria. </w:t>
      </w:r>
      <w:r>
        <w:rPr>
          <w:i/>
          <w:w w:val="105"/>
        </w:rPr>
        <w:t>Turk Turizm Arastirmalari Dergisi</w:t>
      </w:r>
      <w:r>
        <w:rPr>
          <w:w w:val="105"/>
        </w:rPr>
        <w:t xml:space="preserve">, </w:t>
      </w:r>
      <w:r>
        <w:rPr>
          <w:i/>
          <w:w w:val="105"/>
        </w:rPr>
        <w:t>5</w:t>
      </w:r>
      <w:r>
        <w:rPr>
          <w:w w:val="105"/>
        </w:rPr>
        <w:t>(1), 15-25.</w:t>
      </w:r>
    </w:p>
    <w:p w:rsidR="00487D64" w:rsidRDefault="006F0D93">
      <w:pPr>
        <w:spacing w:before="7" w:line="499" w:lineRule="auto"/>
        <w:ind w:left="2550" w:right="856" w:hanging="1131"/>
        <w:jc w:val="both"/>
        <w:rPr>
          <w:sz w:val="23"/>
        </w:rPr>
      </w:pPr>
      <w:r>
        <w:rPr>
          <w:w w:val="105"/>
          <w:sz w:val="23"/>
        </w:rPr>
        <w:t>Banyikwa, W. F. (2001). The Spatial Structure of Food Commodities Marketing in Mbeya Municipality,</w:t>
      </w:r>
      <w:r>
        <w:rPr>
          <w:spacing w:val="-1"/>
          <w:w w:val="105"/>
          <w:sz w:val="23"/>
        </w:rPr>
        <w:t xml:space="preserve"> </w:t>
      </w:r>
      <w:r>
        <w:rPr>
          <w:w w:val="105"/>
          <w:sz w:val="23"/>
        </w:rPr>
        <w:t>Tanzania.</w:t>
      </w:r>
      <w:r>
        <w:rPr>
          <w:spacing w:val="-9"/>
          <w:w w:val="105"/>
          <w:sz w:val="23"/>
        </w:rPr>
        <w:t xml:space="preserve"> </w:t>
      </w:r>
      <w:r>
        <w:rPr>
          <w:i/>
          <w:w w:val="105"/>
          <w:sz w:val="23"/>
        </w:rPr>
        <w:t>Journal of the Geographical Association of Tanzania</w:t>
      </w:r>
      <w:r>
        <w:rPr>
          <w:w w:val="105"/>
          <w:sz w:val="23"/>
        </w:rPr>
        <w:t xml:space="preserve">, </w:t>
      </w:r>
      <w:r>
        <w:rPr>
          <w:i/>
          <w:w w:val="105"/>
          <w:sz w:val="23"/>
        </w:rPr>
        <w:t>30</w:t>
      </w:r>
      <w:r>
        <w:rPr>
          <w:w w:val="105"/>
          <w:sz w:val="23"/>
        </w:rPr>
        <w:t>, 12</w:t>
      </w:r>
      <w:r>
        <w:rPr>
          <w:w w:val="105"/>
          <w:sz w:val="23"/>
        </w:rPr>
        <w:t>5-139.</w:t>
      </w:r>
    </w:p>
    <w:p w:rsidR="00487D64" w:rsidRDefault="006F0D93">
      <w:pPr>
        <w:spacing w:before="6" w:line="499" w:lineRule="auto"/>
        <w:ind w:left="2550" w:right="843" w:hanging="1131"/>
        <w:jc w:val="both"/>
        <w:rPr>
          <w:sz w:val="23"/>
        </w:rPr>
      </w:pPr>
      <w:r>
        <w:rPr>
          <w:w w:val="105"/>
          <w:sz w:val="23"/>
        </w:rPr>
        <w:t xml:space="preserve">Baruch, Y., &amp; Holtom, B. C. (2008). </w:t>
      </w:r>
      <w:r>
        <w:rPr>
          <w:i/>
          <w:w w:val="105"/>
          <w:sz w:val="23"/>
        </w:rPr>
        <w:t xml:space="preserve">Survey response rate levels and trends in organizational research. </w:t>
      </w:r>
      <w:r>
        <w:rPr>
          <w:w w:val="105"/>
          <w:sz w:val="23"/>
        </w:rPr>
        <w:t xml:space="preserve">Human Relations, 61(8), 1139–1160. </w:t>
      </w:r>
      <w:r>
        <w:rPr>
          <w:spacing w:val="-2"/>
          <w:w w:val="105"/>
          <w:sz w:val="23"/>
        </w:rPr>
        <w:t>https://doi.org/10.1177/0018726708094863</w:t>
      </w:r>
    </w:p>
    <w:p w:rsidR="00487D64" w:rsidRDefault="006F0D93">
      <w:pPr>
        <w:spacing w:before="6" w:line="499" w:lineRule="auto"/>
        <w:ind w:left="2550" w:right="848" w:hanging="1131"/>
        <w:jc w:val="both"/>
        <w:rPr>
          <w:sz w:val="23"/>
        </w:rPr>
      </w:pPr>
      <w:r>
        <w:rPr>
          <w:w w:val="105"/>
          <w:sz w:val="23"/>
        </w:rPr>
        <w:t>Bashir, M. (2023). The influence of strategic flexibility on SME</w:t>
      </w:r>
      <w:r>
        <w:rPr>
          <w:w w:val="105"/>
          <w:sz w:val="23"/>
        </w:rPr>
        <w:t xml:space="preserve"> performance: is business model innovation the missing link?. </w:t>
      </w:r>
      <w:r>
        <w:rPr>
          <w:i/>
          <w:w w:val="105"/>
          <w:sz w:val="23"/>
        </w:rPr>
        <w:t>International Journal of Innovation Science</w:t>
      </w:r>
      <w:r>
        <w:rPr>
          <w:w w:val="105"/>
          <w:sz w:val="23"/>
        </w:rPr>
        <w:t xml:space="preserve">, </w:t>
      </w:r>
      <w:r>
        <w:rPr>
          <w:i/>
          <w:w w:val="105"/>
          <w:sz w:val="23"/>
        </w:rPr>
        <w:t>15</w:t>
      </w:r>
      <w:r>
        <w:rPr>
          <w:w w:val="105"/>
          <w:sz w:val="23"/>
        </w:rPr>
        <w:t>(5), 799-816.</w:t>
      </w:r>
    </w:p>
    <w:p w:rsidR="00487D64" w:rsidRDefault="006F0D93">
      <w:pPr>
        <w:pStyle w:val="BodyText"/>
        <w:spacing w:before="6" w:line="496" w:lineRule="auto"/>
        <w:ind w:left="2550" w:right="861" w:hanging="1131"/>
        <w:jc w:val="both"/>
      </w:pPr>
      <w:r>
        <w:rPr>
          <w:w w:val="105"/>
        </w:rPr>
        <w:t>Bekata, A. T., &amp; Kero, C. A. (2025). Modeling the significance of strategic orientation</w:t>
      </w:r>
      <w:r>
        <w:rPr>
          <w:spacing w:val="24"/>
          <w:w w:val="105"/>
        </w:rPr>
        <w:t xml:space="preserve">  </w:t>
      </w:r>
      <w:r>
        <w:rPr>
          <w:w w:val="105"/>
        </w:rPr>
        <w:t>for</w:t>
      </w:r>
      <w:r>
        <w:rPr>
          <w:spacing w:val="23"/>
          <w:w w:val="105"/>
        </w:rPr>
        <w:t xml:space="preserve">  </w:t>
      </w:r>
      <w:r>
        <w:rPr>
          <w:w w:val="105"/>
        </w:rPr>
        <w:t>innovation</w:t>
      </w:r>
      <w:r>
        <w:rPr>
          <w:spacing w:val="77"/>
          <w:w w:val="150"/>
        </w:rPr>
        <w:t xml:space="preserve"> </w:t>
      </w:r>
      <w:r>
        <w:rPr>
          <w:w w:val="105"/>
        </w:rPr>
        <w:t>capabilities</w:t>
      </w:r>
      <w:r>
        <w:rPr>
          <w:spacing w:val="75"/>
          <w:w w:val="150"/>
        </w:rPr>
        <w:t xml:space="preserve"> </w:t>
      </w:r>
      <w:r>
        <w:rPr>
          <w:w w:val="105"/>
        </w:rPr>
        <w:t>and</w:t>
      </w:r>
      <w:r>
        <w:rPr>
          <w:spacing w:val="24"/>
          <w:w w:val="105"/>
        </w:rPr>
        <w:t xml:space="preserve">  </w:t>
      </w:r>
      <w:r>
        <w:rPr>
          <w:w w:val="105"/>
        </w:rPr>
        <w:t>enterprise</w:t>
      </w:r>
      <w:r>
        <w:rPr>
          <w:spacing w:val="24"/>
          <w:w w:val="105"/>
        </w:rPr>
        <w:t xml:space="preserve">  </w:t>
      </w:r>
      <w:r>
        <w:rPr>
          <w:spacing w:val="-2"/>
          <w:w w:val="105"/>
        </w:rPr>
        <w:t>performance:</w:t>
      </w:r>
    </w:p>
    <w:p w:rsidR="00487D64" w:rsidRDefault="00487D64">
      <w:pPr>
        <w:pStyle w:val="BodyText"/>
        <w:spacing w:line="496"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504" w:lineRule="auto"/>
        <w:ind w:left="2550" w:right="850"/>
        <w:jc w:val="both"/>
        <w:rPr>
          <w:sz w:val="23"/>
        </w:rPr>
      </w:pPr>
      <w:r>
        <w:rPr>
          <w:w w:val="105"/>
          <w:sz w:val="23"/>
        </w:rPr>
        <w:t>evidence from Ethiopian SME.</w:t>
      </w:r>
      <w:r>
        <w:rPr>
          <w:spacing w:val="-5"/>
          <w:w w:val="105"/>
          <w:sz w:val="23"/>
        </w:rPr>
        <w:t xml:space="preserve"> </w:t>
      </w:r>
      <w:r>
        <w:rPr>
          <w:i/>
          <w:w w:val="105"/>
          <w:sz w:val="23"/>
        </w:rPr>
        <w:t>Cogent Business &amp; Management</w:t>
      </w:r>
      <w:r>
        <w:rPr>
          <w:w w:val="105"/>
          <w:sz w:val="23"/>
        </w:rPr>
        <w:t>,</w:t>
      </w:r>
      <w:r>
        <w:rPr>
          <w:spacing w:val="-10"/>
          <w:w w:val="105"/>
          <w:sz w:val="23"/>
        </w:rPr>
        <w:t xml:space="preserve"> </w:t>
      </w:r>
      <w:r>
        <w:rPr>
          <w:i/>
          <w:w w:val="105"/>
          <w:sz w:val="23"/>
        </w:rPr>
        <w:t>12</w:t>
      </w:r>
      <w:r>
        <w:rPr>
          <w:w w:val="105"/>
          <w:sz w:val="23"/>
        </w:rPr>
        <w:t xml:space="preserve">(1), </w:t>
      </w:r>
      <w:r>
        <w:rPr>
          <w:spacing w:val="-2"/>
          <w:w w:val="105"/>
          <w:sz w:val="23"/>
        </w:rPr>
        <w:t>2440122.</w:t>
      </w:r>
    </w:p>
    <w:p w:rsidR="00487D64" w:rsidRDefault="006F0D93">
      <w:pPr>
        <w:pStyle w:val="BodyText"/>
        <w:spacing w:line="504" w:lineRule="auto"/>
        <w:ind w:left="2550" w:right="859" w:hanging="1131"/>
        <w:jc w:val="both"/>
      </w:pPr>
      <w:r>
        <w:rPr>
          <w:w w:val="105"/>
        </w:rPr>
        <w:t>Bentivoglio, D., Bucci, G., Belletti, M., and Finco, A. (2021). A</w:t>
      </w:r>
      <w:r>
        <w:rPr>
          <w:w w:val="105"/>
        </w:rPr>
        <w:t xml:space="preserve"> theoretical framework on network's dynamics for precision agriculture technologies adoption. </w:t>
      </w:r>
      <w:r>
        <w:rPr>
          <w:i/>
          <w:w w:val="105"/>
        </w:rPr>
        <w:t>Revista de Economia e Sociologia Rural</w:t>
      </w:r>
      <w:r>
        <w:rPr>
          <w:w w:val="105"/>
        </w:rPr>
        <w:t xml:space="preserve">, </w:t>
      </w:r>
      <w:r>
        <w:rPr>
          <w:i/>
          <w:w w:val="105"/>
        </w:rPr>
        <w:t>60</w:t>
      </w:r>
      <w:r>
        <w:rPr>
          <w:w w:val="105"/>
        </w:rPr>
        <w:t>, e245721.</w:t>
      </w:r>
    </w:p>
    <w:p w:rsidR="00487D64" w:rsidRDefault="006F0D93">
      <w:pPr>
        <w:pStyle w:val="BodyText"/>
        <w:spacing w:line="504" w:lineRule="auto"/>
        <w:ind w:left="2550" w:right="848" w:hanging="1131"/>
        <w:jc w:val="both"/>
      </w:pPr>
      <w:r>
        <w:rPr>
          <w:w w:val="105"/>
        </w:rPr>
        <w:t>Bentler, P. M., &amp; Bonett, D. G. (1980).</w:t>
      </w:r>
      <w:r>
        <w:rPr>
          <w:spacing w:val="-2"/>
          <w:w w:val="105"/>
        </w:rPr>
        <w:t xml:space="preserve"> </w:t>
      </w:r>
      <w:r>
        <w:rPr>
          <w:w w:val="105"/>
        </w:rPr>
        <w:t xml:space="preserve">Significance Tests and Goodness-of-Fit in the Analysis of Covariance </w:t>
      </w:r>
      <w:r>
        <w:rPr>
          <w:w w:val="105"/>
        </w:rPr>
        <w:t xml:space="preserve">Structures, </w:t>
      </w:r>
      <w:r>
        <w:rPr>
          <w:i/>
          <w:w w:val="105"/>
        </w:rPr>
        <w:t>Psychological Bulletin</w:t>
      </w:r>
      <w:r>
        <w:rPr>
          <w:w w:val="105"/>
        </w:rPr>
        <w:t xml:space="preserve">, 88: 588- </w:t>
      </w:r>
      <w:r>
        <w:rPr>
          <w:spacing w:val="-4"/>
          <w:w w:val="105"/>
        </w:rPr>
        <w:t>600.</w:t>
      </w:r>
    </w:p>
    <w:p w:rsidR="00487D64" w:rsidRDefault="006F0D93">
      <w:pPr>
        <w:spacing w:line="504" w:lineRule="auto"/>
        <w:ind w:left="2550" w:right="858" w:hanging="1131"/>
        <w:jc w:val="both"/>
        <w:rPr>
          <w:sz w:val="23"/>
        </w:rPr>
      </w:pPr>
      <w:r>
        <w:rPr>
          <w:w w:val="105"/>
          <w:sz w:val="23"/>
        </w:rPr>
        <w:t xml:space="preserve">Bernard, H. R. (2011). </w:t>
      </w:r>
      <w:r>
        <w:rPr>
          <w:i/>
          <w:w w:val="105"/>
          <w:sz w:val="23"/>
        </w:rPr>
        <w:t xml:space="preserve">Social Research Methods: Qualitative and Quantitative Approaches </w:t>
      </w:r>
      <w:r>
        <w:rPr>
          <w:w w:val="105"/>
          <w:sz w:val="23"/>
        </w:rPr>
        <w:t>(2nd ed.). London: Sage.</w:t>
      </w:r>
    </w:p>
    <w:p w:rsidR="00487D64" w:rsidRDefault="006F0D93">
      <w:pPr>
        <w:spacing w:line="499" w:lineRule="auto"/>
        <w:ind w:left="2550" w:right="849" w:hanging="1131"/>
        <w:jc w:val="both"/>
        <w:rPr>
          <w:sz w:val="23"/>
        </w:rPr>
      </w:pPr>
      <w:r>
        <w:rPr>
          <w:w w:val="105"/>
          <w:sz w:val="23"/>
        </w:rPr>
        <w:t>Bianchi, C. (2015).</w:t>
      </w:r>
      <w:r>
        <w:rPr>
          <w:spacing w:val="-2"/>
          <w:w w:val="105"/>
          <w:sz w:val="23"/>
        </w:rPr>
        <w:t xml:space="preserve"> </w:t>
      </w:r>
      <w:r>
        <w:rPr>
          <w:i/>
          <w:w w:val="105"/>
          <w:sz w:val="23"/>
        </w:rPr>
        <w:t>Exploring</w:t>
      </w:r>
      <w:r>
        <w:rPr>
          <w:i/>
          <w:spacing w:val="-1"/>
          <w:w w:val="105"/>
          <w:sz w:val="23"/>
        </w:rPr>
        <w:t xml:space="preserve"> </w:t>
      </w:r>
      <w:r>
        <w:rPr>
          <w:i/>
          <w:w w:val="105"/>
          <w:sz w:val="23"/>
        </w:rPr>
        <w:t>the</w:t>
      </w:r>
      <w:r>
        <w:rPr>
          <w:i/>
          <w:spacing w:val="-2"/>
          <w:w w:val="105"/>
          <w:sz w:val="23"/>
        </w:rPr>
        <w:t xml:space="preserve"> </w:t>
      </w:r>
      <w:r>
        <w:rPr>
          <w:i/>
          <w:w w:val="105"/>
          <w:sz w:val="23"/>
        </w:rPr>
        <w:t>relationship</w:t>
      </w:r>
      <w:r>
        <w:rPr>
          <w:i/>
          <w:spacing w:val="-1"/>
          <w:w w:val="105"/>
          <w:sz w:val="23"/>
        </w:rPr>
        <w:t xml:space="preserve"> </w:t>
      </w:r>
      <w:r>
        <w:rPr>
          <w:i/>
          <w:w w:val="105"/>
          <w:sz w:val="23"/>
        </w:rPr>
        <w:t>between</w:t>
      </w:r>
      <w:r>
        <w:rPr>
          <w:i/>
          <w:spacing w:val="-1"/>
          <w:w w:val="105"/>
          <w:sz w:val="23"/>
        </w:rPr>
        <w:t xml:space="preserve"> </w:t>
      </w:r>
      <w:r>
        <w:rPr>
          <w:i/>
          <w:w w:val="105"/>
          <w:sz w:val="23"/>
        </w:rPr>
        <w:t>brand</w:t>
      </w:r>
      <w:r>
        <w:rPr>
          <w:i/>
          <w:spacing w:val="-1"/>
          <w:w w:val="105"/>
          <w:sz w:val="23"/>
        </w:rPr>
        <w:t xml:space="preserve"> </w:t>
      </w:r>
      <w:r>
        <w:rPr>
          <w:i/>
          <w:w w:val="105"/>
          <w:sz w:val="23"/>
        </w:rPr>
        <w:t>satisfaction</w:t>
      </w:r>
      <w:r>
        <w:rPr>
          <w:i/>
          <w:spacing w:val="-1"/>
          <w:w w:val="105"/>
          <w:sz w:val="23"/>
        </w:rPr>
        <w:t xml:space="preserve"> </w:t>
      </w:r>
      <w:r>
        <w:rPr>
          <w:i/>
          <w:w w:val="105"/>
          <w:sz w:val="23"/>
        </w:rPr>
        <w:t>and</w:t>
      </w:r>
      <w:r>
        <w:rPr>
          <w:i/>
          <w:spacing w:val="-1"/>
          <w:w w:val="105"/>
          <w:sz w:val="23"/>
        </w:rPr>
        <w:t xml:space="preserve"> </w:t>
      </w:r>
      <w:r>
        <w:rPr>
          <w:i/>
          <w:w w:val="105"/>
          <w:sz w:val="23"/>
        </w:rPr>
        <w:t>brand loyalty</w:t>
      </w:r>
      <w:r>
        <w:rPr>
          <w:i/>
          <w:w w:val="105"/>
          <w:sz w:val="23"/>
        </w:rPr>
        <w:t xml:space="preserve"> among Chilean wine consumers. </w:t>
      </w:r>
      <w:r>
        <w:rPr>
          <w:w w:val="105"/>
          <w:sz w:val="23"/>
        </w:rPr>
        <w:t>Journal of Food Products Marketing, 21(1), 1-15. https://doi.org/10.1080/10454446.2014.949990</w:t>
      </w:r>
    </w:p>
    <w:p w:rsidR="00487D64" w:rsidRDefault="006F0D93">
      <w:pPr>
        <w:pStyle w:val="BodyText"/>
        <w:spacing w:line="499" w:lineRule="auto"/>
        <w:ind w:left="2550" w:right="850" w:hanging="1131"/>
        <w:jc w:val="both"/>
      </w:pPr>
      <w:r>
        <w:rPr>
          <w:w w:val="105"/>
        </w:rPr>
        <w:t>Bollen, K. A., &amp; Stine, R. A. (1992).</w:t>
      </w:r>
      <w:r>
        <w:rPr>
          <w:spacing w:val="-4"/>
          <w:w w:val="105"/>
        </w:rPr>
        <w:t xml:space="preserve"> </w:t>
      </w:r>
      <w:r>
        <w:rPr>
          <w:w w:val="105"/>
        </w:rPr>
        <w:t>Bootstrapping Goodness-of-Fit Measures in Structural Equation Models.</w:t>
      </w:r>
      <w:r>
        <w:rPr>
          <w:spacing w:val="-9"/>
          <w:w w:val="105"/>
        </w:rPr>
        <w:t xml:space="preserve"> </w:t>
      </w:r>
      <w:r>
        <w:rPr>
          <w:i/>
          <w:w w:val="105"/>
        </w:rPr>
        <w:t xml:space="preserve">Sociological Methods &amp; </w:t>
      </w:r>
      <w:r>
        <w:rPr>
          <w:i/>
          <w:w w:val="105"/>
        </w:rPr>
        <w:t>Research</w:t>
      </w:r>
      <w:r>
        <w:rPr>
          <w:w w:val="105"/>
        </w:rPr>
        <w:t xml:space="preserve">, 21(2): </w:t>
      </w:r>
      <w:r>
        <w:rPr>
          <w:spacing w:val="-2"/>
          <w:w w:val="105"/>
        </w:rPr>
        <w:t>205-229.</w:t>
      </w:r>
    </w:p>
    <w:p w:rsidR="00487D64" w:rsidRDefault="006F0D93">
      <w:pPr>
        <w:spacing w:line="496" w:lineRule="auto"/>
        <w:ind w:left="2550" w:right="848" w:hanging="1131"/>
        <w:jc w:val="both"/>
        <w:rPr>
          <w:sz w:val="23"/>
        </w:rPr>
      </w:pPr>
      <w:r>
        <w:rPr>
          <w:w w:val="105"/>
          <w:sz w:val="23"/>
        </w:rPr>
        <w:t xml:space="preserve">Bordens, K. S., &amp; Abbot, B. B. (2011). </w:t>
      </w:r>
      <w:r>
        <w:rPr>
          <w:i/>
          <w:w w:val="105"/>
          <w:sz w:val="23"/>
        </w:rPr>
        <w:t>Research design and methods a process approach</w:t>
      </w:r>
      <w:r>
        <w:rPr>
          <w:w w:val="105"/>
          <w:sz w:val="23"/>
        </w:rPr>
        <w:t>. New York, NY: McGraw- Hill.</w:t>
      </w:r>
    </w:p>
    <w:p w:rsidR="00487D64" w:rsidRDefault="006F0D93">
      <w:pPr>
        <w:pStyle w:val="BodyText"/>
        <w:spacing w:line="499" w:lineRule="auto"/>
        <w:ind w:left="2550" w:right="855" w:hanging="1131"/>
        <w:jc w:val="both"/>
      </w:pPr>
      <w:r>
        <w:rPr>
          <w:w w:val="105"/>
        </w:rPr>
        <w:t>Brozović, D., Jansson, C., and Boers, B. (2023). Strategic flexibility and growth of small</w:t>
      </w:r>
      <w:r>
        <w:rPr>
          <w:spacing w:val="80"/>
          <w:w w:val="105"/>
        </w:rPr>
        <w:t xml:space="preserve"> </w:t>
      </w:r>
      <w:r>
        <w:rPr>
          <w:w w:val="105"/>
        </w:rPr>
        <w:t>and</w:t>
      </w:r>
      <w:r>
        <w:rPr>
          <w:spacing w:val="80"/>
          <w:w w:val="105"/>
        </w:rPr>
        <w:t xml:space="preserve"> </w:t>
      </w:r>
      <w:r>
        <w:rPr>
          <w:w w:val="105"/>
        </w:rPr>
        <w:t>medium-sized</w:t>
      </w:r>
      <w:r>
        <w:rPr>
          <w:spacing w:val="80"/>
          <w:w w:val="105"/>
        </w:rPr>
        <w:t xml:space="preserve"> </w:t>
      </w:r>
      <w:r>
        <w:rPr>
          <w:w w:val="105"/>
        </w:rPr>
        <w:t>enterpr</w:t>
      </w:r>
      <w:r>
        <w:rPr>
          <w:w w:val="105"/>
        </w:rPr>
        <w:t>ises:</w:t>
      </w:r>
      <w:r>
        <w:rPr>
          <w:spacing w:val="80"/>
          <w:w w:val="105"/>
        </w:rPr>
        <w:t xml:space="preserve"> </w:t>
      </w:r>
      <w:r>
        <w:rPr>
          <w:w w:val="105"/>
        </w:rPr>
        <w:t>a</w:t>
      </w:r>
      <w:r>
        <w:rPr>
          <w:spacing w:val="80"/>
          <w:w w:val="105"/>
        </w:rPr>
        <w:t xml:space="preserve"> </w:t>
      </w:r>
      <w:r>
        <w:rPr>
          <w:w w:val="105"/>
        </w:rPr>
        <w:t>study</w:t>
      </w:r>
      <w:r>
        <w:rPr>
          <w:spacing w:val="80"/>
          <w:w w:val="105"/>
        </w:rPr>
        <w:t xml:space="preserve"> </w:t>
      </w:r>
      <w:r>
        <w:rPr>
          <w:w w:val="105"/>
        </w:rPr>
        <w:t>of</w:t>
      </w:r>
      <w:r>
        <w:rPr>
          <w:spacing w:val="80"/>
          <w:w w:val="105"/>
        </w:rPr>
        <w:t xml:space="preserve"> </w:t>
      </w:r>
      <w:r>
        <w:rPr>
          <w:w w:val="105"/>
        </w:rPr>
        <w:t>enablers</w:t>
      </w:r>
      <w:r>
        <w:rPr>
          <w:spacing w:val="80"/>
          <w:w w:val="105"/>
        </w:rPr>
        <w:t xml:space="preserve"> </w:t>
      </w:r>
      <w:r>
        <w:rPr>
          <w:w w:val="105"/>
        </w:rPr>
        <w:t xml:space="preserve">and barriers. </w:t>
      </w:r>
      <w:r>
        <w:rPr>
          <w:i/>
          <w:w w:val="105"/>
        </w:rPr>
        <w:t>Management Decision</w:t>
      </w:r>
      <w:r>
        <w:rPr>
          <w:w w:val="105"/>
        </w:rPr>
        <w:t>.</w:t>
      </w:r>
    </w:p>
    <w:p w:rsidR="00487D64" w:rsidRDefault="006F0D93">
      <w:pPr>
        <w:ind w:left="1419"/>
        <w:rPr>
          <w:sz w:val="23"/>
        </w:rPr>
      </w:pPr>
      <w:r>
        <w:rPr>
          <w:sz w:val="23"/>
        </w:rPr>
        <w:t>Bryman,</w:t>
      </w:r>
      <w:r>
        <w:rPr>
          <w:spacing w:val="33"/>
          <w:sz w:val="23"/>
        </w:rPr>
        <w:t xml:space="preserve"> </w:t>
      </w:r>
      <w:r>
        <w:rPr>
          <w:sz w:val="23"/>
        </w:rPr>
        <w:t>A.</w:t>
      </w:r>
      <w:r>
        <w:rPr>
          <w:spacing w:val="33"/>
          <w:sz w:val="23"/>
        </w:rPr>
        <w:t xml:space="preserve"> </w:t>
      </w:r>
      <w:r>
        <w:rPr>
          <w:sz w:val="23"/>
        </w:rPr>
        <w:t>(2016).</w:t>
      </w:r>
      <w:r>
        <w:rPr>
          <w:spacing w:val="28"/>
          <w:sz w:val="23"/>
        </w:rPr>
        <w:t xml:space="preserve"> </w:t>
      </w:r>
      <w:r>
        <w:rPr>
          <w:i/>
          <w:sz w:val="23"/>
        </w:rPr>
        <w:t>Social</w:t>
      </w:r>
      <w:r>
        <w:rPr>
          <w:i/>
          <w:spacing w:val="23"/>
          <w:sz w:val="23"/>
        </w:rPr>
        <w:t xml:space="preserve"> </w:t>
      </w:r>
      <w:r>
        <w:rPr>
          <w:i/>
          <w:sz w:val="23"/>
        </w:rPr>
        <w:t>research</w:t>
      </w:r>
      <w:r>
        <w:rPr>
          <w:i/>
          <w:spacing w:val="31"/>
          <w:sz w:val="23"/>
        </w:rPr>
        <w:t xml:space="preserve"> </w:t>
      </w:r>
      <w:r>
        <w:rPr>
          <w:i/>
          <w:sz w:val="23"/>
        </w:rPr>
        <w:t>methods</w:t>
      </w:r>
      <w:r>
        <w:rPr>
          <w:sz w:val="23"/>
        </w:rPr>
        <w:t>.</w:t>
      </w:r>
      <w:r>
        <w:rPr>
          <w:spacing w:val="23"/>
          <w:sz w:val="23"/>
        </w:rPr>
        <w:t xml:space="preserve"> </w:t>
      </w:r>
      <w:r>
        <w:rPr>
          <w:sz w:val="23"/>
        </w:rPr>
        <w:t>Oxford</w:t>
      </w:r>
      <w:r>
        <w:rPr>
          <w:spacing w:val="21"/>
          <w:sz w:val="23"/>
        </w:rPr>
        <w:t xml:space="preserve"> </w:t>
      </w:r>
      <w:r>
        <w:rPr>
          <w:sz w:val="23"/>
        </w:rPr>
        <w:t>university</w:t>
      </w:r>
      <w:r>
        <w:rPr>
          <w:spacing w:val="20"/>
          <w:sz w:val="23"/>
        </w:rPr>
        <w:t xml:space="preserve"> </w:t>
      </w:r>
      <w:r>
        <w:rPr>
          <w:spacing w:val="-2"/>
          <w:sz w:val="23"/>
        </w:rPr>
        <w:t>press.</w:t>
      </w:r>
    </w:p>
    <w:p w:rsidR="00487D64" w:rsidRDefault="00487D64">
      <w:pPr>
        <w:pStyle w:val="BodyText"/>
        <w:spacing w:before="23"/>
      </w:pPr>
    </w:p>
    <w:p w:rsidR="00487D64" w:rsidRDefault="006F0D93">
      <w:pPr>
        <w:spacing w:line="496" w:lineRule="auto"/>
        <w:ind w:left="2550" w:right="847" w:hanging="1131"/>
        <w:jc w:val="both"/>
        <w:rPr>
          <w:sz w:val="23"/>
        </w:rPr>
      </w:pPr>
      <w:r>
        <w:rPr>
          <w:w w:val="105"/>
          <w:sz w:val="23"/>
        </w:rPr>
        <w:t xml:space="preserve">business. </w:t>
      </w:r>
      <w:r>
        <w:rPr>
          <w:i/>
          <w:w w:val="105"/>
          <w:sz w:val="23"/>
        </w:rPr>
        <w:t>Journal of Emerging Technologies and Innovative Research, 6</w:t>
      </w:r>
      <w:r>
        <w:rPr>
          <w:w w:val="105"/>
          <w:sz w:val="23"/>
        </w:rPr>
        <w:t xml:space="preserve">(4), 599– </w:t>
      </w:r>
      <w:r>
        <w:rPr>
          <w:spacing w:val="-4"/>
          <w:w w:val="105"/>
          <w:sz w:val="23"/>
        </w:rPr>
        <w:t>604.</w:t>
      </w:r>
    </w:p>
    <w:p w:rsidR="00487D64" w:rsidRDefault="00487D64">
      <w:pPr>
        <w:spacing w:line="496" w:lineRule="auto"/>
        <w:jc w:val="bot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2550" w:right="849" w:hanging="1131"/>
        <w:jc w:val="both"/>
      </w:pPr>
      <w:r>
        <w:rPr>
          <w:color w:val="212121"/>
          <w:w w:val="105"/>
        </w:rPr>
        <w:t>Buzzao, G., &amp;</w:t>
      </w:r>
      <w:r>
        <w:rPr>
          <w:color w:val="212121"/>
          <w:w w:val="105"/>
        </w:rPr>
        <w:t xml:space="preserve"> Rizzi, F. (2021). On the conceptualization and measurement of dynamic capabilities for sustainability: Building theory through a systematic</w:t>
      </w:r>
      <w:r>
        <w:rPr>
          <w:color w:val="212121"/>
          <w:spacing w:val="80"/>
          <w:w w:val="150"/>
        </w:rPr>
        <w:t xml:space="preserve"> </w:t>
      </w:r>
      <w:r>
        <w:rPr>
          <w:color w:val="212121"/>
          <w:w w:val="105"/>
        </w:rPr>
        <w:t>literature</w:t>
      </w:r>
      <w:r>
        <w:rPr>
          <w:color w:val="212121"/>
          <w:spacing w:val="80"/>
          <w:w w:val="150"/>
        </w:rPr>
        <w:t xml:space="preserve"> </w:t>
      </w:r>
      <w:r>
        <w:rPr>
          <w:color w:val="212121"/>
          <w:w w:val="105"/>
        </w:rPr>
        <w:t xml:space="preserve">review. </w:t>
      </w:r>
      <w:r>
        <w:rPr>
          <w:i/>
          <w:color w:val="212121"/>
          <w:w w:val="105"/>
        </w:rPr>
        <w:t>Business</w:t>
      </w:r>
      <w:r>
        <w:rPr>
          <w:i/>
          <w:color w:val="212121"/>
          <w:spacing w:val="80"/>
          <w:w w:val="150"/>
        </w:rPr>
        <w:t xml:space="preserve"> </w:t>
      </w:r>
      <w:r>
        <w:rPr>
          <w:i/>
          <w:color w:val="212121"/>
          <w:w w:val="105"/>
        </w:rPr>
        <w:t>Strategy</w:t>
      </w:r>
      <w:r>
        <w:rPr>
          <w:i/>
          <w:color w:val="212121"/>
          <w:spacing w:val="80"/>
          <w:w w:val="150"/>
        </w:rPr>
        <w:t xml:space="preserve"> </w:t>
      </w:r>
      <w:r>
        <w:rPr>
          <w:i/>
          <w:color w:val="212121"/>
          <w:w w:val="105"/>
        </w:rPr>
        <w:t>and</w:t>
      </w:r>
      <w:r>
        <w:rPr>
          <w:i/>
          <w:color w:val="212121"/>
          <w:spacing w:val="80"/>
          <w:w w:val="150"/>
        </w:rPr>
        <w:t xml:space="preserve"> </w:t>
      </w:r>
      <w:r>
        <w:rPr>
          <w:i/>
          <w:color w:val="212121"/>
          <w:w w:val="105"/>
        </w:rPr>
        <w:t>the Environment</w:t>
      </w:r>
      <w:r>
        <w:rPr>
          <w:color w:val="212121"/>
          <w:w w:val="105"/>
        </w:rPr>
        <w:t xml:space="preserve">, </w:t>
      </w:r>
      <w:r>
        <w:rPr>
          <w:i/>
          <w:color w:val="212121"/>
          <w:w w:val="105"/>
        </w:rPr>
        <w:t>30</w:t>
      </w:r>
      <w:r>
        <w:rPr>
          <w:color w:val="212121"/>
          <w:w w:val="105"/>
        </w:rPr>
        <w:t>(1), 135-175.</w:t>
      </w:r>
    </w:p>
    <w:p w:rsidR="00487D64" w:rsidRDefault="006F0D93">
      <w:pPr>
        <w:pStyle w:val="BodyText"/>
        <w:spacing w:before="159" w:line="499" w:lineRule="auto"/>
        <w:ind w:left="2550" w:right="862" w:hanging="1131"/>
        <w:jc w:val="both"/>
      </w:pPr>
      <w:r>
        <w:rPr>
          <w:w w:val="105"/>
        </w:rPr>
        <w:t>Casula, M., Rangarajan, N., &amp; Shields, P.</w:t>
      </w:r>
      <w:r>
        <w:rPr>
          <w:w w:val="105"/>
        </w:rPr>
        <w:t xml:space="preserve"> (2021). The potential of working hypotheses for deductive exploratory research. Quality &amp; Quantity, 55(5), 1703-1725.</w:t>
      </w:r>
    </w:p>
    <w:p w:rsidR="00487D64" w:rsidRDefault="006F0D93">
      <w:pPr>
        <w:spacing w:before="7" w:line="504" w:lineRule="auto"/>
        <w:ind w:left="2550" w:right="843" w:hanging="1131"/>
        <w:jc w:val="both"/>
        <w:rPr>
          <w:sz w:val="23"/>
        </w:rPr>
      </w:pPr>
      <w:r>
        <w:rPr>
          <w:w w:val="105"/>
          <w:sz w:val="23"/>
        </w:rPr>
        <w:t xml:space="preserve">Cavana, R., Delahaye, B., &amp; Sekeran, U. (2001). </w:t>
      </w:r>
      <w:r>
        <w:rPr>
          <w:i/>
          <w:w w:val="105"/>
          <w:sz w:val="23"/>
        </w:rPr>
        <w:t>Applied business research: Qualitative and quantitative methods</w:t>
      </w:r>
      <w:r>
        <w:rPr>
          <w:w w:val="105"/>
          <w:sz w:val="23"/>
        </w:rPr>
        <w:t xml:space="preserve">. Australia: John Wiley &amp; </w:t>
      </w:r>
      <w:r>
        <w:rPr>
          <w:w w:val="105"/>
          <w:sz w:val="23"/>
        </w:rPr>
        <w:t>Sons.</w:t>
      </w:r>
    </w:p>
    <w:p w:rsidR="00487D64" w:rsidRDefault="006F0D93">
      <w:pPr>
        <w:pStyle w:val="BodyText"/>
        <w:spacing w:line="501" w:lineRule="auto"/>
        <w:ind w:left="2550" w:right="854" w:hanging="1131"/>
        <w:jc w:val="both"/>
      </w:pPr>
      <w:r>
        <w:rPr>
          <w:w w:val="105"/>
        </w:rPr>
        <w:t>Chepkanga, S. C., &amp; Lubale, G. (2017). Factors Influencing Government Procurement Opportunities for Disadvantaged Groups in Public Institutions</w:t>
      </w:r>
      <w:r>
        <w:rPr>
          <w:spacing w:val="-4"/>
          <w:w w:val="105"/>
        </w:rPr>
        <w:t xml:space="preserve"> </w:t>
      </w:r>
      <w:r>
        <w:rPr>
          <w:w w:val="105"/>
        </w:rPr>
        <w:t>at Kenya Ports Authority.</w:t>
      </w:r>
      <w:r>
        <w:rPr>
          <w:spacing w:val="-1"/>
          <w:w w:val="105"/>
        </w:rPr>
        <w:t xml:space="preserve"> </w:t>
      </w:r>
      <w:r>
        <w:rPr>
          <w:i/>
          <w:w w:val="105"/>
        </w:rPr>
        <w:t>International Journal of Advanced Research</w:t>
      </w:r>
      <w:r>
        <w:rPr>
          <w:w w:val="105"/>
        </w:rPr>
        <w:t xml:space="preserve">, </w:t>
      </w:r>
      <w:r>
        <w:rPr>
          <w:i/>
          <w:w w:val="105"/>
        </w:rPr>
        <w:t>5</w:t>
      </w:r>
      <w:r>
        <w:rPr>
          <w:w w:val="105"/>
        </w:rPr>
        <w:t>(4), 63-75.</w:t>
      </w:r>
    </w:p>
    <w:p w:rsidR="00487D64" w:rsidRDefault="006F0D93">
      <w:pPr>
        <w:pStyle w:val="BodyText"/>
        <w:spacing w:line="499" w:lineRule="auto"/>
        <w:ind w:left="2550" w:right="857" w:hanging="1131"/>
        <w:jc w:val="both"/>
      </w:pPr>
      <w:r>
        <w:rPr>
          <w:w w:val="105"/>
        </w:rPr>
        <w:t>Chitonge, H., &amp; Kabungo</w:t>
      </w:r>
      <w:r>
        <w:rPr>
          <w:w w:val="105"/>
        </w:rPr>
        <w:t>, J. (2024). Public Infrastructure Development and SME Participation in Tanzania</w:t>
      </w:r>
      <w:r>
        <w:rPr>
          <w:b/>
          <w:w w:val="105"/>
        </w:rPr>
        <w:t xml:space="preserve">. </w:t>
      </w:r>
      <w:r>
        <w:rPr>
          <w:w w:val="105"/>
        </w:rPr>
        <w:t>Journal of Economic Development Studies, 18(2), 34-49.</w:t>
      </w:r>
    </w:p>
    <w:p w:rsidR="00487D64" w:rsidRDefault="006F0D93">
      <w:pPr>
        <w:spacing w:line="499" w:lineRule="auto"/>
        <w:ind w:left="2550" w:right="846" w:hanging="1131"/>
        <w:jc w:val="both"/>
        <w:rPr>
          <w:sz w:val="23"/>
        </w:rPr>
      </w:pPr>
      <w:r>
        <w:rPr>
          <w:w w:val="105"/>
          <w:sz w:val="23"/>
        </w:rPr>
        <w:t>Chung,</w:t>
      </w:r>
      <w:r>
        <w:rPr>
          <w:spacing w:val="-3"/>
          <w:w w:val="105"/>
          <w:sz w:val="23"/>
        </w:rPr>
        <w:t xml:space="preserve"> </w:t>
      </w:r>
      <w:r>
        <w:rPr>
          <w:w w:val="105"/>
          <w:sz w:val="23"/>
        </w:rPr>
        <w:t>H. F.</w:t>
      </w:r>
      <w:r>
        <w:rPr>
          <w:spacing w:val="-3"/>
          <w:w w:val="105"/>
          <w:sz w:val="23"/>
        </w:rPr>
        <w:t xml:space="preserve"> </w:t>
      </w:r>
      <w:r>
        <w:rPr>
          <w:w w:val="105"/>
          <w:sz w:val="23"/>
        </w:rPr>
        <w:t>(2019).</w:t>
      </w:r>
      <w:r>
        <w:rPr>
          <w:spacing w:val="-3"/>
          <w:w w:val="105"/>
          <w:sz w:val="23"/>
        </w:rPr>
        <w:t xml:space="preserve"> </w:t>
      </w:r>
      <w:r>
        <w:rPr>
          <w:w w:val="105"/>
          <w:sz w:val="23"/>
        </w:rPr>
        <w:t>How guanxi networking matters in</w:t>
      </w:r>
      <w:r>
        <w:rPr>
          <w:spacing w:val="-5"/>
          <w:w w:val="105"/>
          <w:sz w:val="23"/>
        </w:rPr>
        <w:t xml:space="preserve"> </w:t>
      </w:r>
      <w:r>
        <w:rPr>
          <w:w w:val="105"/>
          <w:sz w:val="23"/>
        </w:rPr>
        <w:t>the</w:t>
      </w:r>
      <w:r>
        <w:rPr>
          <w:spacing w:val="-6"/>
          <w:w w:val="105"/>
          <w:sz w:val="23"/>
        </w:rPr>
        <w:t xml:space="preserve"> </w:t>
      </w:r>
      <w:r>
        <w:rPr>
          <w:w w:val="105"/>
          <w:sz w:val="23"/>
        </w:rPr>
        <w:t>relation</w:t>
      </w:r>
      <w:r>
        <w:rPr>
          <w:spacing w:val="-5"/>
          <w:w w:val="105"/>
          <w:sz w:val="23"/>
        </w:rPr>
        <w:t xml:space="preserve"> </w:t>
      </w:r>
      <w:r>
        <w:rPr>
          <w:w w:val="105"/>
          <w:sz w:val="23"/>
        </w:rPr>
        <w:t>between market orientation and innovation in Asian</w:t>
      </w:r>
      <w:r>
        <w:rPr>
          <w:w w:val="105"/>
          <w:sz w:val="23"/>
        </w:rPr>
        <w:t xml:space="preserve"> emerging economies–the case of Markor. </w:t>
      </w:r>
      <w:r>
        <w:rPr>
          <w:i/>
          <w:w w:val="105"/>
          <w:sz w:val="23"/>
        </w:rPr>
        <w:t>Journal of Business and Industrial Marketing</w:t>
      </w:r>
      <w:r>
        <w:rPr>
          <w:w w:val="105"/>
          <w:sz w:val="23"/>
        </w:rPr>
        <w:t xml:space="preserve">, </w:t>
      </w:r>
      <w:r>
        <w:rPr>
          <w:i/>
          <w:w w:val="105"/>
          <w:sz w:val="23"/>
        </w:rPr>
        <w:t>34</w:t>
      </w:r>
      <w:r>
        <w:rPr>
          <w:w w:val="105"/>
          <w:sz w:val="23"/>
        </w:rPr>
        <w:t>(4), 836-849.</w:t>
      </w:r>
    </w:p>
    <w:p w:rsidR="00487D64" w:rsidRDefault="006F0D93">
      <w:pPr>
        <w:spacing w:before="4" w:line="499" w:lineRule="auto"/>
        <w:ind w:left="2550" w:right="847" w:hanging="1131"/>
        <w:jc w:val="both"/>
        <w:rPr>
          <w:sz w:val="23"/>
        </w:rPr>
      </w:pPr>
      <w:r>
        <w:rPr>
          <w:w w:val="105"/>
          <w:sz w:val="23"/>
        </w:rPr>
        <w:t xml:space="preserve">Controller and Auditor General (CAG). (2021). </w:t>
      </w:r>
      <w:r>
        <w:rPr>
          <w:i/>
          <w:w w:val="105"/>
          <w:sz w:val="23"/>
        </w:rPr>
        <w:t>Annual general report on the performance of public authorities in procurement management</w:t>
      </w:r>
      <w:r>
        <w:rPr>
          <w:w w:val="105"/>
          <w:sz w:val="23"/>
        </w:rPr>
        <w:t>. Dar es Salaam: Nat</w:t>
      </w:r>
      <w:r>
        <w:rPr>
          <w:w w:val="105"/>
          <w:sz w:val="23"/>
        </w:rPr>
        <w:t>ional Audit Office of Tanzania.</w:t>
      </w:r>
    </w:p>
    <w:p w:rsidR="00487D64" w:rsidRDefault="006F0D93">
      <w:pPr>
        <w:spacing w:before="6" w:line="496" w:lineRule="auto"/>
        <w:ind w:left="2550" w:right="851" w:hanging="1131"/>
        <w:jc w:val="both"/>
        <w:rPr>
          <w:sz w:val="23"/>
        </w:rPr>
      </w:pPr>
      <w:r>
        <w:rPr>
          <w:w w:val="105"/>
          <w:sz w:val="23"/>
        </w:rPr>
        <w:t xml:space="preserve">Creswell, J. W. (2009). </w:t>
      </w:r>
      <w:r>
        <w:rPr>
          <w:i/>
          <w:w w:val="105"/>
          <w:sz w:val="23"/>
        </w:rPr>
        <w:t xml:space="preserve">Research design: Qualitative, quantitative, and mixed Methods approaches, </w:t>
      </w:r>
      <w:r>
        <w:rPr>
          <w:w w:val="105"/>
          <w:sz w:val="23"/>
        </w:rPr>
        <w:t>(6th ed.) Los Angeles: Sage.</w:t>
      </w:r>
    </w:p>
    <w:p w:rsidR="00487D64" w:rsidRDefault="00487D64">
      <w:pPr>
        <w:spacing w:line="496" w:lineRule="auto"/>
        <w:jc w:val="bot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2550" w:right="874" w:hanging="1131"/>
        <w:jc w:val="both"/>
      </w:pPr>
      <w:r>
        <w:rPr>
          <w:w w:val="105"/>
        </w:rPr>
        <w:t>Crick, J. M. (2021). The dimensionality of the market orientation construct. Journal of Strategic Marketing, 29(4), 281–300</w:t>
      </w:r>
    </w:p>
    <w:p w:rsidR="00487D64" w:rsidRDefault="006F0D93">
      <w:pPr>
        <w:pStyle w:val="BodyText"/>
        <w:spacing w:line="501" w:lineRule="auto"/>
        <w:ind w:left="2550" w:right="849" w:hanging="1131"/>
        <w:jc w:val="both"/>
      </w:pPr>
      <w:r>
        <w:rPr>
          <w:w w:val="105"/>
        </w:rPr>
        <w:t>Crick, J. M., Friske, W., and Morgan, T. A. (2024). The relationship between coopetition</w:t>
      </w:r>
      <w:r>
        <w:rPr>
          <w:spacing w:val="-2"/>
          <w:w w:val="105"/>
        </w:rPr>
        <w:t xml:space="preserve"> </w:t>
      </w:r>
      <w:r>
        <w:rPr>
          <w:w w:val="105"/>
        </w:rPr>
        <w:t>strategies</w:t>
      </w:r>
      <w:r>
        <w:rPr>
          <w:spacing w:val="-10"/>
          <w:w w:val="105"/>
        </w:rPr>
        <w:t xml:space="preserve"> </w:t>
      </w:r>
      <w:r>
        <w:rPr>
          <w:w w:val="105"/>
        </w:rPr>
        <w:t>and</w:t>
      </w:r>
      <w:r>
        <w:rPr>
          <w:spacing w:val="-2"/>
          <w:w w:val="105"/>
        </w:rPr>
        <w:t xml:space="preserve"> </w:t>
      </w:r>
      <w:r>
        <w:rPr>
          <w:w w:val="105"/>
        </w:rPr>
        <w:t>company</w:t>
      </w:r>
      <w:r>
        <w:rPr>
          <w:spacing w:val="-8"/>
          <w:w w:val="105"/>
        </w:rPr>
        <w:t xml:space="preserve"> </w:t>
      </w:r>
      <w:r>
        <w:rPr>
          <w:w w:val="105"/>
        </w:rPr>
        <w:t>performance</w:t>
      </w:r>
      <w:r>
        <w:rPr>
          <w:spacing w:val="-9"/>
          <w:w w:val="105"/>
        </w:rPr>
        <w:t xml:space="preserve"> </w:t>
      </w:r>
      <w:r>
        <w:rPr>
          <w:w w:val="105"/>
        </w:rPr>
        <w:t>under di</w:t>
      </w:r>
      <w:r>
        <w:rPr>
          <w:w w:val="105"/>
        </w:rPr>
        <w:t>fferent levels</w:t>
      </w:r>
      <w:r>
        <w:rPr>
          <w:spacing w:val="-3"/>
          <w:w w:val="105"/>
        </w:rPr>
        <w:t xml:space="preserve"> </w:t>
      </w:r>
      <w:r>
        <w:rPr>
          <w:w w:val="105"/>
        </w:rPr>
        <w:t>of competitive</w:t>
      </w:r>
      <w:r>
        <w:rPr>
          <w:spacing w:val="40"/>
          <w:w w:val="105"/>
        </w:rPr>
        <w:t xml:space="preserve"> </w:t>
      </w:r>
      <w:r>
        <w:rPr>
          <w:w w:val="105"/>
        </w:rPr>
        <w:t>intensity,</w:t>
      </w:r>
      <w:r>
        <w:rPr>
          <w:spacing w:val="40"/>
          <w:w w:val="105"/>
        </w:rPr>
        <w:t xml:space="preserve"> </w:t>
      </w:r>
      <w:r>
        <w:rPr>
          <w:w w:val="105"/>
        </w:rPr>
        <w:t>market</w:t>
      </w:r>
      <w:r>
        <w:rPr>
          <w:spacing w:val="40"/>
          <w:w w:val="105"/>
        </w:rPr>
        <w:t xml:space="preserve"> </w:t>
      </w:r>
      <w:r>
        <w:rPr>
          <w:w w:val="105"/>
        </w:rPr>
        <w:t>dynamism,</w:t>
      </w:r>
      <w:r>
        <w:rPr>
          <w:spacing w:val="40"/>
          <w:w w:val="105"/>
        </w:rPr>
        <w:t xml:space="preserve"> </w:t>
      </w:r>
      <w:r>
        <w:rPr>
          <w:w w:val="105"/>
        </w:rPr>
        <w:t>and</w:t>
      </w:r>
      <w:r>
        <w:rPr>
          <w:spacing w:val="40"/>
          <w:w w:val="105"/>
        </w:rPr>
        <w:t xml:space="preserve"> </w:t>
      </w:r>
      <w:r>
        <w:rPr>
          <w:w w:val="105"/>
        </w:rPr>
        <w:t>technological</w:t>
      </w:r>
      <w:r>
        <w:rPr>
          <w:spacing w:val="80"/>
          <w:w w:val="105"/>
        </w:rPr>
        <w:t xml:space="preserve"> </w:t>
      </w:r>
      <w:r>
        <w:rPr>
          <w:w w:val="105"/>
        </w:rPr>
        <w:t xml:space="preserve">turbulence. </w:t>
      </w:r>
      <w:r>
        <w:rPr>
          <w:i/>
          <w:w w:val="105"/>
        </w:rPr>
        <w:t>Industrial Marketing Management</w:t>
      </w:r>
      <w:r>
        <w:rPr>
          <w:w w:val="105"/>
        </w:rPr>
        <w:t xml:space="preserve">, </w:t>
      </w:r>
      <w:r>
        <w:rPr>
          <w:i/>
          <w:w w:val="105"/>
        </w:rPr>
        <w:t>118</w:t>
      </w:r>
      <w:r>
        <w:rPr>
          <w:w w:val="105"/>
        </w:rPr>
        <w:t>, 56-77.</w:t>
      </w:r>
    </w:p>
    <w:p w:rsidR="00487D64" w:rsidRDefault="006F0D93">
      <w:pPr>
        <w:spacing w:line="504" w:lineRule="auto"/>
        <w:ind w:left="2550" w:right="860" w:hanging="1131"/>
        <w:jc w:val="both"/>
        <w:rPr>
          <w:sz w:val="23"/>
        </w:rPr>
      </w:pPr>
      <w:r>
        <w:rPr>
          <w:w w:val="105"/>
          <w:sz w:val="23"/>
        </w:rPr>
        <w:t>Das,</w:t>
      </w:r>
      <w:r>
        <w:rPr>
          <w:spacing w:val="80"/>
          <w:w w:val="105"/>
          <w:sz w:val="23"/>
        </w:rPr>
        <w:t xml:space="preserve"> </w:t>
      </w:r>
      <w:r>
        <w:rPr>
          <w:w w:val="105"/>
          <w:sz w:val="23"/>
        </w:rPr>
        <w:t>T.</w:t>
      </w:r>
      <w:r>
        <w:rPr>
          <w:spacing w:val="80"/>
          <w:w w:val="105"/>
          <w:sz w:val="23"/>
        </w:rPr>
        <w:t xml:space="preserve"> </w:t>
      </w:r>
      <w:r>
        <w:rPr>
          <w:w w:val="105"/>
          <w:sz w:val="23"/>
        </w:rPr>
        <w:t>K.</w:t>
      </w:r>
      <w:r>
        <w:rPr>
          <w:spacing w:val="80"/>
          <w:w w:val="105"/>
          <w:sz w:val="23"/>
        </w:rPr>
        <w:t xml:space="preserve"> </w:t>
      </w:r>
      <w:r>
        <w:rPr>
          <w:w w:val="105"/>
          <w:sz w:val="23"/>
        </w:rPr>
        <w:t>(1995).</w:t>
      </w:r>
      <w:r>
        <w:rPr>
          <w:spacing w:val="80"/>
          <w:w w:val="105"/>
          <w:sz w:val="23"/>
        </w:rPr>
        <w:t xml:space="preserve"> </w:t>
      </w:r>
      <w:r>
        <w:rPr>
          <w:w w:val="105"/>
          <w:sz w:val="23"/>
        </w:rPr>
        <w:t>Managing</w:t>
      </w:r>
      <w:r>
        <w:rPr>
          <w:spacing w:val="80"/>
          <w:w w:val="105"/>
          <w:sz w:val="23"/>
        </w:rPr>
        <w:t xml:space="preserve"> </w:t>
      </w:r>
      <w:r>
        <w:rPr>
          <w:w w:val="105"/>
          <w:sz w:val="23"/>
        </w:rPr>
        <w:t>strategic</w:t>
      </w:r>
      <w:r>
        <w:rPr>
          <w:spacing w:val="80"/>
          <w:w w:val="105"/>
          <w:sz w:val="23"/>
        </w:rPr>
        <w:t xml:space="preserve"> </w:t>
      </w:r>
      <w:r>
        <w:rPr>
          <w:w w:val="105"/>
          <w:sz w:val="23"/>
        </w:rPr>
        <w:t>flexibility:</w:t>
      </w:r>
      <w:r>
        <w:rPr>
          <w:spacing w:val="80"/>
          <w:w w:val="105"/>
          <w:sz w:val="23"/>
        </w:rPr>
        <w:t xml:space="preserve"> </w:t>
      </w:r>
      <w:r>
        <w:rPr>
          <w:w w:val="105"/>
          <w:sz w:val="23"/>
        </w:rPr>
        <w:t>key</w:t>
      </w:r>
      <w:r>
        <w:rPr>
          <w:spacing w:val="80"/>
          <w:w w:val="105"/>
          <w:sz w:val="23"/>
        </w:rPr>
        <w:t xml:space="preserve"> </w:t>
      </w:r>
      <w:r>
        <w:rPr>
          <w:w w:val="105"/>
          <w:sz w:val="23"/>
        </w:rPr>
        <w:t>to</w:t>
      </w:r>
      <w:r>
        <w:rPr>
          <w:spacing w:val="80"/>
          <w:w w:val="105"/>
          <w:sz w:val="23"/>
        </w:rPr>
        <w:t xml:space="preserve"> </w:t>
      </w:r>
      <w:r>
        <w:rPr>
          <w:w w:val="105"/>
          <w:sz w:val="23"/>
        </w:rPr>
        <w:t xml:space="preserve">effective performance. </w:t>
      </w:r>
      <w:r>
        <w:rPr>
          <w:i/>
          <w:w w:val="105"/>
          <w:sz w:val="23"/>
        </w:rPr>
        <w:t>Journal of general management</w:t>
      </w:r>
      <w:r>
        <w:rPr>
          <w:w w:val="105"/>
          <w:sz w:val="23"/>
        </w:rPr>
        <w:t xml:space="preserve">, </w:t>
      </w:r>
      <w:r>
        <w:rPr>
          <w:i/>
          <w:w w:val="105"/>
          <w:sz w:val="23"/>
        </w:rPr>
        <w:t>20</w:t>
      </w:r>
      <w:r>
        <w:rPr>
          <w:w w:val="105"/>
          <w:sz w:val="23"/>
        </w:rPr>
        <w:t>(3), 60-7</w:t>
      </w:r>
      <w:r>
        <w:rPr>
          <w:w w:val="105"/>
          <w:sz w:val="23"/>
        </w:rPr>
        <w:t>5.</w:t>
      </w:r>
    </w:p>
    <w:p w:rsidR="00487D64" w:rsidRDefault="006F0D93">
      <w:pPr>
        <w:spacing w:line="504" w:lineRule="auto"/>
        <w:ind w:left="2550" w:right="852" w:hanging="1131"/>
        <w:jc w:val="both"/>
        <w:rPr>
          <w:sz w:val="23"/>
        </w:rPr>
      </w:pPr>
      <w:r>
        <w:rPr>
          <w:w w:val="105"/>
          <w:sz w:val="23"/>
        </w:rPr>
        <w:t xml:space="preserve">Denscombe, M. (2010). </w:t>
      </w:r>
      <w:r>
        <w:rPr>
          <w:i/>
          <w:w w:val="105"/>
          <w:sz w:val="23"/>
        </w:rPr>
        <w:t xml:space="preserve">The good research guide: For small-scale social research projects </w:t>
      </w:r>
      <w:r>
        <w:rPr>
          <w:w w:val="105"/>
          <w:sz w:val="23"/>
        </w:rPr>
        <w:t>(Vol. 4). Maidenhead: Open University Press.</w:t>
      </w:r>
    </w:p>
    <w:p w:rsidR="00487D64" w:rsidRDefault="006F0D93">
      <w:pPr>
        <w:pStyle w:val="BodyText"/>
        <w:spacing w:line="499" w:lineRule="auto"/>
        <w:ind w:left="2550" w:right="856" w:hanging="1131"/>
        <w:jc w:val="both"/>
      </w:pPr>
      <w:r>
        <w:rPr>
          <w:w w:val="105"/>
        </w:rPr>
        <w:t>Dibrell, C., Craig, J. B., and Neubaum, D. O. (2014). Linking the formal strategic planning process, planning</w:t>
      </w:r>
      <w:r>
        <w:rPr>
          <w:w w:val="105"/>
        </w:rPr>
        <w:t xml:space="preserve"> flexibility, and innovativeness to firm performance. </w:t>
      </w:r>
      <w:r>
        <w:rPr>
          <w:i/>
          <w:w w:val="105"/>
        </w:rPr>
        <w:t>Journal of Business Research</w:t>
      </w:r>
      <w:r>
        <w:rPr>
          <w:w w:val="105"/>
        </w:rPr>
        <w:t xml:space="preserve">, </w:t>
      </w:r>
      <w:r>
        <w:rPr>
          <w:i/>
          <w:w w:val="105"/>
        </w:rPr>
        <w:t>67</w:t>
      </w:r>
      <w:r>
        <w:rPr>
          <w:w w:val="105"/>
        </w:rPr>
        <w:t>(9), 2000-2007.</w:t>
      </w:r>
    </w:p>
    <w:p w:rsidR="00487D64" w:rsidRDefault="006F0D93">
      <w:pPr>
        <w:spacing w:line="499" w:lineRule="auto"/>
        <w:ind w:left="2550" w:right="839" w:hanging="1131"/>
        <w:jc w:val="both"/>
        <w:rPr>
          <w:sz w:val="23"/>
        </w:rPr>
      </w:pPr>
      <w:r>
        <w:rPr>
          <w:w w:val="105"/>
          <w:sz w:val="23"/>
        </w:rPr>
        <w:t>Dijkstra, T. K. and Henseler, J. (2015).</w:t>
      </w:r>
      <w:r>
        <w:rPr>
          <w:spacing w:val="-1"/>
          <w:w w:val="105"/>
          <w:sz w:val="23"/>
        </w:rPr>
        <w:t xml:space="preserve"> </w:t>
      </w:r>
      <w:r>
        <w:rPr>
          <w:w w:val="105"/>
          <w:sz w:val="23"/>
        </w:rPr>
        <w:t>Consistent and Asymptotically Normal PLS Estimators for Linear Structural Equations,</w:t>
      </w:r>
      <w:r>
        <w:rPr>
          <w:spacing w:val="-5"/>
          <w:w w:val="105"/>
          <w:sz w:val="23"/>
        </w:rPr>
        <w:t xml:space="preserve"> </w:t>
      </w:r>
      <w:r>
        <w:rPr>
          <w:i/>
          <w:w w:val="105"/>
          <w:sz w:val="23"/>
        </w:rPr>
        <w:t>Computational Statistics</w:t>
      </w:r>
      <w:r>
        <w:rPr>
          <w:i/>
          <w:w w:val="105"/>
          <w:sz w:val="23"/>
        </w:rPr>
        <w:t xml:space="preserve"> &amp; Data Analysis</w:t>
      </w:r>
      <w:r>
        <w:rPr>
          <w:w w:val="105"/>
          <w:sz w:val="23"/>
        </w:rPr>
        <w:t>, 81(1): 10-23.</w:t>
      </w:r>
    </w:p>
    <w:p w:rsidR="00487D64" w:rsidRDefault="006F0D93">
      <w:pPr>
        <w:pStyle w:val="BodyText"/>
        <w:spacing w:line="499" w:lineRule="auto"/>
        <w:ind w:left="2550" w:right="862" w:hanging="1131"/>
        <w:jc w:val="both"/>
      </w:pPr>
      <w:r>
        <w:rPr>
          <w:w w:val="105"/>
        </w:rPr>
        <w:t>Dobni, C. B., and Luffman, G. (2005). Determining the scope and impact of market orientation profiles on strategy implementation and performance. Strategic Management Journal, 24, 577–585.</w:t>
      </w:r>
    </w:p>
    <w:p w:rsidR="00487D64" w:rsidRDefault="006F0D93">
      <w:pPr>
        <w:pStyle w:val="BodyText"/>
        <w:spacing w:before="1" w:line="499" w:lineRule="auto"/>
        <w:ind w:left="2550" w:right="843" w:hanging="1131"/>
        <w:jc w:val="both"/>
      </w:pPr>
      <w:r>
        <w:rPr>
          <w:w w:val="105"/>
        </w:rPr>
        <w:t>Dogbe, C. S. K., Tian,</w:t>
      </w:r>
      <w:r>
        <w:rPr>
          <w:spacing w:val="-3"/>
          <w:w w:val="105"/>
        </w:rPr>
        <w:t xml:space="preserve"> </w:t>
      </w:r>
      <w:r>
        <w:rPr>
          <w:w w:val="105"/>
        </w:rPr>
        <w:t>H.</w:t>
      </w:r>
      <w:r>
        <w:rPr>
          <w:spacing w:val="-3"/>
          <w:w w:val="105"/>
        </w:rPr>
        <w:t xml:space="preserve"> </w:t>
      </w:r>
      <w:r>
        <w:rPr>
          <w:w w:val="105"/>
        </w:rPr>
        <w:t>Y., Pomeg</w:t>
      </w:r>
      <w:r>
        <w:rPr>
          <w:w w:val="105"/>
        </w:rPr>
        <w:t>be, W.</w:t>
      </w:r>
      <w:r>
        <w:rPr>
          <w:spacing w:val="-3"/>
          <w:w w:val="105"/>
        </w:rPr>
        <w:t xml:space="preserve"> </w:t>
      </w:r>
      <w:r>
        <w:rPr>
          <w:w w:val="105"/>
        </w:rPr>
        <w:t>W. K., Sarsah, S. A., and</w:t>
      </w:r>
      <w:r>
        <w:rPr>
          <w:spacing w:val="-5"/>
          <w:w w:val="105"/>
        </w:rPr>
        <w:t xml:space="preserve"> </w:t>
      </w:r>
      <w:r>
        <w:rPr>
          <w:w w:val="105"/>
        </w:rPr>
        <w:t>Otoo, C.</w:t>
      </w:r>
      <w:r>
        <w:rPr>
          <w:spacing w:val="-3"/>
          <w:w w:val="105"/>
        </w:rPr>
        <w:t xml:space="preserve"> </w:t>
      </w:r>
      <w:r>
        <w:rPr>
          <w:w w:val="105"/>
        </w:rPr>
        <w:t>O. A. (2020).</w:t>
      </w:r>
      <w:r>
        <w:rPr>
          <w:spacing w:val="-4"/>
          <w:w w:val="105"/>
        </w:rPr>
        <w:t xml:space="preserve"> </w:t>
      </w:r>
      <w:r>
        <w:rPr>
          <w:w w:val="105"/>
        </w:rPr>
        <w:t>Market orientation</w:t>
      </w:r>
      <w:r>
        <w:rPr>
          <w:spacing w:val="-6"/>
          <w:w w:val="105"/>
        </w:rPr>
        <w:t xml:space="preserve"> </w:t>
      </w:r>
      <w:r>
        <w:rPr>
          <w:w w:val="105"/>
        </w:rPr>
        <w:t>and new product superiority</w:t>
      </w:r>
      <w:r>
        <w:rPr>
          <w:spacing w:val="-6"/>
          <w:w w:val="105"/>
        </w:rPr>
        <w:t xml:space="preserve"> </w:t>
      </w:r>
      <w:r>
        <w:rPr>
          <w:w w:val="105"/>
        </w:rPr>
        <w:t>among small and medium-sized enterprises (SME): the moderating role of innovation capability.</w:t>
      </w:r>
      <w:r>
        <w:rPr>
          <w:spacing w:val="-6"/>
          <w:w w:val="105"/>
        </w:rPr>
        <w:t xml:space="preserve"> </w:t>
      </w:r>
      <w:r>
        <w:rPr>
          <w:i/>
          <w:w w:val="105"/>
        </w:rPr>
        <w:t>International Journal of Innovation Management</w:t>
      </w:r>
      <w:r>
        <w:rPr>
          <w:w w:val="105"/>
        </w:rPr>
        <w:t>,</w:t>
      </w:r>
      <w:r>
        <w:rPr>
          <w:spacing w:val="-8"/>
          <w:w w:val="105"/>
        </w:rPr>
        <w:t xml:space="preserve"> </w:t>
      </w:r>
      <w:r>
        <w:rPr>
          <w:i/>
          <w:w w:val="105"/>
        </w:rPr>
        <w:t>24</w:t>
      </w:r>
      <w:r>
        <w:rPr>
          <w:w w:val="105"/>
        </w:rPr>
        <w:t xml:space="preserve">(05), </w:t>
      </w:r>
      <w:r>
        <w:rPr>
          <w:spacing w:val="-2"/>
          <w:w w:val="105"/>
        </w:rPr>
        <w:t>205</w:t>
      </w:r>
      <w:r>
        <w:rPr>
          <w:spacing w:val="-2"/>
          <w:w w:val="105"/>
        </w:rPr>
        <w:t>0043.</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2550" w:right="862" w:hanging="1131"/>
        <w:jc w:val="both"/>
      </w:pPr>
      <w:r>
        <w:rPr>
          <w:w w:val="105"/>
        </w:rPr>
        <w:t xml:space="preserve">Eekhout, I., de Boer, R. M., Twisk, J. W., de Vet, H. C., and Heymans, M. W. (2012). Missing data: a systematic review of how they are reported and handled. </w:t>
      </w:r>
      <w:r>
        <w:rPr>
          <w:i/>
          <w:w w:val="105"/>
        </w:rPr>
        <w:t>Epidemiology</w:t>
      </w:r>
      <w:r>
        <w:rPr>
          <w:w w:val="105"/>
        </w:rPr>
        <w:t xml:space="preserve">, </w:t>
      </w:r>
      <w:r>
        <w:rPr>
          <w:i/>
          <w:w w:val="105"/>
        </w:rPr>
        <w:t>23</w:t>
      </w:r>
      <w:r>
        <w:rPr>
          <w:w w:val="105"/>
        </w:rPr>
        <w:t>(5), 729-732.</w:t>
      </w:r>
    </w:p>
    <w:p w:rsidR="00487D64" w:rsidRDefault="006F0D93">
      <w:pPr>
        <w:spacing w:before="7" w:line="499" w:lineRule="auto"/>
        <w:ind w:left="2550" w:right="851" w:hanging="1131"/>
        <w:jc w:val="both"/>
        <w:rPr>
          <w:sz w:val="23"/>
        </w:rPr>
      </w:pPr>
      <w:r>
        <w:rPr>
          <w:w w:val="105"/>
          <w:sz w:val="23"/>
        </w:rPr>
        <w:t>Electronic Code of Federal Regulations. (</w:t>
      </w:r>
      <w:r>
        <w:rPr>
          <w:w w:val="105"/>
          <w:sz w:val="23"/>
        </w:rPr>
        <w:t xml:space="preserve">2025). </w:t>
      </w:r>
      <w:r>
        <w:rPr>
          <w:i/>
          <w:w w:val="105"/>
          <w:sz w:val="23"/>
        </w:rPr>
        <w:t>Title 13 – Business Credit and Assistance: Part 127 – Women-Owned Small Business Federal Contract Program</w:t>
      </w:r>
      <w:r>
        <w:rPr>
          <w:w w:val="105"/>
          <w:sz w:val="23"/>
        </w:rPr>
        <w:t>.</w:t>
      </w:r>
      <w:r>
        <w:rPr>
          <w:spacing w:val="27"/>
          <w:w w:val="105"/>
          <w:sz w:val="23"/>
        </w:rPr>
        <w:t xml:space="preserve"> </w:t>
      </w:r>
      <w:r>
        <w:rPr>
          <w:w w:val="105"/>
          <w:sz w:val="23"/>
        </w:rPr>
        <w:t>Retrieved</w:t>
      </w:r>
      <w:r>
        <w:rPr>
          <w:spacing w:val="32"/>
          <w:w w:val="105"/>
          <w:sz w:val="23"/>
        </w:rPr>
        <w:t xml:space="preserve"> </w:t>
      </w:r>
      <w:r>
        <w:rPr>
          <w:w w:val="105"/>
          <w:sz w:val="23"/>
        </w:rPr>
        <w:t>from</w:t>
      </w:r>
      <w:r>
        <w:rPr>
          <w:spacing w:val="34"/>
          <w:w w:val="105"/>
          <w:sz w:val="23"/>
        </w:rPr>
        <w:t xml:space="preserve"> </w:t>
      </w:r>
      <w:hyperlink r:id="rId20">
        <w:r>
          <w:rPr>
            <w:w w:val="105"/>
            <w:sz w:val="23"/>
            <w:u w:val="single"/>
          </w:rPr>
          <w:t>https://www.ecfr.gov/current/title-</w:t>
        </w:r>
        <w:r>
          <w:rPr>
            <w:spacing w:val="-2"/>
            <w:w w:val="105"/>
            <w:sz w:val="23"/>
            <w:u w:val="single"/>
          </w:rPr>
          <w:t>13/chapter-</w:t>
        </w:r>
      </w:hyperlink>
    </w:p>
    <w:p w:rsidR="00487D64" w:rsidRDefault="006F0D93">
      <w:pPr>
        <w:pStyle w:val="BodyText"/>
        <w:spacing w:before="6"/>
        <w:ind w:left="2550"/>
      </w:pPr>
      <w:hyperlink r:id="rId21">
        <w:r>
          <w:rPr>
            <w:u w:val="single"/>
          </w:rPr>
          <w:t>I/part-</w:t>
        </w:r>
        <w:r>
          <w:rPr>
            <w:spacing w:val="-5"/>
            <w:u w:val="single"/>
          </w:rPr>
          <w:t>127</w:t>
        </w:r>
      </w:hyperlink>
    </w:p>
    <w:p w:rsidR="00487D64" w:rsidRDefault="00487D64">
      <w:pPr>
        <w:pStyle w:val="BodyText"/>
        <w:spacing w:before="26"/>
      </w:pPr>
    </w:p>
    <w:p w:rsidR="00487D64" w:rsidRDefault="006F0D93">
      <w:pPr>
        <w:spacing w:line="499" w:lineRule="auto"/>
        <w:ind w:left="2550" w:right="856" w:hanging="1131"/>
        <w:jc w:val="both"/>
        <w:rPr>
          <w:sz w:val="23"/>
        </w:rPr>
      </w:pPr>
      <w:r>
        <w:rPr>
          <w:w w:val="105"/>
          <w:sz w:val="23"/>
        </w:rPr>
        <w:t xml:space="preserve">European Parliament. (2020). </w:t>
      </w:r>
      <w:r>
        <w:rPr>
          <w:i/>
          <w:w w:val="105"/>
          <w:sz w:val="23"/>
        </w:rPr>
        <w:t>The EU’s Public Procurement Framework</w:t>
      </w:r>
      <w:r>
        <w:rPr>
          <w:w w:val="105"/>
          <w:sz w:val="23"/>
        </w:rPr>
        <w:t xml:space="preserve">. Policy Department for Economic, Scientific and Quality of Life Policies. PE </w:t>
      </w:r>
      <w:r>
        <w:rPr>
          <w:spacing w:val="-2"/>
          <w:w w:val="105"/>
          <w:sz w:val="23"/>
        </w:rPr>
        <w:t>648.770.</w:t>
      </w:r>
    </w:p>
    <w:p w:rsidR="00487D64" w:rsidRDefault="006F0D93">
      <w:pPr>
        <w:spacing w:before="6" w:line="499" w:lineRule="auto"/>
        <w:ind w:left="2550" w:right="842" w:hanging="1131"/>
        <w:rPr>
          <w:sz w:val="23"/>
        </w:rPr>
      </w:pPr>
      <w:r>
        <w:rPr>
          <w:w w:val="105"/>
          <w:sz w:val="23"/>
        </w:rPr>
        <w:t>Farm</w:t>
      </w:r>
      <w:r>
        <w:rPr>
          <w:spacing w:val="80"/>
          <w:w w:val="150"/>
          <w:sz w:val="23"/>
        </w:rPr>
        <w:t xml:space="preserve"> </w:t>
      </w:r>
      <w:r>
        <w:rPr>
          <w:w w:val="105"/>
          <w:sz w:val="23"/>
        </w:rPr>
        <w:t>Africa.</w:t>
      </w:r>
      <w:r>
        <w:rPr>
          <w:spacing w:val="80"/>
          <w:w w:val="150"/>
          <w:sz w:val="23"/>
        </w:rPr>
        <w:t xml:space="preserve"> </w:t>
      </w:r>
      <w:r>
        <w:rPr>
          <w:w w:val="105"/>
          <w:sz w:val="23"/>
        </w:rPr>
        <w:t>(2024).</w:t>
      </w:r>
      <w:r>
        <w:rPr>
          <w:spacing w:val="80"/>
          <w:w w:val="150"/>
          <w:sz w:val="23"/>
        </w:rPr>
        <w:t xml:space="preserve"> </w:t>
      </w:r>
      <w:r>
        <w:rPr>
          <w:i/>
          <w:w w:val="105"/>
          <w:sz w:val="23"/>
        </w:rPr>
        <w:t>Available</w:t>
      </w:r>
      <w:r>
        <w:rPr>
          <w:i/>
          <w:spacing w:val="80"/>
          <w:w w:val="150"/>
          <w:sz w:val="23"/>
        </w:rPr>
        <w:t xml:space="preserve"> </w:t>
      </w:r>
      <w:r>
        <w:rPr>
          <w:i/>
          <w:w w:val="105"/>
          <w:sz w:val="23"/>
        </w:rPr>
        <w:t>financing</w:t>
      </w:r>
      <w:r>
        <w:rPr>
          <w:i/>
          <w:spacing w:val="80"/>
          <w:w w:val="150"/>
          <w:sz w:val="23"/>
        </w:rPr>
        <w:t xml:space="preserve"> </w:t>
      </w:r>
      <w:r>
        <w:rPr>
          <w:i/>
          <w:w w:val="105"/>
          <w:sz w:val="23"/>
        </w:rPr>
        <w:t>options</w:t>
      </w:r>
      <w:r>
        <w:rPr>
          <w:i/>
          <w:spacing w:val="80"/>
          <w:w w:val="150"/>
          <w:sz w:val="23"/>
        </w:rPr>
        <w:t xml:space="preserve"> </w:t>
      </w:r>
      <w:r>
        <w:rPr>
          <w:i/>
          <w:w w:val="105"/>
          <w:sz w:val="23"/>
        </w:rPr>
        <w:t>for</w:t>
      </w:r>
      <w:r>
        <w:rPr>
          <w:i/>
          <w:spacing w:val="80"/>
          <w:w w:val="150"/>
          <w:sz w:val="23"/>
        </w:rPr>
        <w:t xml:space="preserve"> </w:t>
      </w:r>
      <w:r>
        <w:rPr>
          <w:i/>
          <w:w w:val="105"/>
          <w:sz w:val="23"/>
        </w:rPr>
        <w:t>MSME</w:t>
      </w:r>
      <w:r>
        <w:rPr>
          <w:i/>
          <w:spacing w:val="80"/>
          <w:w w:val="150"/>
          <w:sz w:val="23"/>
        </w:rPr>
        <w:t xml:space="preserve"> </w:t>
      </w:r>
      <w:r>
        <w:rPr>
          <w:i/>
          <w:w w:val="105"/>
          <w:sz w:val="23"/>
        </w:rPr>
        <w:t>in</w:t>
      </w:r>
      <w:r>
        <w:rPr>
          <w:i/>
          <w:spacing w:val="80"/>
          <w:w w:val="150"/>
          <w:sz w:val="23"/>
        </w:rPr>
        <w:t xml:space="preserve"> </w:t>
      </w:r>
      <w:r>
        <w:rPr>
          <w:i/>
          <w:w w:val="105"/>
          <w:sz w:val="23"/>
        </w:rPr>
        <w:t>Tanzania</w:t>
      </w:r>
      <w:r>
        <w:rPr>
          <w:w w:val="105"/>
          <w:sz w:val="23"/>
        </w:rPr>
        <w:t xml:space="preserve">. </w:t>
      </w:r>
      <w:r>
        <w:rPr>
          <w:spacing w:val="-2"/>
          <w:w w:val="105"/>
          <w:sz w:val="23"/>
        </w:rPr>
        <w:t>https://</w:t>
      </w:r>
      <w:hyperlink r:id="rId22">
        <w:r>
          <w:rPr>
            <w:spacing w:val="-2"/>
            <w:w w:val="105"/>
            <w:sz w:val="23"/>
          </w:rPr>
          <w:t>www.farmafrica.org/wp-content/uploads/2024/07/available-</w:t>
        </w:r>
      </w:hyperlink>
      <w:r>
        <w:rPr>
          <w:spacing w:val="-2"/>
          <w:w w:val="105"/>
          <w:sz w:val="23"/>
        </w:rPr>
        <w:t xml:space="preserve"> financing-options-for-mSME-in-tanzania.pdf</w:t>
      </w:r>
    </w:p>
    <w:p w:rsidR="00487D64" w:rsidRDefault="006F0D93">
      <w:pPr>
        <w:pStyle w:val="BodyText"/>
        <w:spacing w:before="7" w:line="499" w:lineRule="auto"/>
        <w:ind w:left="2550" w:right="862" w:hanging="1131"/>
        <w:jc w:val="both"/>
      </w:pPr>
      <w:r>
        <w:rPr>
          <w:w w:val="105"/>
        </w:rPr>
        <w:t>Flight,</w:t>
      </w:r>
      <w:r>
        <w:rPr>
          <w:w w:val="105"/>
        </w:rPr>
        <w:t xml:space="preserve"> R. and Mudiyanselage, A.S. (2021), “Customer and competitor orientation, innovation and performance in small and medium sized enterprises”, Marketing Management Journal, Vol. 31 No. 1, pp. 1-24.</w:t>
      </w:r>
    </w:p>
    <w:p w:rsidR="00487D64" w:rsidRDefault="006F0D93">
      <w:pPr>
        <w:pStyle w:val="BodyText"/>
        <w:spacing w:before="6" w:line="501" w:lineRule="auto"/>
        <w:ind w:left="2550" w:right="856" w:hanging="1131"/>
        <w:jc w:val="both"/>
      </w:pPr>
      <w:r>
        <w:rPr>
          <w:w w:val="105"/>
        </w:rPr>
        <w:t xml:space="preserve">Frambach, R. T., Fiss, P. C., and Ingenbleek, P. T. (2016). </w:t>
      </w:r>
      <w:r>
        <w:rPr>
          <w:w w:val="105"/>
        </w:rPr>
        <w:t>How important is customer orientation for firm performance? A fuzzy set analysis of orientations,</w:t>
      </w:r>
      <w:r>
        <w:rPr>
          <w:spacing w:val="40"/>
          <w:w w:val="105"/>
        </w:rPr>
        <w:t xml:space="preserve"> </w:t>
      </w:r>
      <w:r>
        <w:rPr>
          <w:w w:val="105"/>
        </w:rPr>
        <w:t>strategies,</w:t>
      </w:r>
      <w:r>
        <w:rPr>
          <w:spacing w:val="40"/>
          <w:w w:val="105"/>
        </w:rPr>
        <w:t xml:space="preserve"> </w:t>
      </w:r>
      <w:r>
        <w:rPr>
          <w:w w:val="105"/>
        </w:rPr>
        <w:t>and</w:t>
      </w:r>
      <w:r>
        <w:rPr>
          <w:spacing w:val="40"/>
          <w:w w:val="105"/>
        </w:rPr>
        <w:t xml:space="preserve"> </w:t>
      </w:r>
      <w:r>
        <w:rPr>
          <w:w w:val="105"/>
        </w:rPr>
        <w:t>environments.</w:t>
      </w:r>
      <w:r>
        <w:rPr>
          <w:spacing w:val="-1"/>
          <w:w w:val="105"/>
        </w:rPr>
        <w:t xml:space="preserve"> </w:t>
      </w:r>
      <w:r>
        <w:rPr>
          <w:i/>
          <w:w w:val="105"/>
        </w:rPr>
        <w:t>Journal</w:t>
      </w:r>
      <w:r>
        <w:rPr>
          <w:i/>
          <w:spacing w:val="40"/>
          <w:w w:val="105"/>
        </w:rPr>
        <w:t xml:space="preserve"> </w:t>
      </w:r>
      <w:r>
        <w:rPr>
          <w:i/>
          <w:w w:val="105"/>
        </w:rPr>
        <w:t>of</w:t>
      </w:r>
      <w:r>
        <w:rPr>
          <w:i/>
          <w:spacing w:val="40"/>
          <w:w w:val="105"/>
        </w:rPr>
        <w:t xml:space="preserve"> </w:t>
      </w:r>
      <w:r>
        <w:rPr>
          <w:i/>
          <w:w w:val="105"/>
        </w:rPr>
        <w:t>Business Research</w:t>
      </w:r>
      <w:r>
        <w:rPr>
          <w:w w:val="105"/>
        </w:rPr>
        <w:t xml:space="preserve">, </w:t>
      </w:r>
      <w:r>
        <w:rPr>
          <w:i/>
          <w:w w:val="105"/>
        </w:rPr>
        <w:t>69</w:t>
      </w:r>
      <w:r>
        <w:rPr>
          <w:w w:val="105"/>
        </w:rPr>
        <w:t>(4), 1428-1436.</w:t>
      </w:r>
    </w:p>
    <w:p w:rsidR="00487D64" w:rsidRDefault="006F0D93">
      <w:pPr>
        <w:pStyle w:val="BodyText"/>
        <w:spacing w:line="504" w:lineRule="auto"/>
        <w:ind w:left="2550" w:right="851" w:hanging="1131"/>
        <w:jc w:val="both"/>
      </w:pPr>
      <w:r>
        <w:rPr>
          <w:w w:val="105"/>
        </w:rPr>
        <w:t xml:space="preserve">Gao, G. (2009), Analysis on how to improve competitiveness of small and medium- </w:t>
      </w:r>
      <w:r>
        <w:rPr>
          <w:w w:val="105"/>
        </w:rPr>
        <w:t xml:space="preserve">sized enterprises. Technological Development of Enterprise, 28(4), 135- </w:t>
      </w:r>
      <w:r>
        <w:rPr>
          <w:spacing w:val="-4"/>
          <w:w w:val="105"/>
        </w:rPr>
        <w:t>137</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501" w:lineRule="auto"/>
        <w:ind w:left="2550" w:right="848" w:hanging="1131"/>
        <w:jc w:val="both"/>
        <w:rPr>
          <w:sz w:val="23"/>
        </w:rPr>
      </w:pPr>
      <w:r>
        <w:rPr>
          <w:w w:val="105"/>
          <w:sz w:val="23"/>
        </w:rPr>
        <w:t>Garcia-Martinez, L. J., Kraus, S., Breier, M., and Kallmuenzer, A. (2023). Untangling</w:t>
      </w:r>
      <w:r>
        <w:rPr>
          <w:spacing w:val="-2"/>
          <w:w w:val="105"/>
          <w:sz w:val="23"/>
        </w:rPr>
        <w:t xml:space="preserve"> </w:t>
      </w:r>
      <w:r>
        <w:rPr>
          <w:w w:val="105"/>
          <w:sz w:val="23"/>
        </w:rPr>
        <w:t>the</w:t>
      </w:r>
      <w:r>
        <w:rPr>
          <w:spacing w:val="-3"/>
          <w:w w:val="105"/>
          <w:sz w:val="23"/>
        </w:rPr>
        <w:t xml:space="preserve"> </w:t>
      </w:r>
      <w:r>
        <w:rPr>
          <w:w w:val="105"/>
          <w:sz w:val="23"/>
        </w:rPr>
        <w:t>relationship between small and medium-sized enterprises and growth: a review of extant literature.</w:t>
      </w:r>
      <w:r>
        <w:rPr>
          <w:spacing w:val="-7"/>
          <w:w w:val="105"/>
          <w:sz w:val="23"/>
        </w:rPr>
        <w:t xml:space="preserve"> </w:t>
      </w:r>
      <w:r>
        <w:rPr>
          <w:i/>
          <w:w w:val="105"/>
          <w:sz w:val="23"/>
        </w:rPr>
        <w:t>International Entrepreneurship and Management Journal</w:t>
      </w:r>
      <w:r>
        <w:rPr>
          <w:w w:val="105"/>
          <w:sz w:val="23"/>
        </w:rPr>
        <w:t xml:space="preserve">, </w:t>
      </w:r>
      <w:r>
        <w:rPr>
          <w:i/>
          <w:w w:val="105"/>
          <w:sz w:val="23"/>
        </w:rPr>
        <w:t>19</w:t>
      </w:r>
      <w:r>
        <w:rPr>
          <w:w w:val="105"/>
          <w:sz w:val="23"/>
        </w:rPr>
        <w:t>(2), 455-479.</w:t>
      </w:r>
    </w:p>
    <w:p w:rsidR="00487D64" w:rsidRDefault="006F0D93">
      <w:pPr>
        <w:spacing w:before="1" w:line="499" w:lineRule="auto"/>
        <w:ind w:left="2550" w:right="851" w:hanging="1131"/>
        <w:jc w:val="both"/>
        <w:rPr>
          <w:sz w:val="23"/>
        </w:rPr>
      </w:pPr>
      <w:r>
        <w:rPr>
          <w:w w:val="105"/>
          <w:sz w:val="23"/>
        </w:rPr>
        <w:t>Ghag, N. S., Acharya, P., and Khanapuri, V. (2022). Sustainable</w:t>
      </w:r>
      <w:r>
        <w:rPr>
          <w:w w:val="105"/>
          <w:sz w:val="23"/>
        </w:rPr>
        <w:t xml:space="preserve"> competitiveness practices of SME: a strategic framework using integrated DEMATEL- NK model. </w:t>
      </w:r>
      <w:r>
        <w:rPr>
          <w:i/>
          <w:w w:val="105"/>
          <w:sz w:val="23"/>
        </w:rPr>
        <w:t>Journal of Global Operations and Strategic Sourcing</w:t>
      </w:r>
      <w:r>
        <w:rPr>
          <w:w w:val="105"/>
          <w:sz w:val="23"/>
        </w:rPr>
        <w:t>.</w:t>
      </w:r>
    </w:p>
    <w:p w:rsidR="00487D64" w:rsidRDefault="006F0D93">
      <w:pPr>
        <w:spacing w:before="6" w:line="499" w:lineRule="auto"/>
        <w:ind w:left="2550" w:right="855" w:hanging="1131"/>
        <w:jc w:val="both"/>
        <w:rPr>
          <w:sz w:val="23"/>
        </w:rPr>
      </w:pPr>
      <w:r>
        <w:rPr>
          <w:w w:val="105"/>
          <w:sz w:val="23"/>
        </w:rPr>
        <w:t>Gilaninia, S., Taleghani, M., and Talab, S. M. (2013). Market orientation and business performance.</w:t>
      </w:r>
      <w:r>
        <w:rPr>
          <w:spacing w:val="-1"/>
          <w:w w:val="105"/>
          <w:sz w:val="23"/>
        </w:rPr>
        <w:t xml:space="preserve"> </w:t>
      </w:r>
      <w:r>
        <w:rPr>
          <w:w w:val="105"/>
          <w:sz w:val="23"/>
        </w:rPr>
        <w:t>Singaporea</w:t>
      </w:r>
      <w:r>
        <w:rPr>
          <w:w w:val="105"/>
          <w:sz w:val="23"/>
        </w:rPr>
        <w:t>n.</w:t>
      </w:r>
      <w:r>
        <w:rPr>
          <w:spacing w:val="-8"/>
          <w:w w:val="105"/>
          <w:sz w:val="23"/>
        </w:rPr>
        <w:t xml:space="preserve"> </w:t>
      </w:r>
      <w:r>
        <w:rPr>
          <w:i/>
          <w:w w:val="105"/>
          <w:sz w:val="23"/>
        </w:rPr>
        <w:t>Journal</w:t>
      </w:r>
      <w:r>
        <w:rPr>
          <w:i/>
          <w:spacing w:val="-1"/>
          <w:w w:val="105"/>
          <w:sz w:val="23"/>
        </w:rPr>
        <w:t xml:space="preserve"> </w:t>
      </w:r>
      <w:r>
        <w:rPr>
          <w:i/>
          <w:w w:val="105"/>
          <w:sz w:val="23"/>
        </w:rPr>
        <w:t>of</w:t>
      </w:r>
      <w:r>
        <w:rPr>
          <w:i/>
          <w:spacing w:val="-1"/>
          <w:w w:val="105"/>
          <w:sz w:val="23"/>
        </w:rPr>
        <w:t xml:space="preserve"> </w:t>
      </w:r>
      <w:r>
        <w:rPr>
          <w:i/>
          <w:w w:val="105"/>
          <w:sz w:val="23"/>
        </w:rPr>
        <w:t>Business,</w:t>
      </w:r>
      <w:r>
        <w:rPr>
          <w:i/>
          <w:spacing w:val="-1"/>
          <w:w w:val="105"/>
          <w:sz w:val="23"/>
        </w:rPr>
        <w:t xml:space="preserve"> </w:t>
      </w:r>
      <w:r>
        <w:rPr>
          <w:i/>
          <w:w w:val="105"/>
          <w:sz w:val="23"/>
        </w:rPr>
        <w:t>Economics and Management Studies</w:t>
      </w:r>
      <w:r>
        <w:rPr>
          <w:w w:val="105"/>
          <w:sz w:val="23"/>
        </w:rPr>
        <w:t xml:space="preserve">, </w:t>
      </w:r>
      <w:r>
        <w:rPr>
          <w:i/>
          <w:w w:val="105"/>
          <w:sz w:val="23"/>
        </w:rPr>
        <w:t>1</w:t>
      </w:r>
      <w:r>
        <w:rPr>
          <w:w w:val="105"/>
          <w:sz w:val="23"/>
        </w:rPr>
        <w:t>(11), 13-17.</w:t>
      </w:r>
    </w:p>
    <w:p w:rsidR="00487D64" w:rsidRDefault="006F0D93">
      <w:pPr>
        <w:pStyle w:val="BodyText"/>
        <w:spacing w:before="7" w:line="499" w:lineRule="auto"/>
        <w:ind w:left="2550" w:right="852" w:hanging="1131"/>
        <w:jc w:val="both"/>
      </w:pPr>
      <w:r>
        <w:rPr>
          <w:w w:val="105"/>
        </w:rPr>
        <w:t xml:space="preserve">Gligor, D. M., Gölgeci, I., Newman, C., and Bozkurt, S. (2021). Performance implications of the buyer-supplier market orientation fit. </w:t>
      </w:r>
      <w:r>
        <w:rPr>
          <w:i/>
          <w:w w:val="105"/>
        </w:rPr>
        <w:t>Industrial Marketing Management</w:t>
      </w:r>
      <w:r>
        <w:rPr>
          <w:w w:val="105"/>
        </w:rPr>
        <w:t xml:space="preserve">, </w:t>
      </w:r>
      <w:r>
        <w:rPr>
          <w:i/>
          <w:w w:val="105"/>
        </w:rPr>
        <w:t>93</w:t>
      </w:r>
      <w:r>
        <w:rPr>
          <w:w w:val="105"/>
        </w:rPr>
        <w:t>, 161-173.</w:t>
      </w:r>
    </w:p>
    <w:p w:rsidR="00487D64" w:rsidRDefault="006F0D93">
      <w:pPr>
        <w:spacing w:before="6" w:line="499" w:lineRule="auto"/>
        <w:ind w:left="2550" w:right="848" w:hanging="1131"/>
        <w:jc w:val="both"/>
        <w:rPr>
          <w:sz w:val="23"/>
        </w:rPr>
      </w:pPr>
      <w:r>
        <w:rPr>
          <w:w w:val="105"/>
          <w:sz w:val="23"/>
        </w:rPr>
        <w:t>Gov</w:t>
      </w:r>
      <w:r>
        <w:rPr>
          <w:w w:val="105"/>
          <w:sz w:val="23"/>
        </w:rPr>
        <w:t>ernment of</w:t>
      </w:r>
      <w:r>
        <w:rPr>
          <w:spacing w:val="-4"/>
          <w:w w:val="105"/>
          <w:sz w:val="23"/>
        </w:rPr>
        <w:t xml:space="preserve"> </w:t>
      </w:r>
      <w:r>
        <w:rPr>
          <w:w w:val="105"/>
          <w:sz w:val="23"/>
        </w:rPr>
        <w:t xml:space="preserve">India. (2012/2022). </w:t>
      </w:r>
      <w:r>
        <w:rPr>
          <w:i/>
          <w:w w:val="105"/>
          <w:sz w:val="23"/>
        </w:rPr>
        <w:t>Public Procurement Policy for Micro and Small Enterprises (MSEs) Order</w:t>
      </w:r>
      <w:r>
        <w:rPr>
          <w:w w:val="105"/>
          <w:sz w:val="23"/>
        </w:rPr>
        <w:t>. Ministry of Micro, Small and Medium Enterprises.</w:t>
      </w:r>
      <w:r>
        <w:rPr>
          <w:spacing w:val="75"/>
          <w:w w:val="105"/>
          <w:sz w:val="23"/>
        </w:rPr>
        <w:t xml:space="preserve"> </w:t>
      </w:r>
      <w:r>
        <w:rPr>
          <w:w w:val="105"/>
          <w:sz w:val="23"/>
        </w:rPr>
        <w:t>Retrieved</w:t>
      </w:r>
      <w:r>
        <w:rPr>
          <w:spacing w:val="54"/>
          <w:w w:val="150"/>
          <w:sz w:val="23"/>
        </w:rPr>
        <w:t xml:space="preserve"> </w:t>
      </w:r>
      <w:r>
        <w:rPr>
          <w:w w:val="105"/>
          <w:sz w:val="23"/>
        </w:rPr>
        <w:t>from</w:t>
      </w:r>
      <w:r>
        <w:rPr>
          <w:spacing w:val="58"/>
          <w:w w:val="150"/>
          <w:sz w:val="23"/>
        </w:rPr>
        <w:t xml:space="preserve"> </w:t>
      </w:r>
      <w:hyperlink r:id="rId23">
        <w:r>
          <w:rPr>
            <w:w w:val="105"/>
            <w:sz w:val="23"/>
            <w:u w:val="single"/>
          </w:rPr>
          <w:t>https://mSME.gov.in/publ</w:t>
        </w:r>
        <w:r>
          <w:rPr>
            <w:w w:val="105"/>
            <w:sz w:val="23"/>
            <w:u w:val="single"/>
          </w:rPr>
          <w:t>ic-</w:t>
        </w:r>
        <w:r>
          <w:rPr>
            <w:spacing w:val="-2"/>
            <w:w w:val="105"/>
            <w:sz w:val="23"/>
            <w:u w:val="single"/>
          </w:rPr>
          <w:t>procurement-</w:t>
        </w:r>
      </w:hyperlink>
    </w:p>
    <w:p w:rsidR="00487D64" w:rsidRDefault="006F0D93">
      <w:pPr>
        <w:pStyle w:val="BodyText"/>
        <w:spacing w:before="6"/>
        <w:ind w:left="2550"/>
      </w:pPr>
      <w:hyperlink r:id="rId24">
        <w:r>
          <w:rPr>
            <w:spacing w:val="-2"/>
            <w:w w:val="105"/>
            <w:u w:val="single"/>
          </w:rPr>
          <w:t>policy</w:t>
        </w:r>
      </w:hyperlink>
    </w:p>
    <w:p w:rsidR="00487D64" w:rsidRDefault="00487D64">
      <w:pPr>
        <w:pStyle w:val="BodyText"/>
        <w:spacing w:before="19"/>
      </w:pPr>
    </w:p>
    <w:p w:rsidR="00487D64" w:rsidRDefault="006F0D93">
      <w:pPr>
        <w:spacing w:line="501" w:lineRule="auto"/>
        <w:ind w:left="2550" w:right="844" w:hanging="1131"/>
        <w:jc w:val="both"/>
        <w:rPr>
          <w:sz w:val="23"/>
        </w:rPr>
      </w:pPr>
      <w:r>
        <w:rPr>
          <w:w w:val="105"/>
          <w:sz w:val="23"/>
        </w:rPr>
        <w:t>Grawe, S. J., Chen, H., and Daugherty, P. J. (2009). The relationship between strategic orientation, service innovation, and performance.</w:t>
      </w:r>
      <w:r>
        <w:rPr>
          <w:spacing w:val="-3"/>
          <w:w w:val="105"/>
          <w:sz w:val="23"/>
        </w:rPr>
        <w:t xml:space="preserve"> </w:t>
      </w:r>
      <w:r>
        <w:rPr>
          <w:i/>
          <w:w w:val="105"/>
          <w:sz w:val="23"/>
        </w:rPr>
        <w:t>International journal of</w:t>
      </w:r>
      <w:r>
        <w:rPr>
          <w:i/>
          <w:w w:val="105"/>
          <w:sz w:val="23"/>
        </w:rPr>
        <w:t xml:space="preserve"> physical distribution and logistics management</w:t>
      </w:r>
      <w:r>
        <w:rPr>
          <w:w w:val="105"/>
          <w:sz w:val="23"/>
        </w:rPr>
        <w:t>,</w:t>
      </w:r>
      <w:r>
        <w:rPr>
          <w:spacing w:val="-7"/>
          <w:w w:val="105"/>
          <w:sz w:val="23"/>
        </w:rPr>
        <w:t xml:space="preserve"> </w:t>
      </w:r>
      <w:r>
        <w:rPr>
          <w:i/>
          <w:w w:val="105"/>
          <w:sz w:val="23"/>
        </w:rPr>
        <w:t>39</w:t>
      </w:r>
      <w:r>
        <w:rPr>
          <w:w w:val="105"/>
          <w:sz w:val="23"/>
        </w:rPr>
        <w:t xml:space="preserve">(4), 282- </w:t>
      </w:r>
      <w:r>
        <w:rPr>
          <w:spacing w:val="-4"/>
          <w:w w:val="105"/>
          <w:sz w:val="23"/>
        </w:rPr>
        <w:t>300.</w:t>
      </w:r>
    </w:p>
    <w:p w:rsidR="00487D64" w:rsidRDefault="006F0D93">
      <w:pPr>
        <w:pStyle w:val="BodyText"/>
        <w:spacing w:line="504" w:lineRule="auto"/>
        <w:ind w:left="2550" w:right="851" w:hanging="1131"/>
        <w:jc w:val="both"/>
      </w:pPr>
      <w:r>
        <w:rPr>
          <w:w w:val="105"/>
        </w:rPr>
        <w:t>Guerra, R. M. D. A., and Camargo, M. E. (2024). Mediation of learning orientation on</w:t>
      </w:r>
      <w:r>
        <w:rPr>
          <w:spacing w:val="-6"/>
          <w:w w:val="105"/>
        </w:rPr>
        <w:t xml:space="preserve"> </w:t>
      </w:r>
      <w:r>
        <w:rPr>
          <w:w w:val="105"/>
        </w:rPr>
        <w:t>market</w:t>
      </w:r>
      <w:r>
        <w:rPr>
          <w:spacing w:val="-8"/>
          <w:w w:val="105"/>
        </w:rPr>
        <w:t xml:space="preserve"> </w:t>
      </w:r>
      <w:r>
        <w:rPr>
          <w:w w:val="105"/>
        </w:rPr>
        <w:t>orientation</w:t>
      </w:r>
      <w:r>
        <w:rPr>
          <w:spacing w:val="-15"/>
          <w:w w:val="105"/>
        </w:rPr>
        <w:t xml:space="preserve"> </w:t>
      </w:r>
      <w:r>
        <w:rPr>
          <w:w w:val="105"/>
        </w:rPr>
        <w:t>and</w:t>
      </w:r>
      <w:r>
        <w:rPr>
          <w:spacing w:val="-4"/>
          <w:w w:val="105"/>
        </w:rPr>
        <w:t xml:space="preserve"> </w:t>
      </w:r>
      <w:r>
        <w:rPr>
          <w:w w:val="105"/>
        </w:rPr>
        <w:t>business</w:t>
      </w:r>
      <w:r>
        <w:rPr>
          <w:spacing w:val="-6"/>
          <w:w w:val="105"/>
        </w:rPr>
        <w:t xml:space="preserve"> </w:t>
      </w:r>
      <w:r>
        <w:rPr>
          <w:w w:val="105"/>
        </w:rPr>
        <w:t>performance:</w:t>
      </w:r>
      <w:r>
        <w:rPr>
          <w:spacing w:val="-9"/>
          <w:w w:val="105"/>
        </w:rPr>
        <w:t xml:space="preserve"> </w:t>
      </w:r>
      <w:r>
        <w:rPr>
          <w:w w:val="105"/>
        </w:rPr>
        <w:t>evidence</w:t>
      </w:r>
      <w:r>
        <w:rPr>
          <w:spacing w:val="-11"/>
          <w:w w:val="105"/>
        </w:rPr>
        <w:t xml:space="preserve"> </w:t>
      </w:r>
      <w:r>
        <w:rPr>
          <w:w w:val="105"/>
        </w:rPr>
        <w:t>from</w:t>
      </w:r>
      <w:r>
        <w:rPr>
          <w:spacing w:val="-11"/>
          <w:w w:val="105"/>
        </w:rPr>
        <w:t xml:space="preserve"> </w:t>
      </w:r>
      <w:r>
        <w:rPr>
          <w:spacing w:val="-2"/>
          <w:w w:val="105"/>
        </w:rPr>
        <w:t>Brazilian</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504" w:lineRule="auto"/>
        <w:ind w:left="2550" w:right="849"/>
        <w:jc w:val="both"/>
        <w:rPr>
          <w:sz w:val="23"/>
        </w:rPr>
      </w:pPr>
      <w:r>
        <w:rPr>
          <w:w w:val="105"/>
          <w:sz w:val="23"/>
        </w:rPr>
        <w:t>Small and</w:t>
      </w:r>
      <w:r>
        <w:rPr>
          <w:w w:val="105"/>
          <w:sz w:val="23"/>
        </w:rPr>
        <w:t xml:space="preserve"> Medium Enterprises (SME). </w:t>
      </w:r>
      <w:r>
        <w:rPr>
          <w:i/>
          <w:w w:val="105"/>
          <w:sz w:val="23"/>
        </w:rPr>
        <w:t>Benchmarking: An International Journal</w:t>
      </w:r>
      <w:r>
        <w:rPr>
          <w:w w:val="105"/>
          <w:sz w:val="23"/>
        </w:rPr>
        <w:t xml:space="preserve">, </w:t>
      </w:r>
      <w:r>
        <w:rPr>
          <w:i/>
          <w:w w:val="105"/>
          <w:sz w:val="23"/>
        </w:rPr>
        <w:t>31</w:t>
      </w:r>
      <w:r>
        <w:rPr>
          <w:w w:val="105"/>
          <w:sz w:val="23"/>
        </w:rPr>
        <w:t>(2), 590-610.</w:t>
      </w:r>
    </w:p>
    <w:p w:rsidR="00487D64" w:rsidRDefault="006F0D93">
      <w:pPr>
        <w:spacing w:line="504" w:lineRule="auto"/>
        <w:ind w:left="2550" w:right="852" w:hanging="1131"/>
        <w:jc w:val="both"/>
        <w:rPr>
          <w:sz w:val="23"/>
        </w:rPr>
      </w:pPr>
      <w:r>
        <w:rPr>
          <w:w w:val="105"/>
          <w:sz w:val="23"/>
        </w:rPr>
        <w:t xml:space="preserve">Guo, H., and Cao, Z. (2014). Strategic flexibility and SME performance in an emerging economy: A contingency perspective. </w:t>
      </w:r>
      <w:r>
        <w:rPr>
          <w:i/>
          <w:w w:val="105"/>
          <w:sz w:val="23"/>
        </w:rPr>
        <w:t>Journal of Organizational Change Management</w:t>
      </w:r>
      <w:r>
        <w:rPr>
          <w:w w:val="105"/>
          <w:sz w:val="23"/>
        </w:rPr>
        <w:t xml:space="preserve">, </w:t>
      </w:r>
      <w:r>
        <w:rPr>
          <w:i/>
          <w:w w:val="105"/>
          <w:sz w:val="23"/>
        </w:rPr>
        <w:t>27</w:t>
      </w:r>
      <w:r>
        <w:rPr>
          <w:w w:val="105"/>
          <w:sz w:val="23"/>
        </w:rPr>
        <w:t>(2),</w:t>
      </w:r>
      <w:r>
        <w:rPr>
          <w:w w:val="105"/>
          <w:sz w:val="23"/>
        </w:rPr>
        <w:t xml:space="preserve"> 273-298.</w:t>
      </w:r>
    </w:p>
    <w:p w:rsidR="00487D64" w:rsidRDefault="006F0D93">
      <w:pPr>
        <w:spacing w:line="504" w:lineRule="auto"/>
        <w:ind w:left="2550" w:right="847" w:hanging="1131"/>
        <w:jc w:val="both"/>
        <w:rPr>
          <w:sz w:val="23"/>
        </w:rPr>
      </w:pPr>
      <w:r>
        <w:rPr>
          <w:w w:val="105"/>
          <w:sz w:val="23"/>
        </w:rPr>
        <w:t xml:space="preserve">Hair Jr, J., Page, M., and Brunsveld, N. (2019). </w:t>
      </w:r>
      <w:r>
        <w:rPr>
          <w:i/>
          <w:w w:val="105"/>
          <w:sz w:val="23"/>
        </w:rPr>
        <w:t>Essentials of business research methods</w:t>
      </w:r>
      <w:r>
        <w:rPr>
          <w:w w:val="105"/>
          <w:sz w:val="23"/>
        </w:rPr>
        <w:t>. Routledge.</w:t>
      </w:r>
    </w:p>
    <w:p w:rsidR="00487D64" w:rsidRDefault="006F0D93">
      <w:pPr>
        <w:spacing w:line="496" w:lineRule="auto"/>
        <w:ind w:left="2550" w:right="847" w:hanging="1131"/>
        <w:jc w:val="both"/>
        <w:rPr>
          <w:sz w:val="23"/>
        </w:rPr>
      </w:pPr>
      <w:r>
        <w:rPr>
          <w:w w:val="105"/>
          <w:sz w:val="23"/>
        </w:rPr>
        <w:t>Hair Jr, J., Page, M., and Brunsveld, N. (2020).</w:t>
      </w:r>
      <w:r>
        <w:rPr>
          <w:spacing w:val="-8"/>
          <w:w w:val="105"/>
          <w:sz w:val="23"/>
        </w:rPr>
        <w:t xml:space="preserve"> </w:t>
      </w:r>
      <w:r>
        <w:rPr>
          <w:i/>
          <w:w w:val="105"/>
          <w:sz w:val="23"/>
        </w:rPr>
        <w:t>Essentials of business research methods</w:t>
      </w:r>
      <w:r>
        <w:rPr>
          <w:w w:val="105"/>
          <w:sz w:val="23"/>
        </w:rPr>
        <w:t>. Routledge.</w:t>
      </w:r>
    </w:p>
    <w:p w:rsidR="00487D64" w:rsidRDefault="006F0D93">
      <w:pPr>
        <w:pStyle w:val="BodyText"/>
        <w:ind w:left="1419"/>
      </w:pPr>
      <w:r>
        <w:rPr>
          <w:w w:val="105"/>
        </w:rPr>
        <w:t>Hair,</w:t>
      </w:r>
      <w:r>
        <w:rPr>
          <w:spacing w:val="32"/>
          <w:w w:val="105"/>
        </w:rPr>
        <w:t xml:space="preserve"> </w:t>
      </w:r>
      <w:r>
        <w:rPr>
          <w:w w:val="105"/>
        </w:rPr>
        <w:t>J.</w:t>
      </w:r>
      <w:r>
        <w:rPr>
          <w:spacing w:val="39"/>
          <w:w w:val="105"/>
        </w:rPr>
        <w:t xml:space="preserve"> </w:t>
      </w:r>
      <w:r>
        <w:rPr>
          <w:w w:val="105"/>
        </w:rPr>
        <w:t>F.,</w:t>
      </w:r>
      <w:r>
        <w:rPr>
          <w:spacing w:val="40"/>
          <w:w w:val="105"/>
        </w:rPr>
        <w:t xml:space="preserve"> </w:t>
      </w:r>
      <w:r>
        <w:rPr>
          <w:w w:val="105"/>
        </w:rPr>
        <w:t>Black,</w:t>
      </w:r>
      <w:r>
        <w:rPr>
          <w:spacing w:val="32"/>
          <w:w w:val="105"/>
        </w:rPr>
        <w:t xml:space="preserve"> </w:t>
      </w:r>
      <w:r>
        <w:rPr>
          <w:w w:val="105"/>
        </w:rPr>
        <w:t>W.</w:t>
      </w:r>
      <w:r>
        <w:rPr>
          <w:spacing w:val="33"/>
          <w:w w:val="105"/>
        </w:rPr>
        <w:t xml:space="preserve"> </w:t>
      </w:r>
      <w:r>
        <w:rPr>
          <w:w w:val="105"/>
        </w:rPr>
        <w:t>C.,</w:t>
      </w:r>
      <w:r>
        <w:rPr>
          <w:spacing w:val="32"/>
          <w:w w:val="105"/>
        </w:rPr>
        <w:t xml:space="preserve"> </w:t>
      </w:r>
      <w:r>
        <w:rPr>
          <w:w w:val="105"/>
        </w:rPr>
        <w:t>Babin,</w:t>
      </w:r>
      <w:r>
        <w:rPr>
          <w:spacing w:val="33"/>
          <w:w w:val="105"/>
        </w:rPr>
        <w:t xml:space="preserve"> </w:t>
      </w:r>
      <w:r>
        <w:rPr>
          <w:w w:val="105"/>
        </w:rPr>
        <w:t>B.</w:t>
      </w:r>
      <w:r>
        <w:rPr>
          <w:spacing w:val="32"/>
          <w:w w:val="105"/>
        </w:rPr>
        <w:t xml:space="preserve"> </w:t>
      </w:r>
      <w:r>
        <w:rPr>
          <w:w w:val="105"/>
        </w:rPr>
        <w:t>J.,</w:t>
      </w:r>
      <w:r>
        <w:rPr>
          <w:spacing w:val="40"/>
          <w:w w:val="105"/>
        </w:rPr>
        <w:t xml:space="preserve"> </w:t>
      </w:r>
      <w:r>
        <w:rPr>
          <w:w w:val="105"/>
        </w:rPr>
        <w:t>Anderson,</w:t>
      </w:r>
      <w:r>
        <w:rPr>
          <w:spacing w:val="32"/>
          <w:w w:val="105"/>
        </w:rPr>
        <w:t xml:space="preserve"> </w:t>
      </w:r>
      <w:r>
        <w:rPr>
          <w:w w:val="105"/>
        </w:rPr>
        <w:t>R.</w:t>
      </w:r>
      <w:r>
        <w:rPr>
          <w:spacing w:val="40"/>
          <w:w w:val="105"/>
        </w:rPr>
        <w:t xml:space="preserve"> </w:t>
      </w:r>
      <w:r>
        <w:rPr>
          <w:w w:val="105"/>
        </w:rPr>
        <w:t>E.,</w:t>
      </w:r>
      <w:r>
        <w:rPr>
          <w:spacing w:val="32"/>
          <w:w w:val="105"/>
        </w:rPr>
        <w:t xml:space="preserve"> </w:t>
      </w:r>
      <w:r>
        <w:rPr>
          <w:w w:val="105"/>
        </w:rPr>
        <w:t>and</w:t>
      </w:r>
      <w:r>
        <w:rPr>
          <w:spacing w:val="31"/>
          <w:w w:val="105"/>
        </w:rPr>
        <w:t xml:space="preserve"> </w:t>
      </w:r>
      <w:r>
        <w:rPr>
          <w:w w:val="105"/>
        </w:rPr>
        <w:t>Tatham,</w:t>
      </w:r>
      <w:r>
        <w:rPr>
          <w:spacing w:val="39"/>
          <w:w w:val="105"/>
        </w:rPr>
        <w:t xml:space="preserve"> </w:t>
      </w:r>
      <w:r>
        <w:rPr>
          <w:w w:val="105"/>
        </w:rPr>
        <w:t>R.</w:t>
      </w:r>
      <w:r>
        <w:rPr>
          <w:spacing w:val="33"/>
          <w:w w:val="105"/>
        </w:rPr>
        <w:t xml:space="preserve"> </w:t>
      </w:r>
      <w:r>
        <w:rPr>
          <w:spacing w:val="-2"/>
          <w:w w:val="105"/>
        </w:rPr>
        <w:t>(2010).</w:t>
      </w:r>
    </w:p>
    <w:p w:rsidR="00487D64" w:rsidRDefault="00487D64">
      <w:pPr>
        <w:pStyle w:val="BodyText"/>
        <w:spacing w:before="13"/>
      </w:pPr>
    </w:p>
    <w:p w:rsidR="00487D64" w:rsidRDefault="006F0D93">
      <w:pPr>
        <w:pStyle w:val="BodyText"/>
        <w:spacing w:before="1"/>
        <w:ind w:left="2550"/>
        <w:jc w:val="both"/>
      </w:pPr>
      <w:r>
        <w:t>Multivariate</w:t>
      </w:r>
      <w:r>
        <w:rPr>
          <w:spacing w:val="26"/>
        </w:rPr>
        <w:t xml:space="preserve"> </w:t>
      </w:r>
      <w:r>
        <w:t>data</w:t>
      </w:r>
      <w:r>
        <w:rPr>
          <w:spacing w:val="26"/>
        </w:rPr>
        <w:t xml:space="preserve"> </w:t>
      </w:r>
      <w:r>
        <w:t>analysis</w:t>
      </w:r>
      <w:r>
        <w:rPr>
          <w:spacing w:val="24"/>
        </w:rPr>
        <w:t xml:space="preserve"> </w:t>
      </w:r>
      <w:r>
        <w:t>.</w:t>
      </w:r>
      <w:r>
        <w:rPr>
          <w:spacing w:val="30"/>
        </w:rPr>
        <w:t xml:space="preserve"> </w:t>
      </w:r>
      <w:r>
        <w:t>Uppersaddle</w:t>
      </w:r>
      <w:r>
        <w:rPr>
          <w:spacing w:val="17"/>
        </w:rPr>
        <w:t xml:space="preserve"> </w:t>
      </w:r>
      <w:r>
        <w:rPr>
          <w:spacing w:val="-2"/>
        </w:rPr>
        <w:t>River.</w:t>
      </w:r>
    </w:p>
    <w:p w:rsidR="00487D64" w:rsidRDefault="00487D64">
      <w:pPr>
        <w:pStyle w:val="BodyText"/>
        <w:spacing w:before="18"/>
      </w:pPr>
    </w:p>
    <w:p w:rsidR="00487D64" w:rsidRDefault="006F0D93">
      <w:pPr>
        <w:spacing w:line="504" w:lineRule="auto"/>
        <w:ind w:left="2550" w:right="846" w:hanging="1131"/>
        <w:jc w:val="both"/>
        <w:rPr>
          <w:sz w:val="23"/>
        </w:rPr>
      </w:pPr>
      <w:r>
        <w:rPr>
          <w:w w:val="105"/>
          <w:sz w:val="23"/>
        </w:rPr>
        <w:t>Hair,</w:t>
      </w:r>
      <w:r>
        <w:rPr>
          <w:spacing w:val="-4"/>
          <w:w w:val="105"/>
          <w:sz w:val="23"/>
        </w:rPr>
        <w:t xml:space="preserve"> </w:t>
      </w:r>
      <w:r>
        <w:rPr>
          <w:w w:val="105"/>
          <w:sz w:val="23"/>
        </w:rPr>
        <w:t>J. F., Hult, G.</w:t>
      </w:r>
      <w:r>
        <w:rPr>
          <w:spacing w:val="-4"/>
          <w:w w:val="105"/>
          <w:sz w:val="23"/>
        </w:rPr>
        <w:t xml:space="preserve"> </w:t>
      </w:r>
      <w:r>
        <w:rPr>
          <w:w w:val="105"/>
          <w:sz w:val="23"/>
        </w:rPr>
        <w:t>T. M., Ringle,</w:t>
      </w:r>
      <w:r>
        <w:rPr>
          <w:spacing w:val="-4"/>
          <w:w w:val="105"/>
          <w:sz w:val="23"/>
        </w:rPr>
        <w:t xml:space="preserve"> </w:t>
      </w:r>
      <w:r>
        <w:rPr>
          <w:w w:val="105"/>
          <w:sz w:val="23"/>
        </w:rPr>
        <w:t>C. M., &amp; Sarstedt, M.</w:t>
      </w:r>
      <w:r>
        <w:rPr>
          <w:spacing w:val="-4"/>
          <w:w w:val="105"/>
          <w:sz w:val="23"/>
        </w:rPr>
        <w:t xml:space="preserve"> </w:t>
      </w:r>
      <w:r>
        <w:rPr>
          <w:w w:val="105"/>
          <w:sz w:val="23"/>
        </w:rPr>
        <w:t xml:space="preserve">(2019). </w:t>
      </w:r>
      <w:r>
        <w:rPr>
          <w:i/>
          <w:w w:val="105"/>
          <w:sz w:val="23"/>
        </w:rPr>
        <w:t>A</w:t>
      </w:r>
      <w:r>
        <w:rPr>
          <w:i/>
          <w:spacing w:val="-4"/>
          <w:w w:val="105"/>
          <w:sz w:val="23"/>
        </w:rPr>
        <w:t xml:space="preserve"> </w:t>
      </w:r>
      <w:r>
        <w:rPr>
          <w:i/>
          <w:w w:val="105"/>
          <w:sz w:val="23"/>
        </w:rPr>
        <w:t xml:space="preserve">primer on partial least squares structural equation modeling (PLS-SEM) </w:t>
      </w:r>
      <w:r>
        <w:rPr>
          <w:w w:val="105"/>
          <w:sz w:val="23"/>
        </w:rPr>
        <w:t xml:space="preserve">(2nd ed.). SAGE </w:t>
      </w:r>
      <w:r>
        <w:rPr>
          <w:spacing w:val="-2"/>
          <w:w w:val="105"/>
          <w:sz w:val="23"/>
        </w:rPr>
        <w:t>Publicatio</w:t>
      </w:r>
      <w:r>
        <w:rPr>
          <w:spacing w:val="-2"/>
          <w:w w:val="105"/>
          <w:sz w:val="23"/>
        </w:rPr>
        <w:t>ns.</w:t>
      </w:r>
    </w:p>
    <w:p w:rsidR="00487D64" w:rsidRDefault="006F0D93">
      <w:pPr>
        <w:spacing w:line="504" w:lineRule="auto"/>
        <w:ind w:left="2550" w:right="856" w:hanging="1131"/>
        <w:jc w:val="both"/>
        <w:rPr>
          <w:sz w:val="23"/>
        </w:rPr>
      </w:pPr>
      <w:r>
        <w:rPr>
          <w:w w:val="105"/>
          <w:sz w:val="23"/>
        </w:rPr>
        <w:t>Han,</w:t>
      </w:r>
      <w:r>
        <w:rPr>
          <w:spacing w:val="-6"/>
          <w:w w:val="105"/>
          <w:sz w:val="23"/>
        </w:rPr>
        <w:t xml:space="preserve"> </w:t>
      </w:r>
      <w:r>
        <w:rPr>
          <w:w w:val="105"/>
          <w:sz w:val="23"/>
        </w:rPr>
        <w:t>C.,</w:t>
      </w:r>
      <w:r>
        <w:rPr>
          <w:spacing w:val="-6"/>
          <w:w w:val="105"/>
          <w:sz w:val="23"/>
        </w:rPr>
        <w:t xml:space="preserve"> </w:t>
      </w:r>
      <w:r>
        <w:rPr>
          <w:w w:val="105"/>
          <w:sz w:val="23"/>
        </w:rPr>
        <w:t>and</w:t>
      </w:r>
      <w:r>
        <w:rPr>
          <w:spacing w:val="-8"/>
          <w:w w:val="105"/>
          <w:sz w:val="23"/>
        </w:rPr>
        <w:t xml:space="preserve"> </w:t>
      </w:r>
      <w:r>
        <w:rPr>
          <w:w w:val="105"/>
          <w:sz w:val="23"/>
        </w:rPr>
        <w:t>Zhang, S.</w:t>
      </w:r>
      <w:r>
        <w:rPr>
          <w:spacing w:val="-6"/>
          <w:w w:val="105"/>
          <w:sz w:val="23"/>
        </w:rPr>
        <w:t xml:space="preserve"> </w:t>
      </w:r>
      <w:r>
        <w:rPr>
          <w:w w:val="105"/>
          <w:sz w:val="23"/>
        </w:rPr>
        <w:t>(2021).</w:t>
      </w:r>
      <w:r>
        <w:rPr>
          <w:spacing w:val="-12"/>
          <w:w w:val="105"/>
          <w:sz w:val="23"/>
        </w:rPr>
        <w:t xml:space="preserve"> </w:t>
      </w:r>
      <w:r>
        <w:rPr>
          <w:w w:val="105"/>
          <w:sz w:val="23"/>
        </w:rPr>
        <w:t>Multiple</w:t>
      </w:r>
      <w:r>
        <w:rPr>
          <w:spacing w:val="-2"/>
          <w:w w:val="105"/>
          <w:sz w:val="23"/>
        </w:rPr>
        <w:t xml:space="preserve"> </w:t>
      </w:r>
      <w:r>
        <w:rPr>
          <w:w w:val="105"/>
          <w:sz w:val="23"/>
        </w:rPr>
        <w:t>strategic</w:t>
      </w:r>
      <w:r>
        <w:rPr>
          <w:spacing w:val="-9"/>
          <w:w w:val="105"/>
          <w:sz w:val="23"/>
        </w:rPr>
        <w:t xml:space="preserve"> </w:t>
      </w:r>
      <w:r>
        <w:rPr>
          <w:w w:val="105"/>
          <w:sz w:val="23"/>
        </w:rPr>
        <w:t>orientations</w:t>
      </w:r>
      <w:r>
        <w:rPr>
          <w:spacing w:val="-10"/>
          <w:w w:val="105"/>
          <w:sz w:val="23"/>
        </w:rPr>
        <w:t xml:space="preserve"> </w:t>
      </w:r>
      <w:r>
        <w:rPr>
          <w:w w:val="105"/>
          <w:sz w:val="23"/>
        </w:rPr>
        <w:t>and</w:t>
      </w:r>
      <w:r>
        <w:rPr>
          <w:spacing w:val="-8"/>
          <w:w w:val="105"/>
          <w:sz w:val="23"/>
        </w:rPr>
        <w:t xml:space="preserve"> </w:t>
      </w:r>
      <w:r>
        <w:rPr>
          <w:w w:val="105"/>
          <w:sz w:val="23"/>
        </w:rPr>
        <w:t>strategic</w:t>
      </w:r>
      <w:r>
        <w:rPr>
          <w:spacing w:val="-2"/>
          <w:w w:val="105"/>
          <w:sz w:val="23"/>
        </w:rPr>
        <w:t xml:space="preserve"> </w:t>
      </w:r>
      <w:r>
        <w:rPr>
          <w:w w:val="105"/>
          <w:sz w:val="23"/>
        </w:rPr>
        <w:t>flexibility in</w:t>
      </w:r>
      <w:r>
        <w:rPr>
          <w:spacing w:val="-2"/>
          <w:w w:val="105"/>
          <w:sz w:val="23"/>
        </w:rPr>
        <w:t xml:space="preserve"> </w:t>
      </w:r>
      <w:r>
        <w:rPr>
          <w:w w:val="105"/>
          <w:sz w:val="23"/>
        </w:rPr>
        <w:t>product innovation.</w:t>
      </w:r>
      <w:r>
        <w:rPr>
          <w:spacing w:val="-3"/>
          <w:w w:val="105"/>
          <w:sz w:val="23"/>
        </w:rPr>
        <w:t xml:space="preserve"> </w:t>
      </w:r>
      <w:r>
        <w:rPr>
          <w:i/>
          <w:w w:val="105"/>
          <w:sz w:val="23"/>
        </w:rPr>
        <w:t>European</w:t>
      </w:r>
      <w:r>
        <w:rPr>
          <w:i/>
          <w:spacing w:val="-2"/>
          <w:w w:val="105"/>
          <w:sz w:val="23"/>
        </w:rPr>
        <w:t xml:space="preserve"> </w:t>
      </w:r>
      <w:r>
        <w:rPr>
          <w:i/>
          <w:w w:val="105"/>
          <w:sz w:val="23"/>
        </w:rPr>
        <w:t>Research</w:t>
      </w:r>
      <w:r>
        <w:rPr>
          <w:i/>
          <w:spacing w:val="-2"/>
          <w:w w:val="105"/>
          <w:sz w:val="23"/>
        </w:rPr>
        <w:t xml:space="preserve"> </w:t>
      </w:r>
      <w:r>
        <w:rPr>
          <w:i/>
          <w:w w:val="105"/>
          <w:sz w:val="23"/>
        </w:rPr>
        <w:t>on</w:t>
      </w:r>
      <w:r>
        <w:rPr>
          <w:i/>
          <w:spacing w:val="-2"/>
          <w:w w:val="105"/>
          <w:sz w:val="23"/>
        </w:rPr>
        <w:t xml:space="preserve"> </w:t>
      </w:r>
      <w:r>
        <w:rPr>
          <w:i/>
          <w:w w:val="105"/>
          <w:sz w:val="23"/>
        </w:rPr>
        <w:t>Management</w:t>
      </w:r>
      <w:r>
        <w:rPr>
          <w:i/>
          <w:spacing w:val="-6"/>
          <w:w w:val="105"/>
          <w:sz w:val="23"/>
        </w:rPr>
        <w:t xml:space="preserve"> </w:t>
      </w:r>
      <w:r>
        <w:rPr>
          <w:i/>
          <w:w w:val="105"/>
          <w:sz w:val="23"/>
        </w:rPr>
        <w:t>and</w:t>
      </w:r>
      <w:r>
        <w:rPr>
          <w:i/>
          <w:spacing w:val="-2"/>
          <w:w w:val="105"/>
          <w:sz w:val="23"/>
        </w:rPr>
        <w:t xml:space="preserve"> </w:t>
      </w:r>
      <w:r>
        <w:rPr>
          <w:i/>
          <w:w w:val="105"/>
          <w:sz w:val="23"/>
        </w:rPr>
        <w:t>Business Economics</w:t>
      </w:r>
      <w:r>
        <w:rPr>
          <w:w w:val="105"/>
          <w:sz w:val="23"/>
        </w:rPr>
        <w:t xml:space="preserve">, </w:t>
      </w:r>
      <w:r>
        <w:rPr>
          <w:i/>
          <w:w w:val="105"/>
          <w:sz w:val="23"/>
        </w:rPr>
        <w:t>27</w:t>
      </w:r>
      <w:r>
        <w:rPr>
          <w:w w:val="105"/>
          <w:sz w:val="23"/>
        </w:rPr>
        <w:t>(1), 100136.</w:t>
      </w:r>
    </w:p>
    <w:p w:rsidR="00487D64" w:rsidRDefault="006F0D93">
      <w:pPr>
        <w:pStyle w:val="BodyText"/>
        <w:spacing w:line="504" w:lineRule="auto"/>
        <w:ind w:left="2550" w:right="866" w:hanging="1131"/>
        <w:jc w:val="both"/>
      </w:pPr>
      <w:r>
        <w:rPr>
          <w:w w:val="105"/>
        </w:rPr>
        <w:t>Hardiyanto, W., &amp; Mustofa, A. (2025). Community Participation in</w:t>
      </w:r>
      <w:r>
        <w:rPr>
          <w:w w:val="105"/>
        </w:rPr>
        <w:t xml:space="preserve"> the Implementation of Village Development Deliberations in Ujung Kota Village Surabaya. </w:t>
      </w:r>
      <w:r>
        <w:rPr>
          <w:i/>
          <w:w w:val="105"/>
        </w:rPr>
        <w:t>Jurnal Multidisiplin Madani</w:t>
      </w:r>
      <w:r>
        <w:rPr>
          <w:w w:val="105"/>
        </w:rPr>
        <w:t xml:space="preserve">, </w:t>
      </w:r>
      <w:r>
        <w:rPr>
          <w:i/>
          <w:w w:val="105"/>
        </w:rPr>
        <w:t>5</w:t>
      </w:r>
      <w:r>
        <w:rPr>
          <w:w w:val="105"/>
        </w:rPr>
        <w:t>(3), 208-224.</w:t>
      </w:r>
    </w:p>
    <w:p w:rsidR="00487D64" w:rsidRDefault="006F0D93">
      <w:pPr>
        <w:pStyle w:val="BodyText"/>
        <w:spacing w:line="504" w:lineRule="auto"/>
        <w:ind w:left="2550" w:right="840" w:hanging="1131"/>
        <w:jc w:val="both"/>
      </w:pPr>
      <w:r>
        <w:rPr>
          <w:w w:val="105"/>
        </w:rPr>
        <w:t xml:space="preserve">Henseler, J. (2018). Partial least squares path modeling: Quo vadis?. </w:t>
      </w:r>
      <w:r>
        <w:rPr>
          <w:i/>
          <w:w w:val="105"/>
        </w:rPr>
        <w:t xml:space="preserve">Quality &amp; Quantity, </w:t>
      </w:r>
      <w:r>
        <w:rPr>
          <w:w w:val="105"/>
        </w:rPr>
        <w:t>52(1), 1-8.</w:t>
      </w:r>
    </w:p>
    <w:p w:rsidR="00487D64" w:rsidRDefault="006F0D93">
      <w:pPr>
        <w:pStyle w:val="BodyText"/>
        <w:spacing w:line="496" w:lineRule="auto"/>
        <w:ind w:left="2550" w:right="865" w:hanging="1131"/>
        <w:jc w:val="both"/>
      </w:pPr>
      <w:r>
        <w:rPr>
          <w:w w:val="105"/>
        </w:rPr>
        <w:t>Henseler, J., Dijkstr</w:t>
      </w:r>
      <w:r>
        <w:rPr>
          <w:w w:val="105"/>
        </w:rPr>
        <w:t>a, T. K., Sarstedt, M., Ringle, C. M., Diamantopoulos, A., Straub,</w:t>
      </w:r>
      <w:r>
        <w:rPr>
          <w:spacing w:val="3"/>
          <w:w w:val="105"/>
        </w:rPr>
        <w:t xml:space="preserve"> </w:t>
      </w:r>
      <w:r>
        <w:rPr>
          <w:w w:val="105"/>
        </w:rPr>
        <w:t>D.</w:t>
      </w:r>
      <w:r>
        <w:rPr>
          <w:spacing w:val="11"/>
          <w:w w:val="105"/>
        </w:rPr>
        <w:t xml:space="preserve"> </w:t>
      </w:r>
      <w:r>
        <w:rPr>
          <w:w w:val="105"/>
        </w:rPr>
        <w:t>W.,</w:t>
      </w:r>
      <w:r>
        <w:rPr>
          <w:spacing w:val="10"/>
          <w:w w:val="105"/>
        </w:rPr>
        <w:t xml:space="preserve"> </w:t>
      </w:r>
      <w:r>
        <w:rPr>
          <w:w w:val="105"/>
        </w:rPr>
        <w:t>Ketchen,</w:t>
      </w:r>
      <w:r>
        <w:rPr>
          <w:spacing w:val="4"/>
          <w:w w:val="105"/>
        </w:rPr>
        <w:t xml:space="preserve"> </w:t>
      </w:r>
      <w:r>
        <w:rPr>
          <w:w w:val="105"/>
        </w:rPr>
        <w:t>D.</w:t>
      </w:r>
      <w:r>
        <w:rPr>
          <w:spacing w:val="-3"/>
          <w:w w:val="105"/>
        </w:rPr>
        <w:t xml:space="preserve"> </w:t>
      </w:r>
      <w:r>
        <w:rPr>
          <w:w w:val="105"/>
        </w:rPr>
        <w:t>J.,</w:t>
      </w:r>
      <w:r>
        <w:rPr>
          <w:spacing w:val="4"/>
          <w:w w:val="105"/>
        </w:rPr>
        <w:t xml:space="preserve"> </w:t>
      </w:r>
      <w:r>
        <w:rPr>
          <w:w w:val="105"/>
        </w:rPr>
        <w:t>Hair,</w:t>
      </w:r>
      <w:r>
        <w:rPr>
          <w:spacing w:val="4"/>
          <w:w w:val="105"/>
        </w:rPr>
        <w:t xml:space="preserve"> </w:t>
      </w:r>
      <w:r>
        <w:rPr>
          <w:w w:val="105"/>
        </w:rPr>
        <w:t>J.</w:t>
      </w:r>
      <w:r>
        <w:rPr>
          <w:spacing w:val="3"/>
          <w:w w:val="105"/>
        </w:rPr>
        <w:t xml:space="preserve"> </w:t>
      </w:r>
      <w:r>
        <w:rPr>
          <w:w w:val="105"/>
        </w:rPr>
        <w:t>F.,</w:t>
      </w:r>
      <w:r>
        <w:rPr>
          <w:spacing w:val="4"/>
          <w:w w:val="105"/>
        </w:rPr>
        <w:t xml:space="preserve"> </w:t>
      </w:r>
      <w:r>
        <w:rPr>
          <w:w w:val="105"/>
        </w:rPr>
        <w:t>Hult,</w:t>
      </w:r>
      <w:r>
        <w:rPr>
          <w:spacing w:val="4"/>
          <w:w w:val="105"/>
        </w:rPr>
        <w:t xml:space="preserve"> </w:t>
      </w:r>
      <w:r>
        <w:rPr>
          <w:w w:val="105"/>
        </w:rPr>
        <w:t>G.</w:t>
      </w:r>
      <w:r>
        <w:rPr>
          <w:spacing w:val="-3"/>
          <w:w w:val="105"/>
        </w:rPr>
        <w:t xml:space="preserve"> </w:t>
      </w:r>
      <w:r>
        <w:rPr>
          <w:w w:val="105"/>
        </w:rPr>
        <w:t>T.</w:t>
      </w:r>
      <w:r>
        <w:rPr>
          <w:spacing w:val="4"/>
          <w:w w:val="105"/>
        </w:rPr>
        <w:t xml:space="preserve"> </w:t>
      </w:r>
      <w:r>
        <w:rPr>
          <w:w w:val="105"/>
        </w:rPr>
        <w:t>M.,</w:t>
      </w:r>
      <w:r>
        <w:rPr>
          <w:spacing w:val="4"/>
          <w:w w:val="105"/>
        </w:rPr>
        <w:t xml:space="preserve"> </w:t>
      </w:r>
      <w:r>
        <w:rPr>
          <w:w w:val="105"/>
        </w:rPr>
        <w:t>and</w:t>
      </w:r>
      <w:r>
        <w:rPr>
          <w:spacing w:val="2"/>
          <w:w w:val="105"/>
        </w:rPr>
        <w:t xml:space="preserve"> </w:t>
      </w:r>
      <w:r>
        <w:rPr>
          <w:spacing w:val="-2"/>
          <w:w w:val="105"/>
        </w:rPr>
        <w:t>Calantone,</w:t>
      </w:r>
    </w:p>
    <w:p w:rsidR="00487D64" w:rsidRDefault="00487D64">
      <w:pPr>
        <w:pStyle w:val="BodyText"/>
        <w:spacing w:line="496"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499" w:lineRule="auto"/>
        <w:ind w:left="2550" w:right="853"/>
        <w:jc w:val="both"/>
        <w:rPr>
          <w:sz w:val="23"/>
        </w:rPr>
      </w:pPr>
      <w:r>
        <w:rPr>
          <w:w w:val="105"/>
          <w:sz w:val="23"/>
        </w:rPr>
        <w:t>R. J. 2014.</w:t>
      </w:r>
      <w:r>
        <w:rPr>
          <w:spacing w:val="-6"/>
          <w:w w:val="105"/>
          <w:sz w:val="23"/>
        </w:rPr>
        <w:t xml:space="preserve"> </w:t>
      </w:r>
      <w:r>
        <w:rPr>
          <w:w w:val="105"/>
          <w:sz w:val="23"/>
        </w:rPr>
        <w:t>Common Beliefs and Reality about Partial Least Squares: Comments on Rönkkö &amp; Evermann</w:t>
      </w:r>
      <w:r>
        <w:rPr>
          <w:w w:val="105"/>
          <w:sz w:val="23"/>
        </w:rPr>
        <w:t xml:space="preserve"> (2013),</w:t>
      </w:r>
      <w:r>
        <w:rPr>
          <w:spacing w:val="-9"/>
          <w:w w:val="105"/>
          <w:sz w:val="23"/>
        </w:rPr>
        <w:t xml:space="preserve"> </w:t>
      </w:r>
      <w:r>
        <w:rPr>
          <w:i/>
          <w:w w:val="105"/>
          <w:sz w:val="23"/>
        </w:rPr>
        <w:t>Organizational Research Methods</w:t>
      </w:r>
      <w:r>
        <w:rPr>
          <w:w w:val="105"/>
          <w:sz w:val="23"/>
        </w:rPr>
        <w:t>, 17(2): 182-209.</w:t>
      </w:r>
    </w:p>
    <w:p w:rsidR="00487D64" w:rsidRDefault="006F0D93">
      <w:pPr>
        <w:spacing w:before="7" w:line="499" w:lineRule="auto"/>
        <w:ind w:left="2550" w:right="849" w:hanging="1131"/>
        <w:jc w:val="both"/>
        <w:rPr>
          <w:sz w:val="23"/>
        </w:rPr>
      </w:pPr>
      <w:r>
        <w:rPr>
          <w:w w:val="105"/>
          <w:sz w:val="23"/>
        </w:rPr>
        <w:t>Henseler, J., Ringle, C. M., &amp; Sarstedt, M. (2015). A new criterion for assessing discriminant</w:t>
      </w:r>
      <w:r>
        <w:rPr>
          <w:spacing w:val="80"/>
          <w:w w:val="105"/>
          <w:sz w:val="23"/>
        </w:rPr>
        <w:t xml:space="preserve"> </w:t>
      </w:r>
      <w:r>
        <w:rPr>
          <w:w w:val="105"/>
          <w:sz w:val="23"/>
        </w:rPr>
        <w:t>validity</w:t>
      </w:r>
      <w:r>
        <w:rPr>
          <w:spacing w:val="80"/>
          <w:w w:val="105"/>
          <w:sz w:val="23"/>
        </w:rPr>
        <w:t xml:space="preserve"> </w:t>
      </w:r>
      <w:r>
        <w:rPr>
          <w:w w:val="105"/>
          <w:sz w:val="23"/>
        </w:rPr>
        <w:t>in</w:t>
      </w:r>
      <w:r>
        <w:rPr>
          <w:spacing w:val="80"/>
          <w:w w:val="105"/>
          <w:sz w:val="23"/>
        </w:rPr>
        <w:t xml:space="preserve"> </w:t>
      </w:r>
      <w:r>
        <w:rPr>
          <w:w w:val="105"/>
          <w:sz w:val="23"/>
        </w:rPr>
        <w:t>variance-based</w:t>
      </w:r>
      <w:r>
        <w:rPr>
          <w:spacing w:val="80"/>
          <w:w w:val="105"/>
          <w:sz w:val="23"/>
        </w:rPr>
        <w:t xml:space="preserve"> </w:t>
      </w:r>
      <w:r>
        <w:rPr>
          <w:w w:val="105"/>
          <w:sz w:val="23"/>
        </w:rPr>
        <w:t>structural</w:t>
      </w:r>
      <w:r>
        <w:rPr>
          <w:spacing w:val="80"/>
          <w:w w:val="105"/>
          <w:sz w:val="23"/>
        </w:rPr>
        <w:t xml:space="preserve"> </w:t>
      </w:r>
      <w:r>
        <w:rPr>
          <w:w w:val="105"/>
          <w:sz w:val="23"/>
        </w:rPr>
        <w:t>equation</w:t>
      </w:r>
      <w:r>
        <w:rPr>
          <w:spacing w:val="80"/>
          <w:w w:val="105"/>
          <w:sz w:val="23"/>
        </w:rPr>
        <w:t xml:space="preserve"> </w:t>
      </w:r>
      <w:r>
        <w:rPr>
          <w:w w:val="105"/>
          <w:sz w:val="23"/>
        </w:rPr>
        <w:t xml:space="preserve">modeling. </w:t>
      </w:r>
      <w:r>
        <w:rPr>
          <w:i/>
          <w:w w:val="105"/>
          <w:sz w:val="23"/>
        </w:rPr>
        <w:t>Journal of the academy of marketing science</w:t>
      </w:r>
      <w:r>
        <w:rPr>
          <w:w w:val="105"/>
          <w:sz w:val="23"/>
        </w:rPr>
        <w:t xml:space="preserve">, </w:t>
      </w:r>
      <w:r>
        <w:rPr>
          <w:i/>
          <w:w w:val="105"/>
          <w:sz w:val="23"/>
        </w:rPr>
        <w:t>4</w:t>
      </w:r>
      <w:r>
        <w:rPr>
          <w:i/>
          <w:w w:val="105"/>
          <w:sz w:val="23"/>
        </w:rPr>
        <w:t>3</w:t>
      </w:r>
      <w:r>
        <w:rPr>
          <w:w w:val="105"/>
          <w:sz w:val="23"/>
        </w:rPr>
        <w:t>, 115-135.</w:t>
      </w:r>
    </w:p>
    <w:p w:rsidR="00487D64" w:rsidRDefault="006F0D93">
      <w:pPr>
        <w:pStyle w:val="BodyText"/>
        <w:spacing w:before="6" w:line="499" w:lineRule="auto"/>
        <w:ind w:left="2550" w:right="862" w:hanging="1131"/>
        <w:jc w:val="both"/>
      </w:pPr>
      <w:r>
        <w:rPr>
          <w:w w:val="105"/>
        </w:rPr>
        <w:t xml:space="preserve">Hilman, H., and Kaliappen, N. (2014). Market orientation practices and effects on organizational performance: Empirical insight from Malaysian hotel industry. </w:t>
      </w:r>
      <w:r>
        <w:rPr>
          <w:i/>
          <w:w w:val="105"/>
        </w:rPr>
        <w:t>Sage Open</w:t>
      </w:r>
      <w:r>
        <w:rPr>
          <w:w w:val="105"/>
        </w:rPr>
        <w:t xml:space="preserve">, </w:t>
      </w:r>
      <w:r>
        <w:rPr>
          <w:i/>
          <w:w w:val="105"/>
        </w:rPr>
        <w:t>4</w:t>
      </w:r>
      <w:r>
        <w:rPr>
          <w:w w:val="105"/>
        </w:rPr>
        <w:t>(4), 2158244014553590.</w:t>
      </w:r>
    </w:p>
    <w:p w:rsidR="00487D64" w:rsidRDefault="006F0D93">
      <w:pPr>
        <w:spacing w:before="7" w:line="499" w:lineRule="auto"/>
        <w:ind w:left="2550" w:right="855" w:hanging="1131"/>
        <w:jc w:val="both"/>
        <w:rPr>
          <w:sz w:val="23"/>
        </w:rPr>
      </w:pPr>
      <w:r>
        <w:rPr>
          <w:w w:val="105"/>
          <w:sz w:val="23"/>
        </w:rPr>
        <w:t>Hübnerová, Z.,</w:t>
      </w:r>
      <w:r>
        <w:rPr>
          <w:spacing w:val="-6"/>
          <w:w w:val="105"/>
          <w:sz w:val="23"/>
        </w:rPr>
        <w:t xml:space="preserve"> </w:t>
      </w:r>
      <w:r>
        <w:rPr>
          <w:w w:val="105"/>
          <w:sz w:val="23"/>
        </w:rPr>
        <w:t>Tomášková,</w:t>
      </w:r>
      <w:r>
        <w:rPr>
          <w:spacing w:val="-6"/>
          <w:w w:val="105"/>
          <w:sz w:val="23"/>
        </w:rPr>
        <w:t xml:space="preserve"> </w:t>
      </w:r>
      <w:r>
        <w:rPr>
          <w:w w:val="105"/>
          <w:sz w:val="23"/>
        </w:rPr>
        <w:t>E., &amp;</w:t>
      </w:r>
      <w:r>
        <w:rPr>
          <w:spacing w:val="-2"/>
          <w:w w:val="105"/>
          <w:sz w:val="23"/>
        </w:rPr>
        <w:t xml:space="preserve"> </w:t>
      </w:r>
      <w:r>
        <w:rPr>
          <w:w w:val="105"/>
          <w:sz w:val="23"/>
        </w:rPr>
        <w:t>Bednář, J.</w:t>
      </w:r>
      <w:r>
        <w:rPr>
          <w:spacing w:val="-6"/>
          <w:w w:val="105"/>
          <w:sz w:val="23"/>
        </w:rPr>
        <w:t xml:space="preserve"> </w:t>
      </w:r>
      <w:r>
        <w:rPr>
          <w:w w:val="105"/>
          <w:sz w:val="23"/>
        </w:rPr>
        <w:t>(2020).</w:t>
      </w:r>
      <w:r>
        <w:rPr>
          <w:spacing w:val="-6"/>
          <w:w w:val="105"/>
          <w:sz w:val="23"/>
        </w:rPr>
        <w:t xml:space="preserve"> </w:t>
      </w:r>
      <w:r>
        <w:rPr>
          <w:w w:val="105"/>
          <w:sz w:val="23"/>
        </w:rPr>
        <w:t>Identification</w:t>
      </w:r>
      <w:r>
        <w:rPr>
          <w:spacing w:val="-1"/>
          <w:w w:val="105"/>
          <w:sz w:val="23"/>
        </w:rPr>
        <w:t xml:space="preserve"> </w:t>
      </w:r>
      <w:r>
        <w:rPr>
          <w:w w:val="105"/>
          <w:sz w:val="23"/>
        </w:rPr>
        <w:t>of</w:t>
      </w:r>
      <w:r>
        <w:rPr>
          <w:spacing w:val="-4"/>
          <w:w w:val="105"/>
          <w:sz w:val="23"/>
        </w:rPr>
        <w:t xml:space="preserve"> </w:t>
      </w:r>
      <w:r>
        <w:rPr>
          <w:w w:val="105"/>
          <w:sz w:val="23"/>
        </w:rPr>
        <w:t>Interfunctional Coordination Items Important for Business Performance of SME.</w:t>
      </w:r>
      <w:r>
        <w:rPr>
          <w:spacing w:val="-1"/>
          <w:w w:val="105"/>
          <w:sz w:val="23"/>
        </w:rPr>
        <w:t xml:space="preserve"> </w:t>
      </w:r>
      <w:r>
        <w:rPr>
          <w:i/>
          <w:w w:val="105"/>
          <w:sz w:val="23"/>
        </w:rPr>
        <w:t>Acta universitatis agriculturae et silviculturae Mendelianae Brunensis</w:t>
      </w:r>
      <w:r>
        <w:rPr>
          <w:w w:val="105"/>
          <w:sz w:val="23"/>
        </w:rPr>
        <w:t xml:space="preserve">, </w:t>
      </w:r>
      <w:r>
        <w:rPr>
          <w:i/>
          <w:w w:val="105"/>
          <w:sz w:val="23"/>
        </w:rPr>
        <w:t>68</w:t>
      </w:r>
      <w:r>
        <w:rPr>
          <w:w w:val="105"/>
          <w:sz w:val="23"/>
        </w:rPr>
        <w:t>(1).</w:t>
      </w:r>
    </w:p>
    <w:p w:rsidR="00487D64" w:rsidRDefault="006F0D93">
      <w:pPr>
        <w:pStyle w:val="BodyText"/>
        <w:spacing w:before="6" w:line="499" w:lineRule="auto"/>
        <w:ind w:left="2550" w:right="843" w:hanging="1131"/>
        <w:jc w:val="both"/>
      </w:pPr>
      <w:r>
        <w:rPr>
          <w:w w:val="105"/>
        </w:rPr>
        <w:t xml:space="preserve">Islam, M. Z., &amp; Zhe, Z. (2022). The effect of customer orientation on financial </w:t>
      </w:r>
      <w:r>
        <w:rPr>
          <w:w w:val="105"/>
        </w:rPr>
        <w:t>performance in service firms: The mediating role of service innovation. Management</w:t>
      </w:r>
      <w:r>
        <w:rPr>
          <w:spacing w:val="56"/>
          <w:w w:val="150"/>
        </w:rPr>
        <w:t xml:space="preserve">    </w:t>
      </w:r>
      <w:r>
        <w:rPr>
          <w:w w:val="105"/>
        </w:rPr>
        <w:t>Science</w:t>
      </w:r>
      <w:r>
        <w:rPr>
          <w:spacing w:val="55"/>
          <w:w w:val="150"/>
        </w:rPr>
        <w:t xml:space="preserve">    </w:t>
      </w:r>
      <w:r>
        <w:rPr>
          <w:w w:val="105"/>
        </w:rPr>
        <w:t>Letters,</w:t>
      </w:r>
      <w:r>
        <w:rPr>
          <w:spacing w:val="55"/>
          <w:w w:val="150"/>
        </w:rPr>
        <w:t xml:space="preserve">    </w:t>
      </w:r>
      <w:r>
        <w:rPr>
          <w:w w:val="105"/>
        </w:rPr>
        <w:t>12(2),</w:t>
      </w:r>
      <w:r>
        <w:rPr>
          <w:spacing w:val="55"/>
          <w:w w:val="150"/>
        </w:rPr>
        <w:t xml:space="preserve">    </w:t>
      </w:r>
      <w:r>
        <w:rPr>
          <w:w w:val="105"/>
        </w:rPr>
        <w:t>101–</w:t>
      </w:r>
      <w:r>
        <w:rPr>
          <w:spacing w:val="56"/>
          <w:w w:val="150"/>
        </w:rPr>
        <w:t xml:space="preserve">    </w:t>
      </w:r>
      <w:r>
        <w:rPr>
          <w:spacing w:val="-4"/>
          <w:w w:val="105"/>
        </w:rPr>
        <w:t>116.</w:t>
      </w:r>
    </w:p>
    <w:p w:rsidR="00487D64" w:rsidRDefault="006F0D93">
      <w:pPr>
        <w:pStyle w:val="BodyText"/>
        <w:spacing w:before="7"/>
        <w:ind w:left="2550"/>
      </w:pPr>
      <w:r>
        <w:rPr>
          <w:spacing w:val="-2"/>
          <w:w w:val="105"/>
        </w:rPr>
        <w:t>https://doi.org/10.5267/j.msl.2021.10.003</w:t>
      </w:r>
    </w:p>
    <w:p w:rsidR="00487D64" w:rsidRDefault="00487D64">
      <w:pPr>
        <w:pStyle w:val="BodyText"/>
        <w:spacing w:before="25"/>
      </w:pPr>
    </w:p>
    <w:p w:rsidR="00487D64" w:rsidRDefault="006F0D93">
      <w:pPr>
        <w:spacing w:line="499" w:lineRule="auto"/>
        <w:ind w:left="2550" w:right="851" w:hanging="1131"/>
        <w:jc w:val="both"/>
        <w:rPr>
          <w:sz w:val="23"/>
        </w:rPr>
      </w:pPr>
      <w:r>
        <w:rPr>
          <w:w w:val="105"/>
          <w:sz w:val="23"/>
        </w:rPr>
        <w:t>Ismail, I. J. (2022). Entrepreneurs’ dynamic capabilities, financial</w:t>
      </w:r>
      <w:r>
        <w:rPr>
          <w:w w:val="105"/>
          <w:sz w:val="23"/>
        </w:rPr>
        <w:t xml:space="preserve"> resource development and financial performance among small and medium enterprises</w:t>
      </w:r>
      <w:r>
        <w:rPr>
          <w:spacing w:val="-12"/>
          <w:w w:val="105"/>
          <w:sz w:val="23"/>
        </w:rPr>
        <w:t xml:space="preserve"> </w:t>
      </w:r>
      <w:r>
        <w:rPr>
          <w:w w:val="105"/>
          <w:sz w:val="23"/>
        </w:rPr>
        <w:t>in</w:t>
      </w:r>
      <w:r>
        <w:rPr>
          <w:spacing w:val="-9"/>
          <w:w w:val="105"/>
          <w:sz w:val="23"/>
        </w:rPr>
        <w:t xml:space="preserve"> </w:t>
      </w:r>
      <w:r>
        <w:rPr>
          <w:w w:val="105"/>
          <w:sz w:val="23"/>
        </w:rPr>
        <w:t>emerging</w:t>
      </w:r>
      <w:r>
        <w:rPr>
          <w:spacing w:val="-9"/>
          <w:w w:val="105"/>
          <w:sz w:val="23"/>
        </w:rPr>
        <w:t xml:space="preserve"> </w:t>
      </w:r>
      <w:r>
        <w:rPr>
          <w:w w:val="105"/>
          <w:sz w:val="23"/>
        </w:rPr>
        <w:t>markets:</w:t>
      </w:r>
      <w:r>
        <w:rPr>
          <w:spacing w:val="-7"/>
          <w:w w:val="105"/>
          <w:sz w:val="23"/>
        </w:rPr>
        <w:t xml:space="preserve"> </w:t>
      </w:r>
      <w:r>
        <w:rPr>
          <w:w w:val="105"/>
          <w:sz w:val="23"/>
        </w:rPr>
        <w:t>experience</w:t>
      </w:r>
      <w:r>
        <w:rPr>
          <w:spacing w:val="-10"/>
          <w:w w:val="105"/>
          <w:sz w:val="23"/>
        </w:rPr>
        <w:t xml:space="preserve"> </w:t>
      </w:r>
      <w:r>
        <w:rPr>
          <w:w w:val="105"/>
          <w:sz w:val="23"/>
        </w:rPr>
        <w:t>from</w:t>
      </w:r>
      <w:r>
        <w:rPr>
          <w:spacing w:val="-16"/>
          <w:w w:val="105"/>
          <w:sz w:val="23"/>
        </w:rPr>
        <w:t xml:space="preserve"> </w:t>
      </w:r>
      <w:r>
        <w:rPr>
          <w:w w:val="105"/>
          <w:sz w:val="23"/>
        </w:rPr>
        <w:t>Tanzania.</w:t>
      </w:r>
      <w:r>
        <w:rPr>
          <w:spacing w:val="-12"/>
          <w:w w:val="105"/>
          <w:sz w:val="23"/>
        </w:rPr>
        <w:t xml:space="preserve"> </w:t>
      </w:r>
      <w:r>
        <w:rPr>
          <w:w w:val="105"/>
          <w:sz w:val="23"/>
        </w:rPr>
        <w:t>In</w:t>
      </w:r>
      <w:r>
        <w:rPr>
          <w:spacing w:val="-5"/>
          <w:w w:val="105"/>
          <w:sz w:val="23"/>
        </w:rPr>
        <w:t xml:space="preserve"> </w:t>
      </w:r>
      <w:r>
        <w:rPr>
          <w:i/>
          <w:w w:val="105"/>
          <w:sz w:val="23"/>
        </w:rPr>
        <w:t>Corporate finance</w:t>
      </w:r>
      <w:r>
        <w:rPr>
          <w:i/>
          <w:spacing w:val="-4"/>
          <w:w w:val="105"/>
          <w:sz w:val="23"/>
        </w:rPr>
        <w:t xml:space="preserve"> </w:t>
      </w:r>
      <w:r>
        <w:rPr>
          <w:i/>
          <w:w w:val="105"/>
          <w:sz w:val="23"/>
        </w:rPr>
        <w:t>and</w:t>
      </w:r>
      <w:r>
        <w:rPr>
          <w:i/>
          <w:spacing w:val="-3"/>
          <w:w w:val="105"/>
          <w:sz w:val="23"/>
        </w:rPr>
        <w:t xml:space="preserve"> </w:t>
      </w:r>
      <w:r>
        <w:rPr>
          <w:i/>
          <w:w w:val="105"/>
          <w:sz w:val="23"/>
        </w:rPr>
        <w:t>financial</w:t>
      </w:r>
      <w:r>
        <w:rPr>
          <w:i/>
          <w:spacing w:val="-7"/>
          <w:w w:val="105"/>
          <w:sz w:val="23"/>
        </w:rPr>
        <w:t xml:space="preserve"> </w:t>
      </w:r>
      <w:r>
        <w:rPr>
          <w:i/>
          <w:w w:val="105"/>
          <w:sz w:val="23"/>
        </w:rPr>
        <w:t>development:</w:t>
      </w:r>
      <w:r>
        <w:rPr>
          <w:i/>
          <w:spacing w:val="-6"/>
          <w:w w:val="105"/>
          <w:sz w:val="23"/>
        </w:rPr>
        <w:t xml:space="preserve"> </w:t>
      </w:r>
      <w:r>
        <w:rPr>
          <w:i/>
          <w:w w:val="105"/>
          <w:sz w:val="23"/>
        </w:rPr>
        <w:t>An</w:t>
      </w:r>
      <w:r>
        <w:rPr>
          <w:i/>
          <w:spacing w:val="-3"/>
          <w:w w:val="105"/>
          <w:sz w:val="23"/>
        </w:rPr>
        <w:t xml:space="preserve"> </w:t>
      </w:r>
      <w:r>
        <w:rPr>
          <w:i/>
          <w:w w:val="105"/>
          <w:sz w:val="23"/>
        </w:rPr>
        <w:t>emerging</w:t>
      </w:r>
      <w:r>
        <w:rPr>
          <w:i/>
          <w:spacing w:val="-3"/>
          <w:w w:val="105"/>
          <w:sz w:val="23"/>
        </w:rPr>
        <w:t xml:space="preserve"> </w:t>
      </w:r>
      <w:r>
        <w:rPr>
          <w:i/>
          <w:w w:val="105"/>
          <w:sz w:val="23"/>
        </w:rPr>
        <w:t>market</w:t>
      </w:r>
      <w:r>
        <w:rPr>
          <w:i/>
          <w:spacing w:val="-7"/>
          <w:w w:val="105"/>
          <w:sz w:val="23"/>
        </w:rPr>
        <w:t xml:space="preserve"> </w:t>
      </w:r>
      <w:r>
        <w:rPr>
          <w:i/>
          <w:w w:val="105"/>
          <w:sz w:val="23"/>
        </w:rPr>
        <w:t>perspective</w:t>
      </w:r>
      <w:r>
        <w:rPr>
          <w:i/>
          <w:spacing w:val="-4"/>
          <w:w w:val="105"/>
          <w:sz w:val="23"/>
        </w:rPr>
        <w:t xml:space="preserve"> </w:t>
      </w:r>
      <w:r>
        <w:rPr>
          <w:i/>
          <w:w w:val="105"/>
          <w:sz w:val="23"/>
        </w:rPr>
        <w:t>on</w:t>
      </w:r>
      <w:r>
        <w:rPr>
          <w:i/>
          <w:spacing w:val="-3"/>
          <w:w w:val="105"/>
          <w:sz w:val="23"/>
        </w:rPr>
        <w:t xml:space="preserve"> </w:t>
      </w:r>
      <w:r>
        <w:rPr>
          <w:i/>
          <w:w w:val="105"/>
          <w:sz w:val="23"/>
        </w:rPr>
        <w:t xml:space="preserve">a post-crisis world </w:t>
      </w:r>
      <w:r>
        <w:rPr>
          <w:w w:val="105"/>
          <w:sz w:val="23"/>
        </w:rPr>
        <w:t>(pp. 15-36). Cham: Sprin</w:t>
      </w:r>
      <w:r>
        <w:rPr>
          <w:w w:val="105"/>
          <w:sz w:val="23"/>
        </w:rPr>
        <w:t>ger International Publishing.</w:t>
      </w:r>
    </w:p>
    <w:p w:rsidR="00487D64" w:rsidRDefault="006F0D93">
      <w:pPr>
        <w:pStyle w:val="BodyText"/>
        <w:spacing w:before="8" w:line="504" w:lineRule="auto"/>
        <w:ind w:left="2550" w:right="864" w:hanging="1131"/>
        <w:jc w:val="both"/>
      </w:pPr>
      <w:r>
        <w:rPr>
          <w:w w:val="105"/>
        </w:rPr>
        <w:t xml:space="preserve">Jaworski, B. J., and Kohli, A. K. (1993). Market orientation: antecedents and consequences. </w:t>
      </w:r>
      <w:r>
        <w:rPr>
          <w:i/>
          <w:w w:val="105"/>
        </w:rPr>
        <w:t>Journal of marketing</w:t>
      </w:r>
      <w:r>
        <w:rPr>
          <w:w w:val="105"/>
        </w:rPr>
        <w:t xml:space="preserve">, </w:t>
      </w:r>
      <w:r>
        <w:rPr>
          <w:i/>
          <w:w w:val="105"/>
        </w:rPr>
        <w:t>57</w:t>
      </w:r>
      <w:r>
        <w:rPr>
          <w:w w:val="105"/>
        </w:rPr>
        <w:t>(3), 53-70.</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2550" w:right="863" w:hanging="1131"/>
        <w:jc w:val="both"/>
      </w:pPr>
      <w:r>
        <w:rPr>
          <w:w w:val="105"/>
        </w:rPr>
        <w:t>Jewel, Z. A. M. M. H., and Ali, M. A. (2023). Addressing SMEs</w:t>
      </w:r>
      <w:r>
        <w:rPr>
          <w:w w:val="105"/>
        </w:rPr>
        <w:t xml:space="preserve"> Through Sustainable Public Procurement: A Study On Bangladesh.</w:t>
      </w:r>
    </w:p>
    <w:p w:rsidR="00487D64" w:rsidRDefault="006F0D93">
      <w:pPr>
        <w:pStyle w:val="BodyText"/>
        <w:spacing w:line="501" w:lineRule="auto"/>
        <w:ind w:left="2550" w:right="845" w:hanging="1131"/>
        <w:jc w:val="both"/>
      </w:pPr>
      <w:r>
        <w:rPr>
          <w:w w:val="105"/>
        </w:rPr>
        <w:t>Kaburu,</w:t>
      </w:r>
      <w:r>
        <w:rPr>
          <w:spacing w:val="-5"/>
          <w:w w:val="105"/>
        </w:rPr>
        <w:t xml:space="preserve"> </w:t>
      </w:r>
      <w:r>
        <w:rPr>
          <w:w w:val="105"/>
        </w:rPr>
        <w:t>R.W., Karanja,</w:t>
      </w:r>
      <w:r>
        <w:rPr>
          <w:spacing w:val="-5"/>
          <w:w w:val="105"/>
        </w:rPr>
        <w:t xml:space="preserve"> </w:t>
      </w:r>
      <w:r>
        <w:rPr>
          <w:w w:val="105"/>
        </w:rPr>
        <w:t>G.W.,</w:t>
      </w:r>
      <w:r>
        <w:rPr>
          <w:spacing w:val="-5"/>
          <w:w w:val="105"/>
        </w:rPr>
        <w:t xml:space="preserve"> </w:t>
      </w:r>
      <w:r>
        <w:rPr>
          <w:w w:val="105"/>
        </w:rPr>
        <w:t>Wagoki, A.J.</w:t>
      </w:r>
      <w:r>
        <w:rPr>
          <w:spacing w:val="-5"/>
          <w:w w:val="105"/>
        </w:rPr>
        <w:t xml:space="preserve"> </w:t>
      </w:r>
      <w:r>
        <w:rPr>
          <w:w w:val="105"/>
        </w:rPr>
        <w:t>and</w:t>
      </w:r>
      <w:r>
        <w:rPr>
          <w:spacing w:val="-7"/>
          <w:w w:val="105"/>
        </w:rPr>
        <w:t xml:space="preserve"> </w:t>
      </w:r>
      <w:r>
        <w:rPr>
          <w:w w:val="105"/>
        </w:rPr>
        <w:t>Wanyoike,</w:t>
      </w:r>
      <w:r>
        <w:rPr>
          <w:spacing w:val="-5"/>
          <w:w w:val="105"/>
        </w:rPr>
        <w:t xml:space="preserve"> </w:t>
      </w:r>
      <w:r>
        <w:rPr>
          <w:w w:val="105"/>
        </w:rPr>
        <w:t>D.M. (2021),</w:t>
      </w:r>
      <w:r>
        <w:rPr>
          <w:spacing w:val="-5"/>
          <w:w w:val="105"/>
        </w:rPr>
        <w:t xml:space="preserve"> </w:t>
      </w:r>
      <w:r>
        <w:rPr>
          <w:w w:val="105"/>
        </w:rPr>
        <w:t>“Influence of customer orientation on the growth of manufacturing firms in Nakuru East and West Dub-Counties Kenya”, The In</w:t>
      </w:r>
      <w:r>
        <w:rPr>
          <w:w w:val="105"/>
        </w:rPr>
        <w:t>ternational Journal of Business Management and Technology, Vol. 5 No. 4, pp. 129-138.</w:t>
      </w:r>
    </w:p>
    <w:p w:rsidR="00487D64" w:rsidRDefault="006F0D93">
      <w:pPr>
        <w:pStyle w:val="BodyText"/>
        <w:spacing w:line="501" w:lineRule="auto"/>
        <w:ind w:left="2550" w:right="844" w:hanging="1131"/>
        <w:jc w:val="both"/>
      </w:pPr>
      <w:r>
        <w:rPr>
          <w:w w:val="105"/>
        </w:rPr>
        <w:t xml:space="preserve">Kaliappen, N., and Abdullah, H. H. (2013). Enhancing organizational performance through strategic alignment of cost leadership strategy and competitor orientation. </w:t>
      </w:r>
      <w:r>
        <w:rPr>
          <w:i/>
          <w:w w:val="105"/>
        </w:rPr>
        <w:t>Middle</w:t>
      </w:r>
      <w:r>
        <w:rPr>
          <w:i/>
          <w:w w:val="105"/>
        </w:rPr>
        <w:t>-East Journal of Scientific Research</w:t>
      </w:r>
      <w:r>
        <w:rPr>
          <w:w w:val="105"/>
        </w:rPr>
        <w:t>,</w:t>
      </w:r>
      <w:r>
        <w:rPr>
          <w:spacing w:val="-9"/>
          <w:w w:val="105"/>
        </w:rPr>
        <w:t xml:space="preserve"> </w:t>
      </w:r>
      <w:r>
        <w:rPr>
          <w:i/>
          <w:w w:val="105"/>
        </w:rPr>
        <w:t>18</w:t>
      </w:r>
      <w:r>
        <w:rPr>
          <w:w w:val="105"/>
        </w:rPr>
        <w:t xml:space="preserve">(10), 1411- </w:t>
      </w:r>
      <w:r>
        <w:rPr>
          <w:spacing w:val="-2"/>
          <w:w w:val="105"/>
        </w:rPr>
        <w:t>1416.</w:t>
      </w:r>
    </w:p>
    <w:p w:rsidR="00487D64" w:rsidRDefault="006F0D93">
      <w:pPr>
        <w:pStyle w:val="BodyText"/>
        <w:spacing w:line="501" w:lineRule="auto"/>
        <w:ind w:left="2550" w:right="850" w:hanging="1131"/>
        <w:jc w:val="both"/>
      </w:pPr>
      <w:r>
        <w:rPr>
          <w:w w:val="105"/>
        </w:rPr>
        <w:t>Karani, K., and Moronge, M. (2017).</w:t>
      </w:r>
      <w:r>
        <w:rPr>
          <w:spacing w:val="-5"/>
          <w:w w:val="105"/>
        </w:rPr>
        <w:t xml:space="preserve"> </w:t>
      </w:r>
      <w:r>
        <w:rPr>
          <w:w w:val="105"/>
        </w:rPr>
        <w:t>Determinants of</w:t>
      </w:r>
      <w:r>
        <w:rPr>
          <w:spacing w:val="-4"/>
          <w:w w:val="105"/>
        </w:rPr>
        <w:t xml:space="preserve"> </w:t>
      </w:r>
      <w:r>
        <w:rPr>
          <w:w w:val="105"/>
        </w:rPr>
        <w:t>Youth</w:t>
      </w:r>
      <w:r>
        <w:rPr>
          <w:spacing w:val="-1"/>
          <w:w w:val="105"/>
        </w:rPr>
        <w:t xml:space="preserve"> </w:t>
      </w:r>
      <w:r>
        <w:rPr>
          <w:w w:val="105"/>
        </w:rPr>
        <w:t>Access</w:t>
      </w:r>
      <w:r>
        <w:rPr>
          <w:spacing w:val="-3"/>
          <w:w w:val="105"/>
        </w:rPr>
        <w:t xml:space="preserve"> </w:t>
      </w:r>
      <w:r>
        <w:rPr>
          <w:w w:val="105"/>
        </w:rPr>
        <w:t>to Procurement Opportunities</w:t>
      </w:r>
      <w:r>
        <w:rPr>
          <w:spacing w:val="40"/>
          <w:w w:val="105"/>
        </w:rPr>
        <w:t xml:space="preserve"> </w:t>
      </w:r>
      <w:r>
        <w:rPr>
          <w:w w:val="105"/>
        </w:rPr>
        <w:t>in</w:t>
      </w:r>
      <w:r>
        <w:rPr>
          <w:spacing w:val="40"/>
          <w:w w:val="105"/>
        </w:rPr>
        <w:t xml:space="preserve"> </w:t>
      </w:r>
      <w:r>
        <w:rPr>
          <w:w w:val="105"/>
        </w:rPr>
        <w:t>Public</w:t>
      </w:r>
      <w:r>
        <w:rPr>
          <w:spacing w:val="40"/>
          <w:w w:val="105"/>
        </w:rPr>
        <w:t xml:space="preserve"> </w:t>
      </w:r>
      <w:r>
        <w:rPr>
          <w:w w:val="105"/>
        </w:rPr>
        <w:t>Sector</w:t>
      </w:r>
      <w:r>
        <w:rPr>
          <w:spacing w:val="40"/>
          <w:w w:val="105"/>
        </w:rPr>
        <w:t xml:space="preserve"> </w:t>
      </w:r>
      <w:r>
        <w:rPr>
          <w:w w:val="105"/>
        </w:rPr>
        <w:t>in</w:t>
      </w:r>
      <w:r>
        <w:rPr>
          <w:spacing w:val="40"/>
          <w:w w:val="105"/>
        </w:rPr>
        <w:t xml:space="preserve"> </w:t>
      </w:r>
      <w:r>
        <w:rPr>
          <w:w w:val="105"/>
        </w:rPr>
        <w:t>Kenya:</w:t>
      </w:r>
      <w:r>
        <w:rPr>
          <w:spacing w:val="40"/>
          <w:w w:val="105"/>
        </w:rPr>
        <w:t xml:space="preserve"> </w:t>
      </w:r>
      <w:r>
        <w:rPr>
          <w:w w:val="105"/>
        </w:rPr>
        <w:t>A</w:t>
      </w:r>
      <w:r>
        <w:rPr>
          <w:spacing w:val="40"/>
          <w:w w:val="105"/>
        </w:rPr>
        <w:t xml:space="preserve"> </w:t>
      </w:r>
      <w:r>
        <w:rPr>
          <w:w w:val="105"/>
        </w:rPr>
        <w:t>Case</w:t>
      </w:r>
      <w:r>
        <w:rPr>
          <w:spacing w:val="40"/>
          <w:w w:val="105"/>
        </w:rPr>
        <w:t xml:space="preserve"> </w:t>
      </w:r>
      <w:r>
        <w:rPr>
          <w:w w:val="105"/>
        </w:rPr>
        <w:t>of</w:t>
      </w:r>
      <w:r>
        <w:rPr>
          <w:spacing w:val="40"/>
          <w:w w:val="105"/>
        </w:rPr>
        <w:t xml:space="preserve"> </w:t>
      </w:r>
      <w:r>
        <w:rPr>
          <w:w w:val="105"/>
        </w:rPr>
        <w:t>National Treasury.</w:t>
      </w:r>
      <w:r>
        <w:rPr>
          <w:spacing w:val="-8"/>
          <w:w w:val="105"/>
        </w:rPr>
        <w:t xml:space="preserve"> </w:t>
      </w:r>
      <w:r>
        <w:rPr>
          <w:i/>
          <w:w w:val="105"/>
        </w:rPr>
        <w:t>Strategic Journal of Business and Change Managem</w:t>
      </w:r>
      <w:r>
        <w:rPr>
          <w:i/>
          <w:w w:val="105"/>
        </w:rPr>
        <w:t xml:space="preserve">ent, </w:t>
      </w:r>
      <w:r>
        <w:rPr>
          <w:w w:val="105"/>
        </w:rPr>
        <w:t>4(2), 1089</w:t>
      </w:r>
      <w:r>
        <w:rPr>
          <w:spacing w:val="60"/>
          <w:w w:val="105"/>
        </w:rPr>
        <w:t xml:space="preserve">  </w:t>
      </w:r>
      <w:r>
        <w:rPr>
          <w:w w:val="105"/>
        </w:rPr>
        <w:t>-</w:t>
      </w:r>
      <w:r>
        <w:rPr>
          <w:spacing w:val="55"/>
          <w:w w:val="105"/>
        </w:rPr>
        <w:t xml:space="preserve">  </w:t>
      </w:r>
      <w:r>
        <w:rPr>
          <w:w w:val="105"/>
        </w:rPr>
        <w:t>1107.</w:t>
      </w:r>
      <w:r>
        <w:rPr>
          <w:spacing w:val="59"/>
          <w:w w:val="105"/>
        </w:rPr>
        <w:t xml:space="preserve">  </w:t>
      </w:r>
      <w:r>
        <w:rPr>
          <w:w w:val="105"/>
          <w:u w:val="single"/>
        </w:rPr>
        <w:t>[https://C:/Users/HP/Downloads/485-1444-1-</w:t>
      </w:r>
      <w:r>
        <w:rPr>
          <w:spacing w:val="-2"/>
          <w:w w:val="105"/>
          <w:u w:val="single"/>
        </w:rPr>
        <w:t>PB.pdf],</w:t>
      </w:r>
    </w:p>
    <w:p w:rsidR="00487D64" w:rsidRDefault="006F0D93">
      <w:pPr>
        <w:pStyle w:val="BodyText"/>
        <w:spacing w:line="250" w:lineRule="exact"/>
        <w:ind w:left="2550"/>
      </w:pPr>
      <w:r>
        <w:rPr>
          <w:w w:val="105"/>
        </w:rPr>
        <w:t>visited</w:t>
      </w:r>
      <w:r>
        <w:rPr>
          <w:spacing w:val="-8"/>
          <w:w w:val="105"/>
        </w:rPr>
        <w:t xml:space="preserve"> </w:t>
      </w:r>
      <w:r>
        <w:rPr>
          <w:w w:val="105"/>
        </w:rPr>
        <w:t>on</w:t>
      </w:r>
      <w:r>
        <w:rPr>
          <w:spacing w:val="-13"/>
          <w:w w:val="105"/>
        </w:rPr>
        <w:t xml:space="preserve"> </w:t>
      </w:r>
      <w:r>
        <w:rPr>
          <w:spacing w:val="-2"/>
          <w:w w:val="105"/>
        </w:rPr>
        <w:t>13/11/2023.</w:t>
      </w:r>
    </w:p>
    <w:p w:rsidR="00487D64" w:rsidRDefault="00487D64">
      <w:pPr>
        <w:pStyle w:val="BodyText"/>
        <w:spacing w:before="25"/>
      </w:pPr>
    </w:p>
    <w:p w:rsidR="00487D64" w:rsidRDefault="006F0D93">
      <w:pPr>
        <w:spacing w:before="1" w:line="504" w:lineRule="auto"/>
        <w:ind w:left="2550" w:right="848" w:hanging="1131"/>
        <w:jc w:val="both"/>
        <w:rPr>
          <w:sz w:val="23"/>
        </w:rPr>
      </w:pPr>
      <w:r>
        <w:rPr>
          <w:w w:val="105"/>
          <w:sz w:val="23"/>
        </w:rPr>
        <w:t xml:space="preserve">Karnani, A., and Wernerfelt, B. (1985). Multiple point competition. </w:t>
      </w:r>
      <w:r>
        <w:rPr>
          <w:i/>
          <w:w w:val="105"/>
          <w:sz w:val="23"/>
        </w:rPr>
        <w:t>Strategic Management Journal</w:t>
      </w:r>
      <w:r>
        <w:rPr>
          <w:w w:val="105"/>
          <w:sz w:val="23"/>
        </w:rPr>
        <w:t xml:space="preserve">, </w:t>
      </w:r>
      <w:r>
        <w:rPr>
          <w:i/>
          <w:w w:val="105"/>
          <w:sz w:val="23"/>
        </w:rPr>
        <w:t>6</w:t>
      </w:r>
      <w:r>
        <w:rPr>
          <w:w w:val="105"/>
          <w:sz w:val="23"/>
        </w:rPr>
        <w:t>(1), 87-96.</w:t>
      </w:r>
    </w:p>
    <w:p w:rsidR="00487D64" w:rsidRDefault="006F0D93">
      <w:pPr>
        <w:pStyle w:val="BodyText"/>
        <w:spacing w:line="501" w:lineRule="auto"/>
        <w:ind w:left="2550" w:right="852" w:hanging="1131"/>
        <w:jc w:val="both"/>
      </w:pPr>
      <w:r>
        <w:rPr>
          <w:w w:val="105"/>
        </w:rPr>
        <w:t>Khan, R. U., Salamzadeh, Y., Abbasi, M. A.,</w:t>
      </w:r>
      <w:r>
        <w:rPr>
          <w:w w:val="105"/>
        </w:rPr>
        <w:t xml:space="preserve"> Amin, A., &amp; Sahar, N. E. (2022). Strategic orientation and sustainable competitive performance of family firms: Evidence of an emerging economy. </w:t>
      </w:r>
      <w:r>
        <w:rPr>
          <w:i/>
          <w:w w:val="105"/>
        </w:rPr>
        <w:t>Journal of Small Business Strategy</w:t>
      </w:r>
      <w:r>
        <w:rPr>
          <w:w w:val="105"/>
        </w:rPr>
        <w:t xml:space="preserve">, </w:t>
      </w:r>
      <w:r>
        <w:rPr>
          <w:i/>
          <w:w w:val="105"/>
        </w:rPr>
        <w:t>32</w:t>
      </w:r>
      <w:r>
        <w:rPr>
          <w:w w:val="105"/>
        </w:rPr>
        <w:t>(2), 67-82.</w:t>
      </w:r>
    </w:p>
    <w:p w:rsidR="00487D64" w:rsidRDefault="006F0D93">
      <w:pPr>
        <w:spacing w:line="504" w:lineRule="auto"/>
        <w:ind w:left="2550" w:right="852" w:hanging="1131"/>
        <w:jc w:val="both"/>
        <w:rPr>
          <w:sz w:val="23"/>
        </w:rPr>
      </w:pPr>
      <w:r>
        <w:rPr>
          <w:w w:val="105"/>
          <w:sz w:val="23"/>
        </w:rPr>
        <w:t xml:space="preserve">Kitchin, R., &amp; Tate, N. (2013). </w:t>
      </w:r>
      <w:r>
        <w:rPr>
          <w:i/>
          <w:w w:val="105"/>
          <w:sz w:val="23"/>
        </w:rPr>
        <w:t>Conducting research in human</w:t>
      </w:r>
      <w:r>
        <w:rPr>
          <w:i/>
          <w:w w:val="105"/>
          <w:sz w:val="23"/>
        </w:rPr>
        <w:t xml:space="preserve"> geography: theory, methodology and practice</w:t>
      </w:r>
      <w:r>
        <w:rPr>
          <w:w w:val="105"/>
          <w:sz w:val="23"/>
        </w:rPr>
        <w:t>. London: Prentice Hall.</w:t>
      </w:r>
    </w:p>
    <w:p w:rsidR="00487D64" w:rsidRDefault="00487D64">
      <w:pPr>
        <w:spacing w:line="504" w:lineRule="auto"/>
        <w:jc w:val="bot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504" w:lineRule="auto"/>
        <w:ind w:left="2550" w:right="853" w:hanging="1131"/>
        <w:jc w:val="both"/>
        <w:rPr>
          <w:sz w:val="23"/>
        </w:rPr>
      </w:pPr>
      <w:r>
        <w:rPr>
          <w:w w:val="105"/>
          <w:sz w:val="23"/>
        </w:rPr>
        <w:t xml:space="preserve">Kline, R. B. (2016). </w:t>
      </w:r>
      <w:r>
        <w:rPr>
          <w:i/>
          <w:w w:val="105"/>
          <w:sz w:val="23"/>
        </w:rPr>
        <w:t>Principles and practice of structural equation modelling</w:t>
      </w:r>
      <w:r>
        <w:rPr>
          <w:w w:val="105"/>
          <w:sz w:val="23"/>
        </w:rPr>
        <w:t>. New York, NY: The Guilford Press.</w:t>
      </w:r>
    </w:p>
    <w:p w:rsidR="00487D64" w:rsidRDefault="006F0D93">
      <w:pPr>
        <w:pStyle w:val="BodyText"/>
        <w:spacing w:line="501" w:lineRule="auto"/>
        <w:ind w:left="2550" w:right="850" w:hanging="1131"/>
        <w:jc w:val="both"/>
      </w:pPr>
      <w:r>
        <w:rPr>
          <w:w w:val="105"/>
        </w:rPr>
        <w:t>Knudsen, E. S., Lien, L. B., Timmermans, B., Belik,</w:t>
      </w:r>
      <w:r>
        <w:rPr>
          <w:w w:val="105"/>
        </w:rPr>
        <w:t xml:space="preserve"> I., &amp; Pandey, S. (2021). Stability in turbulent times? The effect of digitalization on the sustainability of competitive advantage. Journal of Business Research, </w:t>
      </w:r>
      <w:r>
        <w:t>128(October</w:t>
      </w:r>
      <w:r>
        <w:rPr>
          <w:spacing w:val="69"/>
          <w:w w:val="150"/>
        </w:rPr>
        <w:t xml:space="preserve">   </w:t>
      </w:r>
      <w:r>
        <w:t>2019),</w:t>
      </w:r>
      <w:r>
        <w:rPr>
          <w:spacing w:val="66"/>
          <w:w w:val="150"/>
        </w:rPr>
        <w:t xml:space="preserve">   </w:t>
      </w:r>
      <w:r>
        <w:t>360–369.</w:t>
      </w:r>
      <w:r>
        <w:rPr>
          <w:spacing w:val="67"/>
          <w:w w:val="150"/>
        </w:rPr>
        <w:t xml:space="preserve">   </w:t>
      </w:r>
      <w:hyperlink r:id="rId25">
        <w:r>
          <w:rPr>
            <w:color w:val="0462C1"/>
            <w:spacing w:val="-2"/>
            <w:u w:val="single" w:color="0462C1"/>
          </w:rPr>
          <w:t>https:</w:t>
        </w:r>
        <w:r>
          <w:rPr>
            <w:color w:val="0462C1"/>
            <w:spacing w:val="-2"/>
            <w:u w:val="single" w:color="0462C1"/>
          </w:rPr>
          <w:t>//doi.org/10.1016/j.jbusres</w:t>
        </w:r>
      </w:hyperlink>
    </w:p>
    <w:p w:rsidR="00487D64" w:rsidRDefault="006F0D93">
      <w:pPr>
        <w:pStyle w:val="BodyText"/>
        <w:spacing w:line="257" w:lineRule="exact"/>
        <w:ind w:left="2550"/>
      </w:pPr>
      <w:r>
        <w:rPr>
          <w:spacing w:val="-2"/>
          <w:w w:val="105"/>
        </w:rPr>
        <w:t>.2021.02.008</w:t>
      </w:r>
    </w:p>
    <w:p w:rsidR="00487D64" w:rsidRDefault="00487D64">
      <w:pPr>
        <w:pStyle w:val="BodyText"/>
        <w:spacing w:before="25"/>
      </w:pPr>
    </w:p>
    <w:p w:rsidR="00487D64" w:rsidRDefault="006F0D93">
      <w:pPr>
        <w:spacing w:before="1" w:line="499" w:lineRule="auto"/>
        <w:ind w:left="2550" w:right="851" w:hanging="1131"/>
        <w:jc w:val="both"/>
        <w:rPr>
          <w:sz w:val="23"/>
        </w:rPr>
      </w:pPr>
      <w:r>
        <w:rPr>
          <w:w w:val="105"/>
          <w:sz w:val="23"/>
        </w:rPr>
        <w:t xml:space="preserve">Komakech, R. A. (2016). Public procurement in developing countries: Objectives, principles and required professional skills. </w:t>
      </w:r>
      <w:r>
        <w:rPr>
          <w:i/>
          <w:w w:val="105"/>
          <w:sz w:val="23"/>
        </w:rPr>
        <w:t>Public Policy and Administration Research</w:t>
      </w:r>
      <w:r>
        <w:rPr>
          <w:w w:val="105"/>
          <w:sz w:val="23"/>
        </w:rPr>
        <w:t xml:space="preserve">, </w:t>
      </w:r>
      <w:r>
        <w:rPr>
          <w:i/>
          <w:w w:val="105"/>
          <w:sz w:val="23"/>
        </w:rPr>
        <w:t>6</w:t>
      </w:r>
      <w:r>
        <w:rPr>
          <w:w w:val="105"/>
          <w:sz w:val="23"/>
        </w:rPr>
        <w:t>(8), 20-29.</w:t>
      </w:r>
    </w:p>
    <w:p w:rsidR="00487D64" w:rsidRDefault="006F0D93">
      <w:pPr>
        <w:pStyle w:val="BodyText"/>
        <w:spacing w:before="6" w:line="499" w:lineRule="auto"/>
        <w:ind w:left="2550" w:right="856" w:hanging="1131"/>
        <w:jc w:val="both"/>
      </w:pPr>
      <w:r>
        <w:rPr>
          <w:w w:val="105"/>
        </w:rPr>
        <w:t xml:space="preserve">Komba, C., &amp; Mwageni, M. (2023). </w:t>
      </w:r>
      <w:r>
        <w:rPr>
          <w:w w:val="105"/>
        </w:rPr>
        <w:t>Barriers to Consultancy Service Provision by Special Group SME in Tanzania</w:t>
      </w:r>
      <w:r>
        <w:rPr>
          <w:b/>
          <w:w w:val="105"/>
        </w:rPr>
        <w:t xml:space="preserve">. </w:t>
      </w:r>
      <w:r>
        <w:rPr>
          <w:w w:val="105"/>
        </w:rPr>
        <w:t>Business Strategy and Development Journal, 9(3), 201-215.</w:t>
      </w:r>
    </w:p>
    <w:p w:rsidR="00487D64" w:rsidRDefault="006F0D93">
      <w:pPr>
        <w:spacing w:before="6" w:line="499" w:lineRule="auto"/>
        <w:ind w:left="2550" w:right="859" w:hanging="1131"/>
        <w:jc w:val="both"/>
        <w:rPr>
          <w:sz w:val="23"/>
        </w:rPr>
      </w:pPr>
      <w:r>
        <w:rPr>
          <w:w w:val="105"/>
          <w:sz w:val="23"/>
        </w:rPr>
        <w:t>Korry, P. D. P., and Wijayanti, R. (2024). Sufficiency of human capital in SME: evolution of sustainable competitive advan</w:t>
      </w:r>
      <w:r>
        <w:rPr>
          <w:w w:val="105"/>
          <w:sz w:val="23"/>
        </w:rPr>
        <w:t xml:space="preserve">tage. </w:t>
      </w:r>
      <w:r>
        <w:rPr>
          <w:i/>
          <w:w w:val="105"/>
          <w:sz w:val="23"/>
        </w:rPr>
        <w:t>Journal of Law and Sustainable Development</w:t>
      </w:r>
      <w:r>
        <w:rPr>
          <w:w w:val="105"/>
          <w:sz w:val="23"/>
        </w:rPr>
        <w:t xml:space="preserve">, </w:t>
      </w:r>
      <w:r>
        <w:rPr>
          <w:i/>
          <w:w w:val="105"/>
          <w:sz w:val="23"/>
        </w:rPr>
        <w:t>12</w:t>
      </w:r>
      <w:r>
        <w:rPr>
          <w:w w:val="105"/>
          <w:sz w:val="23"/>
        </w:rPr>
        <w:t>(2), e3077-e3077.</w:t>
      </w:r>
    </w:p>
    <w:p w:rsidR="00487D64" w:rsidRDefault="006F0D93">
      <w:pPr>
        <w:pStyle w:val="BodyText"/>
        <w:spacing w:before="7"/>
        <w:ind w:left="1419"/>
      </w:pPr>
      <w:r>
        <w:rPr>
          <w:w w:val="105"/>
        </w:rPr>
        <w:t>Kumar,</w:t>
      </w:r>
      <w:r>
        <w:rPr>
          <w:spacing w:val="36"/>
          <w:w w:val="105"/>
        </w:rPr>
        <w:t xml:space="preserve"> </w:t>
      </w:r>
      <w:r>
        <w:rPr>
          <w:w w:val="105"/>
        </w:rPr>
        <w:t>R.</w:t>
      </w:r>
      <w:r>
        <w:rPr>
          <w:spacing w:val="36"/>
          <w:w w:val="105"/>
        </w:rPr>
        <w:t xml:space="preserve"> </w:t>
      </w:r>
      <w:r>
        <w:rPr>
          <w:w w:val="105"/>
        </w:rPr>
        <w:t>(2019).</w:t>
      </w:r>
      <w:r>
        <w:rPr>
          <w:spacing w:val="37"/>
          <w:w w:val="105"/>
        </w:rPr>
        <w:t xml:space="preserve"> </w:t>
      </w:r>
      <w:r>
        <w:rPr>
          <w:w w:val="105"/>
        </w:rPr>
        <w:t>Research</w:t>
      </w:r>
      <w:r>
        <w:rPr>
          <w:spacing w:val="41"/>
          <w:w w:val="105"/>
        </w:rPr>
        <w:t xml:space="preserve"> </w:t>
      </w:r>
      <w:r>
        <w:rPr>
          <w:w w:val="105"/>
        </w:rPr>
        <w:t>Methodology:</w:t>
      </w:r>
      <w:r>
        <w:rPr>
          <w:spacing w:val="43"/>
          <w:w w:val="105"/>
        </w:rPr>
        <w:t xml:space="preserve"> </w:t>
      </w:r>
      <w:r>
        <w:rPr>
          <w:w w:val="105"/>
        </w:rPr>
        <w:t>A</w:t>
      </w:r>
      <w:r>
        <w:rPr>
          <w:spacing w:val="39"/>
          <w:w w:val="105"/>
        </w:rPr>
        <w:t xml:space="preserve"> </w:t>
      </w:r>
      <w:r>
        <w:rPr>
          <w:w w:val="105"/>
        </w:rPr>
        <w:t>Step-by</w:t>
      </w:r>
      <w:r>
        <w:rPr>
          <w:spacing w:val="42"/>
          <w:w w:val="105"/>
        </w:rPr>
        <w:t xml:space="preserve"> </w:t>
      </w:r>
      <w:r>
        <w:rPr>
          <w:w w:val="105"/>
        </w:rPr>
        <w:t>Step</w:t>
      </w:r>
      <w:r>
        <w:rPr>
          <w:spacing w:val="41"/>
          <w:w w:val="105"/>
        </w:rPr>
        <w:t xml:space="preserve"> </w:t>
      </w:r>
      <w:r>
        <w:rPr>
          <w:w w:val="105"/>
        </w:rPr>
        <w:t>Guide</w:t>
      </w:r>
      <w:r>
        <w:rPr>
          <w:spacing w:val="40"/>
          <w:w w:val="105"/>
        </w:rPr>
        <w:t xml:space="preserve"> </w:t>
      </w:r>
      <w:r>
        <w:rPr>
          <w:w w:val="105"/>
        </w:rPr>
        <w:t>for</w:t>
      </w:r>
      <w:r>
        <w:rPr>
          <w:spacing w:val="38"/>
          <w:w w:val="105"/>
        </w:rPr>
        <w:t xml:space="preserve"> </w:t>
      </w:r>
      <w:r>
        <w:rPr>
          <w:spacing w:val="-2"/>
          <w:w w:val="105"/>
        </w:rPr>
        <w:t>Beginners.</w:t>
      </w:r>
    </w:p>
    <w:p w:rsidR="00487D64" w:rsidRDefault="00487D64">
      <w:pPr>
        <w:pStyle w:val="BodyText"/>
        <w:spacing w:before="18"/>
      </w:pPr>
    </w:p>
    <w:p w:rsidR="00487D64" w:rsidRDefault="006F0D93">
      <w:pPr>
        <w:pStyle w:val="BodyText"/>
        <w:ind w:left="2550"/>
      </w:pPr>
      <w:r>
        <w:rPr>
          <w:spacing w:val="-4"/>
          <w:w w:val="105"/>
        </w:rPr>
        <w:t>SAGE</w:t>
      </w:r>
    </w:p>
    <w:p w:rsidR="00487D64" w:rsidRDefault="00487D64">
      <w:pPr>
        <w:pStyle w:val="BodyText"/>
        <w:spacing w:before="25"/>
      </w:pPr>
    </w:p>
    <w:p w:rsidR="00487D64" w:rsidRDefault="006F0D93">
      <w:pPr>
        <w:spacing w:before="1" w:line="504" w:lineRule="auto"/>
        <w:ind w:left="2550" w:right="861" w:hanging="1131"/>
        <w:jc w:val="both"/>
        <w:rPr>
          <w:sz w:val="23"/>
        </w:rPr>
      </w:pPr>
      <w:r>
        <w:rPr>
          <w:w w:val="105"/>
          <w:sz w:val="23"/>
        </w:rPr>
        <w:t xml:space="preserve">Kumar, S. (2018). Understanding different issues of unit of analysis in business research. </w:t>
      </w:r>
      <w:r>
        <w:rPr>
          <w:i/>
          <w:w w:val="105"/>
          <w:sz w:val="23"/>
        </w:rPr>
        <w:t xml:space="preserve">Journal of General Management Research, </w:t>
      </w:r>
      <w:r>
        <w:rPr>
          <w:w w:val="105"/>
          <w:sz w:val="23"/>
        </w:rPr>
        <w:t>5(2), 70-82.</w:t>
      </w:r>
    </w:p>
    <w:p w:rsidR="00487D64" w:rsidRDefault="006F0D93">
      <w:pPr>
        <w:pStyle w:val="BodyText"/>
        <w:spacing w:line="501" w:lineRule="auto"/>
        <w:ind w:left="2550" w:right="850" w:hanging="1131"/>
        <w:jc w:val="both"/>
      </w:pPr>
      <w:r>
        <w:rPr>
          <w:w w:val="105"/>
        </w:rPr>
        <w:t>Kusumaningtyas, A., &amp; Cempena, I. B. (2024). Ambidextrous leadership, customer orientation, environmental innovation to improve service innovation capability through digital capabilities and technologica</w:t>
      </w:r>
      <w:r>
        <w:rPr>
          <w:w w:val="105"/>
        </w:rPr>
        <w:t>l capabilities as mediating</w:t>
      </w:r>
      <w:r>
        <w:rPr>
          <w:spacing w:val="54"/>
          <w:w w:val="105"/>
        </w:rPr>
        <w:t xml:space="preserve">   </w:t>
      </w:r>
      <w:r>
        <w:rPr>
          <w:w w:val="105"/>
        </w:rPr>
        <w:t>variables</w:t>
      </w:r>
      <w:r>
        <w:rPr>
          <w:spacing w:val="52"/>
          <w:w w:val="105"/>
        </w:rPr>
        <w:t xml:space="preserve">   </w:t>
      </w:r>
      <w:r>
        <w:rPr>
          <w:w w:val="105"/>
        </w:rPr>
        <w:t>in</w:t>
      </w:r>
      <w:r>
        <w:rPr>
          <w:spacing w:val="54"/>
          <w:w w:val="105"/>
        </w:rPr>
        <w:t xml:space="preserve">   </w:t>
      </w:r>
      <w:r>
        <w:rPr>
          <w:w w:val="105"/>
        </w:rPr>
        <w:t>Umkm</w:t>
      </w:r>
      <w:r>
        <w:rPr>
          <w:spacing w:val="52"/>
          <w:w w:val="105"/>
        </w:rPr>
        <w:t xml:space="preserve">   </w:t>
      </w:r>
      <w:r>
        <w:rPr>
          <w:w w:val="105"/>
        </w:rPr>
        <w:t>in</w:t>
      </w:r>
      <w:r>
        <w:rPr>
          <w:spacing w:val="53"/>
          <w:w w:val="105"/>
        </w:rPr>
        <w:t xml:space="preserve">   </w:t>
      </w:r>
      <w:r>
        <w:rPr>
          <w:w w:val="105"/>
        </w:rPr>
        <w:t>Berau</w:t>
      </w:r>
      <w:r>
        <w:rPr>
          <w:spacing w:val="52"/>
          <w:w w:val="105"/>
        </w:rPr>
        <w:t xml:space="preserve">   </w:t>
      </w:r>
      <w:r>
        <w:rPr>
          <w:w w:val="105"/>
        </w:rPr>
        <w:t>District,</w:t>
      </w:r>
      <w:r>
        <w:rPr>
          <w:spacing w:val="53"/>
          <w:w w:val="105"/>
        </w:rPr>
        <w:t xml:space="preserve">   </w:t>
      </w:r>
      <w:r>
        <w:rPr>
          <w:spacing w:val="-4"/>
          <w:w w:val="105"/>
        </w:rPr>
        <w:t>East</w:t>
      </w:r>
    </w:p>
    <w:p w:rsidR="00487D64" w:rsidRDefault="00487D64">
      <w:pPr>
        <w:pStyle w:val="BodyText"/>
        <w:spacing w:line="501"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504" w:lineRule="auto"/>
        <w:ind w:left="2550" w:right="844"/>
        <w:jc w:val="both"/>
        <w:rPr>
          <w:sz w:val="23"/>
        </w:rPr>
      </w:pPr>
      <w:r>
        <w:rPr>
          <w:w w:val="105"/>
          <w:sz w:val="23"/>
        </w:rPr>
        <w:t>Kalimantan.</w:t>
      </w:r>
      <w:r>
        <w:rPr>
          <w:spacing w:val="-8"/>
          <w:w w:val="105"/>
          <w:sz w:val="23"/>
        </w:rPr>
        <w:t xml:space="preserve"> </w:t>
      </w:r>
      <w:r>
        <w:rPr>
          <w:i/>
          <w:w w:val="105"/>
          <w:sz w:val="23"/>
        </w:rPr>
        <w:t>Edelweiss Applied Science and Technology</w:t>
      </w:r>
      <w:r>
        <w:rPr>
          <w:w w:val="105"/>
          <w:sz w:val="23"/>
        </w:rPr>
        <w:t>,</w:t>
      </w:r>
      <w:r>
        <w:rPr>
          <w:spacing w:val="-9"/>
          <w:w w:val="105"/>
          <w:sz w:val="23"/>
        </w:rPr>
        <w:t xml:space="preserve"> </w:t>
      </w:r>
      <w:r>
        <w:rPr>
          <w:i/>
          <w:w w:val="105"/>
          <w:sz w:val="23"/>
        </w:rPr>
        <w:t>8</w:t>
      </w:r>
      <w:r>
        <w:rPr>
          <w:w w:val="105"/>
          <w:sz w:val="23"/>
        </w:rPr>
        <w:t xml:space="preserve">(5), 1923- </w:t>
      </w:r>
      <w:r>
        <w:rPr>
          <w:spacing w:val="-2"/>
          <w:w w:val="105"/>
          <w:sz w:val="23"/>
        </w:rPr>
        <w:t>1939.</w:t>
      </w:r>
    </w:p>
    <w:p w:rsidR="00487D64" w:rsidRDefault="006F0D93">
      <w:pPr>
        <w:pStyle w:val="BodyText"/>
        <w:spacing w:line="504" w:lineRule="auto"/>
        <w:ind w:left="2550" w:right="849" w:hanging="1131"/>
        <w:jc w:val="both"/>
      </w:pPr>
      <w:r>
        <w:rPr>
          <w:w w:val="105"/>
        </w:rPr>
        <w:t>Lee,</w:t>
      </w:r>
      <w:r>
        <w:rPr>
          <w:spacing w:val="-4"/>
          <w:w w:val="105"/>
        </w:rPr>
        <w:t xml:space="preserve"> </w:t>
      </w:r>
      <w:r>
        <w:rPr>
          <w:w w:val="105"/>
        </w:rPr>
        <w:t>R.</w:t>
      </w:r>
      <w:r>
        <w:rPr>
          <w:spacing w:val="-5"/>
          <w:w w:val="105"/>
        </w:rPr>
        <w:t xml:space="preserve"> </w:t>
      </w:r>
      <w:r>
        <w:rPr>
          <w:w w:val="105"/>
        </w:rPr>
        <w:t>P.,</w:t>
      </w:r>
      <w:r>
        <w:rPr>
          <w:spacing w:val="-4"/>
          <w:w w:val="105"/>
        </w:rPr>
        <w:t xml:space="preserve"> </w:t>
      </w:r>
      <w:r>
        <w:rPr>
          <w:w w:val="105"/>
        </w:rPr>
        <w:t>&amp;</w:t>
      </w:r>
      <w:r>
        <w:rPr>
          <w:spacing w:val="-7"/>
          <w:w w:val="105"/>
        </w:rPr>
        <w:t xml:space="preserve"> </w:t>
      </w:r>
      <w:r>
        <w:rPr>
          <w:w w:val="105"/>
        </w:rPr>
        <w:t>Wei,</w:t>
      </w:r>
      <w:r>
        <w:rPr>
          <w:spacing w:val="-11"/>
          <w:w w:val="105"/>
        </w:rPr>
        <w:t xml:space="preserve"> </w:t>
      </w:r>
      <w:r>
        <w:rPr>
          <w:w w:val="105"/>
        </w:rPr>
        <w:t>S.</w:t>
      </w:r>
      <w:r>
        <w:rPr>
          <w:spacing w:val="-11"/>
          <w:w w:val="105"/>
        </w:rPr>
        <w:t xml:space="preserve"> </w:t>
      </w:r>
      <w:r>
        <w:rPr>
          <w:w w:val="105"/>
        </w:rPr>
        <w:t>(2023).</w:t>
      </w:r>
      <w:r>
        <w:rPr>
          <w:spacing w:val="-11"/>
          <w:w w:val="105"/>
        </w:rPr>
        <w:t xml:space="preserve"> </w:t>
      </w:r>
      <w:r>
        <w:rPr>
          <w:w w:val="105"/>
        </w:rPr>
        <w:t>Do</w:t>
      </w:r>
      <w:r>
        <w:rPr>
          <w:spacing w:val="-6"/>
          <w:w w:val="105"/>
        </w:rPr>
        <w:t xml:space="preserve"> </w:t>
      </w:r>
      <w:r>
        <w:rPr>
          <w:w w:val="105"/>
        </w:rPr>
        <w:t>employee</w:t>
      </w:r>
      <w:r>
        <w:rPr>
          <w:spacing w:val="-7"/>
          <w:w w:val="105"/>
        </w:rPr>
        <w:t xml:space="preserve"> </w:t>
      </w:r>
      <w:r>
        <w:rPr>
          <w:w w:val="105"/>
        </w:rPr>
        <w:t>orientation</w:t>
      </w:r>
      <w:r>
        <w:rPr>
          <w:spacing w:val="-6"/>
          <w:w w:val="105"/>
        </w:rPr>
        <w:t xml:space="preserve"> </w:t>
      </w:r>
      <w:r>
        <w:rPr>
          <w:w w:val="105"/>
        </w:rPr>
        <w:t>and</w:t>
      </w:r>
      <w:r>
        <w:rPr>
          <w:spacing w:val="-6"/>
          <w:w w:val="105"/>
        </w:rPr>
        <w:t xml:space="preserve"> </w:t>
      </w:r>
      <w:r>
        <w:rPr>
          <w:w w:val="105"/>
        </w:rPr>
        <w:t>societal</w:t>
      </w:r>
      <w:r>
        <w:rPr>
          <w:spacing w:val="-4"/>
          <w:w w:val="105"/>
        </w:rPr>
        <w:t xml:space="preserve"> </w:t>
      </w:r>
      <w:r>
        <w:rPr>
          <w:w w:val="105"/>
        </w:rPr>
        <w:t xml:space="preserve">orientation matter in the customer orientation—performance link ?. </w:t>
      </w:r>
      <w:r>
        <w:rPr>
          <w:i/>
          <w:w w:val="105"/>
        </w:rPr>
        <w:t>Journal of Business Research</w:t>
      </w:r>
      <w:r>
        <w:rPr>
          <w:w w:val="105"/>
        </w:rPr>
        <w:t xml:space="preserve">, </w:t>
      </w:r>
      <w:r>
        <w:rPr>
          <w:i/>
          <w:w w:val="105"/>
        </w:rPr>
        <w:t>159</w:t>
      </w:r>
      <w:r>
        <w:rPr>
          <w:w w:val="105"/>
        </w:rPr>
        <w:t>, 113722.</w:t>
      </w:r>
    </w:p>
    <w:p w:rsidR="00487D64" w:rsidRDefault="006F0D93">
      <w:pPr>
        <w:pStyle w:val="BodyText"/>
        <w:spacing w:line="504" w:lineRule="auto"/>
        <w:ind w:left="2550" w:right="861" w:hanging="1131"/>
        <w:jc w:val="both"/>
      </w:pPr>
      <w:r>
        <w:rPr>
          <w:w w:val="105"/>
        </w:rPr>
        <w:t>Lee, T.S. and Tsai, H.J. (2021), “The effects of business operation mode on market orientation, learning orientation and innovativeness”, Industri</w:t>
      </w:r>
      <w:r>
        <w:rPr>
          <w:w w:val="105"/>
        </w:rPr>
        <w:t>al Management and Data Systems, Vol. 105 No. 3, pp. 325-348.</w:t>
      </w:r>
    </w:p>
    <w:p w:rsidR="00487D64" w:rsidRDefault="006F0D93">
      <w:pPr>
        <w:pStyle w:val="BodyText"/>
        <w:spacing w:line="504" w:lineRule="auto"/>
        <w:ind w:left="2550" w:right="849" w:hanging="1131"/>
        <w:jc w:val="both"/>
      </w:pPr>
      <w:r>
        <w:rPr>
          <w:w w:val="105"/>
        </w:rPr>
        <w:t>Leticia, M. L. (2018). Women Participation in public procurement: the role of international fora and transnational networks., Crossing Borders: Re- mapping Women’s Movements at the Turn of the 21</w:t>
      </w:r>
      <w:r>
        <w:rPr>
          <w:w w:val="105"/>
        </w:rPr>
        <w:t>st Century, 205-20</w:t>
      </w:r>
    </w:p>
    <w:p w:rsidR="00487D64" w:rsidRDefault="006F0D93">
      <w:pPr>
        <w:spacing w:line="504" w:lineRule="auto"/>
        <w:ind w:left="2550" w:right="870" w:hanging="1131"/>
        <w:jc w:val="both"/>
        <w:rPr>
          <w:sz w:val="23"/>
        </w:rPr>
      </w:pPr>
      <w:r>
        <w:rPr>
          <w:w w:val="105"/>
          <w:sz w:val="23"/>
        </w:rPr>
        <w:t xml:space="preserve">Levy, M., and Powell, P. (1998). SME flexibility and the role of information systems. </w:t>
      </w:r>
      <w:r>
        <w:rPr>
          <w:i/>
          <w:w w:val="105"/>
          <w:sz w:val="23"/>
        </w:rPr>
        <w:t>Small Business Economics</w:t>
      </w:r>
      <w:r>
        <w:rPr>
          <w:w w:val="105"/>
          <w:sz w:val="23"/>
        </w:rPr>
        <w:t xml:space="preserve">, </w:t>
      </w:r>
      <w:r>
        <w:rPr>
          <w:i/>
          <w:w w:val="105"/>
          <w:sz w:val="23"/>
        </w:rPr>
        <w:t>11</w:t>
      </w:r>
      <w:r>
        <w:rPr>
          <w:w w:val="105"/>
          <w:sz w:val="23"/>
        </w:rPr>
        <w:t>, 183-196.</w:t>
      </w:r>
    </w:p>
    <w:p w:rsidR="00487D64" w:rsidRDefault="006F0D93">
      <w:pPr>
        <w:pStyle w:val="BodyText"/>
        <w:spacing w:line="501" w:lineRule="auto"/>
        <w:ind w:left="2550" w:right="844" w:hanging="1131"/>
        <w:jc w:val="both"/>
      </w:pPr>
      <w:r>
        <w:rPr>
          <w:w w:val="105"/>
        </w:rPr>
        <w:t>Liu, J., Liu, Y., Ma, Y., &amp; Xie, G. (2024). Promoting SME friendly public procurement (SFPP) practice</w:t>
      </w:r>
      <w:r>
        <w:rPr>
          <w:spacing w:val="-9"/>
          <w:w w:val="105"/>
        </w:rPr>
        <w:t xml:space="preserve"> </w:t>
      </w:r>
      <w:r>
        <w:rPr>
          <w:w w:val="105"/>
        </w:rPr>
        <w:t>in</w:t>
      </w:r>
      <w:r>
        <w:rPr>
          <w:spacing w:val="-8"/>
          <w:w w:val="105"/>
        </w:rPr>
        <w:t xml:space="preserve"> </w:t>
      </w:r>
      <w:r>
        <w:rPr>
          <w:w w:val="105"/>
        </w:rPr>
        <w:t>developing</w:t>
      </w:r>
      <w:r>
        <w:rPr>
          <w:spacing w:val="-2"/>
          <w:w w:val="105"/>
        </w:rPr>
        <w:t xml:space="preserve"> </w:t>
      </w:r>
      <w:r>
        <w:rPr>
          <w:w w:val="105"/>
        </w:rPr>
        <w:t>countries: The</w:t>
      </w:r>
      <w:r>
        <w:rPr>
          <w:spacing w:val="-3"/>
          <w:w w:val="105"/>
        </w:rPr>
        <w:t xml:space="preserve"> </w:t>
      </w:r>
      <w:r>
        <w:rPr>
          <w:w w:val="105"/>
        </w:rPr>
        <w:t>regulation</w:t>
      </w:r>
      <w:r>
        <w:rPr>
          <w:spacing w:val="-8"/>
          <w:w w:val="105"/>
        </w:rPr>
        <w:t xml:space="preserve"> </w:t>
      </w:r>
      <w:r>
        <w:rPr>
          <w:w w:val="105"/>
        </w:rPr>
        <w:t xml:space="preserve">and policy motivator and beyond. </w:t>
      </w:r>
      <w:r>
        <w:rPr>
          <w:i/>
          <w:w w:val="105"/>
        </w:rPr>
        <w:t>The Social Science Journal</w:t>
      </w:r>
      <w:r>
        <w:rPr>
          <w:w w:val="105"/>
        </w:rPr>
        <w:t>,</w:t>
      </w:r>
      <w:r>
        <w:rPr>
          <w:spacing w:val="-9"/>
          <w:w w:val="105"/>
        </w:rPr>
        <w:t xml:space="preserve"> </w:t>
      </w:r>
      <w:r>
        <w:rPr>
          <w:i/>
          <w:w w:val="105"/>
        </w:rPr>
        <w:t>61</w:t>
      </w:r>
      <w:r>
        <w:rPr>
          <w:w w:val="105"/>
        </w:rPr>
        <w:t xml:space="preserve">(1), 192- </w:t>
      </w:r>
      <w:r>
        <w:rPr>
          <w:spacing w:val="-4"/>
          <w:w w:val="105"/>
        </w:rPr>
        <w:t>211.</w:t>
      </w:r>
    </w:p>
    <w:p w:rsidR="00487D64" w:rsidRDefault="006F0D93">
      <w:pPr>
        <w:spacing w:line="504" w:lineRule="auto"/>
        <w:ind w:left="2550" w:right="850" w:hanging="1131"/>
        <w:jc w:val="both"/>
        <w:rPr>
          <w:sz w:val="23"/>
        </w:rPr>
      </w:pPr>
      <w:r>
        <w:rPr>
          <w:w w:val="105"/>
          <w:sz w:val="23"/>
        </w:rPr>
        <w:t xml:space="preserve">Loader, Kim. (2013). Is Public Procurement a successful small business support policy? A review of the evidence. </w:t>
      </w:r>
      <w:r>
        <w:rPr>
          <w:i/>
          <w:w w:val="105"/>
          <w:sz w:val="23"/>
        </w:rPr>
        <w:t xml:space="preserve">Environment and Planning C: </w:t>
      </w:r>
      <w:r>
        <w:rPr>
          <w:i/>
          <w:sz w:val="23"/>
        </w:rPr>
        <w:t>Government</w:t>
      </w:r>
      <w:r>
        <w:rPr>
          <w:i/>
          <w:spacing w:val="36"/>
          <w:sz w:val="23"/>
        </w:rPr>
        <w:t xml:space="preserve">  </w:t>
      </w:r>
      <w:r>
        <w:rPr>
          <w:i/>
          <w:sz w:val="23"/>
        </w:rPr>
        <w:t>and</w:t>
      </w:r>
      <w:r>
        <w:rPr>
          <w:i/>
          <w:spacing w:val="40"/>
          <w:sz w:val="23"/>
        </w:rPr>
        <w:t xml:space="preserve">  </w:t>
      </w:r>
      <w:r>
        <w:rPr>
          <w:i/>
          <w:sz w:val="23"/>
        </w:rPr>
        <w:t>Policy</w:t>
      </w:r>
      <w:r>
        <w:rPr>
          <w:sz w:val="23"/>
        </w:rPr>
        <w:t>,</w:t>
      </w:r>
      <w:r>
        <w:rPr>
          <w:spacing w:val="36"/>
          <w:sz w:val="23"/>
        </w:rPr>
        <w:t xml:space="preserve">  </w:t>
      </w:r>
      <w:r>
        <w:rPr>
          <w:sz w:val="23"/>
        </w:rPr>
        <w:t>31(1),</w:t>
      </w:r>
      <w:r>
        <w:rPr>
          <w:spacing w:val="37"/>
          <w:sz w:val="23"/>
        </w:rPr>
        <w:t xml:space="preserve">  </w:t>
      </w:r>
      <w:r>
        <w:rPr>
          <w:sz w:val="23"/>
        </w:rPr>
        <w:t>39-55.</w:t>
      </w:r>
      <w:r>
        <w:rPr>
          <w:spacing w:val="37"/>
          <w:sz w:val="23"/>
          <w:u w:val="single"/>
        </w:rPr>
        <w:t xml:space="preserve">  </w:t>
      </w:r>
      <w:r>
        <w:rPr>
          <w:spacing w:val="-2"/>
          <w:sz w:val="23"/>
          <w:u w:val="single"/>
        </w:rPr>
        <w:t>[https://journals.sagepub.com</w:t>
      </w:r>
    </w:p>
    <w:p w:rsidR="00487D64" w:rsidRDefault="006F0D93">
      <w:pPr>
        <w:pStyle w:val="BodyText"/>
        <w:spacing w:line="210" w:lineRule="exact"/>
        <w:ind w:left="2550"/>
      </w:pPr>
      <w:r>
        <w:rPr>
          <w:u w:val="single"/>
        </w:rPr>
        <w:t>/doi/abs/10.1068/c12</w:t>
      </w:r>
      <w:r>
        <w:rPr>
          <w:spacing w:val="32"/>
          <w:u w:val="single"/>
        </w:rPr>
        <w:t xml:space="preserve"> </w:t>
      </w:r>
      <w:r>
        <w:rPr>
          <w:u w:val="single"/>
        </w:rPr>
        <w:t>13b?journa</w:t>
      </w:r>
      <w:r>
        <w:rPr>
          <w:spacing w:val="31"/>
          <w:u w:val="single"/>
        </w:rPr>
        <w:t xml:space="preserve"> </w:t>
      </w:r>
      <w:r>
        <w:rPr>
          <w:u w:val="single"/>
        </w:rPr>
        <w:t>lCode</w:t>
      </w:r>
      <w:r>
        <w:rPr>
          <w:spacing w:val="21"/>
          <w:u w:val="single"/>
        </w:rPr>
        <w:t xml:space="preserve"> </w:t>
      </w:r>
      <w:r>
        <w:rPr>
          <w:u w:val="single"/>
        </w:rPr>
        <w:t>=epca],</w:t>
      </w:r>
      <w:r>
        <w:rPr>
          <w:spacing w:val="49"/>
        </w:rPr>
        <w:t xml:space="preserve"> </w:t>
      </w:r>
      <w:r>
        <w:t>visited</w:t>
      </w:r>
      <w:r>
        <w:rPr>
          <w:spacing w:val="33"/>
        </w:rPr>
        <w:t xml:space="preserve"> </w:t>
      </w:r>
      <w:r>
        <w:t>on</w:t>
      </w:r>
      <w:r>
        <w:rPr>
          <w:spacing w:val="22"/>
        </w:rPr>
        <w:t xml:space="preserve"> </w:t>
      </w:r>
      <w:r>
        <w:rPr>
          <w:spacing w:val="-2"/>
        </w:rPr>
        <w:t>26/02/2023.</w:t>
      </w:r>
    </w:p>
    <w:p w:rsidR="00487D64" w:rsidRDefault="00487D64">
      <w:pPr>
        <w:pStyle w:val="BodyText"/>
        <w:spacing w:before="25"/>
      </w:pPr>
    </w:p>
    <w:p w:rsidR="00487D64" w:rsidRDefault="006F0D93">
      <w:pPr>
        <w:pStyle w:val="BodyText"/>
        <w:spacing w:before="1" w:line="504" w:lineRule="auto"/>
        <w:ind w:left="2550" w:right="851" w:hanging="1131"/>
      </w:pPr>
      <w:r>
        <w:rPr>
          <w:w w:val="105"/>
        </w:rPr>
        <w:t>Lohmöller, J.-B. (1989).</w:t>
      </w:r>
      <w:r>
        <w:rPr>
          <w:spacing w:val="-9"/>
          <w:w w:val="105"/>
        </w:rPr>
        <w:t xml:space="preserve"> </w:t>
      </w:r>
      <w:r>
        <w:rPr>
          <w:w w:val="105"/>
        </w:rPr>
        <w:t>Latent Variable Path Modeling with Partial Least Squares, Physica: Heidelberg.</w:t>
      </w:r>
    </w:p>
    <w:p w:rsidR="00487D64" w:rsidRDefault="00487D64">
      <w:pPr>
        <w:pStyle w:val="BodyText"/>
        <w:spacing w:line="504" w:lineRule="auto"/>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ind w:left="1419"/>
      </w:pPr>
      <w:r>
        <w:rPr>
          <w:w w:val="105"/>
        </w:rPr>
        <w:t>Lopez-Torres,</w:t>
      </w:r>
      <w:r>
        <w:rPr>
          <w:spacing w:val="8"/>
          <w:w w:val="105"/>
        </w:rPr>
        <w:t xml:space="preserve"> </w:t>
      </w:r>
      <w:r>
        <w:rPr>
          <w:w w:val="105"/>
        </w:rPr>
        <w:t>G.</w:t>
      </w:r>
      <w:r>
        <w:rPr>
          <w:spacing w:val="8"/>
          <w:w w:val="105"/>
        </w:rPr>
        <w:t xml:space="preserve"> </w:t>
      </w:r>
      <w:r>
        <w:rPr>
          <w:w w:val="105"/>
        </w:rPr>
        <w:t>C.</w:t>
      </w:r>
      <w:r>
        <w:rPr>
          <w:spacing w:val="8"/>
          <w:w w:val="105"/>
        </w:rPr>
        <w:t xml:space="preserve"> </w:t>
      </w:r>
      <w:r>
        <w:rPr>
          <w:w w:val="105"/>
        </w:rPr>
        <w:t>(2023).</w:t>
      </w:r>
      <w:r>
        <w:rPr>
          <w:spacing w:val="1"/>
          <w:w w:val="105"/>
        </w:rPr>
        <w:t xml:space="preserve"> </w:t>
      </w:r>
      <w:r>
        <w:rPr>
          <w:w w:val="105"/>
        </w:rPr>
        <w:t>The</w:t>
      </w:r>
      <w:r>
        <w:rPr>
          <w:spacing w:val="6"/>
          <w:w w:val="105"/>
        </w:rPr>
        <w:t xml:space="preserve"> </w:t>
      </w:r>
      <w:r>
        <w:rPr>
          <w:w w:val="105"/>
        </w:rPr>
        <w:t>impact</w:t>
      </w:r>
      <w:r>
        <w:rPr>
          <w:spacing w:val="15"/>
          <w:w w:val="105"/>
        </w:rPr>
        <w:t xml:space="preserve"> </w:t>
      </w:r>
      <w:r>
        <w:rPr>
          <w:w w:val="105"/>
        </w:rPr>
        <w:t>of</w:t>
      </w:r>
      <w:r>
        <w:rPr>
          <w:spacing w:val="3"/>
          <w:w w:val="105"/>
        </w:rPr>
        <w:t xml:space="preserve"> </w:t>
      </w:r>
      <w:r>
        <w:rPr>
          <w:w w:val="105"/>
        </w:rPr>
        <w:t>SME’</w:t>
      </w:r>
      <w:r>
        <w:rPr>
          <w:spacing w:val="16"/>
          <w:w w:val="105"/>
        </w:rPr>
        <w:t xml:space="preserve"> </w:t>
      </w:r>
      <w:r>
        <w:rPr>
          <w:w w:val="105"/>
        </w:rPr>
        <w:t>sustainability</w:t>
      </w:r>
      <w:r>
        <w:rPr>
          <w:spacing w:val="7"/>
          <w:w w:val="105"/>
        </w:rPr>
        <w:t xml:space="preserve"> </w:t>
      </w:r>
      <w:r>
        <w:rPr>
          <w:w w:val="105"/>
        </w:rPr>
        <w:t>on</w:t>
      </w:r>
      <w:r>
        <w:rPr>
          <w:spacing w:val="6"/>
          <w:w w:val="105"/>
        </w:rPr>
        <w:t xml:space="preserve"> </w:t>
      </w:r>
      <w:r>
        <w:rPr>
          <w:spacing w:val="-2"/>
          <w:w w:val="105"/>
        </w:rPr>
        <w:t>competitiveness.</w:t>
      </w:r>
    </w:p>
    <w:p w:rsidR="00487D64" w:rsidRDefault="00487D64">
      <w:pPr>
        <w:pStyle w:val="BodyText"/>
        <w:spacing w:before="26"/>
      </w:pPr>
    </w:p>
    <w:p w:rsidR="00487D64" w:rsidRDefault="006F0D93">
      <w:pPr>
        <w:pStyle w:val="BodyText"/>
        <w:ind w:left="2550"/>
      </w:pPr>
      <w:r>
        <w:t>Measuring</w:t>
      </w:r>
      <w:r>
        <w:rPr>
          <w:spacing w:val="40"/>
        </w:rPr>
        <w:t xml:space="preserve"> </w:t>
      </w:r>
      <w:r>
        <w:t>business</w:t>
      </w:r>
      <w:r>
        <w:rPr>
          <w:spacing w:val="36"/>
        </w:rPr>
        <w:t xml:space="preserve"> </w:t>
      </w:r>
      <w:r>
        <w:t>excellence,</w:t>
      </w:r>
      <w:r>
        <w:rPr>
          <w:spacing w:val="33"/>
        </w:rPr>
        <w:t xml:space="preserve"> </w:t>
      </w:r>
      <w:r>
        <w:t>27(1),</w:t>
      </w:r>
      <w:r>
        <w:rPr>
          <w:spacing w:val="32"/>
        </w:rPr>
        <w:t xml:space="preserve"> </w:t>
      </w:r>
      <w:r>
        <w:t>107-</w:t>
      </w:r>
      <w:r>
        <w:rPr>
          <w:spacing w:val="-4"/>
        </w:rPr>
        <w:t>120.</w:t>
      </w:r>
    </w:p>
    <w:p w:rsidR="00487D64" w:rsidRDefault="00487D64">
      <w:pPr>
        <w:pStyle w:val="BodyText"/>
        <w:spacing w:before="18"/>
      </w:pPr>
    </w:p>
    <w:p w:rsidR="00487D64" w:rsidRDefault="006F0D93">
      <w:pPr>
        <w:pStyle w:val="BodyText"/>
        <w:spacing w:before="1" w:line="504" w:lineRule="auto"/>
        <w:ind w:left="2550" w:right="857" w:hanging="1131"/>
        <w:jc w:val="both"/>
      </w:pPr>
      <w:r>
        <w:rPr>
          <w:w w:val="105"/>
        </w:rPr>
        <w:t>Love, H. R., &amp; Corr, C. (2022). Integrating without quantitizing: Two examples of deductive analysis</w:t>
      </w:r>
      <w:r>
        <w:rPr>
          <w:w w:val="105"/>
        </w:rPr>
        <w:t xml:space="preserve"> strategies within qualitatively driven mixed methods research. </w:t>
      </w:r>
      <w:r>
        <w:rPr>
          <w:i/>
          <w:w w:val="105"/>
        </w:rPr>
        <w:t>Journal of mixed methods research</w:t>
      </w:r>
      <w:r>
        <w:rPr>
          <w:w w:val="105"/>
        </w:rPr>
        <w:t xml:space="preserve">, </w:t>
      </w:r>
      <w:r>
        <w:rPr>
          <w:i/>
          <w:w w:val="105"/>
        </w:rPr>
        <w:t>16</w:t>
      </w:r>
      <w:r>
        <w:rPr>
          <w:w w:val="105"/>
        </w:rPr>
        <w:t>(1), 64-87.</w:t>
      </w:r>
    </w:p>
    <w:p w:rsidR="00487D64" w:rsidRDefault="006F0D93">
      <w:pPr>
        <w:pStyle w:val="BodyText"/>
        <w:spacing w:line="504" w:lineRule="auto"/>
        <w:ind w:left="2550" w:right="858" w:hanging="1131"/>
        <w:jc w:val="both"/>
      </w:pPr>
      <w:r>
        <w:rPr>
          <w:w w:val="105"/>
        </w:rPr>
        <w:t>Lucas, L. (2018). An enquiry</w:t>
      </w:r>
      <w:r>
        <w:rPr>
          <w:spacing w:val="-2"/>
          <w:w w:val="105"/>
        </w:rPr>
        <w:t xml:space="preserve"> </w:t>
      </w:r>
      <w:r>
        <w:rPr>
          <w:w w:val="105"/>
        </w:rPr>
        <w:t>into gender mainstreaming in local councils in Arusha city and Meru district council in Tanzania (Doctoral</w:t>
      </w:r>
      <w:r>
        <w:rPr>
          <w:w w:val="105"/>
        </w:rPr>
        <w:t xml:space="preserve"> dissertation, University of Dar es Salaam).</w:t>
      </w:r>
    </w:p>
    <w:p w:rsidR="00487D64" w:rsidRDefault="006F0D93">
      <w:pPr>
        <w:pStyle w:val="BodyText"/>
        <w:spacing w:line="501" w:lineRule="auto"/>
        <w:ind w:left="2550" w:right="847" w:hanging="1131"/>
        <w:jc w:val="both"/>
      </w:pPr>
      <w:r>
        <w:rPr>
          <w:w w:val="105"/>
        </w:rPr>
        <w:t xml:space="preserve">Magali, J., &amp; Jacob, G. J. (2022). The Influence of Entrepreneurship Orientation on Loan Repayment: Evidence from Morogoro and Mvomero Teachers Savings and Credits Cooperative Societies (SACCOS) Ltd. </w:t>
      </w:r>
      <w:r>
        <w:rPr>
          <w:i/>
          <w:w w:val="105"/>
        </w:rPr>
        <w:t>Artha Journ</w:t>
      </w:r>
      <w:r>
        <w:rPr>
          <w:i/>
          <w:w w:val="105"/>
        </w:rPr>
        <w:t>al of Social Sciences</w:t>
      </w:r>
      <w:r>
        <w:rPr>
          <w:w w:val="105"/>
        </w:rPr>
        <w:t xml:space="preserve">, </w:t>
      </w:r>
      <w:r>
        <w:rPr>
          <w:i/>
          <w:w w:val="105"/>
        </w:rPr>
        <w:t>21</w:t>
      </w:r>
      <w:r>
        <w:rPr>
          <w:w w:val="105"/>
        </w:rPr>
        <w:t>(1), 69-101.</w:t>
      </w:r>
    </w:p>
    <w:p w:rsidR="00487D64" w:rsidRDefault="006F0D93">
      <w:pPr>
        <w:spacing w:line="501" w:lineRule="auto"/>
        <w:ind w:left="2550" w:right="848" w:hanging="1131"/>
        <w:jc w:val="both"/>
        <w:rPr>
          <w:sz w:val="23"/>
        </w:rPr>
      </w:pPr>
      <w:r>
        <w:rPr>
          <w:w w:val="105"/>
          <w:sz w:val="23"/>
        </w:rPr>
        <w:t xml:space="preserve">Maghori, J. M., &amp; Mang'ombe, A. K. (2025). Assessing the Capacity of Rural Youth-Led SMEs Towards Participating in Procurement and Tendering Processes in Tanzania. In </w:t>
      </w:r>
      <w:r>
        <w:rPr>
          <w:i/>
          <w:w w:val="105"/>
          <w:sz w:val="23"/>
        </w:rPr>
        <w:t>Entrepreneurial Opportunities in Disadvantaged Rura</w:t>
      </w:r>
      <w:r>
        <w:rPr>
          <w:i/>
          <w:w w:val="105"/>
          <w:sz w:val="23"/>
        </w:rPr>
        <w:t>l Communities</w:t>
      </w:r>
      <w:r>
        <w:rPr>
          <w:i/>
          <w:spacing w:val="-3"/>
          <w:w w:val="105"/>
          <w:sz w:val="23"/>
        </w:rPr>
        <w:t xml:space="preserve"> </w:t>
      </w:r>
      <w:r>
        <w:rPr>
          <w:w w:val="105"/>
          <w:sz w:val="23"/>
        </w:rPr>
        <w:t xml:space="preserve">(pp. 241-280). IGI Global Scientific </w:t>
      </w:r>
      <w:r>
        <w:rPr>
          <w:spacing w:val="-2"/>
          <w:w w:val="105"/>
          <w:sz w:val="23"/>
        </w:rPr>
        <w:t>Publishing.</w:t>
      </w:r>
    </w:p>
    <w:p w:rsidR="00487D64" w:rsidRDefault="006F0D93">
      <w:pPr>
        <w:pStyle w:val="BodyText"/>
        <w:spacing w:line="504" w:lineRule="auto"/>
        <w:ind w:left="2550" w:right="850" w:hanging="1131"/>
        <w:jc w:val="both"/>
      </w:pPr>
      <w:r>
        <w:rPr>
          <w:w w:val="105"/>
        </w:rPr>
        <w:t>Manta, O., Panait, M., Hysa, E., Rusu, E., and Cojocaru, M. (2022). Public procurement,</w:t>
      </w:r>
      <w:r>
        <w:rPr>
          <w:spacing w:val="40"/>
          <w:w w:val="105"/>
        </w:rPr>
        <w:t xml:space="preserve"> </w:t>
      </w:r>
      <w:r>
        <w:rPr>
          <w:w w:val="105"/>
        </w:rPr>
        <w:t>a</w:t>
      </w:r>
      <w:r>
        <w:rPr>
          <w:spacing w:val="40"/>
          <w:w w:val="105"/>
        </w:rPr>
        <w:t xml:space="preserve"> </w:t>
      </w:r>
      <w:r>
        <w:rPr>
          <w:w w:val="105"/>
        </w:rPr>
        <w:t>tool</w:t>
      </w:r>
      <w:r>
        <w:rPr>
          <w:spacing w:val="40"/>
          <w:w w:val="105"/>
        </w:rPr>
        <w:t xml:space="preserve"> </w:t>
      </w:r>
      <w:r>
        <w:rPr>
          <w:w w:val="105"/>
        </w:rPr>
        <w:t>for</w:t>
      </w:r>
      <w:r>
        <w:rPr>
          <w:spacing w:val="40"/>
          <w:w w:val="105"/>
        </w:rPr>
        <w:t xml:space="preserve"> </w:t>
      </w:r>
      <w:r>
        <w:rPr>
          <w:w w:val="105"/>
        </w:rPr>
        <w:t>achieving</w:t>
      </w:r>
      <w:r>
        <w:rPr>
          <w:spacing w:val="40"/>
          <w:w w:val="105"/>
        </w:rPr>
        <w:t xml:space="preserve"> </w:t>
      </w:r>
      <w:r>
        <w:rPr>
          <w:w w:val="105"/>
        </w:rPr>
        <w:t>the</w:t>
      </w:r>
      <w:r>
        <w:rPr>
          <w:spacing w:val="40"/>
          <w:w w:val="105"/>
        </w:rPr>
        <w:t xml:space="preserve"> </w:t>
      </w:r>
      <w:r>
        <w:rPr>
          <w:w w:val="105"/>
        </w:rPr>
        <w:t>goals</w:t>
      </w:r>
      <w:r>
        <w:rPr>
          <w:spacing w:val="40"/>
          <w:w w:val="105"/>
        </w:rPr>
        <w:t xml:space="preserve"> </w:t>
      </w:r>
      <w:r>
        <w:rPr>
          <w:w w:val="105"/>
        </w:rPr>
        <w:t>of</w:t>
      </w:r>
      <w:r>
        <w:rPr>
          <w:spacing w:val="40"/>
          <w:w w:val="105"/>
        </w:rPr>
        <w:t xml:space="preserve"> </w:t>
      </w:r>
      <w:r>
        <w:rPr>
          <w:w w:val="105"/>
        </w:rPr>
        <w:t xml:space="preserve">sustainable development. </w:t>
      </w:r>
      <w:r>
        <w:rPr>
          <w:i/>
          <w:w w:val="105"/>
        </w:rPr>
        <w:t>Amfiteatru Economic</w:t>
      </w:r>
      <w:r>
        <w:rPr>
          <w:w w:val="105"/>
        </w:rPr>
        <w:t xml:space="preserve">, </w:t>
      </w:r>
      <w:r>
        <w:rPr>
          <w:i/>
          <w:w w:val="105"/>
        </w:rPr>
        <w:t>24</w:t>
      </w:r>
      <w:r>
        <w:rPr>
          <w:w w:val="105"/>
        </w:rPr>
        <w:t>(61), 861-876.</w:t>
      </w:r>
    </w:p>
    <w:p w:rsidR="00487D64" w:rsidRDefault="006F0D93">
      <w:pPr>
        <w:spacing w:line="501" w:lineRule="auto"/>
        <w:ind w:left="2550" w:right="855" w:hanging="1131"/>
        <w:jc w:val="both"/>
        <w:rPr>
          <w:sz w:val="23"/>
        </w:rPr>
      </w:pPr>
      <w:r>
        <w:rPr>
          <w:w w:val="105"/>
          <w:sz w:val="23"/>
        </w:rPr>
        <w:t>Massiera</w:t>
      </w:r>
      <w:r>
        <w:rPr>
          <w:w w:val="105"/>
          <w:sz w:val="23"/>
        </w:rPr>
        <w:t>, P. (2024). How do adaptive market experimentation, open marketing and strategic flexibility contribute to small firms' business model innovation in the context of a crisis?.</w:t>
      </w:r>
      <w:r>
        <w:rPr>
          <w:spacing w:val="-3"/>
          <w:w w:val="105"/>
          <w:sz w:val="23"/>
        </w:rPr>
        <w:t xml:space="preserve"> </w:t>
      </w:r>
      <w:r>
        <w:rPr>
          <w:i/>
          <w:w w:val="105"/>
          <w:sz w:val="23"/>
        </w:rPr>
        <w:t>Journal of Small Business and Enterprise Development</w:t>
      </w:r>
      <w:r>
        <w:rPr>
          <w:w w:val="105"/>
          <w:sz w:val="23"/>
        </w:rPr>
        <w:t xml:space="preserve">, </w:t>
      </w:r>
      <w:r>
        <w:rPr>
          <w:i/>
          <w:w w:val="105"/>
          <w:sz w:val="23"/>
        </w:rPr>
        <w:t>31</w:t>
      </w:r>
      <w:r>
        <w:rPr>
          <w:w w:val="105"/>
          <w:sz w:val="23"/>
        </w:rPr>
        <w:t>(7), 1302-1326.</w:t>
      </w:r>
    </w:p>
    <w:p w:rsidR="00487D64" w:rsidRDefault="00487D64">
      <w:pPr>
        <w:spacing w:line="501" w:lineRule="auto"/>
        <w:jc w:val="bot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501" w:lineRule="auto"/>
        <w:ind w:left="2550" w:right="852" w:hanging="1131"/>
        <w:jc w:val="both"/>
        <w:rPr>
          <w:sz w:val="23"/>
        </w:rPr>
      </w:pPr>
      <w:r>
        <w:rPr>
          <w:w w:val="105"/>
          <w:sz w:val="23"/>
        </w:rPr>
        <w:t>Maurer, F. (2022, June). Coordination mechanisms in economics as enablers for creative destruction, increased sustainabiilty and resiilence, or: what should</w:t>
      </w:r>
      <w:r>
        <w:rPr>
          <w:spacing w:val="-8"/>
          <w:w w:val="105"/>
          <w:sz w:val="23"/>
        </w:rPr>
        <w:t xml:space="preserve"> </w:t>
      </w:r>
      <w:r>
        <w:rPr>
          <w:w w:val="105"/>
          <w:sz w:val="23"/>
        </w:rPr>
        <w:t>a</w:t>
      </w:r>
      <w:r>
        <w:rPr>
          <w:spacing w:val="-2"/>
          <w:w w:val="105"/>
          <w:sz w:val="23"/>
        </w:rPr>
        <w:t xml:space="preserve"> </w:t>
      </w:r>
      <w:r>
        <w:rPr>
          <w:w w:val="105"/>
          <w:sz w:val="23"/>
        </w:rPr>
        <w:t>“new” invisible</w:t>
      </w:r>
      <w:r>
        <w:rPr>
          <w:spacing w:val="-2"/>
          <w:w w:val="105"/>
          <w:sz w:val="23"/>
        </w:rPr>
        <w:t xml:space="preserve"> </w:t>
      </w:r>
      <w:r>
        <w:rPr>
          <w:w w:val="105"/>
          <w:sz w:val="23"/>
        </w:rPr>
        <w:t>hand</w:t>
      </w:r>
      <w:r>
        <w:rPr>
          <w:spacing w:val="-1"/>
          <w:w w:val="105"/>
          <w:sz w:val="23"/>
        </w:rPr>
        <w:t xml:space="preserve"> </w:t>
      </w:r>
      <w:r>
        <w:rPr>
          <w:w w:val="105"/>
          <w:sz w:val="23"/>
        </w:rPr>
        <w:t>look like.</w:t>
      </w:r>
      <w:r>
        <w:rPr>
          <w:spacing w:val="-6"/>
          <w:w w:val="105"/>
          <w:sz w:val="23"/>
        </w:rPr>
        <w:t xml:space="preserve"> </w:t>
      </w:r>
      <w:r>
        <w:rPr>
          <w:w w:val="105"/>
          <w:sz w:val="23"/>
        </w:rPr>
        <w:t>In</w:t>
      </w:r>
      <w:r>
        <w:rPr>
          <w:spacing w:val="-7"/>
          <w:w w:val="105"/>
          <w:sz w:val="23"/>
        </w:rPr>
        <w:t xml:space="preserve"> </w:t>
      </w:r>
      <w:r>
        <w:rPr>
          <w:i/>
          <w:w w:val="105"/>
          <w:sz w:val="23"/>
        </w:rPr>
        <w:t>Competitive</w:t>
      </w:r>
      <w:r>
        <w:rPr>
          <w:i/>
          <w:spacing w:val="-2"/>
          <w:w w:val="105"/>
          <w:sz w:val="23"/>
        </w:rPr>
        <w:t xml:space="preserve"> </w:t>
      </w:r>
      <w:r>
        <w:rPr>
          <w:i/>
          <w:w w:val="105"/>
          <w:sz w:val="23"/>
        </w:rPr>
        <w:t>Advantage</w:t>
      </w:r>
      <w:r>
        <w:rPr>
          <w:i/>
          <w:spacing w:val="-2"/>
          <w:w w:val="105"/>
          <w:sz w:val="23"/>
        </w:rPr>
        <w:t xml:space="preserve"> </w:t>
      </w:r>
      <w:r>
        <w:rPr>
          <w:i/>
          <w:w w:val="105"/>
          <w:sz w:val="23"/>
        </w:rPr>
        <w:t>in</w:t>
      </w:r>
      <w:r>
        <w:rPr>
          <w:i/>
          <w:spacing w:val="-1"/>
          <w:w w:val="105"/>
          <w:sz w:val="23"/>
        </w:rPr>
        <w:t xml:space="preserve"> </w:t>
      </w:r>
      <w:r>
        <w:rPr>
          <w:i/>
          <w:w w:val="105"/>
          <w:sz w:val="23"/>
        </w:rPr>
        <w:t xml:space="preserve">the Digital Economy (CADE 2022) </w:t>
      </w:r>
      <w:r>
        <w:rPr>
          <w:w w:val="105"/>
          <w:sz w:val="23"/>
        </w:rPr>
        <w:t>(Vol. 2022, pp. 38-40). IET.</w:t>
      </w:r>
    </w:p>
    <w:p w:rsidR="00487D64" w:rsidRDefault="006F0D93">
      <w:pPr>
        <w:pStyle w:val="BodyText"/>
        <w:spacing w:before="1" w:line="501" w:lineRule="auto"/>
        <w:ind w:left="2550" w:right="856" w:hanging="1131"/>
        <w:jc w:val="both"/>
      </w:pPr>
      <w:r>
        <w:rPr>
          <w:w w:val="105"/>
        </w:rPr>
        <w:t>Mboi, C.S., Muturi, W, and Wanjare, J. (2018). Moderating Effect of Firm Characteristics on the Relationship between Capital Structure and Financial Performance of</w:t>
      </w:r>
      <w:r>
        <w:rPr>
          <w:spacing w:val="-5"/>
          <w:w w:val="105"/>
        </w:rPr>
        <w:t xml:space="preserve"> </w:t>
      </w:r>
      <w:r>
        <w:rPr>
          <w:w w:val="105"/>
        </w:rPr>
        <w:t>Medium-sized</w:t>
      </w:r>
      <w:r>
        <w:rPr>
          <w:spacing w:val="-9"/>
          <w:w w:val="105"/>
        </w:rPr>
        <w:t xml:space="preserve"> </w:t>
      </w:r>
      <w:r>
        <w:rPr>
          <w:w w:val="105"/>
        </w:rPr>
        <w:t>and</w:t>
      </w:r>
      <w:r>
        <w:rPr>
          <w:spacing w:val="-9"/>
          <w:w w:val="105"/>
        </w:rPr>
        <w:t xml:space="preserve"> </w:t>
      </w:r>
      <w:r>
        <w:rPr>
          <w:w w:val="105"/>
        </w:rPr>
        <w:t>Large</w:t>
      </w:r>
      <w:r>
        <w:rPr>
          <w:spacing w:val="-9"/>
          <w:w w:val="105"/>
        </w:rPr>
        <w:t xml:space="preserve"> </w:t>
      </w:r>
      <w:r>
        <w:rPr>
          <w:w w:val="105"/>
        </w:rPr>
        <w:t>Enterpri</w:t>
      </w:r>
      <w:r>
        <w:rPr>
          <w:w w:val="105"/>
        </w:rPr>
        <w:t>ses</w:t>
      </w:r>
      <w:r>
        <w:rPr>
          <w:spacing w:val="-10"/>
          <w:w w:val="105"/>
        </w:rPr>
        <w:t xml:space="preserve"> </w:t>
      </w:r>
      <w:r>
        <w:rPr>
          <w:w w:val="105"/>
        </w:rPr>
        <w:t>in</w:t>
      </w:r>
      <w:r>
        <w:rPr>
          <w:spacing w:val="-3"/>
          <w:w w:val="105"/>
        </w:rPr>
        <w:t xml:space="preserve"> </w:t>
      </w:r>
      <w:r>
        <w:rPr>
          <w:w w:val="105"/>
        </w:rPr>
        <w:t xml:space="preserve">Kenya. </w:t>
      </w:r>
      <w:r>
        <w:rPr>
          <w:i/>
          <w:w w:val="105"/>
        </w:rPr>
        <w:t xml:space="preserve">Journal of Economics and Sustainable Development, </w:t>
      </w:r>
      <w:r>
        <w:rPr>
          <w:w w:val="105"/>
        </w:rPr>
        <w:t>9(18), pp 112-132</w:t>
      </w:r>
    </w:p>
    <w:p w:rsidR="00487D64" w:rsidRDefault="006F0D93">
      <w:pPr>
        <w:pStyle w:val="BodyText"/>
        <w:spacing w:line="504" w:lineRule="auto"/>
        <w:ind w:left="2550" w:right="851" w:hanging="1131"/>
        <w:jc w:val="both"/>
      </w:pPr>
      <w:r>
        <w:rPr>
          <w:w w:val="105"/>
        </w:rPr>
        <w:t xml:space="preserve">Mgimba, P. (2023). Supply Chain Challenges and Opportunities for SME in Public Procurement. African Journal of Procurement and Logistics, 15(1), 78- </w:t>
      </w:r>
      <w:r>
        <w:rPr>
          <w:spacing w:val="-4"/>
          <w:w w:val="105"/>
        </w:rPr>
        <w:t>92.</w:t>
      </w:r>
    </w:p>
    <w:p w:rsidR="00487D64" w:rsidRDefault="006F0D93">
      <w:pPr>
        <w:pStyle w:val="BodyText"/>
        <w:spacing w:line="504" w:lineRule="auto"/>
        <w:ind w:left="2550" w:right="858" w:hanging="1131"/>
        <w:jc w:val="both"/>
      </w:pPr>
      <w:r>
        <w:rPr>
          <w:w w:val="105"/>
        </w:rPr>
        <w:t>Mihi Ramírez, A., Jes</w:t>
      </w:r>
      <w:r>
        <w:rPr>
          <w:w w:val="105"/>
        </w:rPr>
        <w:t>ús García Morales, V. and Arias Aranda, D. (2012) ‘Knowledge creation and flexibility of distribution of information', Industrial Management</w:t>
      </w:r>
      <w:r>
        <w:rPr>
          <w:spacing w:val="-2"/>
          <w:w w:val="105"/>
        </w:rPr>
        <w:t xml:space="preserve"> </w:t>
      </w:r>
      <w:r>
        <w:rPr>
          <w:w w:val="105"/>
        </w:rPr>
        <w:t>and Data Systems, Vol. 112,</w:t>
      </w:r>
      <w:r>
        <w:rPr>
          <w:spacing w:val="-2"/>
          <w:w w:val="105"/>
        </w:rPr>
        <w:t xml:space="preserve"> </w:t>
      </w:r>
      <w:r>
        <w:rPr>
          <w:w w:val="105"/>
        </w:rPr>
        <w:t>No. 2, pp.</w:t>
      </w:r>
      <w:r>
        <w:rPr>
          <w:spacing w:val="-2"/>
          <w:w w:val="105"/>
        </w:rPr>
        <w:t xml:space="preserve"> </w:t>
      </w:r>
      <w:r>
        <w:rPr>
          <w:w w:val="105"/>
        </w:rPr>
        <w:t>166-185.</w:t>
      </w:r>
    </w:p>
    <w:p w:rsidR="00487D64" w:rsidRDefault="006F0D93">
      <w:pPr>
        <w:spacing w:line="504" w:lineRule="auto"/>
        <w:ind w:left="2550" w:right="845" w:hanging="1131"/>
        <w:jc w:val="both"/>
        <w:rPr>
          <w:sz w:val="23"/>
        </w:rPr>
      </w:pPr>
      <w:r>
        <w:rPr>
          <w:w w:val="105"/>
          <w:sz w:val="23"/>
        </w:rPr>
        <w:t xml:space="preserve">Miller, D. C., &amp; Salkind, N. J. (2002). </w:t>
      </w:r>
      <w:r>
        <w:rPr>
          <w:i/>
          <w:w w:val="105"/>
          <w:sz w:val="23"/>
        </w:rPr>
        <w:t>Handbook of research design</w:t>
      </w:r>
      <w:r>
        <w:rPr>
          <w:i/>
          <w:w w:val="105"/>
          <w:sz w:val="23"/>
        </w:rPr>
        <w:t xml:space="preserve"> and social measurement </w:t>
      </w:r>
      <w:r>
        <w:rPr>
          <w:w w:val="105"/>
          <w:sz w:val="23"/>
        </w:rPr>
        <w:t>(6th ed.). University of Minnesota: Sage publication.</w:t>
      </w:r>
    </w:p>
    <w:p w:rsidR="00487D64" w:rsidRDefault="006F0D93">
      <w:pPr>
        <w:spacing w:line="501" w:lineRule="auto"/>
        <w:ind w:left="2550" w:right="852" w:hanging="1131"/>
        <w:jc w:val="both"/>
        <w:rPr>
          <w:sz w:val="23"/>
        </w:rPr>
      </w:pPr>
      <w:r>
        <w:rPr>
          <w:w w:val="105"/>
          <w:sz w:val="23"/>
        </w:rPr>
        <w:t xml:space="preserve">Mogaka, C. O., Odari, S., &amp; Arani, W. (2022). Functional integration and competitive advantage of food and beverages manufacturing firms in Kenya. </w:t>
      </w:r>
      <w:r>
        <w:rPr>
          <w:i/>
          <w:w w:val="105"/>
          <w:sz w:val="23"/>
        </w:rPr>
        <w:t>Journal of Sustainable Developm</w:t>
      </w:r>
      <w:r>
        <w:rPr>
          <w:i/>
          <w:w w:val="105"/>
          <w:sz w:val="23"/>
        </w:rPr>
        <w:t>ent of Transport and Logistics, 7</w:t>
      </w:r>
      <w:r>
        <w:rPr>
          <w:w w:val="105"/>
          <w:sz w:val="23"/>
        </w:rPr>
        <w:t xml:space="preserve">(1), 99–111. </w:t>
      </w:r>
      <w:hyperlink r:id="rId26">
        <w:r>
          <w:rPr>
            <w:w w:val="105"/>
            <w:sz w:val="23"/>
            <w:u w:val="single"/>
          </w:rPr>
          <w:t>https://doi.org/10.14254/jsdtl.2022.7-1.9</w:t>
        </w:r>
      </w:hyperlink>
    </w:p>
    <w:p w:rsidR="00487D64" w:rsidRDefault="006F0D93">
      <w:pPr>
        <w:pStyle w:val="BodyText"/>
        <w:spacing w:line="230" w:lineRule="exact"/>
        <w:ind w:left="1419"/>
      </w:pPr>
      <w:r>
        <w:rPr>
          <w:w w:val="105"/>
        </w:rPr>
        <w:t>Mohammad,</w:t>
      </w:r>
      <w:r>
        <w:rPr>
          <w:spacing w:val="14"/>
          <w:w w:val="105"/>
        </w:rPr>
        <w:t xml:space="preserve"> </w:t>
      </w:r>
      <w:r>
        <w:rPr>
          <w:w w:val="105"/>
        </w:rPr>
        <w:t>R.</w:t>
      </w:r>
      <w:r>
        <w:rPr>
          <w:spacing w:val="21"/>
          <w:w w:val="105"/>
        </w:rPr>
        <w:t xml:space="preserve"> </w:t>
      </w:r>
      <w:r>
        <w:rPr>
          <w:w w:val="105"/>
        </w:rPr>
        <w:t>A.,</w:t>
      </w:r>
      <w:r>
        <w:rPr>
          <w:spacing w:val="22"/>
          <w:w w:val="105"/>
        </w:rPr>
        <w:t xml:space="preserve"> </w:t>
      </w:r>
      <w:r>
        <w:rPr>
          <w:w w:val="105"/>
        </w:rPr>
        <w:t>Alahmari,</w:t>
      </w:r>
      <w:r>
        <w:rPr>
          <w:spacing w:val="14"/>
          <w:w w:val="105"/>
        </w:rPr>
        <w:t xml:space="preserve"> </w:t>
      </w:r>
      <w:r>
        <w:rPr>
          <w:w w:val="105"/>
        </w:rPr>
        <w:t>A.</w:t>
      </w:r>
      <w:r>
        <w:rPr>
          <w:spacing w:val="15"/>
          <w:w w:val="105"/>
        </w:rPr>
        <w:t xml:space="preserve"> </w:t>
      </w:r>
      <w:r>
        <w:rPr>
          <w:w w:val="105"/>
        </w:rPr>
        <w:t>M.</w:t>
      </w:r>
      <w:r>
        <w:rPr>
          <w:spacing w:val="9"/>
          <w:w w:val="105"/>
        </w:rPr>
        <w:t xml:space="preserve"> </w:t>
      </w:r>
      <w:r>
        <w:rPr>
          <w:w w:val="105"/>
        </w:rPr>
        <w:t>O.,</w:t>
      </w:r>
      <w:r>
        <w:rPr>
          <w:spacing w:val="15"/>
          <w:w w:val="105"/>
        </w:rPr>
        <w:t xml:space="preserve"> </w:t>
      </w:r>
      <w:r>
        <w:rPr>
          <w:w w:val="105"/>
        </w:rPr>
        <w:t>Faqih,</w:t>
      </w:r>
      <w:r>
        <w:rPr>
          <w:spacing w:val="8"/>
          <w:w w:val="105"/>
        </w:rPr>
        <w:t xml:space="preserve"> </w:t>
      </w:r>
      <w:r>
        <w:rPr>
          <w:w w:val="105"/>
        </w:rPr>
        <w:t>R.</w:t>
      </w:r>
      <w:r>
        <w:rPr>
          <w:spacing w:val="9"/>
          <w:w w:val="105"/>
        </w:rPr>
        <w:t xml:space="preserve"> </w:t>
      </w:r>
      <w:r>
        <w:rPr>
          <w:w w:val="105"/>
        </w:rPr>
        <w:t>H.</w:t>
      </w:r>
      <w:r>
        <w:rPr>
          <w:spacing w:val="21"/>
          <w:w w:val="105"/>
        </w:rPr>
        <w:t xml:space="preserve"> </w:t>
      </w:r>
      <w:r>
        <w:rPr>
          <w:w w:val="105"/>
        </w:rPr>
        <w:t>A.,</w:t>
      </w:r>
      <w:r>
        <w:rPr>
          <w:spacing w:val="21"/>
          <w:w w:val="105"/>
        </w:rPr>
        <w:t xml:space="preserve"> </w:t>
      </w:r>
      <w:r>
        <w:rPr>
          <w:w w:val="105"/>
        </w:rPr>
        <w:t>Alshehri,</w:t>
      </w:r>
      <w:r>
        <w:rPr>
          <w:spacing w:val="15"/>
          <w:w w:val="105"/>
        </w:rPr>
        <w:t xml:space="preserve"> </w:t>
      </w:r>
      <w:r>
        <w:rPr>
          <w:w w:val="105"/>
        </w:rPr>
        <w:t>A.</w:t>
      </w:r>
      <w:r>
        <w:rPr>
          <w:spacing w:val="19"/>
          <w:w w:val="105"/>
        </w:rPr>
        <w:t xml:space="preserve"> </w:t>
      </w:r>
      <w:r>
        <w:rPr>
          <w:w w:val="105"/>
        </w:rPr>
        <w:t>I.</w:t>
      </w:r>
      <w:r>
        <w:rPr>
          <w:spacing w:val="21"/>
          <w:w w:val="105"/>
        </w:rPr>
        <w:t xml:space="preserve"> </w:t>
      </w:r>
      <w:r>
        <w:rPr>
          <w:w w:val="105"/>
        </w:rPr>
        <w:t>A.,</w:t>
      </w:r>
      <w:r>
        <w:rPr>
          <w:spacing w:val="15"/>
          <w:w w:val="105"/>
        </w:rPr>
        <w:t xml:space="preserve"> </w:t>
      </w:r>
      <w:r>
        <w:rPr>
          <w:w w:val="105"/>
        </w:rPr>
        <w:t>&amp;</w:t>
      </w:r>
      <w:r>
        <w:rPr>
          <w:spacing w:val="13"/>
          <w:w w:val="105"/>
        </w:rPr>
        <w:t xml:space="preserve"> </w:t>
      </w:r>
      <w:r>
        <w:rPr>
          <w:spacing w:val="-5"/>
          <w:w w:val="105"/>
        </w:rPr>
        <w:t>Al-</w:t>
      </w:r>
    </w:p>
    <w:p w:rsidR="00487D64" w:rsidRDefault="00487D64">
      <w:pPr>
        <w:pStyle w:val="BodyText"/>
        <w:spacing w:before="25"/>
      </w:pPr>
    </w:p>
    <w:p w:rsidR="00487D64" w:rsidRDefault="006F0D93">
      <w:pPr>
        <w:pStyle w:val="BodyText"/>
        <w:spacing w:before="1" w:line="504" w:lineRule="auto"/>
        <w:ind w:left="2550" w:right="851"/>
      </w:pPr>
      <w:r>
        <w:rPr>
          <w:w w:val="105"/>
        </w:rPr>
        <w:t>Kahtani,</w:t>
      </w:r>
      <w:r>
        <w:rPr>
          <w:spacing w:val="-9"/>
          <w:w w:val="105"/>
        </w:rPr>
        <w:t xml:space="preserve"> </w:t>
      </w:r>
      <w:r>
        <w:rPr>
          <w:w w:val="105"/>
        </w:rPr>
        <w:t>S.</w:t>
      </w:r>
      <w:r>
        <w:rPr>
          <w:spacing w:val="-8"/>
          <w:w w:val="105"/>
        </w:rPr>
        <w:t xml:space="preserve"> </w:t>
      </w:r>
      <w:r>
        <w:rPr>
          <w:w w:val="105"/>
        </w:rPr>
        <w:t>M.</w:t>
      </w:r>
      <w:r>
        <w:rPr>
          <w:spacing w:val="-14"/>
          <w:w w:val="105"/>
        </w:rPr>
        <w:t xml:space="preserve"> </w:t>
      </w:r>
      <w:r>
        <w:rPr>
          <w:w w:val="105"/>
        </w:rPr>
        <w:t>(2024).</w:t>
      </w:r>
      <w:r>
        <w:rPr>
          <w:spacing w:val="-14"/>
          <w:w w:val="105"/>
        </w:rPr>
        <w:t xml:space="preserve"> </w:t>
      </w:r>
      <w:r>
        <w:rPr>
          <w:w w:val="105"/>
        </w:rPr>
        <w:t>Linking</w:t>
      </w:r>
      <w:r>
        <w:rPr>
          <w:spacing w:val="-4"/>
          <w:w w:val="105"/>
        </w:rPr>
        <w:t xml:space="preserve"> </w:t>
      </w:r>
      <w:r>
        <w:rPr>
          <w:w w:val="105"/>
        </w:rPr>
        <w:t>strategic</w:t>
      </w:r>
      <w:r>
        <w:rPr>
          <w:spacing w:val="-16"/>
          <w:w w:val="105"/>
        </w:rPr>
        <w:t xml:space="preserve"> </w:t>
      </w:r>
      <w:r>
        <w:rPr>
          <w:w w:val="105"/>
        </w:rPr>
        <w:t>intelligence,</w:t>
      </w:r>
      <w:r>
        <w:rPr>
          <w:spacing w:val="-7"/>
          <w:w w:val="105"/>
        </w:rPr>
        <w:t xml:space="preserve"> </w:t>
      </w:r>
      <w:r>
        <w:rPr>
          <w:w w:val="105"/>
        </w:rPr>
        <w:t>strategic</w:t>
      </w:r>
      <w:r>
        <w:rPr>
          <w:spacing w:val="-11"/>
          <w:w w:val="105"/>
        </w:rPr>
        <w:t xml:space="preserve"> </w:t>
      </w:r>
      <w:r>
        <w:rPr>
          <w:w w:val="105"/>
        </w:rPr>
        <w:t>leadership, strategic</w:t>
      </w:r>
      <w:r>
        <w:rPr>
          <w:spacing w:val="9"/>
          <w:w w:val="105"/>
        </w:rPr>
        <w:t xml:space="preserve"> </w:t>
      </w:r>
      <w:r>
        <w:rPr>
          <w:w w:val="105"/>
        </w:rPr>
        <w:t>planning,</w:t>
      </w:r>
      <w:r>
        <w:rPr>
          <w:spacing w:val="13"/>
          <w:w w:val="105"/>
        </w:rPr>
        <w:t xml:space="preserve"> </w:t>
      </w:r>
      <w:r>
        <w:rPr>
          <w:w w:val="105"/>
        </w:rPr>
        <w:t>and</w:t>
      </w:r>
      <w:r>
        <w:rPr>
          <w:spacing w:val="11"/>
          <w:w w:val="105"/>
        </w:rPr>
        <w:t xml:space="preserve"> </w:t>
      </w:r>
      <w:r>
        <w:rPr>
          <w:w w:val="105"/>
        </w:rPr>
        <w:t>strategic</w:t>
      </w:r>
      <w:r>
        <w:rPr>
          <w:spacing w:val="10"/>
          <w:w w:val="105"/>
        </w:rPr>
        <w:t xml:space="preserve"> </w:t>
      </w:r>
      <w:r>
        <w:rPr>
          <w:w w:val="105"/>
        </w:rPr>
        <w:t>thinking</w:t>
      </w:r>
      <w:r>
        <w:rPr>
          <w:spacing w:val="11"/>
          <w:w w:val="105"/>
        </w:rPr>
        <w:t xml:space="preserve"> </w:t>
      </w:r>
      <w:r>
        <w:rPr>
          <w:w w:val="105"/>
        </w:rPr>
        <w:t>and</w:t>
      </w:r>
      <w:r>
        <w:rPr>
          <w:spacing w:val="17"/>
          <w:w w:val="105"/>
        </w:rPr>
        <w:t xml:space="preserve"> </w:t>
      </w:r>
      <w:r>
        <w:rPr>
          <w:w w:val="105"/>
        </w:rPr>
        <w:t>business</w:t>
      </w:r>
      <w:r>
        <w:rPr>
          <w:spacing w:val="9"/>
          <w:w w:val="105"/>
        </w:rPr>
        <w:t xml:space="preserve"> </w:t>
      </w:r>
      <w:r>
        <w:rPr>
          <w:w w:val="105"/>
        </w:rPr>
        <w:t>performance:</w:t>
      </w:r>
      <w:r>
        <w:rPr>
          <w:spacing w:val="18"/>
          <w:w w:val="105"/>
        </w:rPr>
        <w:t xml:space="preserve"> </w:t>
      </w:r>
      <w:r>
        <w:rPr>
          <w:spacing w:val="-5"/>
          <w:w w:val="105"/>
        </w:rPr>
        <w:t>the</w:t>
      </w:r>
    </w:p>
    <w:p w:rsidR="00487D64" w:rsidRDefault="00487D64">
      <w:pPr>
        <w:pStyle w:val="BodyText"/>
        <w:spacing w:line="504" w:lineRule="auto"/>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4" w:lineRule="auto"/>
        <w:ind w:left="2550" w:right="851"/>
        <w:jc w:val="both"/>
      </w:pPr>
      <w:r>
        <w:rPr>
          <w:w w:val="105"/>
        </w:rPr>
        <w:t>moderating</w:t>
      </w:r>
      <w:r>
        <w:rPr>
          <w:spacing w:val="-16"/>
          <w:w w:val="105"/>
        </w:rPr>
        <w:t xml:space="preserve"> </w:t>
      </w:r>
      <w:r>
        <w:rPr>
          <w:w w:val="105"/>
        </w:rPr>
        <w:t>effect</w:t>
      </w:r>
      <w:r>
        <w:rPr>
          <w:spacing w:val="-15"/>
          <w:w w:val="105"/>
        </w:rPr>
        <w:t xml:space="preserve"> </w:t>
      </w:r>
      <w:r>
        <w:rPr>
          <w:w w:val="105"/>
        </w:rPr>
        <w:t>of</w:t>
      </w:r>
      <w:r>
        <w:rPr>
          <w:spacing w:val="-11"/>
          <w:w w:val="105"/>
        </w:rPr>
        <w:t xml:space="preserve"> </w:t>
      </w:r>
      <w:r>
        <w:rPr>
          <w:w w:val="105"/>
        </w:rPr>
        <w:t>strategic</w:t>
      </w:r>
      <w:r>
        <w:rPr>
          <w:spacing w:val="-5"/>
          <w:w w:val="105"/>
        </w:rPr>
        <w:t xml:space="preserve"> </w:t>
      </w:r>
      <w:r>
        <w:rPr>
          <w:w w:val="105"/>
        </w:rPr>
        <w:t>flexibility.</w:t>
      </w:r>
      <w:r>
        <w:rPr>
          <w:spacing w:val="-9"/>
          <w:w w:val="105"/>
        </w:rPr>
        <w:t xml:space="preserve"> </w:t>
      </w:r>
      <w:r>
        <w:rPr>
          <w:w w:val="105"/>
        </w:rPr>
        <w:t>Discover</w:t>
      </w:r>
      <w:r>
        <w:rPr>
          <w:spacing w:val="-8"/>
          <w:w w:val="105"/>
        </w:rPr>
        <w:t xml:space="preserve"> </w:t>
      </w:r>
      <w:r>
        <w:rPr>
          <w:w w:val="105"/>
        </w:rPr>
        <w:t>Sustainability,</w:t>
      </w:r>
      <w:r>
        <w:rPr>
          <w:spacing w:val="-9"/>
          <w:w w:val="105"/>
        </w:rPr>
        <w:t xml:space="preserve"> </w:t>
      </w:r>
      <w:r>
        <w:rPr>
          <w:w w:val="105"/>
        </w:rPr>
        <w:t>5(1),</w:t>
      </w:r>
      <w:r>
        <w:rPr>
          <w:spacing w:val="-9"/>
          <w:w w:val="105"/>
        </w:rPr>
        <w:t xml:space="preserve"> </w:t>
      </w:r>
      <w:r>
        <w:rPr>
          <w:w w:val="105"/>
        </w:rPr>
        <w:t>1</w:t>
      </w:r>
      <w:r>
        <w:rPr>
          <w:spacing w:val="-16"/>
          <w:w w:val="105"/>
        </w:rPr>
        <w:t xml:space="preserve"> </w:t>
      </w:r>
      <w:r>
        <w:rPr>
          <w:w w:val="105"/>
        </w:rPr>
        <w:t xml:space="preserve">- </w:t>
      </w:r>
      <w:r>
        <w:rPr>
          <w:spacing w:val="-4"/>
          <w:w w:val="105"/>
        </w:rPr>
        <w:t>14.</w:t>
      </w:r>
    </w:p>
    <w:p w:rsidR="00487D64" w:rsidRDefault="006F0D93">
      <w:pPr>
        <w:pStyle w:val="BodyText"/>
        <w:spacing w:line="501" w:lineRule="auto"/>
        <w:ind w:left="2550" w:right="849" w:hanging="1131"/>
        <w:jc w:val="both"/>
      </w:pPr>
      <w:r>
        <w:rPr>
          <w:w w:val="105"/>
        </w:rPr>
        <w:t>Morgan, T., and Anokhin,</w:t>
      </w:r>
      <w:r>
        <w:rPr>
          <w:w w:val="105"/>
        </w:rPr>
        <w:t xml:space="preserve"> S. A. (2020). The joint impact of entrepreneurial orientation</w:t>
      </w:r>
      <w:r>
        <w:rPr>
          <w:spacing w:val="-10"/>
          <w:w w:val="105"/>
        </w:rPr>
        <w:t xml:space="preserve"> </w:t>
      </w:r>
      <w:r>
        <w:rPr>
          <w:w w:val="105"/>
        </w:rPr>
        <w:t>and</w:t>
      </w:r>
      <w:r>
        <w:rPr>
          <w:spacing w:val="-4"/>
          <w:w w:val="105"/>
        </w:rPr>
        <w:t xml:space="preserve"> </w:t>
      </w:r>
      <w:r>
        <w:rPr>
          <w:w w:val="105"/>
        </w:rPr>
        <w:t>market</w:t>
      </w:r>
      <w:r>
        <w:rPr>
          <w:spacing w:val="-2"/>
          <w:w w:val="105"/>
        </w:rPr>
        <w:t xml:space="preserve"> </w:t>
      </w:r>
      <w:r>
        <w:rPr>
          <w:w w:val="105"/>
        </w:rPr>
        <w:t>orientation</w:t>
      </w:r>
      <w:r>
        <w:rPr>
          <w:spacing w:val="-10"/>
          <w:w w:val="105"/>
        </w:rPr>
        <w:t xml:space="preserve"> </w:t>
      </w:r>
      <w:r>
        <w:rPr>
          <w:w w:val="105"/>
        </w:rPr>
        <w:t>in</w:t>
      </w:r>
      <w:r>
        <w:rPr>
          <w:spacing w:val="-10"/>
          <w:w w:val="105"/>
        </w:rPr>
        <w:t xml:space="preserve"> </w:t>
      </w:r>
      <w:r>
        <w:rPr>
          <w:w w:val="105"/>
        </w:rPr>
        <w:t>new</w:t>
      </w:r>
      <w:r>
        <w:rPr>
          <w:spacing w:val="-6"/>
          <w:w w:val="105"/>
        </w:rPr>
        <w:t xml:space="preserve"> </w:t>
      </w:r>
      <w:r>
        <w:rPr>
          <w:w w:val="105"/>
        </w:rPr>
        <w:t>product</w:t>
      </w:r>
      <w:r>
        <w:rPr>
          <w:spacing w:val="-8"/>
          <w:w w:val="105"/>
        </w:rPr>
        <w:t xml:space="preserve"> </w:t>
      </w:r>
      <w:r>
        <w:rPr>
          <w:w w:val="105"/>
        </w:rPr>
        <w:t>development:</w:t>
      </w:r>
      <w:r>
        <w:rPr>
          <w:spacing w:val="-8"/>
          <w:w w:val="105"/>
        </w:rPr>
        <w:t xml:space="preserve"> </w:t>
      </w:r>
      <w:r>
        <w:rPr>
          <w:w w:val="105"/>
        </w:rPr>
        <w:t>Studying firm</w:t>
      </w:r>
      <w:r>
        <w:rPr>
          <w:spacing w:val="80"/>
          <w:w w:val="105"/>
        </w:rPr>
        <w:t xml:space="preserve"> </w:t>
      </w:r>
      <w:r>
        <w:rPr>
          <w:w w:val="105"/>
        </w:rPr>
        <w:t>and</w:t>
      </w:r>
      <w:r>
        <w:rPr>
          <w:spacing w:val="80"/>
          <w:w w:val="105"/>
        </w:rPr>
        <w:t xml:space="preserve"> </w:t>
      </w:r>
      <w:r>
        <w:rPr>
          <w:w w:val="105"/>
        </w:rPr>
        <w:t>environmental</w:t>
      </w:r>
      <w:r>
        <w:rPr>
          <w:spacing w:val="80"/>
          <w:w w:val="105"/>
        </w:rPr>
        <w:t xml:space="preserve"> </w:t>
      </w:r>
      <w:r>
        <w:rPr>
          <w:w w:val="105"/>
        </w:rPr>
        <w:t xml:space="preserve">contingencies. </w:t>
      </w:r>
      <w:r>
        <w:rPr>
          <w:i/>
          <w:w w:val="105"/>
        </w:rPr>
        <w:t>Journal</w:t>
      </w:r>
      <w:r>
        <w:rPr>
          <w:i/>
          <w:spacing w:val="80"/>
          <w:w w:val="105"/>
        </w:rPr>
        <w:t xml:space="preserve"> </w:t>
      </w:r>
      <w:r>
        <w:rPr>
          <w:i/>
          <w:w w:val="105"/>
        </w:rPr>
        <w:t>of</w:t>
      </w:r>
      <w:r>
        <w:rPr>
          <w:i/>
          <w:spacing w:val="80"/>
          <w:w w:val="105"/>
        </w:rPr>
        <w:t xml:space="preserve"> </w:t>
      </w:r>
      <w:r>
        <w:rPr>
          <w:i/>
          <w:w w:val="105"/>
        </w:rPr>
        <w:t>Business</w:t>
      </w:r>
      <w:r>
        <w:rPr>
          <w:i/>
          <w:spacing w:val="40"/>
          <w:w w:val="105"/>
        </w:rPr>
        <w:t xml:space="preserve"> </w:t>
      </w:r>
      <w:r>
        <w:rPr>
          <w:i/>
          <w:w w:val="105"/>
        </w:rPr>
        <w:t>Research</w:t>
      </w:r>
      <w:r>
        <w:rPr>
          <w:w w:val="105"/>
        </w:rPr>
        <w:t xml:space="preserve">, </w:t>
      </w:r>
      <w:r>
        <w:rPr>
          <w:i/>
          <w:w w:val="105"/>
        </w:rPr>
        <w:t>113</w:t>
      </w:r>
      <w:r>
        <w:rPr>
          <w:w w:val="105"/>
        </w:rPr>
        <w:t>, 129-138.</w:t>
      </w:r>
    </w:p>
    <w:p w:rsidR="00487D64" w:rsidRDefault="006F0D93">
      <w:pPr>
        <w:pStyle w:val="BodyText"/>
        <w:spacing w:line="501" w:lineRule="auto"/>
        <w:ind w:left="2550" w:right="842" w:hanging="1131"/>
        <w:jc w:val="both"/>
      </w:pPr>
      <w:r>
        <w:rPr>
          <w:w w:val="105"/>
        </w:rPr>
        <w:t>Morgan, T., Anokhin, S. A., and Wincent, J. (2019).</w:t>
      </w:r>
      <w:r>
        <w:rPr>
          <w:w w:val="105"/>
        </w:rPr>
        <w:t xml:space="preserve"> Influence of market orientation on performance: the moderating roles of customer participation breadth and depth in new product development. </w:t>
      </w:r>
      <w:r>
        <w:rPr>
          <w:i/>
          <w:w w:val="105"/>
        </w:rPr>
        <w:t>Industry and Innovation</w:t>
      </w:r>
      <w:r>
        <w:rPr>
          <w:w w:val="105"/>
        </w:rPr>
        <w:t>,</w:t>
      </w:r>
      <w:r>
        <w:rPr>
          <w:spacing w:val="-9"/>
          <w:w w:val="105"/>
        </w:rPr>
        <w:t xml:space="preserve"> </w:t>
      </w:r>
      <w:r>
        <w:rPr>
          <w:i/>
          <w:w w:val="105"/>
        </w:rPr>
        <w:t>26</w:t>
      </w:r>
      <w:r>
        <w:rPr>
          <w:w w:val="105"/>
        </w:rPr>
        <w:t xml:space="preserve">(9), </w:t>
      </w:r>
      <w:r>
        <w:rPr>
          <w:spacing w:val="-2"/>
          <w:w w:val="105"/>
        </w:rPr>
        <w:t>1103-1120.</w:t>
      </w:r>
    </w:p>
    <w:p w:rsidR="00487D64" w:rsidRDefault="006F0D93">
      <w:pPr>
        <w:pStyle w:val="BodyText"/>
        <w:spacing w:line="501" w:lineRule="auto"/>
        <w:ind w:left="2550" w:right="849" w:hanging="1131"/>
        <w:jc w:val="both"/>
      </w:pPr>
      <w:r>
        <w:rPr>
          <w:w w:val="105"/>
        </w:rPr>
        <w:t>Mu,</w:t>
      </w:r>
      <w:r>
        <w:rPr>
          <w:spacing w:val="-2"/>
          <w:w w:val="105"/>
        </w:rPr>
        <w:t xml:space="preserve"> </w:t>
      </w:r>
      <w:r>
        <w:rPr>
          <w:w w:val="105"/>
        </w:rPr>
        <w:t>J.,</w:t>
      </w:r>
      <w:r>
        <w:rPr>
          <w:spacing w:val="-2"/>
          <w:w w:val="105"/>
        </w:rPr>
        <w:t xml:space="preserve"> </w:t>
      </w:r>
      <w:r>
        <w:rPr>
          <w:w w:val="105"/>
        </w:rPr>
        <w:t>Thomas, E., Peng,</w:t>
      </w:r>
      <w:r>
        <w:rPr>
          <w:spacing w:val="-2"/>
          <w:w w:val="105"/>
        </w:rPr>
        <w:t xml:space="preserve"> </w:t>
      </w:r>
      <w:r>
        <w:rPr>
          <w:w w:val="105"/>
        </w:rPr>
        <w:t>G., and</w:t>
      </w:r>
      <w:r>
        <w:rPr>
          <w:spacing w:val="-4"/>
          <w:w w:val="105"/>
        </w:rPr>
        <w:t xml:space="preserve"> </w:t>
      </w:r>
      <w:r>
        <w:rPr>
          <w:w w:val="105"/>
        </w:rPr>
        <w:t>Di</w:t>
      </w:r>
      <w:r>
        <w:rPr>
          <w:spacing w:val="-2"/>
          <w:w w:val="105"/>
        </w:rPr>
        <w:t xml:space="preserve"> </w:t>
      </w:r>
      <w:r>
        <w:rPr>
          <w:w w:val="105"/>
        </w:rPr>
        <w:t>Benedetto, A. (2017). Strategic or</w:t>
      </w:r>
      <w:r>
        <w:rPr>
          <w:w w:val="105"/>
        </w:rPr>
        <w:t>ientation</w:t>
      </w:r>
      <w:r>
        <w:rPr>
          <w:spacing w:val="-4"/>
          <w:w w:val="105"/>
        </w:rPr>
        <w:t xml:space="preserve"> </w:t>
      </w:r>
      <w:r>
        <w:rPr>
          <w:w w:val="105"/>
        </w:rPr>
        <w:t>and new product development performance: The role of networking capability</w:t>
      </w:r>
      <w:r>
        <w:rPr>
          <w:spacing w:val="-2"/>
          <w:w w:val="105"/>
        </w:rPr>
        <w:t xml:space="preserve"> </w:t>
      </w:r>
      <w:r>
        <w:rPr>
          <w:w w:val="105"/>
        </w:rPr>
        <w:t>and</w:t>
      </w:r>
      <w:r>
        <w:rPr>
          <w:spacing w:val="-2"/>
          <w:w w:val="105"/>
        </w:rPr>
        <w:t xml:space="preserve"> </w:t>
      </w:r>
      <w:r>
        <w:rPr>
          <w:w w:val="105"/>
        </w:rPr>
        <w:t>networking</w:t>
      </w:r>
      <w:r>
        <w:rPr>
          <w:spacing w:val="-8"/>
          <w:w w:val="105"/>
        </w:rPr>
        <w:t xml:space="preserve"> </w:t>
      </w:r>
      <w:r>
        <w:rPr>
          <w:w w:val="105"/>
        </w:rPr>
        <w:t>ability.</w:t>
      </w:r>
      <w:r>
        <w:rPr>
          <w:spacing w:val="-7"/>
          <w:w w:val="105"/>
        </w:rPr>
        <w:t xml:space="preserve"> </w:t>
      </w:r>
      <w:r>
        <w:rPr>
          <w:i/>
          <w:w w:val="105"/>
        </w:rPr>
        <w:t>Industrial Marketing</w:t>
      </w:r>
      <w:r>
        <w:rPr>
          <w:i/>
          <w:spacing w:val="-2"/>
          <w:w w:val="105"/>
        </w:rPr>
        <w:t xml:space="preserve"> </w:t>
      </w:r>
      <w:r>
        <w:rPr>
          <w:i/>
          <w:w w:val="105"/>
        </w:rPr>
        <w:t>Management</w:t>
      </w:r>
      <w:r>
        <w:rPr>
          <w:w w:val="105"/>
        </w:rPr>
        <w:t>,</w:t>
      </w:r>
      <w:r>
        <w:rPr>
          <w:spacing w:val="-12"/>
          <w:w w:val="105"/>
        </w:rPr>
        <w:t xml:space="preserve"> </w:t>
      </w:r>
      <w:r>
        <w:rPr>
          <w:i/>
          <w:w w:val="105"/>
        </w:rPr>
        <w:t>64</w:t>
      </w:r>
      <w:r>
        <w:rPr>
          <w:w w:val="105"/>
        </w:rPr>
        <w:t xml:space="preserve">, </w:t>
      </w:r>
      <w:r>
        <w:rPr>
          <w:spacing w:val="-2"/>
          <w:w w:val="105"/>
        </w:rPr>
        <w:t>187-201.</w:t>
      </w:r>
    </w:p>
    <w:p w:rsidR="00487D64" w:rsidRDefault="006F0D93">
      <w:pPr>
        <w:pStyle w:val="BodyText"/>
        <w:spacing w:line="504" w:lineRule="auto"/>
        <w:ind w:left="2550" w:right="862" w:hanging="1131"/>
        <w:jc w:val="both"/>
      </w:pPr>
      <w:r>
        <w:rPr>
          <w:w w:val="105"/>
        </w:rPr>
        <w:t>Mugenda, A., and Mugenda, O. (2003). Research methods: Quantitative</w:t>
      </w:r>
      <w:r>
        <w:rPr>
          <w:w w:val="105"/>
        </w:rPr>
        <w:t xml:space="preserve"> and qualitative approaches. Nairobi: African Center for Technology Studies</w:t>
      </w:r>
    </w:p>
    <w:p w:rsidR="00487D64" w:rsidRDefault="006F0D93">
      <w:pPr>
        <w:spacing w:line="499" w:lineRule="auto"/>
        <w:ind w:left="2550" w:right="848" w:hanging="1131"/>
        <w:jc w:val="both"/>
        <w:rPr>
          <w:sz w:val="23"/>
        </w:rPr>
      </w:pPr>
      <w:r>
        <w:rPr>
          <w:w w:val="105"/>
          <w:sz w:val="23"/>
        </w:rPr>
        <w:t>Mukhtar, U., &amp; Azhar, T. (2020). Inter-functional coordination to co-create value within integrated value chains for competitive supply chain.</w:t>
      </w:r>
      <w:r>
        <w:rPr>
          <w:spacing w:val="-2"/>
          <w:w w:val="105"/>
          <w:sz w:val="23"/>
        </w:rPr>
        <w:t xml:space="preserve"> </w:t>
      </w:r>
      <w:r>
        <w:rPr>
          <w:i/>
          <w:w w:val="105"/>
          <w:sz w:val="23"/>
        </w:rPr>
        <w:t>Operations and Supply Chain Managemen</w:t>
      </w:r>
      <w:r>
        <w:rPr>
          <w:i/>
          <w:w w:val="105"/>
          <w:sz w:val="23"/>
        </w:rPr>
        <w:t>t: An International Journal</w:t>
      </w:r>
      <w:r>
        <w:rPr>
          <w:w w:val="105"/>
          <w:sz w:val="23"/>
        </w:rPr>
        <w:t xml:space="preserve">, </w:t>
      </w:r>
      <w:r>
        <w:rPr>
          <w:i/>
          <w:w w:val="105"/>
          <w:sz w:val="23"/>
        </w:rPr>
        <w:t>13</w:t>
      </w:r>
      <w:r>
        <w:rPr>
          <w:w w:val="105"/>
          <w:sz w:val="23"/>
        </w:rPr>
        <w:t>(1), 11-22.</w:t>
      </w:r>
    </w:p>
    <w:p w:rsidR="00487D64" w:rsidRDefault="006F0D93">
      <w:pPr>
        <w:pStyle w:val="BodyText"/>
        <w:spacing w:line="499" w:lineRule="auto"/>
        <w:ind w:left="2550" w:right="856" w:hanging="1131"/>
        <w:jc w:val="both"/>
      </w:pPr>
      <w:r>
        <w:rPr>
          <w:w w:val="105"/>
        </w:rPr>
        <w:t>Najafi-Tavani, S., Sharifi, H., and Najafi-Tavani, Z. (2016). Market orientation, marketing</w:t>
      </w:r>
      <w:r>
        <w:rPr>
          <w:spacing w:val="-3"/>
          <w:w w:val="105"/>
        </w:rPr>
        <w:t xml:space="preserve"> </w:t>
      </w:r>
      <w:r>
        <w:rPr>
          <w:w w:val="105"/>
        </w:rPr>
        <w:t>capability,</w:t>
      </w:r>
      <w:r>
        <w:rPr>
          <w:spacing w:val="-7"/>
          <w:w w:val="105"/>
        </w:rPr>
        <w:t xml:space="preserve"> </w:t>
      </w:r>
      <w:r>
        <w:rPr>
          <w:w w:val="105"/>
        </w:rPr>
        <w:t>and</w:t>
      </w:r>
      <w:r>
        <w:rPr>
          <w:spacing w:val="-9"/>
          <w:w w:val="105"/>
        </w:rPr>
        <w:t xml:space="preserve"> </w:t>
      </w:r>
      <w:r>
        <w:rPr>
          <w:w w:val="105"/>
        </w:rPr>
        <w:t>new</w:t>
      </w:r>
      <w:r>
        <w:rPr>
          <w:spacing w:val="-11"/>
          <w:w w:val="105"/>
        </w:rPr>
        <w:t xml:space="preserve"> </w:t>
      </w:r>
      <w:r>
        <w:rPr>
          <w:w w:val="105"/>
        </w:rPr>
        <w:t>product</w:t>
      </w:r>
      <w:r>
        <w:rPr>
          <w:spacing w:val="-7"/>
          <w:w w:val="105"/>
        </w:rPr>
        <w:t xml:space="preserve"> </w:t>
      </w:r>
      <w:r>
        <w:rPr>
          <w:w w:val="105"/>
        </w:rPr>
        <w:t>performance:</w:t>
      </w:r>
      <w:r>
        <w:rPr>
          <w:spacing w:val="-7"/>
          <w:w w:val="105"/>
        </w:rPr>
        <w:t xml:space="preserve"> </w:t>
      </w:r>
      <w:r>
        <w:rPr>
          <w:w w:val="105"/>
        </w:rPr>
        <w:t>The</w:t>
      </w:r>
      <w:r>
        <w:rPr>
          <w:spacing w:val="-4"/>
          <w:w w:val="105"/>
        </w:rPr>
        <w:t xml:space="preserve"> </w:t>
      </w:r>
      <w:r>
        <w:rPr>
          <w:w w:val="105"/>
        </w:rPr>
        <w:t>moderating</w:t>
      </w:r>
      <w:r>
        <w:rPr>
          <w:spacing w:val="-9"/>
          <w:w w:val="105"/>
        </w:rPr>
        <w:t xml:space="preserve"> </w:t>
      </w:r>
      <w:r>
        <w:rPr>
          <w:w w:val="105"/>
        </w:rPr>
        <w:t>role of</w:t>
      </w:r>
      <w:r>
        <w:rPr>
          <w:spacing w:val="-5"/>
          <w:w w:val="105"/>
        </w:rPr>
        <w:t xml:space="preserve"> </w:t>
      </w:r>
      <w:r>
        <w:rPr>
          <w:w w:val="105"/>
        </w:rPr>
        <w:t xml:space="preserve">absorptive capacity. </w:t>
      </w:r>
      <w:r>
        <w:rPr>
          <w:i/>
          <w:w w:val="105"/>
        </w:rPr>
        <w:t>Journal of business research</w:t>
      </w:r>
      <w:r>
        <w:rPr>
          <w:w w:val="105"/>
        </w:rPr>
        <w:t xml:space="preserve">, </w:t>
      </w:r>
      <w:r>
        <w:rPr>
          <w:i/>
          <w:w w:val="105"/>
        </w:rPr>
        <w:t>69</w:t>
      </w:r>
      <w:r>
        <w:rPr>
          <w:w w:val="105"/>
        </w:rPr>
        <w:t>(11)</w:t>
      </w:r>
      <w:r>
        <w:rPr>
          <w:w w:val="105"/>
        </w:rPr>
        <w:t>, 5059-5064.</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2550" w:right="850" w:hanging="1131"/>
        <w:jc w:val="both"/>
      </w:pPr>
      <w:r>
        <w:rPr>
          <w:w w:val="105"/>
        </w:rPr>
        <w:t>Najafi-Tavani, S., Sharifi, H., and Najafi-Tavani, Z. (2016). Market orientation, marketing</w:t>
      </w:r>
      <w:r>
        <w:rPr>
          <w:spacing w:val="-2"/>
          <w:w w:val="105"/>
        </w:rPr>
        <w:t xml:space="preserve"> </w:t>
      </w:r>
      <w:r>
        <w:rPr>
          <w:w w:val="105"/>
        </w:rPr>
        <w:t>capability,</w:t>
      </w:r>
      <w:r>
        <w:rPr>
          <w:spacing w:val="-6"/>
          <w:w w:val="105"/>
        </w:rPr>
        <w:t xml:space="preserve"> </w:t>
      </w:r>
      <w:r>
        <w:rPr>
          <w:w w:val="105"/>
        </w:rPr>
        <w:t>and</w:t>
      </w:r>
      <w:r>
        <w:rPr>
          <w:spacing w:val="-8"/>
          <w:w w:val="105"/>
        </w:rPr>
        <w:t xml:space="preserve"> </w:t>
      </w:r>
      <w:r>
        <w:rPr>
          <w:w w:val="105"/>
        </w:rPr>
        <w:t>new</w:t>
      </w:r>
      <w:r>
        <w:rPr>
          <w:spacing w:val="-11"/>
          <w:w w:val="105"/>
        </w:rPr>
        <w:t xml:space="preserve"> </w:t>
      </w:r>
      <w:r>
        <w:rPr>
          <w:w w:val="105"/>
        </w:rPr>
        <w:t>product</w:t>
      </w:r>
      <w:r>
        <w:rPr>
          <w:spacing w:val="-6"/>
          <w:w w:val="105"/>
        </w:rPr>
        <w:t xml:space="preserve"> </w:t>
      </w:r>
      <w:r>
        <w:rPr>
          <w:w w:val="105"/>
        </w:rPr>
        <w:t>performance:</w:t>
      </w:r>
      <w:r>
        <w:rPr>
          <w:spacing w:val="-6"/>
          <w:w w:val="105"/>
        </w:rPr>
        <w:t xml:space="preserve"> </w:t>
      </w:r>
      <w:r>
        <w:rPr>
          <w:w w:val="105"/>
        </w:rPr>
        <w:t>The</w:t>
      </w:r>
      <w:r>
        <w:rPr>
          <w:spacing w:val="-3"/>
          <w:w w:val="105"/>
        </w:rPr>
        <w:t xml:space="preserve"> </w:t>
      </w:r>
      <w:r>
        <w:rPr>
          <w:w w:val="105"/>
        </w:rPr>
        <w:t>moderating</w:t>
      </w:r>
      <w:r>
        <w:rPr>
          <w:spacing w:val="-8"/>
          <w:w w:val="105"/>
        </w:rPr>
        <w:t xml:space="preserve"> </w:t>
      </w:r>
      <w:r>
        <w:rPr>
          <w:w w:val="105"/>
        </w:rPr>
        <w:t xml:space="preserve">role </w:t>
      </w:r>
      <w:r>
        <w:t>of</w:t>
      </w:r>
      <w:r>
        <w:rPr>
          <w:spacing w:val="14"/>
        </w:rPr>
        <w:t xml:space="preserve"> </w:t>
      </w:r>
      <w:r>
        <w:t>absorptive</w:t>
      </w:r>
      <w:r>
        <w:rPr>
          <w:spacing w:val="28"/>
        </w:rPr>
        <w:t xml:space="preserve"> </w:t>
      </w:r>
      <w:r>
        <w:t>capacity.</w:t>
      </w:r>
      <w:r>
        <w:rPr>
          <w:spacing w:val="23"/>
        </w:rPr>
        <w:t xml:space="preserve"> </w:t>
      </w:r>
      <w:r>
        <w:t>Journal</w:t>
      </w:r>
      <w:r>
        <w:rPr>
          <w:spacing w:val="33"/>
        </w:rPr>
        <w:t xml:space="preserve"> </w:t>
      </w:r>
      <w:r>
        <w:t>of</w:t>
      </w:r>
      <w:r>
        <w:rPr>
          <w:spacing w:val="26"/>
        </w:rPr>
        <w:t xml:space="preserve"> </w:t>
      </w:r>
      <w:r>
        <w:t>Business</w:t>
      </w:r>
      <w:r>
        <w:rPr>
          <w:spacing w:val="28"/>
        </w:rPr>
        <w:t xml:space="preserve"> </w:t>
      </w:r>
      <w:r>
        <w:t>Research,</w:t>
      </w:r>
      <w:r>
        <w:rPr>
          <w:spacing w:val="23"/>
        </w:rPr>
        <w:t xml:space="preserve"> </w:t>
      </w:r>
      <w:r>
        <w:t>69(11),</w:t>
      </w:r>
      <w:r>
        <w:rPr>
          <w:spacing w:val="22"/>
        </w:rPr>
        <w:t xml:space="preserve"> </w:t>
      </w:r>
      <w:r>
        <w:rPr>
          <w:spacing w:val="-2"/>
        </w:rPr>
        <w:t>5059–5064.</w:t>
      </w:r>
    </w:p>
    <w:p w:rsidR="00487D64" w:rsidRDefault="006F0D93">
      <w:pPr>
        <w:pStyle w:val="BodyText"/>
        <w:spacing w:before="7" w:line="504" w:lineRule="auto"/>
        <w:ind w:left="2550" w:right="862" w:hanging="1131"/>
        <w:jc w:val="both"/>
      </w:pPr>
      <w:r>
        <w:rPr>
          <w:w w:val="105"/>
        </w:rPr>
        <w:t>Narver,</w:t>
      </w:r>
      <w:r>
        <w:rPr>
          <w:spacing w:val="-3"/>
          <w:w w:val="105"/>
        </w:rPr>
        <w:t xml:space="preserve"> </w:t>
      </w:r>
      <w:r>
        <w:rPr>
          <w:w w:val="105"/>
        </w:rPr>
        <w:t>J.</w:t>
      </w:r>
      <w:r>
        <w:rPr>
          <w:spacing w:val="-3"/>
          <w:w w:val="105"/>
        </w:rPr>
        <w:t xml:space="preserve"> </w:t>
      </w:r>
      <w:r>
        <w:rPr>
          <w:w w:val="105"/>
        </w:rPr>
        <w:t>C.,</w:t>
      </w:r>
      <w:r>
        <w:rPr>
          <w:spacing w:val="-3"/>
          <w:w w:val="105"/>
        </w:rPr>
        <w:t xml:space="preserve"> </w:t>
      </w:r>
      <w:r>
        <w:rPr>
          <w:w w:val="105"/>
        </w:rPr>
        <w:t>and Slater, S. F.</w:t>
      </w:r>
      <w:r>
        <w:rPr>
          <w:spacing w:val="-3"/>
          <w:w w:val="105"/>
        </w:rPr>
        <w:t xml:space="preserve"> </w:t>
      </w:r>
      <w:r>
        <w:rPr>
          <w:w w:val="105"/>
        </w:rPr>
        <w:t>(1990).</w:t>
      </w:r>
      <w:r>
        <w:rPr>
          <w:spacing w:val="-3"/>
          <w:w w:val="105"/>
        </w:rPr>
        <w:t xml:space="preserve"> </w:t>
      </w:r>
      <w:r>
        <w:rPr>
          <w:w w:val="105"/>
        </w:rPr>
        <w:t>The effect of</w:t>
      </w:r>
      <w:r>
        <w:rPr>
          <w:spacing w:val="-1"/>
          <w:w w:val="105"/>
        </w:rPr>
        <w:t xml:space="preserve"> </w:t>
      </w:r>
      <w:r>
        <w:rPr>
          <w:w w:val="105"/>
        </w:rPr>
        <w:t xml:space="preserve">a market orientation on business profitability. </w:t>
      </w:r>
      <w:r>
        <w:rPr>
          <w:i/>
          <w:w w:val="105"/>
        </w:rPr>
        <w:t>Journal of marketing</w:t>
      </w:r>
      <w:r>
        <w:rPr>
          <w:w w:val="105"/>
        </w:rPr>
        <w:t xml:space="preserve">, </w:t>
      </w:r>
      <w:r>
        <w:rPr>
          <w:i/>
          <w:w w:val="105"/>
        </w:rPr>
        <w:t>54</w:t>
      </w:r>
      <w:r>
        <w:rPr>
          <w:w w:val="105"/>
        </w:rPr>
        <w:t>(4), 20-35.</w:t>
      </w:r>
    </w:p>
    <w:p w:rsidR="00487D64" w:rsidRDefault="006F0D93">
      <w:pPr>
        <w:pStyle w:val="BodyText"/>
        <w:spacing w:line="504" w:lineRule="auto"/>
        <w:ind w:left="2550" w:right="869" w:hanging="1131"/>
        <w:jc w:val="both"/>
      </w:pPr>
      <w:r>
        <w:rPr>
          <w:w w:val="105"/>
        </w:rPr>
        <w:t>Narver,</w:t>
      </w:r>
      <w:r>
        <w:rPr>
          <w:spacing w:val="-3"/>
          <w:w w:val="105"/>
        </w:rPr>
        <w:t xml:space="preserve"> </w:t>
      </w:r>
      <w:r>
        <w:rPr>
          <w:w w:val="105"/>
        </w:rPr>
        <w:t>J.</w:t>
      </w:r>
      <w:r>
        <w:rPr>
          <w:spacing w:val="-4"/>
          <w:w w:val="105"/>
        </w:rPr>
        <w:t xml:space="preserve"> </w:t>
      </w:r>
      <w:r>
        <w:rPr>
          <w:w w:val="105"/>
        </w:rPr>
        <w:t>C.,</w:t>
      </w:r>
      <w:r>
        <w:rPr>
          <w:spacing w:val="-3"/>
          <w:w w:val="105"/>
        </w:rPr>
        <w:t xml:space="preserve"> </w:t>
      </w:r>
      <w:r>
        <w:rPr>
          <w:w w:val="105"/>
        </w:rPr>
        <w:t>and Slater, S. F.</w:t>
      </w:r>
      <w:r>
        <w:rPr>
          <w:spacing w:val="-3"/>
          <w:w w:val="105"/>
        </w:rPr>
        <w:t xml:space="preserve"> </w:t>
      </w:r>
      <w:r>
        <w:rPr>
          <w:w w:val="105"/>
        </w:rPr>
        <w:t>(1990).</w:t>
      </w:r>
      <w:r>
        <w:rPr>
          <w:spacing w:val="-4"/>
          <w:w w:val="105"/>
        </w:rPr>
        <w:t xml:space="preserve"> </w:t>
      </w:r>
      <w:r>
        <w:rPr>
          <w:w w:val="105"/>
        </w:rPr>
        <w:t>The effect of</w:t>
      </w:r>
      <w:r>
        <w:rPr>
          <w:spacing w:val="-2"/>
          <w:w w:val="105"/>
        </w:rPr>
        <w:t xml:space="preserve"> </w:t>
      </w:r>
      <w:r>
        <w:rPr>
          <w:w w:val="105"/>
        </w:rPr>
        <w:t xml:space="preserve">a market orientation on business profitability. </w:t>
      </w:r>
      <w:r>
        <w:rPr>
          <w:i/>
          <w:w w:val="105"/>
        </w:rPr>
        <w:t>Jou</w:t>
      </w:r>
      <w:r>
        <w:rPr>
          <w:i/>
          <w:w w:val="105"/>
        </w:rPr>
        <w:t>rnal of marketing</w:t>
      </w:r>
      <w:r>
        <w:rPr>
          <w:w w:val="105"/>
        </w:rPr>
        <w:t xml:space="preserve">, </w:t>
      </w:r>
      <w:r>
        <w:rPr>
          <w:i/>
          <w:w w:val="105"/>
        </w:rPr>
        <w:t>54</w:t>
      </w:r>
      <w:r>
        <w:rPr>
          <w:w w:val="105"/>
        </w:rPr>
        <w:t>(4), 20-35.</w:t>
      </w:r>
    </w:p>
    <w:p w:rsidR="00487D64" w:rsidRDefault="006F0D93">
      <w:pPr>
        <w:pStyle w:val="BodyText"/>
        <w:spacing w:line="499" w:lineRule="auto"/>
        <w:ind w:left="2550" w:right="849" w:hanging="1131"/>
        <w:jc w:val="both"/>
      </w:pPr>
      <w:r>
        <w:rPr>
          <w:w w:val="105"/>
        </w:rPr>
        <w:t>Ngowi, H., &amp; Mwakalobo, A. (2023). Empowering SME through Non-Consultancy Services in Public Procurement</w:t>
      </w:r>
      <w:r>
        <w:rPr>
          <w:b/>
          <w:w w:val="105"/>
        </w:rPr>
        <w:t xml:space="preserve">. </w:t>
      </w:r>
      <w:r>
        <w:rPr>
          <w:w w:val="105"/>
        </w:rPr>
        <w:t>Journal of Inclusive Business Practices, 10(2), 123-138.</w:t>
      </w:r>
    </w:p>
    <w:p w:rsidR="00487D64" w:rsidRDefault="006F0D93">
      <w:pPr>
        <w:pStyle w:val="BodyText"/>
        <w:spacing w:line="499" w:lineRule="auto"/>
        <w:ind w:left="2550" w:right="848" w:hanging="1131"/>
        <w:jc w:val="both"/>
      </w:pPr>
      <w:r>
        <w:rPr>
          <w:w w:val="105"/>
        </w:rPr>
        <w:t>Nitzl, C., &amp; Chin, W. W. (2017). The case of partial least s</w:t>
      </w:r>
      <w:r>
        <w:rPr>
          <w:w w:val="105"/>
        </w:rPr>
        <w:t xml:space="preserve">quares ( PLS ) path modeling in managerial accounting research. </w:t>
      </w:r>
      <w:r>
        <w:rPr>
          <w:i/>
          <w:w w:val="105"/>
        </w:rPr>
        <w:t>Journal of Management Control</w:t>
      </w:r>
      <w:r>
        <w:rPr>
          <w:w w:val="105"/>
        </w:rPr>
        <w:t xml:space="preserve">, </w:t>
      </w:r>
      <w:r>
        <w:rPr>
          <w:i/>
          <w:w w:val="105"/>
        </w:rPr>
        <w:t>28</w:t>
      </w:r>
      <w:r>
        <w:rPr>
          <w:w w:val="105"/>
        </w:rPr>
        <w:t xml:space="preserve">(2), 137–156. </w:t>
      </w:r>
      <w:r>
        <w:rPr>
          <w:w w:val="105"/>
          <w:u w:val="single"/>
        </w:rPr>
        <w:t>https://doi.org/doi:10.1007/s00187-017-0249-6</w:t>
      </w:r>
    </w:p>
    <w:p w:rsidR="00487D64" w:rsidRDefault="006F0D93">
      <w:pPr>
        <w:pStyle w:val="BodyText"/>
        <w:spacing w:before="3" w:line="501" w:lineRule="auto"/>
        <w:ind w:left="2550" w:right="860" w:hanging="1131"/>
        <w:jc w:val="both"/>
      </w:pPr>
      <w:r>
        <w:rPr>
          <w:w w:val="105"/>
        </w:rPr>
        <w:t>Odhiambo, E. O., Kamau, G. G., &amp; Tanui, J. K. (2022). Influence of Business Development Services on</w:t>
      </w:r>
      <w:r>
        <w:rPr>
          <w:w w:val="105"/>
        </w:rPr>
        <w:t xml:space="preserve"> Micro Enterprises performance in Kenya: a Survey of Micro Enterprises in Eldama Ravine Sub County, Baringo </w:t>
      </w:r>
      <w:r>
        <w:rPr>
          <w:spacing w:val="-2"/>
          <w:w w:val="105"/>
        </w:rPr>
        <w:t>County.</w:t>
      </w:r>
    </w:p>
    <w:p w:rsidR="00487D64" w:rsidRDefault="006F0D93">
      <w:pPr>
        <w:pStyle w:val="BodyText"/>
        <w:tabs>
          <w:tab w:val="left" w:pos="4027"/>
          <w:tab w:val="left" w:pos="5315"/>
          <w:tab w:val="left" w:pos="6553"/>
        </w:tabs>
        <w:spacing w:line="504" w:lineRule="auto"/>
        <w:ind w:left="2550" w:right="852" w:hanging="1131"/>
        <w:jc w:val="both"/>
      </w:pPr>
      <w:r>
        <w:rPr>
          <w:w w:val="105"/>
        </w:rPr>
        <w:t xml:space="preserve">OECD, (2018).SME in Public Procurement: Practices and Strategies for Shared </w:t>
      </w:r>
      <w:r>
        <w:rPr>
          <w:spacing w:val="-2"/>
        </w:rPr>
        <w:t>Benefits,</w:t>
      </w:r>
      <w:r>
        <w:tab/>
      </w:r>
      <w:r>
        <w:rPr>
          <w:i/>
          <w:spacing w:val="-4"/>
        </w:rPr>
        <w:t>OECD</w:t>
      </w:r>
      <w:r>
        <w:rPr>
          <w:i/>
        </w:rPr>
        <w:tab/>
      </w:r>
      <w:r>
        <w:rPr>
          <w:i/>
          <w:spacing w:val="-2"/>
        </w:rPr>
        <w:t>Public</w:t>
      </w:r>
      <w:r>
        <w:rPr>
          <w:i/>
        </w:rPr>
        <w:tab/>
      </w:r>
      <w:r>
        <w:rPr>
          <w:i/>
          <w:spacing w:val="-2"/>
        </w:rPr>
        <w:t>Governance</w:t>
      </w:r>
      <w:r>
        <w:rPr>
          <w:spacing w:val="-2"/>
        </w:rPr>
        <w:t>.</w:t>
      </w:r>
      <w:r>
        <w:rPr>
          <w:spacing w:val="-2"/>
          <w:u w:val="single"/>
        </w:rPr>
        <w:t>[</w:t>
      </w:r>
      <w:r>
        <w:rPr>
          <w:color w:val="0462C1"/>
          <w:spacing w:val="-2"/>
          <w:u w:val="single" w:color="0462C1"/>
        </w:rPr>
        <w:t>https://www.oecd.</w:t>
      </w:r>
    </w:p>
    <w:p w:rsidR="00487D64" w:rsidRDefault="006F0D93">
      <w:pPr>
        <w:pStyle w:val="BodyText"/>
        <w:spacing w:line="256" w:lineRule="exact"/>
        <w:ind w:left="2550"/>
      </w:pPr>
      <w:r>
        <w:rPr>
          <w:color w:val="0462C1"/>
          <w:u w:val="single" w:color="0462C1"/>
        </w:rPr>
        <w:t>org/publications/SME-in-public-procurement-</w:t>
      </w:r>
      <w:r>
        <w:rPr>
          <w:spacing w:val="53"/>
          <w:w w:val="150"/>
          <w:u w:val="single"/>
        </w:rPr>
        <w:t xml:space="preserve">   </w:t>
      </w:r>
      <w:r>
        <w:rPr>
          <w:u w:val="single"/>
        </w:rPr>
        <w:t>9789264307476-</w:t>
      </w:r>
      <w:r>
        <w:rPr>
          <w:spacing w:val="-2"/>
          <w:u w:val="single"/>
        </w:rPr>
        <w:t>en.htm]</w:t>
      </w:r>
      <w:r>
        <w:rPr>
          <w:spacing w:val="-2"/>
        </w:rPr>
        <w:t>,</w:t>
      </w:r>
    </w:p>
    <w:p w:rsidR="00487D64" w:rsidRDefault="00487D64">
      <w:pPr>
        <w:pStyle w:val="BodyText"/>
        <w:spacing w:before="18"/>
      </w:pPr>
    </w:p>
    <w:p w:rsidR="00487D64" w:rsidRDefault="006F0D93">
      <w:pPr>
        <w:pStyle w:val="BodyText"/>
        <w:ind w:left="2550"/>
      </w:pPr>
      <w:r>
        <w:rPr>
          <w:w w:val="105"/>
        </w:rPr>
        <w:t>Visited</w:t>
      </w:r>
      <w:r>
        <w:rPr>
          <w:spacing w:val="-10"/>
          <w:w w:val="105"/>
        </w:rPr>
        <w:t xml:space="preserve"> </w:t>
      </w:r>
      <w:r>
        <w:rPr>
          <w:w w:val="105"/>
        </w:rPr>
        <w:t>on</w:t>
      </w:r>
      <w:r>
        <w:rPr>
          <w:spacing w:val="-15"/>
          <w:w w:val="105"/>
        </w:rPr>
        <w:t xml:space="preserve"> </w:t>
      </w:r>
      <w:r>
        <w:rPr>
          <w:spacing w:val="-2"/>
          <w:w w:val="105"/>
        </w:rPr>
        <w:t>01/02/2023</w:t>
      </w:r>
    </w:p>
    <w:p w:rsidR="00487D64" w:rsidRDefault="00487D64">
      <w:pPr>
        <w:pStyle w:val="BodyText"/>
        <w:spacing w:before="26"/>
      </w:pPr>
    </w:p>
    <w:p w:rsidR="00487D64" w:rsidRDefault="006F0D93">
      <w:pPr>
        <w:pStyle w:val="BodyText"/>
        <w:spacing w:line="504" w:lineRule="auto"/>
        <w:ind w:left="2550" w:right="851" w:hanging="1131"/>
      </w:pPr>
      <w:r>
        <w:rPr>
          <w:w w:val="105"/>
        </w:rPr>
        <w:t>Ojok, P., &amp; Mukasa, J. (2024). “You get the money after</w:t>
      </w:r>
      <w:r>
        <w:rPr>
          <w:spacing w:val="25"/>
          <w:w w:val="105"/>
        </w:rPr>
        <w:t xml:space="preserve"> </w:t>
      </w:r>
      <w:r>
        <w:rPr>
          <w:w w:val="105"/>
        </w:rPr>
        <w:t>waiting for long and you get</w:t>
      </w:r>
      <w:r>
        <w:rPr>
          <w:spacing w:val="-7"/>
          <w:w w:val="105"/>
        </w:rPr>
        <w:t xml:space="preserve"> </w:t>
      </w:r>
      <w:r>
        <w:rPr>
          <w:w w:val="105"/>
        </w:rPr>
        <w:t>less</w:t>
      </w:r>
      <w:r>
        <w:rPr>
          <w:spacing w:val="-3"/>
          <w:w w:val="105"/>
        </w:rPr>
        <w:t xml:space="preserve"> </w:t>
      </w:r>
      <w:r>
        <w:rPr>
          <w:w w:val="105"/>
        </w:rPr>
        <w:t>than</w:t>
      </w:r>
      <w:r>
        <w:rPr>
          <w:spacing w:val="-2"/>
          <w:w w:val="105"/>
        </w:rPr>
        <w:t xml:space="preserve"> </w:t>
      </w:r>
      <w:r>
        <w:rPr>
          <w:w w:val="105"/>
        </w:rPr>
        <w:t>you</w:t>
      </w:r>
      <w:r>
        <w:rPr>
          <w:spacing w:val="-3"/>
          <w:w w:val="105"/>
        </w:rPr>
        <w:t xml:space="preserve"> </w:t>
      </w:r>
      <w:r>
        <w:rPr>
          <w:w w:val="105"/>
        </w:rPr>
        <w:t>anticipated”:</w:t>
      </w:r>
      <w:r>
        <w:rPr>
          <w:spacing w:val="1"/>
          <w:w w:val="105"/>
        </w:rPr>
        <w:t xml:space="preserve"> </w:t>
      </w:r>
      <w:r>
        <w:rPr>
          <w:w w:val="105"/>
        </w:rPr>
        <w:t>Experiences</w:t>
      </w:r>
      <w:r>
        <w:rPr>
          <w:spacing w:val="-4"/>
          <w:w w:val="105"/>
        </w:rPr>
        <w:t xml:space="preserve"> </w:t>
      </w:r>
      <w:r>
        <w:rPr>
          <w:w w:val="105"/>
        </w:rPr>
        <w:t>of</w:t>
      </w:r>
      <w:r>
        <w:rPr>
          <w:spacing w:val="-5"/>
          <w:w w:val="105"/>
        </w:rPr>
        <w:t xml:space="preserve"> </w:t>
      </w:r>
      <w:r>
        <w:rPr>
          <w:w w:val="105"/>
        </w:rPr>
        <w:t>persons</w:t>
      </w:r>
      <w:r>
        <w:rPr>
          <w:spacing w:val="2"/>
          <w:w w:val="105"/>
        </w:rPr>
        <w:t xml:space="preserve"> </w:t>
      </w:r>
      <w:r>
        <w:rPr>
          <w:w w:val="105"/>
        </w:rPr>
        <w:t>with</w:t>
      </w:r>
      <w:r>
        <w:rPr>
          <w:spacing w:val="-3"/>
          <w:w w:val="105"/>
        </w:rPr>
        <w:t xml:space="preserve"> </w:t>
      </w:r>
      <w:r>
        <w:rPr>
          <w:w w:val="105"/>
        </w:rPr>
        <w:t>disabilities</w:t>
      </w:r>
      <w:r>
        <w:rPr>
          <w:spacing w:val="-10"/>
          <w:w w:val="105"/>
        </w:rPr>
        <w:t xml:space="preserve"> </w:t>
      </w:r>
      <w:r>
        <w:rPr>
          <w:spacing w:val="-5"/>
          <w:w w:val="105"/>
        </w:rPr>
        <w:t>in</w:t>
      </w:r>
    </w:p>
    <w:p w:rsidR="00487D64" w:rsidRDefault="00487D64">
      <w:pPr>
        <w:pStyle w:val="BodyText"/>
        <w:spacing w:line="504" w:lineRule="auto"/>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504" w:lineRule="auto"/>
        <w:ind w:left="2550" w:right="848"/>
        <w:jc w:val="both"/>
        <w:rPr>
          <w:sz w:val="23"/>
        </w:rPr>
      </w:pPr>
      <w:r>
        <w:rPr>
          <w:w w:val="105"/>
          <w:sz w:val="23"/>
        </w:rPr>
        <w:t xml:space="preserve">accessing the district special grant in Uganda. </w:t>
      </w:r>
      <w:r>
        <w:rPr>
          <w:i/>
          <w:w w:val="105"/>
          <w:sz w:val="23"/>
        </w:rPr>
        <w:t>Indonesian Journal of Disability Studies</w:t>
      </w:r>
      <w:r>
        <w:rPr>
          <w:w w:val="105"/>
          <w:sz w:val="23"/>
        </w:rPr>
        <w:t xml:space="preserve">, </w:t>
      </w:r>
      <w:r>
        <w:rPr>
          <w:i/>
          <w:w w:val="105"/>
          <w:sz w:val="23"/>
        </w:rPr>
        <w:t>11</w:t>
      </w:r>
      <w:r>
        <w:rPr>
          <w:w w:val="105"/>
          <w:sz w:val="23"/>
        </w:rPr>
        <w:t>(2), 135-155.</w:t>
      </w:r>
    </w:p>
    <w:p w:rsidR="00487D64" w:rsidRDefault="006F0D93">
      <w:pPr>
        <w:pStyle w:val="BodyText"/>
        <w:spacing w:line="504" w:lineRule="auto"/>
        <w:ind w:left="2550" w:right="851" w:hanging="1131"/>
        <w:jc w:val="both"/>
      </w:pPr>
      <w:r>
        <w:rPr>
          <w:w w:val="105"/>
        </w:rPr>
        <w:t>Okello, D. O., &amp; Luttah, F. J. (2022). Effects of market orientation on farmer resilience and dairy farm performance in an emer</w:t>
      </w:r>
      <w:r>
        <w:rPr>
          <w:w w:val="105"/>
        </w:rPr>
        <w:t xml:space="preserve">ging economy. </w:t>
      </w:r>
      <w:r>
        <w:rPr>
          <w:i/>
          <w:w w:val="105"/>
        </w:rPr>
        <w:t>Cogent Business &amp; Management, 9</w:t>
      </w:r>
      <w:r>
        <w:rPr>
          <w:w w:val="105"/>
        </w:rPr>
        <w:t>(1), 2010481.</w:t>
      </w:r>
    </w:p>
    <w:p w:rsidR="00487D64" w:rsidRDefault="006F0D93">
      <w:pPr>
        <w:pStyle w:val="BodyText"/>
        <w:spacing w:line="501" w:lineRule="auto"/>
        <w:ind w:left="2550" w:right="847" w:hanging="1131"/>
        <w:jc w:val="both"/>
      </w:pPr>
      <w:r>
        <w:rPr>
          <w:w w:val="105"/>
        </w:rPr>
        <w:t>Pekovic, S., &amp; Rolland, S. (2016). Customer orientation and firm’s business performance: A moderated mediation model of environmental customer innovation</w:t>
      </w:r>
      <w:r>
        <w:rPr>
          <w:spacing w:val="40"/>
          <w:w w:val="105"/>
        </w:rPr>
        <w:t xml:space="preserve">  </w:t>
      </w:r>
      <w:r>
        <w:rPr>
          <w:w w:val="105"/>
        </w:rPr>
        <w:t>and</w:t>
      </w:r>
      <w:r>
        <w:rPr>
          <w:spacing w:val="40"/>
          <w:w w:val="105"/>
        </w:rPr>
        <w:t xml:space="preserve">  </w:t>
      </w:r>
      <w:r>
        <w:rPr>
          <w:w w:val="105"/>
        </w:rPr>
        <w:t>contextual</w:t>
      </w:r>
      <w:r>
        <w:rPr>
          <w:spacing w:val="40"/>
          <w:w w:val="105"/>
        </w:rPr>
        <w:t xml:space="preserve">  </w:t>
      </w:r>
      <w:r>
        <w:rPr>
          <w:w w:val="105"/>
        </w:rPr>
        <w:t xml:space="preserve">factors. </w:t>
      </w:r>
      <w:r>
        <w:rPr>
          <w:i/>
          <w:w w:val="105"/>
        </w:rPr>
        <w:t>European</w:t>
      </w:r>
      <w:r>
        <w:rPr>
          <w:i/>
          <w:spacing w:val="40"/>
          <w:w w:val="105"/>
        </w:rPr>
        <w:t xml:space="preserve">  </w:t>
      </w:r>
      <w:r>
        <w:rPr>
          <w:i/>
          <w:w w:val="105"/>
        </w:rPr>
        <w:t>Journal</w:t>
      </w:r>
      <w:r>
        <w:rPr>
          <w:i/>
          <w:spacing w:val="40"/>
          <w:w w:val="105"/>
        </w:rPr>
        <w:t xml:space="preserve">  </w:t>
      </w:r>
      <w:r>
        <w:rPr>
          <w:i/>
          <w:w w:val="105"/>
        </w:rPr>
        <w:t>of Marketing</w:t>
      </w:r>
      <w:r>
        <w:rPr>
          <w:w w:val="105"/>
        </w:rPr>
        <w:t xml:space="preserve">, </w:t>
      </w:r>
      <w:r>
        <w:rPr>
          <w:i/>
          <w:w w:val="105"/>
        </w:rPr>
        <w:t>50</w:t>
      </w:r>
      <w:r>
        <w:rPr>
          <w:w w:val="105"/>
        </w:rPr>
        <w:t>(12), 2162-2191.</w:t>
      </w:r>
    </w:p>
    <w:p w:rsidR="00487D64" w:rsidRDefault="006F0D93">
      <w:pPr>
        <w:spacing w:line="501" w:lineRule="auto"/>
        <w:ind w:left="2550" w:right="849" w:hanging="1131"/>
        <w:jc w:val="both"/>
        <w:rPr>
          <w:sz w:val="23"/>
        </w:rPr>
      </w:pPr>
      <w:r>
        <w:rPr>
          <w:w w:val="105"/>
          <w:sz w:val="23"/>
        </w:rPr>
        <w:t>Peprah, J. A., Mensah, A. O., and Akosah, N. B. (2020). Small and medium sized enterprises (SME) accessibility to public procurement: SME entity perspective in Ghana.</w:t>
      </w:r>
      <w:r>
        <w:rPr>
          <w:spacing w:val="-3"/>
          <w:w w:val="105"/>
          <w:sz w:val="23"/>
        </w:rPr>
        <w:t xml:space="preserve"> </w:t>
      </w:r>
      <w:r>
        <w:rPr>
          <w:i/>
          <w:w w:val="105"/>
          <w:sz w:val="23"/>
        </w:rPr>
        <w:t>European Journal of Business and Social</w:t>
      </w:r>
      <w:r>
        <w:rPr>
          <w:i/>
          <w:spacing w:val="40"/>
          <w:w w:val="105"/>
          <w:sz w:val="23"/>
        </w:rPr>
        <w:t xml:space="preserve"> </w:t>
      </w:r>
      <w:r>
        <w:rPr>
          <w:i/>
          <w:w w:val="105"/>
          <w:sz w:val="23"/>
        </w:rPr>
        <w:t>Science</w:t>
      </w:r>
      <w:r>
        <w:rPr>
          <w:i/>
          <w:w w:val="105"/>
          <w:sz w:val="23"/>
        </w:rPr>
        <w:t>s</w:t>
      </w:r>
      <w:r>
        <w:rPr>
          <w:w w:val="105"/>
          <w:sz w:val="23"/>
        </w:rPr>
        <w:t xml:space="preserve">, </w:t>
      </w:r>
      <w:r>
        <w:rPr>
          <w:i/>
          <w:w w:val="105"/>
          <w:sz w:val="23"/>
        </w:rPr>
        <w:t>4</w:t>
      </w:r>
      <w:r>
        <w:rPr>
          <w:w w:val="105"/>
          <w:sz w:val="23"/>
        </w:rPr>
        <w:t>(11), 25-40.</w:t>
      </w:r>
    </w:p>
    <w:p w:rsidR="00487D64" w:rsidRDefault="006F0D93">
      <w:pPr>
        <w:spacing w:line="499" w:lineRule="auto"/>
        <w:ind w:left="2550" w:right="853" w:hanging="1131"/>
        <w:jc w:val="both"/>
        <w:rPr>
          <w:sz w:val="23"/>
        </w:rPr>
      </w:pPr>
      <w:r>
        <w:rPr>
          <w:w w:val="105"/>
          <w:sz w:val="23"/>
        </w:rPr>
        <w:t xml:space="preserve">PPDA (2023). </w:t>
      </w:r>
      <w:r>
        <w:rPr>
          <w:i/>
          <w:w w:val="105"/>
          <w:sz w:val="23"/>
        </w:rPr>
        <w:t xml:space="preserve">The Public Procurement and Disposal of Public Assets (Disposal of Public Assets) Regulations, 2023. </w:t>
      </w:r>
      <w:r>
        <w:rPr>
          <w:w w:val="105"/>
          <w:sz w:val="23"/>
        </w:rPr>
        <w:t>Kampala: Public Procurement and Disposal of Public Assets Authority.</w:t>
      </w:r>
    </w:p>
    <w:p w:rsidR="00487D64" w:rsidRDefault="006F0D93">
      <w:pPr>
        <w:ind w:left="1419"/>
        <w:rPr>
          <w:i/>
          <w:sz w:val="23"/>
        </w:rPr>
      </w:pPr>
      <w:r>
        <w:rPr>
          <w:w w:val="105"/>
          <w:sz w:val="23"/>
        </w:rPr>
        <w:t>PPRA</w:t>
      </w:r>
      <w:r>
        <w:rPr>
          <w:spacing w:val="-10"/>
          <w:w w:val="105"/>
          <w:sz w:val="23"/>
        </w:rPr>
        <w:t xml:space="preserve"> </w:t>
      </w:r>
      <w:r>
        <w:rPr>
          <w:w w:val="105"/>
          <w:sz w:val="23"/>
        </w:rPr>
        <w:t>(2020).</w:t>
      </w:r>
      <w:r>
        <w:rPr>
          <w:spacing w:val="-9"/>
          <w:w w:val="105"/>
          <w:sz w:val="23"/>
        </w:rPr>
        <w:t xml:space="preserve"> </w:t>
      </w:r>
      <w:r>
        <w:rPr>
          <w:i/>
          <w:w w:val="105"/>
          <w:sz w:val="23"/>
        </w:rPr>
        <w:t>Guidelines</w:t>
      </w:r>
      <w:r>
        <w:rPr>
          <w:i/>
          <w:spacing w:val="-1"/>
          <w:w w:val="105"/>
          <w:sz w:val="23"/>
        </w:rPr>
        <w:t xml:space="preserve"> </w:t>
      </w:r>
      <w:r>
        <w:rPr>
          <w:i/>
          <w:w w:val="105"/>
          <w:sz w:val="23"/>
        </w:rPr>
        <w:t>for</w:t>
      </w:r>
      <w:r>
        <w:rPr>
          <w:i/>
          <w:spacing w:val="-3"/>
          <w:w w:val="105"/>
          <w:sz w:val="23"/>
        </w:rPr>
        <w:t xml:space="preserve"> </w:t>
      </w:r>
      <w:r>
        <w:rPr>
          <w:i/>
          <w:w w:val="105"/>
          <w:sz w:val="23"/>
        </w:rPr>
        <w:t>Participation</w:t>
      </w:r>
      <w:r>
        <w:rPr>
          <w:i/>
          <w:spacing w:val="-7"/>
          <w:w w:val="105"/>
          <w:sz w:val="23"/>
        </w:rPr>
        <w:t xml:space="preserve"> </w:t>
      </w:r>
      <w:r>
        <w:rPr>
          <w:i/>
          <w:w w:val="105"/>
          <w:sz w:val="23"/>
        </w:rPr>
        <w:t>of</w:t>
      </w:r>
      <w:r>
        <w:rPr>
          <w:i/>
          <w:spacing w:val="-12"/>
          <w:w w:val="105"/>
          <w:sz w:val="23"/>
        </w:rPr>
        <w:t xml:space="preserve"> </w:t>
      </w:r>
      <w:r>
        <w:rPr>
          <w:i/>
          <w:w w:val="105"/>
          <w:sz w:val="23"/>
        </w:rPr>
        <w:t>Special</w:t>
      </w:r>
      <w:r>
        <w:rPr>
          <w:i/>
          <w:spacing w:val="-12"/>
          <w:w w:val="105"/>
          <w:sz w:val="23"/>
        </w:rPr>
        <w:t xml:space="preserve"> </w:t>
      </w:r>
      <w:r>
        <w:rPr>
          <w:i/>
          <w:w w:val="105"/>
          <w:sz w:val="23"/>
        </w:rPr>
        <w:t>groups</w:t>
      </w:r>
      <w:r>
        <w:rPr>
          <w:i/>
          <w:spacing w:val="-9"/>
          <w:w w:val="105"/>
          <w:sz w:val="23"/>
        </w:rPr>
        <w:t xml:space="preserve"> </w:t>
      </w:r>
      <w:r>
        <w:rPr>
          <w:i/>
          <w:w w:val="105"/>
          <w:sz w:val="23"/>
        </w:rPr>
        <w:t>in</w:t>
      </w:r>
      <w:r>
        <w:rPr>
          <w:i/>
          <w:spacing w:val="-2"/>
          <w:w w:val="105"/>
          <w:sz w:val="23"/>
        </w:rPr>
        <w:t xml:space="preserve"> </w:t>
      </w:r>
      <w:r>
        <w:rPr>
          <w:i/>
          <w:w w:val="105"/>
          <w:sz w:val="23"/>
        </w:rPr>
        <w:t>Public</w:t>
      </w:r>
      <w:r>
        <w:rPr>
          <w:i/>
          <w:spacing w:val="-1"/>
          <w:w w:val="105"/>
          <w:sz w:val="23"/>
        </w:rPr>
        <w:t xml:space="preserve"> </w:t>
      </w:r>
      <w:r>
        <w:rPr>
          <w:i/>
          <w:spacing w:val="-2"/>
          <w:w w:val="105"/>
          <w:sz w:val="23"/>
        </w:rPr>
        <w:t>Procurement.</w:t>
      </w:r>
    </w:p>
    <w:p w:rsidR="00487D64" w:rsidRDefault="00487D64">
      <w:pPr>
        <w:pStyle w:val="BodyText"/>
        <w:spacing w:before="8"/>
        <w:rPr>
          <w:i/>
        </w:rPr>
      </w:pPr>
    </w:p>
    <w:p w:rsidR="00487D64" w:rsidRDefault="006F0D93">
      <w:pPr>
        <w:pStyle w:val="BodyText"/>
        <w:ind w:left="2550"/>
        <w:jc w:val="both"/>
      </w:pPr>
      <w:r>
        <w:t>Government</w:t>
      </w:r>
      <w:r>
        <w:rPr>
          <w:spacing w:val="28"/>
        </w:rPr>
        <w:t xml:space="preserve"> </w:t>
      </w:r>
      <w:r>
        <w:t>Printing</w:t>
      </w:r>
      <w:r>
        <w:rPr>
          <w:spacing w:val="37"/>
        </w:rPr>
        <w:t xml:space="preserve"> </w:t>
      </w:r>
      <w:r>
        <w:t>office:</w:t>
      </w:r>
      <w:r>
        <w:rPr>
          <w:spacing w:val="29"/>
        </w:rPr>
        <w:t xml:space="preserve"> </w:t>
      </w:r>
      <w:r>
        <w:t>Dodoma,</w:t>
      </w:r>
      <w:r>
        <w:rPr>
          <w:spacing w:val="29"/>
        </w:rPr>
        <w:t xml:space="preserve"> </w:t>
      </w:r>
      <w:r>
        <w:t>Tanzania.</w:t>
      </w:r>
      <w:r>
        <w:rPr>
          <w:spacing w:val="29"/>
        </w:rPr>
        <w:t xml:space="preserve"> </w:t>
      </w:r>
      <w:r>
        <w:rPr>
          <w:spacing w:val="-2"/>
        </w:rPr>
        <w:t>19pp.</w:t>
      </w:r>
    </w:p>
    <w:p w:rsidR="00487D64" w:rsidRDefault="00487D64">
      <w:pPr>
        <w:pStyle w:val="BodyText"/>
        <w:spacing w:before="25"/>
      </w:pPr>
    </w:p>
    <w:p w:rsidR="00487D64" w:rsidRDefault="006F0D93">
      <w:pPr>
        <w:spacing w:line="499" w:lineRule="auto"/>
        <w:ind w:left="2550" w:right="851" w:hanging="1131"/>
        <w:jc w:val="both"/>
        <w:rPr>
          <w:sz w:val="23"/>
        </w:rPr>
      </w:pPr>
      <w:r>
        <w:rPr>
          <w:w w:val="105"/>
          <w:sz w:val="23"/>
        </w:rPr>
        <w:t xml:space="preserve">PPRA (2020). </w:t>
      </w:r>
      <w:r>
        <w:rPr>
          <w:i/>
          <w:w w:val="105"/>
          <w:sz w:val="23"/>
        </w:rPr>
        <w:t>Orodha Ya Vikundi Maalum Vinavyoweza Kunufaika Na UpendeleoWaZabuniKatikaTaasisiZaUmma</w:t>
      </w:r>
      <w:r>
        <w:rPr>
          <w:w w:val="105"/>
          <w:sz w:val="23"/>
        </w:rPr>
        <w:t>. Government Printing office: Dodoma, Tanzania. 12pp.</w:t>
      </w:r>
    </w:p>
    <w:p w:rsidR="00487D64" w:rsidRDefault="006F0D93">
      <w:pPr>
        <w:spacing w:before="7" w:line="504" w:lineRule="auto"/>
        <w:ind w:left="2550" w:right="853" w:hanging="1131"/>
        <w:jc w:val="both"/>
        <w:rPr>
          <w:sz w:val="23"/>
        </w:rPr>
      </w:pPr>
      <w:r>
        <w:rPr>
          <w:w w:val="105"/>
          <w:sz w:val="23"/>
        </w:rPr>
        <w:t xml:space="preserve">PPRA. (2023). </w:t>
      </w:r>
      <w:r>
        <w:rPr>
          <w:i/>
          <w:w w:val="105"/>
          <w:sz w:val="23"/>
        </w:rPr>
        <w:t>Special Group</w:t>
      </w:r>
      <w:r>
        <w:rPr>
          <w:i/>
          <w:spacing w:val="-2"/>
          <w:w w:val="105"/>
          <w:sz w:val="23"/>
        </w:rPr>
        <w:t xml:space="preserve"> </w:t>
      </w:r>
      <w:r>
        <w:rPr>
          <w:i/>
          <w:w w:val="105"/>
          <w:sz w:val="23"/>
        </w:rPr>
        <w:t>SME Registry Report</w:t>
      </w:r>
      <w:r>
        <w:rPr>
          <w:w w:val="105"/>
          <w:sz w:val="23"/>
        </w:rPr>
        <w:t>. Public Procurement Regulatory Authority, Tanzania.</w:t>
      </w:r>
    </w:p>
    <w:p w:rsidR="00487D64" w:rsidRDefault="00487D64">
      <w:pPr>
        <w:spacing w:line="504" w:lineRule="auto"/>
        <w:jc w:val="bot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499" w:lineRule="auto"/>
        <w:ind w:left="2550" w:right="844" w:hanging="1131"/>
        <w:jc w:val="both"/>
        <w:rPr>
          <w:sz w:val="23"/>
        </w:rPr>
      </w:pPr>
      <w:r>
        <w:rPr>
          <w:w w:val="105"/>
          <w:sz w:val="23"/>
        </w:rPr>
        <w:t xml:space="preserve">Public Procurement Regulatory Authority (PPRA). (2022). </w:t>
      </w:r>
      <w:r>
        <w:rPr>
          <w:i/>
          <w:w w:val="105"/>
          <w:sz w:val="23"/>
        </w:rPr>
        <w:t>Annual performance evaluation report of the public procurement system in Tanzania</w:t>
      </w:r>
      <w:r>
        <w:rPr>
          <w:w w:val="105"/>
          <w:sz w:val="23"/>
        </w:rPr>
        <w:t>. Dar es Sa</w:t>
      </w:r>
      <w:r>
        <w:rPr>
          <w:w w:val="105"/>
          <w:sz w:val="23"/>
        </w:rPr>
        <w:t>laam: PPRA.</w:t>
      </w:r>
    </w:p>
    <w:p w:rsidR="00487D64" w:rsidRDefault="006F0D93">
      <w:pPr>
        <w:pStyle w:val="BodyText"/>
        <w:spacing w:before="7" w:line="499" w:lineRule="auto"/>
        <w:ind w:left="2550" w:right="859" w:hanging="1131"/>
        <w:jc w:val="both"/>
      </w:pPr>
      <w:r>
        <w:rPr>
          <w:w w:val="105"/>
        </w:rPr>
        <w:t>Rhee,</w:t>
      </w:r>
      <w:r>
        <w:rPr>
          <w:spacing w:val="-3"/>
          <w:w w:val="105"/>
        </w:rPr>
        <w:t xml:space="preserve"> </w:t>
      </w:r>
      <w:r>
        <w:rPr>
          <w:w w:val="105"/>
        </w:rPr>
        <w:t>J.,</w:t>
      </w:r>
      <w:r>
        <w:rPr>
          <w:spacing w:val="-3"/>
          <w:w w:val="105"/>
        </w:rPr>
        <w:t xml:space="preserve"> </w:t>
      </w:r>
      <w:r>
        <w:rPr>
          <w:w w:val="105"/>
        </w:rPr>
        <w:t>Park,</w:t>
      </w:r>
      <w:r>
        <w:rPr>
          <w:spacing w:val="-3"/>
          <w:w w:val="105"/>
        </w:rPr>
        <w:t xml:space="preserve"> </w:t>
      </w:r>
      <w:r>
        <w:rPr>
          <w:w w:val="105"/>
        </w:rPr>
        <w:t>T.,</w:t>
      </w:r>
      <w:r>
        <w:rPr>
          <w:spacing w:val="-3"/>
          <w:w w:val="105"/>
        </w:rPr>
        <w:t xml:space="preserve"> </w:t>
      </w:r>
      <w:r>
        <w:rPr>
          <w:w w:val="105"/>
        </w:rPr>
        <w:t>and Lee,</w:t>
      </w:r>
      <w:r>
        <w:rPr>
          <w:spacing w:val="-3"/>
          <w:w w:val="105"/>
        </w:rPr>
        <w:t xml:space="preserve"> </w:t>
      </w:r>
      <w:r>
        <w:rPr>
          <w:w w:val="105"/>
        </w:rPr>
        <w:t>D.</w:t>
      </w:r>
      <w:r>
        <w:rPr>
          <w:spacing w:val="-3"/>
          <w:w w:val="105"/>
        </w:rPr>
        <w:t xml:space="preserve"> </w:t>
      </w:r>
      <w:r>
        <w:rPr>
          <w:w w:val="105"/>
        </w:rPr>
        <w:t>H.</w:t>
      </w:r>
      <w:r>
        <w:rPr>
          <w:spacing w:val="-3"/>
          <w:w w:val="105"/>
        </w:rPr>
        <w:t xml:space="preserve"> </w:t>
      </w:r>
      <w:r>
        <w:rPr>
          <w:w w:val="105"/>
        </w:rPr>
        <w:t>(2010).</w:t>
      </w:r>
      <w:r>
        <w:rPr>
          <w:spacing w:val="-3"/>
          <w:w w:val="105"/>
        </w:rPr>
        <w:t xml:space="preserve"> </w:t>
      </w:r>
      <w:r>
        <w:rPr>
          <w:w w:val="105"/>
        </w:rPr>
        <w:t>Drivers of</w:t>
      </w:r>
      <w:r>
        <w:rPr>
          <w:spacing w:val="-7"/>
          <w:w w:val="105"/>
        </w:rPr>
        <w:t xml:space="preserve"> </w:t>
      </w:r>
      <w:r>
        <w:rPr>
          <w:w w:val="105"/>
        </w:rPr>
        <w:t>innovativeness</w:t>
      </w:r>
      <w:r>
        <w:rPr>
          <w:spacing w:val="-6"/>
          <w:w w:val="105"/>
        </w:rPr>
        <w:t xml:space="preserve"> </w:t>
      </w:r>
      <w:r>
        <w:rPr>
          <w:w w:val="105"/>
        </w:rPr>
        <w:t>and performance for</w:t>
      </w:r>
      <w:r>
        <w:rPr>
          <w:spacing w:val="40"/>
          <w:w w:val="105"/>
        </w:rPr>
        <w:t xml:space="preserve"> </w:t>
      </w:r>
      <w:r>
        <w:rPr>
          <w:w w:val="105"/>
        </w:rPr>
        <w:t>innovative</w:t>
      </w:r>
      <w:r>
        <w:rPr>
          <w:spacing w:val="40"/>
          <w:w w:val="105"/>
        </w:rPr>
        <w:t xml:space="preserve"> </w:t>
      </w:r>
      <w:r>
        <w:rPr>
          <w:w w:val="105"/>
        </w:rPr>
        <w:t>SME</w:t>
      </w:r>
      <w:r>
        <w:rPr>
          <w:spacing w:val="40"/>
          <w:w w:val="105"/>
        </w:rPr>
        <w:t xml:space="preserve"> </w:t>
      </w:r>
      <w:r>
        <w:rPr>
          <w:w w:val="105"/>
        </w:rPr>
        <w:t>in</w:t>
      </w:r>
      <w:r>
        <w:rPr>
          <w:spacing w:val="40"/>
          <w:w w:val="105"/>
        </w:rPr>
        <w:t xml:space="preserve"> </w:t>
      </w:r>
      <w:r>
        <w:rPr>
          <w:w w:val="105"/>
        </w:rPr>
        <w:t>South</w:t>
      </w:r>
      <w:r>
        <w:rPr>
          <w:spacing w:val="40"/>
          <w:w w:val="105"/>
        </w:rPr>
        <w:t xml:space="preserve"> </w:t>
      </w:r>
      <w:r>
        <w:rPr>
          <w:w w:val="105"/>
        </w:rPr>
        <w:t>Korea:</w:t>
      </w:r>
      <w:r>
        <w:rPr>
          <w:spacing w:val="40"/>
          <w:w w:val="105"/>
        </w:rPr>
        <w:t xml:space="preserve"> </w:t>
      </w:r>
      <w:r>
        <w:rPr>
          <w:w w:val="105"/>
        </w:rPr>
        <w:t>Mediation</w:t>
      </w:r>
      <w:r>
        <w:rPr>
          <w:spacing w:val="40"/>
          <w:w w:val="105"/>
        </w:rPr>
        <w:t xml:space="preserve"> </w:t>
      </w:r>
      <w:r>
        <w:rPr>
          <w:w w:val="105"/>
        </w:rPr>
        <w:t>of</w:t>
      </w:r>
      <w:r>
        <w:rPr>
          <w:spacing w:val="40"/>
          <w:w w:val="105"/>
        </w:rPr>
        <w:t xml:space="preserve"> </w:t>
      </w:r>
      <w:r>
        <w:rPr>
          <w:w w:val="105"/>
        </w:rPr>
        <w:t xml:space="preserve">learning orientation. </w:t>
      </w:r>
      <w:r>
        <w:rPr>
          <w:i/>
          <w:w w:val="105"/>
        </w:rPr>
        <w:t>Technovation</w:t>
      </w:r>
      <w:r>
        <w:rPr>
          <w:w w:val="105"/>
        </w:rPr>
        <w:t xml:space="preserve">, </w:t>
      </w:r>
      <w:r>
        <w:rPr>
          <w:i/>
          <w:w w:val="105"/>
        </w:rPr>
        <w:t>30</w:t>
      </w:r>
      <w:r>
        <w:rPr>
          <w:w w:val="105"/>
        </w:rPr>
        <w:t>(1), 65-75.</w:t>
      </w:r>
    </w:p>
    <w:p w:rsidR="00487D64" w:rsidRDefault="006F0D93">
      <w:pPr>
        <w:spacing w:before="6" w:line="499" w:lineRule="auto"/>
        <w:ind w:left="2550" w:right="849" w:hanging="1131"/>
        <w:jc w:val="both"/>
        <w:rPr>
          <w:sz w:val="23"/>
        </w:rPr>
      </w:pPr>
      <w:r>
        <w:rPr>
          <w:w w:val="105"/>
          <w:sz w:val="23"/>
        </w:rPr>
        <w:t xml:space="preserve">Rhoads, C. H. (2012) </w:t>
      </w:r>
      <w:r>
        <w:rPr>
          <w:i/>
          <w:w w:val="105"/>
          <w:sz w:val="23"/>
        </w:rPr>
        <w:t>Problems with tests of the missingness</w:t>
      </w:r>
      <w:r>
        <w:rPr>
          <w:i/>
          <w:w w:val="105"/>
          <w:sz w:val="23"/>
        </w:rPr>
        <w:t xml:space="preserve"> mechanism in quantitative policy studies</w:t>
      </w:r>
      <w:r>
        <w:rPr>
          <w:w w:val="105"/>
          <w:sz w:val="23"/>
        </w:rPr>
        <w:t xml:space="preserve">. </w:t>
      </w:r>
      <w:r>
        <w:rPr>
          <w:i/>
          <w:w w:val="105"/>
          <w:sz w:val="23"/>
        </w:rPr>
        <w:t>Statistics, Politics and Policy</w:t>
      </w:r>
      <w:r>
        <w:rPr>
          <w:w w:val="105"/>
          <w:sz w:val="23"/>
        </w:rPr>
        <w:t xml:space="preserve">, 3(1), Article </w:t>
      </w:r>
      <w:r>
        <w:rPr>
          <w:spacing w:val="-4"/>
          <w:w w:val="105"/>
          <w:sz w:val="23"/>
        </w:rPr>
        <w:t>25.</w:t>
      </w:r>
    </w:p>
    <w:p w:rsidR="00487D64" w:rsidRDefault="006F0D93">
      <w:pPr>
        <w:spacing w:before="7" w:line="501" w:lineRule="auto"/>
        <w:ind w:left="2550" w:right="855" w:hanging="1131"/>
        <w:jc w:val="both"/>
        <w:rPr>
          <w:sz w:val="23"/>
        </w:rPr>
      </w:pPr>
      <w:r>
        <w:rPr>
          <w:w w:val="105"/>
          <w:sz w:val="23"/>
        </w:rPr>
        <w:t>Royo-Vela, M., Amezquita Salazar, J. C., and Puig Blanco, F. (2022). Market orientation</w:t>
      </w:r>
      <w:r>
        <w:rPr>
          <w:spacing w:val="-7"/>
          <w:w w:val="105"/>
          <w:sz w:val="23"/>
        </w:rPr>
        <w:t xml:space="preserve"> </w:t>
      </w:r>
      <w:r>
        <w:rPr>
          <w:w w:val="105"/>
          <w:sz w:val="23"/>
        </w:rPr>
        <w:t>in</w:t>
      </w:r>
      <w:r>
        <w:rPr>
          <w:spacing w:val="-7"/>
          <w:w w:val="105"/>
          <w:sz w:val="23"/>
        </w:rPr>
        <w:t xml:space="preserve"> </w:t>
      </w:r>
      <w:r>
        <w:rPr>
          <w:w w:val="105"/>
          <w:sz w:val="23"/>
        </w:rPr>
        <w:t>service</w:t>
      </w:r>
      <w:r>
        <w:rPr>
          <w:spacing w:val="-8"/>
          <w:w w:val="105"/>
          <w:sz w:val="23"/>
        </w:rPr>
        <w:t xml:space="preserve"> </w:t>
      </w:r>
      <w:r>
        <w:rPr>
          <w:w w:val="105"/>
          <w:sz w:val="23"/>
        </w:rPr>
        <w:t>clusters</w:t>
      </w:r>
      <w:r>
        <w:rPr>
          <w:spacing w:val="-15"/>
          <w:w w:val="105"/>
          <w:sz w:val="23"/>
        </w:rPr>
        <w:t xml:space="preserve"> </w:t>
      </w:r>
      <w:r>
        <w:rPr>
          <w:w w:val="105"/>
          <w:sz w:val="23"/>
        </w:rPr>
        <w:t>and</w:t>
      </w:r>
      <w:r>
        <w:rPr>
          <w:spacing w:val="-7"/>
          <w:w w:val="105"/>
          <w:sz w:val="23"/>
        </w:rPr>
        <w:t xml:space="preserve"> </w:t>
      </w:r>
      <w:r>
        <w:rPr>
          <w:w w:val="105"/>
          <w:sz w:val="23"/>
        </w:rPr>
        <w:t>its</w:t>
      </w:r>
      <w:r>
        <w:rPr>
          <w:spacing w:val="-3"/>
          <w:w w:val="105"/>
          <w:sz w:val="23"/>
        </w:rPr>
        <w:t xml:space="preserve"> </w:t>
      </w:r>
      <w:r>
        <w:rPr>
          <w:w w:val="105"/>
          <w:sz w:val="23"/>
        </w:rPr>
        <w:t>effect</w:t>
      </w:r>
      <w:r>
        <w:rPr>
          <w:spacing w:val="-6"/>
          <w:w w:val="105"/>
          <w:sz w:val="23"/>
        </w:rPr>
        <w:t xml:space="preserve"> </w:t>
      </w:r>
      <w:r>
        <w:rPr>
          <w:w w:val="105"/>
          <w:sz w:val="23"/>
        </w:rPr>
        <w:t>on</w:t>
      </w:r>
      <w:r>
        <w:rPr>
          <w:spacing w:val="-7"/>
          <w:w w:val="105"/>
          <w:sz w:val="23"/>
        </w:rPr>
        <w:t xml:space="preserve"> </w:t>
      </w:r>
      <w:r>
        <w:rPr>
          <w:w w:val="105"/>
          <w:sz w:val="23"/>
        </w:rPr>
        <w:t>the</w:t>
      </w:r>
      <w:r>
        <w:rPr>
          <w:spacing w:val="-8"/>
          <w:w w:val="105"/>
          <w:sz w:val="23"/>
        </w:rPr>
        <w:t xml:space="preserve"> </w:t>
      </w:r>
      <w:r>
        <w:rPr>
          <w:w w:val="105"/>
          <w:sz w:val="23"/>
        </w:rPr>
        <w:t>marketing</w:t>
      </w:r>
      <w:r>
        <w:rPr>
          <w:spacing w:val="-7"/>
          <w:w w:val="105"/>
          <w:sz w:val="23"/>
        </w:rPr>
        <w:t xml:space="preserve"> </w:t>
      </w:r>
      <w:r>
        <w:rPr>
          <w:w w:val="105"/>
          <w:sz w:val="23"/>
        </w:rPr>
        <w:t>performance of</w:t>
      </w:r>
      <w:r>
        <w:rPr>
          <w:spacing w:val="80"/>
          <w:w w:val="105"/>
          <w:sz w:val="23"/>
        </w:rPr>
        <w:t xml:space="preserve"> </w:t>
      </w:r>
      <w:r>
        <w:rPr>
          <w:w w:val="105"/>
          <w:sz w:val="23"/>
        </w:rPr>
        <w:t>SME.</w:t>
      </w:r>
      <w:r>
        <w:rPr>
          <w:spacing w:val="-6"/>
          <w:w w:val="105"/>
          <w:sz w:val="23"/>
        </w:rPr>
        <w:t xml:space="preserve"> </w:t>
      </w:r>
      <w:r>
        <w:rPr>
          <w:i/>
          <w:w w:val="105"/>
          <w:sz w:val="23"/>
        </w:rPr>
        <w:t>Eu</w:t>
      </w:r>
      <w:r>
        <w:rPr>
          <w:i/>
          <w:w w:val="105"/>
          <w:sz w:val="23"/>
        </w:rPr>
        <w:t>ropean</w:t>
      </w:r>
      <w:r>
        <w:rPr>
          <w:i/>
          <w:spacing w:val="80"/>
          <w:w w:val="105"/>
          <w:sz w:val="23"/>
        </w:rPr>
        <w:t xml:space="preserve"> </w:t>
      </w:r>
      <w:r>
        <w:rPr>
          <w:i/>
          <w:w w:val="105"/>
          <w:sz w:val="23"/>
        </w:rPr>
        <w:t>Journal</w:t>
      </w:r>
      <w:r>
        <w:rPr>
          <w:i/>
          <w:spacing w:val="80"/>
          <w:w w:val="105"/>
          <w:sz w:val="23"/>
        </w:rPr>
        <w:t xml:space="preserve"> </w:t>
      </w:r>
      <w:r>
        <w:rPr>
          <w:i/>
          <w:w w:val="105"/>
          <w:sz w:val="23"/>
        </w:rPr>
        <w:t>of</w:t>
      </w:r>
      <w:r>
        <w:rPr>
          <w:i/>
          <w:spacing w:val="80"/>
          <w:w w:val="105"/>
          <w:sz w:val="23"/>
        </w:rPr>
        <w:t xml:space="preserve"> </w:t>
      </w:r>
      <w:r>
        <w:rPr>
          <w:i/>
          <w:w w:val="105"/>
          <w:sz w:val="23"/>
        </w:rPr>
        <w:t>Management</w:t>
      </w:r>
      <w:r>
        <w:rPr>
          <w:i/>
          <w:spacing w:val="80"/>
          <w:w w:val="105"/>
          <w:sz w:val="23"/>
        </w:rPr>
        <w:t xml:space="preserve"> </w:t>
      </w:r>
      <w:r>
        <w:rPr>
          <w:i/>
          <w:w w:val="105"/>
          <w:sz w:val="23"/>
        </w:rPr>
        <w:t>and</w:t>
      </w:r>
      <w:r>
        <w:rPr>
          <w:i/>
          <w:spacing w:val="80"/>
          <w:w w:val="105"/>
          <w:sz w:val="23"/>
        </w:rPr>
        <w:t xml:space="preserve"> </w:t>
      </w:r>
      <w:r>
        <w:rPr>
          <w:i/>
          <w:w w:val="105"/>
          <w:sz w:val="23"/>
        </w:rPr>
        <w:t>Business Economics</w:t>
      </w:r>
      <w:r>
        <w:rPr>
          <w:w w:val="105"/>
          <w:sz w:val="23"/>
        </w:rPr>
        <w:t xml:space="preserve">, </w:t>
      </w:r>
      <w:r>
        <w:rPr>
          <w:i/>
          <w:w w:val="105"/>
          <w:sz w:val="23"/>
        </w:rPr>
        <w:t>31</w:t>
      </w:r>
      <w:r>
        <w:rPr>
          <w:w w:val="105"/>
          <w:sz w:val="23"/>
        </w:rPr>
        <w:t>(1), 1-21.</w:t>
      </w:r>
    </w:p>
    <w:p w:rsidR="00487D64" w:rsidRDefault="006F0D93">
      <w:pPr>
        <w:spacing w:line="496" w:lineRule="auto"/>
        <w:ind w:left="2550" w:right="848" w:hanging="1131"/>
        <w:jc w:val="both"/>
        <w:rPr>
          <w:sz w:val="23"/>
        </w:rPr>
      </w:pPr>
      <w:r>
        <w:rPr>
          <w:w w:val="105"/>
          <w:sz w:val="23"/>
        </w:rPr>
        <w:t xml:space="preserve">Sanchez, R. (1995). Strategic flexibility in product competition. </w:t>
      </w:r>
      <w:r>
        <w:rPr>
          <w:i/>
          <w:w w:val="105"/>
          <w:sz w:val="23"/>
        </w:rPr>
        <w:t>Strategic management journal</w:t>
      </w:r>
      <w:r>
        <w:rPr>
          <w:w w:val="105"/>
          <w:sz w:val="23"/>
        </w:rPr>
        <w:t xml:space="preserve">, </w:t>
      </w:r>
      <w:r>
        <w:rPr>
          <w:i/>
          <w:w w:val="105"/>
          <w:sz w:val="23"/>
        </w:rPr>
        <w:t>16</w:t>
      </w:r>
      <w:r>
        <w:rPr>
          <w:w w:val="105"/>
          <w:sz w:val="23"/>
        </w:rPr>
        <w:t>(S1), 135-159.</w:t>
      </w:r>
    </w:p>
    <w:p w:rsidR="00487D64" w:rsidRDefault="006F0D93">
      <w:pPr>
        <w:pStyle w:val="BodyText"/>
        <w:spacing w:before="7" w:line="499" w:lineRule="auto"/>
        <w:ind w:left="2550" w:right="855" w:hanging="1131"/>
        <w:jc w:val="both"/>
      </w:pPr>
      <w:r>
        <w:rPr>
          <w:w w:val="105"/>
        </w:rPr>
        <w:t xml:space="preserve">Sarstedt, M., Ringle, C. M., &amp; Hair, J. F. (2017). </w:t>
      </w:r>
      <w:hyperlink r:id="rId27">
        <w:r>
          <w:rPr>
            <w:w w:val="105"/>
          </w:rPr>
          <w:t>Partial Least Squares Structural</w:t>
        </w:r>
      </w:hyperlink>
      <w:r>
        <w:rPr>
          <w:w w:val="105"/>
        </w:rPr>
        <w:t xml:space="preserve"> </w:t>
      </w:r>
      <w:hyperlink r:id="rId28">
        <w:r>
          <w:rPr>
            <w:w w:val="105"/>
          </w:rPr>
          <w:t>Equation Modeling.</w:t>
        </w:r>
      </w:hyperlink>
      <w:r>
        <w:rPr>
          <w:w w:val="105"/>
        </w:rPr>
        <w:t xml:space="preserve"> In C. Homburg, M. Klarmann, &amp; A. E. Vomb</w:t>
      </w:r>
      <w:r>
        <w:rPr>
          <w:w w:val="105"/>
        </w:rPr>
        <w:t>erg (Eds.), Handbook of Market Research (pp. 1–40). Springer: Cham.</w:t>
      </w:r>
    </w:p>
    <w:p w:rsidR="00487D64" w:rsidRDefault="006F0D93">
      <w:pPr>
        <w:pStyle w:val="BodyText"/>
        <w:spacing w:before="6" w:line="499" w:lineRule="auto"/>
        <w:ind w:left="2550" w:right="855" w:hanging="1131"/>
        <w:jc w:val="both"/>
      </w:pPr>
      <w:r>
        <w:rPr>
          <w:w w:val="105"/>
        </w:rPr>
        <w:t>Sarstedt, M., Ringle, C. M., &amp; Hair, J. F. (2021).</w:t>
      </w:r>
      <w:r>
        <w:rPr>
          <w:spacing w:val="-5"/>
          <w:w w:val="105"/>
        </w:rPr>
        <w:t xml:space="preserve"> </w:t>
      </w:r>
      <w:hyperlink r:id="rId29">
        <w:r>
          <w:rPr>
            <w:w w:val="105"/>
          </w:rPr>
          <w:t>Partial Least Squares Structural</w:t>
        </w:r>
      </w:hyperlink>
      <w:r>
        <w:rPr>
          <w:w w:val="105"/>
        </w:rPr>
        <w:t xml:space="preserve"> </w:t>
      </w:r>
      <w:hyperlink r:id="rId30">
        <w:r>
          <w:rPr>
            <w:w w:val="105"/>
          </w:rPr>
          <w:t>Equation Modeling.</w:t>
        </w:r>
      </w:hyperlink>
      <w:r>
        <w:rPr>
          <w:w w:val="105"/>
        </w:rPr>
        <w:t xml:space="preserve"> In C. Homburg, M. Klarmann, &amp; A. E. Vomberg (Eds.), Handbook of Market Research (pp. 1–47). Springer: Cham.</w:t>
      </w:r>
    </w:p>
    <w:p w:rsidR="00487D64" w:rsidRDefault="006F0D93">
      <w:pPr>
        <w:spacing w:before="7" w:line="504" w:lineRule="auto"/>
        <w:ind w:left="2550" w:right="851" w:hanging="1131"/>
        <w:jc w:val="both"/>
        <w:rPr>
          <w:sz w:val="23"/>
        </w:rPr>
      </w:pPr>
      <w:r>
        <w:rPr>
          <w:w w:val="105"/>
          <w:sz w:val="23"/>
        </w:rPr>
        <w:t>Saunders,</w:t>
      </w:r>
      <w:r>
        <w:rPr>
          <w:spacing w:val="-5"/>
          <w:w w:val="105"/>
          <w:sz w:val="23"/>
        </w:rPr>
        <w:t xml:space="preserve"> </w:t>
      </w:r>
      <w:r>
        <w:rPr>
          <w:w w:val="105"/>
          <w:sz w:val="23"/>
        </w:rPr>
        <w:t>M.</w:t>
      </w:r>
      <w:r>
        <w:rPr>
          <w:spacing w:val="-5"/>
          <w:w w:val="105"/>
          <w:sz w:val="23"/>
        </w:rPr>
        <w:t xml:space="preserve"> </w:t>
      </w:r>
      <w:r>
        <w:rPr>
          <w:w w:val="105"/>
          <w:sz w:val="23"/>
        </w:rPr>
        <w:t>N.,</w:t>
      </w:r>
      <w:r>
        <w:rPr>
          <w:spacing w:val="-5"/>
          <w:w w:val="105"/>
          <w:sz w:val="23"/>
        </w:rPr>
        <w:t xml:space="preserve"> </w:t>
      </w:r>
      <w:r>
        <w:rPr>
          <w:w w:val="105"/>
          <w:sz w:val="23"/>
        </w:rPr>
        <w:t>Lewis,</w:t>
      </w:r>
      <w:r>
        <w:rPr>
          <w:spacing w:val="-5"/>
          <w:w w:val="105"/>
          <w:sz w:val="23"/>
        </w:rPr>
        <w:t xml:space="preserve"> </w:t>
      </w:r>
      <w:r>
        <w:rPr>
          <w:w w:val="105"/>
          <w:sz w:val="23"/>
        </w:rPr>
        <w:t>P.</w:t>
      </w:r>
      <w:r>
        <w:rPr>
          <w:spacing w:val="-5"/>
          <w:w w:val="105"/>
          <w:sz w:val="23"/>
        </w:rPr>
        <w:t xml:space="preserve"> </w:t>
      </w:r>
      <w:r>
        <w:rPr>
          <w:w w:val="105"/>
          <w:sz w:val="23"/>
        </w:rPr>
        <w:t>and</w:t>
      </w:r>
      <w:r>
        <w:rPr>
          <w:spacing w:val="-6"/>
          <w:w w:val="105"/>
          <w:sz w:val="23"/>
        </w:rPr>
        <w:t xml:space="preserve"> </w:t>
      </w:r>
      <w:r>
        <w:rPr>
          <w:w w:val="105"/>
          <w:sz w:val="23"/>
        </w:rPr>
        <w:t>Thorn</w:t>
      </w:r>
      <w:r>
        <w:rPr>
          <w:w w:val="105"/>
          <w:sz w:val="23"/>
        </w:rPr>
        <w:t>hill, A.</w:t>
      </w:r>
      <w:r>
        <w:rPr>
          <w:spacing w:val="-5"/>
          <w:w w:val="105"/>
          <w:sz w:val="23"/>
        </w:rPr>
        <w:t xml:space="preserve"> </w:t>
      </w:r>
      <w:r>
        <w:rPr>
          <w:w w:val="105"/>
          <w:sz w:val="23"/>
        </w:rPr>
        <w:t xml:space="preserve">(2012). </w:t>
      </w:r>
      <w:r>
        <w:rPr>
          <w:i/>
          <w:w w:val="105"/>
          <w:sz w:val="23"/>
        </w:rPr>
        <w:t>Business</w:t>
      </w:r>
      <w:r>
        <w:rPr>
          <w:i/>
          <w:spacing w:val="-2"/>
          <w:w w:val="105"/>
          <w:sz w:val="23"/>
        </w:rPr>
        <w:t xml:space="preserve"> </w:t>
      </w:r>
      <w:r>
        <w:rPr>
          <w:i/>
          <w:w w:val="105"/>
          <w:sz w:val="23"/>
        </w:rPr>
        <w:t>Research for</w:t>
      </w:r>
      <w:r>
        <w:rPr>
          <w:i/>
          <w:spacing w:val="-8"/>
          <w:w w:val="105"/>
          <w:sz w:val="23"/>
        </w:rPr>
        <w:t xml:space="preserve"> </w:t>
      </w:r>
      <w:r>
        <w:rPr>
          <w:i/>
          <w:w w:val="105"/>
          <w:sz w:val="23"/>
        </w:rPr>
        <w:t xml:space="preserve">Business Students </w:t>
      </w:r>
      <w:r>
        <w:rPr>
          <w:w w:val="105"/>
          <w:sz w:val="23"/>
        </w:rPr>
        <w:t>(6th ed.). Pearson Education Ltd.</w:t>
      </w:r>
    </w:p>
    <w:p w:rsidR="00487D64" w:rsidRDefault="00487D64">
      <w:pPr>
        <w:spacing w:line="504" w:lineRule="auto"/>
        <w:jc w:val="bot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501" w:lineRule="auto"/>
        <w:ind w:left="2550" w:right="855" w:hanging="1131"/>
        <w:jc w:val="both"/>
      </w:pPr>
      <w:r>
        <w:rPr>
          <w:w w:val="105"/>
        </w:rPr>
        <w:t>Saunders, M., Lewis, P., Thornhill, A., &amp;</w:t>
      </w:r>
      <w:r>
        <w:rPr>
          <w:spacing w:val="-2"/>
          <w:w w:val="105"/>
        </w:rPr>
        <w:t xml:space="preserve"> </w:t>
      </w:r>
      <w:r>
        <w:rPr>
          <w:w w:val="105"/>
        </w:rPr>
        <w:t>Bristow, A. (2019).</w:t>
      </w:r>
      <w:r>
        <w:rPr>
          <w:spacing w:val="-6"/>
          <w:w w:val="105"/>
        </w:rPr>
        <w:t xml:space="preserve"> </w:t>
      </w:r>
      <w:r>
        <w:rPr>
          <w:w w:val="105"/>
        </w:rPr>
        <w:t>Research Methods for Business Students" Chapter 4: Understanding research</w:t>
      </w:r>
      <w:r>
        <w:rPr>
          <w:w w:val="105"/>
        </w:rPr>
        <w:t xml:space="preserve"> philosophy and approaches to theory development. Research Methods for Business Students. Pearson Education.</w:t>
      </w:r>
    </w:p>
    <w:p w:rsidR="00487D64" w:rsidRDefault="006F0D93">
      <w:pPr>
        <w:pStyle w:val="BodyText"/>
        <w:spacing w:before="1" w:line="499" w:lineRule="auto"/>
        <w:ind w:left="2550" w:right="851" w:hanging="1131"/>
        <w:jc w:val="both"/>
      </w:pPr>
      <w:r>
        <w:rPr>
          <w:w w:val="105"/>
        </w:rPr>
        <w:t>Schuberth, F.,</w:t>
      </w:r>
      <w:r>
        <w:rPr>
          <w:spacing w:val="-4"/>
          <w:w w:val="105"/>
        </w:rPr>
        <w:t xml:space="preserve"> </w:t>
      </w:r>
      <w:r>
        <w:rPr>
          <w:w w:val="105"/>
        </w:rPr>
        <w:t>Rademaker, M. E., &amp;</w:t>
      </w:r>
      <w:r>
        <w:rPr>
          <w:spacing w:val="-7"/>
          <w:w w:val="105"/>
        </w:rPr>
        <w:t xml:space="preserve"> </w:t>
      </w:r>
      <w:r>
        <w:rPr>
          <w:w w:val="105"/>
        </w:rPr>
        <w:t>Henseler,</w:t>
      </w:r>
      <w:r>
        <w:rPr>
          <w:spacing w:val="-4"/>
          <w:w w:val="105"/>
        </w:rPr>
        <w:t xml:space="preserve"> </w:t>
      </w:r>
      <w:r>
        <w:rPr>
          <w:w w:val="105"/>
        </w:rPr>
        <w:t>J.</w:t>
      </w:r>
      <w:r>
        <w:rPr>
          <w:spacing w:val="-4"/>
          <w:w w:val="105"/>
        </w:rPr>
        <w:t xml:space="preserve"> </w:t>
      </w:r>
      <w:r>
        <w:rPr>
          <w:w w:val="105"/>
        </w:rPr>
        <w:t>(2023).</w:t>
      </w:r>
      <w:r>
        <w:rPr>
          <w:spacing w:val="-1"/>
          <w:w w:val="105"/>
        </w:rPr>
        <w:t xml:space="preserve"> </w:t>
      </w:r>
      <w:r>
        <w:rPr>
          <w:w w:val="105"/>
        </w:rPr>
        <w:t>Assessing</w:t>
      </w:r>
      <w:r>
        <w:rPr>
          <w:spacing w:val="-6"/>
          <w:w w:val="105"/>
        </w:rPr>
        <w:t xml:space="preserve"> </w:t>
      </w:r>
      <w:r>
        <w:rPr>
          <w:w w:val="105"/>
        </w:rPr>
        <w:t>the Overall</w:t>
      </w:r>
      <w:r>
        <w:rPr>
          <w:spacing w:val="-4"/>
          <w:w w:val="105"/>
        </w:rPr>
        <w:t xml:space="preserve"> </w:t>
      </w:r>
      <w:r>
        <w:rPr>
          <w:w w:val="105"/>
        </w:rPr>
        <w:t>Fit</w:t>
      </w:r>
      <w:r>
        <w:rPr>
          <w:spacing w:val="-4"/>
          <w:w w:val="105"/>
        </w:rPr>
        <w:t xml:space="preserve"> </w:t>
      </w:r>
      <w:r>
        <w:rPr>
          <w:w w:val="105"/>
        </w:rPr>
        <w:t>of Composite</w:t>
      </w:r>
      <w:r>
        <w:rPr>
          <w:spacing w:val="40"/>
          <w:w w:val="105"/>
        </w:rPr>
        <w:t xml:space="preserve"> </w:t>
      </w:r>
      <w:r>
        <w:rPr>
          <w:w w:val="105"/>
        </w:rPr>
        <w:t>Models</w:t>
      </w:r>
      <w:r>
        <w:rPr>
          <w:spacing w:val="40"/>
          <w:w w:val="105"/>
        </w:rPr>
        <w:t xml:space="preserve"> </w:t>
      </w:r>
      <w:r>
        <w:rPr>
          <w:w w:val="105"/>
        </w:rPr>
        <w:t>Estimated</w:t>
      </w:r>
      <w:r>
        <w:rPr>
          <w:spacing w:val="40"/>
          <w:w w:val="105"/>
        </w:rPr>
        <w:t xml:space="preserve"> </w:t>
      </w:r>
      <w:r>
        <w:rPr>
          <w:w w:val="105"/>
        </w:rPr>
        <w:t>by</w:t>
      </w:r>
      <w:r>
        <w:rPr>
          <w:spacing w:val="40"/>
          <w:w w:val="105"/>
        </w:rPr>
        <w:t xml:space="preserve"> </w:t>
      </w:r>
      <w:r>
        <w:rPr>
          <w:w w:val="105"/>
        </w:rPr>
        <w:t>Partial</w:t>
      </w:r>
      <w:r>
        <w:rPr>
          <w:spacing w:val="40"/>
          <w:w w:val="105"/>
        </w:rPr>
        <w:t xml:space="preserve"> </w:t>
      </w:r>
      <w:r>
        <w:rPr>
          <w:w w:val="105"/>
        </w:rPr>
        <w:t>Least</w:t>
      </w:r>
      <w:r>
        <w:rPr>
          <w:spacing w:val="40"/>
          <w:w w:val="105"/>
        </w:rPr>
        <w:t xml:space="preserve"> </w:t>
      </w:r>
      <w:r>
        <w:rPr>
          <w:w w:val="105"/>
        </w:rPr>
        <w:t>Squares</w:t>
      </w:r>
      <w:r>
        <w:rPr>
          <w:spacing w:val="40"/>
          <w:w w:val="105"/>
        </w:rPr>
        <w:t xml:space="preserve"> </w:t>
      </w:r>
      <w:r>
        <w:rPr>
          <w:w w:val="105"/>
        </w:rPr>
        <w:t>Path</w:t>
      </w:r>
      <w:r>
        <w:rPr>
          <w:spacing w:val="80"/>
          <w:w w:val="105"/>
        </w:rPr>
        <w:t xml:space="preserve"> </w:t>
      </w:r>
      <w:r>
        <w:rPr>
          <w:w w:val="105"/>
        </w:rPr>
        <w:t xml:space="preserve">Modeling. </w:t>
      </w:r>
      <w:r>
        <w:rPr>
          <w:i/>
          <w:w w:val="105"/>
        </w:rPr>
        <w:t>European Journal of Marketing</w:t>
      </w:r>
      <w:r>
        <w:rPr>
          <w:w w:val="105"/>
        </w:rPr>
        <w:t>, 57(6): 1678-1702.</w:t>
      </w:r>
    </w:p>
    <w:p w:rsidR="00487D64" w:rsidRDefault="006F0D93">
      <w:pPr>
        <w:pStyle w:val="BodyText"/>
        <w:spacing w:before="6" w:line="496" w:lineRule="auto"/>
        <w:ind w:left="2550" w:right="866" w:hanging="1131"/>
        <w:jc w:val="both"/>
      </w:pPr>
      <w:r>
        <w:rPr>
          <w:w w:val="105"/>
        </w:rPr>
        <w:t>Sekaran, U. (2003). Research Methods for Business In (4th ed.). Hoboken, New Jersey: John Wiley &amp; Sons.</w:t>
      </w:r>
    </w:p>
    <w:p w:rsidR="00487D64" w:rsidRDefault="006F0D93">
      <w:pPr>
        <w:pStyle w:val="BodyText"/>
        <w:spacing w:before="8" w:line="499" w:lineRule="auto"/>
        <w:ind w:left="2550" w:right="851" w:hanging="1131"/>
        <w:jc w:val="both"/>
      </w:pPr>
      <w:r>
        <w:rPr>
          <w:w w:val="105"/>
        </w:rPr>
        <w:t>Sen, S., Savitskie, K., Mahto, R. V., Kumar, S., and Khanin, D. (2023). Strategic flexibility</w:t>
      </w:r>
      <w:r>
        <w:rPr>
          <w:w w:val="105"/>
        </w:rPr>
        <w:t xml:space="preserve"> in small firms.</w:t>
      </w:r>
      <w:r>
        <w:rPr>
          <w:spacing w:val="-5"/>
          <w:w w:val="105"/>
        </w:rPr>
        <w:t xml:space="preserve"> </w:t>
      </w:r>
      <w:r>
        <w:rPr>
          <w:i/>
          <w:w w:val="105"/>
        </w:rPr>
        <w:t>Journal of Strategic Marketing</w:t>
      </w:r>
      <w:r>
        <w:rPr>
          <w:w w:val="105"/>
        </w:rPr>
        <w:t>,</w:t>
      </w:r>
      <w:r>
        <w:rPr>
          <w:spacing w:val="-9"/>
          <w:w w:val="105"/>
        </w:rPr>
        <w:t xml:space="preserve"> </w:t>
      </w:r>
      <w:r>
        <w:rPr>
          <w:i/>
          <w:w w:val="105"/>
        </w:rPr>
        <w:t>31</w:t>
      </w:r>
      <w:r>
        <w:rPr>
          <w:w w:val="105"/>
        </w:rPr>
        <w:t xml:space="preserve">(5), 1053- </w:t>
      </w:r>
      <w:r>
        <w:rPr>
          <w:spacing w:val="-2"/>
          <w:w w:val="105"/>
        </w:rPr>
        <w:t>1070.</w:t>
      </w:r>
    </w:p>
    <w:p w:rsidR="00487D64" w:rsidRDefault="006F0D93">
      <w:pPr>
        <w:spacing w:before="6" w:line="499" w:lineRule="auto"/>
        <w:ind w:left="2550" w:right="852" w:hanging="1131"/>
        <w:jc w:val="both"/>
        <w:rPr>
          <w:sz w:val="23"/>
        </w:rPr>
      </w:pPr>
      <w:r>
        <w:rPr>
          <w:w w:val="105"/>
          <w:sz w:val="23"/>
        </w:rPr>
        <w:t>Simionescu, S.,</w:t>
      </w:r>
      <w:r>
        <w:rPr>
          <w:spacing w:val="-4"/>
          <w:w w:val="105"/>
          <w:sz w:val="23"/>
        </w:rPr>
        <w:t xml:space="preserve"> </w:t>
      </w:r>
      <w:r>
        <w:rPr>
          <w:w w:val="105"/>
          <w:sz w:val="23"/>
        </w:rPr>
        <w:t>and</w:t>
      </w:r>
      <w:r>
        <w:rPr>
          <w:spacing w:val="-6"/>
          <w:w w:val="105"/>
          <w:sz w:val="23"/>
        </w:rPr>
        <w:t xml:space="preserve"> </w:t>
      </w:r>
      <w:r>
        <w:rPr>
          <w:w w:val="105"/>
          <w:sz w:val="23"/>
        </w:rPr>
        <w:t>Bica, E.</w:t>
      </w:r>
      <w:r>
        <w:rPr>
          <w:spacing w:val="-4"/>
          <w:w w:val="105"/>
          <w:sz w:val="23"/>
        </w:rPr>
        <w:t xml:space="preserve"> </w:t>
      </w:r>
      <w:r>
        <w:rPr>
          <w:w w:val="105"/>
          <w:sz w:val="23"/>
        </w:rPr>
        <w:t>(2014).</w:t>
      </w:r>
      <w:r>
        <w:rPr>
          <w:spacing w:val="-4"/>
          <w:w w:val="105"/>
          <w:sz w:val="23"/>
        </w:rPr>
        <w:t xml:space="preserve"> </w:t>
      </w:r>
      <w:r>
        <w:rPr>
          <w:w w:val="105"/>
          <w:sz w:val="23"/>
        </w:rPr>
        <w:t>Controversies</w:t>
      </w:r>
      <w:r>
        <w:rPr>
          <w:spacing w:val="-8"/>
          <w:w w:val="105"/>
          <w:sz w:val="23"/>
        </w:rPr>
        <w:t xml:space="preserve"> </w:t>
      </w:r>
      <w:r>
        <w:rPr>
          <w:w w:val="105"/>
          <w:sz w:val="23"/>
        </w:rPr>
        <w:t>and comparisons</w:t>
      </w:r>
      <w:r>
        <w:rPr>
          <w:spacing w:val="-1"/>
          <w:w w:val="105"/>
          <w:sz w:val="23"/>
        </w:rPr>
        <w:t xml:space="preserve"> </w:t>
      </w:r>
      <w:r>
        <w:rPr>
          <w:w w:val="105"/>
          <w:sz w:val="23"/>
        </w:rPr>
        <w:t>of</w:t>
      </w:r>
      <w:r>
        <w:rPr>
          <w:spacing w:val="-2"/>
          <w:w w:val="105"/>
          <w:sz w:val="23"/>
        </w:rPr>
        <w:t xml:space="preserve"> </w:t>
      </w:r>
      <w:r>
        <w:rPr>
          <w:w w:val="105"/>
          <w:sz w:val="23"/>
        </w:rPr>
        <w:t>definition for small and medium-sized entreprises at level of European Union.</w:t>
      </w:r>
      <w:r>
        <w:rPr>
          <w:spacing w:val="-4"/>
          <w:w w:val="105"/>
          <w:sz w:val="23"/>
        </w:rPr>
        <w:t xml:space="preserve"> </w:t>
      </w:r>
      <w:r>
        <w:rPr>
          <w:i/>
          <w:w w:val="105"/>
          <w:sz w:val="23"/>
        </w:rPr>
        <w:t>Journal of Advanced Research in Manageme</w:t>
      </w:r>
      <w:r>
        <w:rPr>
          <w:i/>
          <w:w w:val="105"/>
          <w:sz w:val="23"/>
        </w:rPr>
        <w:t>nt</w:t>
      </w:r>
      <w:r>
        <w:rPr>
          <w:w w:val="105"/>
          <w:sz w:val="23"/>
        </w:rPr>
        <w:t xml:space="preserve">, </w:t>
      </w:r>
      <w:r>
        <w:rPr>
          <w:i/>
          <w:w w:val="105"/>
          <w:sz w:val="23"/>
        </w:rPr>
        <w:t>5</w:t>
      </w:r>
      <w:r>
        <w:rPr>
          <w:w w:val="105"/>
          <w:sz w:val="23"/>
        </w:rPr>
        <w:t>(2 (10)), 74.</w:t>
      </w:r>
    </w:p>
    <w:p w:rsidR="00487D64" w:rsidRDefault="006F0D93">
      <w:pPr>
        <w:tabs>
          <w:tab w:val="left" w:pos="4061"/>
          <w:tab w:val="left" w:pos="5565"/>
          <w:tab w:val="left" w:pos="6649"/>
        </w:tabs>
        <w:spacing w:before="6" w:line="499" w:lineRule="auto"/>
        <w:ind w:left="2550" w:right="844" w:hanging="1131"/>
        <w:jc w:val="both"/>
        <w:rPr>
          <w:sz w:val="23"/>
        </w:rPr>
      </w:pPr>
      <w:r>
        <w:rPr>
          <w:w w:val="105"/>
          <w:sz w:val="23"/>
        </w:rPr>
        <w:t xml:space="preserve">Singh, P., &amp; Bajpai, A. (2023). </w:t>
      </w:r>
      <w:r>
        <w:rPr>
          <w:i/>
          <w:w w:val="105"/>
          <w:sz w:val="23"/>
        </w:rPr>
        <w:t>Empowering disadvantaged groups through socio- economic development</w:t>
      </w:r>
      <w:r>
        <w:rPr>
          <w:w w:val="105"/>
          <w:sz w:val="23"/>
        </w:rPr>
        <w:t xml:space="preserve">. </w:t>
      </w:r>
      <w:r>
        <w:rPr>
          <w:i/>
          <w:w w:val="105"/>
          <w:sz w:val="23"/>
        </w:rPr>
        <w:t xml:space="preserve">International Journal for Multidisciplinary </w:t>
      </w:r>
      <w:r>
        <w:rPr>
          <w:i/>
          <w:spacing w:val="-2"/>
          <w:sz w:val="23"/>
        </w:rPr>
        <w:t>Research</w:t>
      </w:r>
      <w:r>
        <w:rPr>
          <w:i/>
          <w:sz w:val="23"/>
        </w:rPr>
        <w:tab/>
      </w:r>
      <w:r>
        <w:rPr>
          <w:i/>
          <w:spacing w:val="-2"/>
          <w:sz w:val="23"/>
        </w:rPr>
        <w:t>(IJFMR),</w:t>
      </w:r>
      <w:r>
        <w:rPr>
          <w:i/>
          <w:sz w:val="23"/>
        </w:rPr>
        <w:tab/>
      </w:r>
      <w:r>
        <w:rPr>
          <w:i/>
          <w:spacing w:val="-4"/>
          <w:sz w:val="23"/>
        </w:rPr>
        <w:t>5</w:t>
      </w:r>
      <w:r>
        <w:rPr>
          <w:spacing w:val="-4"/>
          <w:sz w:val="23"/>
        </w:rPr>
        <w:t>(5).</w:t>
      </w:r>
      <w:r>
        <w:rPr>
          <w:sz w:val="23"/>
        </w:rPr>
        <w:tab/>
      </w:r>
      <w:hyperlink r:id="rId31">
        <w:r>
          <w:rPr>
            <w:color w:val="0462C1"/>
            <w:spacing w:val="-2"/>
            <w:sz w:val="23"/>
            <w:u w:val="single" w:color="0462C1"/>
          </w:rPr>
          <w:t>https://www.ijfmr.com/article_</w:t>
        </w:r>
      </w:hyperlink>
    </w:p>
    <w:p w:rsidR="00487D64" w:rsidRDefault="006F0D93">
      <w:pPr>
        <w:pStyle w:val="BodyText"/>
        <w:spacing w:before="6"/>
        <w:ind w:left="2550"/>
      </w:pPr>
      <w:hyperlink r:id="rId32">
        <w:r>
          <w:rPr>
            <w:color w:val="0462C1"/>
            <w:spacing w:val="-2"/>
            <w:w w:val="105"/>
            <w:u w:val="single" w:color="0462C1"/>
          </w:rPr>
          <w:t>ijfmre23056149.pdf</w:t>
        </w:r>
      </w:hyperlink>
    </w:p>
    <w:p w:rsidR="00487D64" w:rsidRDefault="00487D64">
      <w:pPr>
        <w:pStyle w:val="BodyText"/>
        <w:spacing w:before="22"/>
      </w:pPr>
    </w:p>
    <w:p w:rsidR="00487D64" w:rsidRDefault="006F0D93">
      <w:pPr>
        <w:pStyle w:val="BodyText"/>
        <w:spacing w:line="501" w:lineRule="auto"/>
        <w:ind w:left="1445" w:right="851"/>
        <w:jc w:val="right"/>
      </w:pPr>
      <w:r>
        <w:rPr>
          <w:w w:val="105"/>
        </w:rPr>
        <w:t>Suri,</w:t>
      </w:r>
      <w:r>
        <w:rPr>
          <w:spacing w:val="-8"/>
          <w:w w:val="105"/>
        </w:rPr>
        <w:t xml:space="preserve"> </w:t>
      </w:r>
      <w:r>
        <w:rPr>
          <w:w w:val="105"/>
        </w:rPr>
        <w:t>D.</w:t>
      </w:r>
      <w:r>
        <w:rPr>
          <w:spacing w:val="-8"/>
          <w:w w:val="105"/>
        </w:rPr>
        <w:t xml:space="preserve"> </w:t>
      </w:r>
      <w:r>
        <w:rPr>
          <w:w w:val="105"/>
        </w:rPr>
        <w:t>(2019).</w:t>
      </w:r>
      <w:r>
        <w:rPr>
          <w:spacing w:val="-2"/>
          <w:w w:val="105"/>
        </w:rPr>
        <w:t xml:space="preserve"> </w:t>
      </w:r>
      <w:r>
        <w:rPr>
          <w:w w:val="105"/>
        </w:rPr>
        <w:t>Understanding</w:t>
      </w:r>
      <w:r>
        <w:rPr>
          <w:spacing w:val="-4"/>
          <w:w w:val="105"/>
        </w:rPr>
        <w:t xml:space="preserve"> </w:t>
      </w:r>
      <w:r>
        <w:rPr>
          <w:w w:val="105"/>
        </w:rPr>
        <w:t>positive</w:t>
      </w:r>
      <w:r>
        <w:rPr>
          <w:spacing w:val="-11"/>
          <w:w w:val="105"/>
        </w:rPr>
        <w:t xml:space="preserve"> </w:t>
      </w:r>
      <w:r>
        <w:rPr>
          <w:w w:val="105"/>
        </w:rPr>
        <w:t>impact</w:t>
      </w:r>
      <w:r>
        <w:rPr>
          <w:spacing w:val="-2"/>
          <w:w w:val="105"/>
        </w:rPr>
        <w:t xml:space="preserve"> </w:t>
      </w:r>
      <w:r>
        <w:rPr>
          <w:w w:val="105"/>
        </w:rPr>
        <w:t>of</w:t>
      </w:r>
      <w:r>
        <w:rPr>
          <w:spacing w:val="-6"/>
          <w:w w:val="105"/>
        </w:rPr>
        <w:t xml:space="preserve"> </w:t>
      </w:r>
      <w:r>
        <w:rPr>
          <w:w w:val="105"/>
        </w:rPr>
        <w:t>market</w:t>
      </w:r>
      <w:r>
        <w:rPr>
          <w:spacing w:val="-2"/>
          <w:w w:val="105"/>
        </w:rPr>
        <w:t xml:space="preserve"> </w:t>
      </w:r>
      <w:r>
        <w:rPr>
          <w:w w:val="105"/>
        </w:rPr>
        <w:t>orientat</w:t>
      </w:r>
      <w:r>
        <w:rPr>
          <w:w w:val="105"/>
        </w:rPr>
        <w:t>ion</w:t>
      </w:r>
      <w:r>
        <w:rPr>
          <w:spacing w:val="-4"/>
          <w:w w:val="105"/>
        </w:rPr>
        <w:t xml:space="preserve"> </w:t>
      </w:r>
      <w:r>
        <w:rPr>
          <w:w w:val="105"/>
        </w:rPr>
        <w:t>on</w:t>
      </w:r>
      <w:r>
        <w:rPr>
          <w:spacing w:val="-4"/>
          <w:w w:val="105"/>
        </w:rPr>
        <w:t xml:space="preserve"> </w:t>
      </w:r>
      <w:r>
        <w:rPr>
          <w:w w:val="105"/>
        </w:rPr>
        <w:t>performance Szalavetz,</w:t>
      </w:r>
      <w:r>
        <w:rPr>
          <w:spacing w:val="80"/>
          <w:w w:val="105"/>
        </w:rPr>
        <w:t xml:space="preserve"> </w:t>
      </w:r>
      <w:r>
        <w:rPr>
          <w:w w:val="105"/>
        </w:rPr>
        <w:t>A.</w:t>
      </w:r>
      <w:r>
        <w:rPr>
          <w:spacing w:val="80"/>
          <w:w w:val="105"/>
        </w:rPr>
        <w:t xml:space="preserve"> </w:t>
      </w:r>
      <w:r>
        <w:rPr>
          <w:w w:val="105"/>
        </w:rPr>
        <w:t>(2018).</w:t>
      </w:r>
      <w:r>
        <w:rPr>
          <w:spacing w:val="80"/>
          <w:w w:val="105"/>
        </w:rPr>
        <w:t xml:space="preserve"> </w:t>
      </w:r>
      <w:r>
        <w:rPr>
          <w:w w:val="105"/>
        </w:rPr>
        <w:t>Sustainability-oriented</w:t>
      </w:r>
      <w:r>
        <w:rPr>
          <w:spacing w:val="80"/>
          <w:w w:val="105"/>
        </w:rPr>
        <w:t xml:space="preserve"> </w:t>
      </w:r>
      <w:r>
        <w:rPr>
          <w:w w:val="105"/>
        </w:rPr>
        <w:t>cross-functional</w:t>
      </w:r>
      <w:r>
        <w:rPr>
          <w:spacing w:val="80"/>
          <w:w w:val="105"/>
        </w:rPr>
        <w:t xml:space="preserve"> </w:t>
      </w:r>
      <w:r>
        <w:rPr>
          <w:w w:val="105"/>
        </w:rPr>
        <w:t>collaboration</w:t>
      </w:r>
      <w:r>
        <w:rPr>
          <w:spacing w:val="80"/>
          <w:w w:val="105"/>
        </w:rPr>
        <w:t xml:space="preserve"> </w:t>
      </w:r>
      <w:r>
        <w:rPr>
          <w:w w:val="105"/>
        </w:rPr>
        <w:t>to manage</w:t>
      </w:r>
      <w:r>
        <w:rPr>
          <w:spacing w:val="80"/>
          <w:w w:val="105"/>
        </w:rPr>
        <w:t xml:space="preserve"> </w:t>
      </w:r>
      <w:r>
        <w:rPr>
          <w:w w:val="105"/>
        </w:rPr>
        <w:t>trade-offs</w:t>
      </w:r>
      <w:r>
        <w:rPr>
          <w:spacing w:val="80"/>
          <w:w w:val="105"/>
        </w:rPr>
        <w:t xml:space="preserve"> </w:t>
      </w:r>
      <w:r>
        <w:rPr>
          <w:w w:val="105"/>
        </w:rPr>
        <w:t>and</w:t>
      </w:r>
      <w:r>
        <w:rPr>
          <w:spacing w:val="80"/>
          <w:w w:val="105"/>
        </w:rPr>
        <w:t xml:space="preserve"> </w:t>
      </w:r>
      <w:r>
        <w:rPr>
          <w:w w:val="105"/>
        </w:rPr>
        <w:t>interdependencies.</w:t>
      </w:r>
      <w:r>
        <w:rPr>
          <w:spacing w:val="80"/>
          <w:w w:val="105"/>
        </w:rPr>
        <w:t xml:space="preserve"> </w:t>
      </w:r>
      <w:r>
        <w:rPr>
          <w:i/>
          <w:w w:val="105"/>
        </w:rPr>
        <w:t>International</w:t>
      </w:r>
      <w:r>
        <w:rPr>
          <w:i/>
          <w:spacing w:val="80"/>
          <w:w w:val="105"/>
        </w:rPr>
        <w:t xml:space="preserve"> </w:t>
      </w:r>
      <w:r>
        <w:rPr>
          <w:i/>
          <w:w w:val="105"/>
        </w:rPr>
        <w:t>Journal</w:t>
      </w:r>
      <w:r>
        <w:rPr>
          <w:i/>
          <w:spacing w:val="80"/>
          <w:w w:val="105"/>
        </w:rPr>
        <w:t xml:space="preserve"> </w:t>
      </w:r>
      <w:r>
        <w:rPr>
          <w:i/>
          <w:w w:val="105"/>
        </w:rPr>
        <w:t>of</w:t>
      </w:r>
      <w:r>
        <w:rPr>
          <w:i/>
          <w:spacing w:val="80"/>
          <w:w w:val="105"/>
        </w:rPr>
        <w:t xml:space="preserve"> </w:t>
      </w:r>
      <w:r>
        <w:rPr>
          <w:i/>
          <w:w w:val="105"/>
        </w:rPr>
        <w:t>Management and</w:t>
      </w:r>
      <w:r>
        <w:rPr>
          <w:i/>
          <w:spacing w:val="40"/>
          <w:w w:val="105"/>
        </w:rPr>
        <w:t xml:space="preserve"> </w:t>
      </w:r>
      <w:r>
        <w:rPr>
          <w:i/>
          <w:w w:val="105"/>
        </w:rPr>
        <w:t>Economics, 54</w:t>
      </w:r>
      <w:r>
        <w:rPr>
          <w:w w:val="105"/>
        </w:rPr>
        <w:t xml:space="preserve">(1), 3–17. </w:t>
      </w:r>
      <w:hyperlink r:id="rId33">
        <w:r>
          <w:rPr>
            <w:w w:val="105"/>
            <w:u w:val="single"/>
          </w:rPr>
          <w:t>https://doi.org/10.2478/ijme-</w:t>
        </w:r>
      </w:hyperlink>
    </w:p>
    <w:p w:rsidR="00487D64" w:rsidRDefault="006F0D93">
      <w:pPr>
        <w:pStyle w:val="BodyText"/>
        <w:spacing w:line="262" w:lineRule="exact"/>
        <w:ind w:left="2550"/>
      </w:pPr>
      <w:hyperlink r:id="rId34">
        <w:r>
          <w:rPr>
            <w:u w:val="single"/>
          </w:rPr>
          <w:t>2018-</w:t>
        </w:r>
        <w:r>
          <w:rPr>
            <w:spacing w:val="-4"/>
            <w:u w:val="single"/>
          </w:rPr>
          <w:t>0002</w:t>
        </w:r>
      </w:hyperlink>
    </w:p>
    <w:p w:rsidR="00487D64" w:rsidRDefault="00487D64">
      <w:pPr>
        <w:pStyle w:val="BodyText"/>
        <w:spacing w:line="262" w:lineRule="exact"/>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ind w:left="1419"/>
        <w:rPr>
          <w:sz w:val="23"/>
        </w:rPr>
      </w:pPr>
      <w:r>
        <w:rPr>
          <w:w w:val="105"/>
          <w:sz w:val="23"/>
        </w:rPr>
        <w:t>Tabachnick,</w:t>
      </w:r>
      <w:r>
        <w:rPr>
          <w:spacing w:val="3"/>
          <w:w w:val="105"/>
          <w:sz w:val="23"/>
        </w:rPr>
        <w:t xml:space="preserve"> </w:t>
      </w:r>
      <w:r>
        <w:rPr>
          <w:w w:val="105"/>
          <w:sz w:val="23"/>
        </w:rPr>
        <w:t>B.</w:t>
      </w:r>
      <w:r>
        <w:rPr>
          <w:spacing w:val="3"/>
          <w:w w:val="105"/>
          <w:sz w:val="23"/>
        </w:rPr>
        <w:t xml:space="preserve"> </w:t>
      </w:r>
      <w:r>
        <w:rPr>
          <w:w w:val="105"/>
          <w:sz w:val="23"/>
        </w:rPr>
        <w:t>G.</w:t>
      </w:r>
      <w:r>
        <w:rPr>
          <w:spacing w:val="9"/>
          <w:w w:val="105"/>
          <w:sz w:val="23"/>
        </w:rPr>
        <w:t xml:space="preserve"> </w:t>
      </w:r>
      <w:r>
        <w:rPr>
          <w:w w:val="105"/>
          <w:sz w:val="23"/>
        </w:rPr>
        <w:t>&amp;</w:t>
      </w:r>
      <w:r>
        <w:rPr>
          <w:spacing w:val="7"/>
          <w:w w:val="105"/>
          <w:sz w:val="23"/>
        </w:rPr>
        <w:t xml:space="preserve"> </w:t>
      </w:r>
      <w:r>
        <w:rPr>
          <w:w w:val="105"/>
          <w:sz w:val="23"/>
        </w:rPr>
        <w:t>Fidell,</w:t>
      </w:r>
      <w:r>
        <w:rPr>
          <w:spacing w:val="3"/>
          <w:w w:val="105"/>
          <w:sz w:val="23"/>
        </w:rPr>
        <w:t xml:space="preserve"> </w:t>
      </w:r>
      <w:r>
        <w:rPr>
          <w:w w:val="105"/>
          <w:sz w:val="23"/>
        </w:rPr>
        <w:t>L.</w:t>
      </w:r>
      <w:r>
        <w:rPr>
          <w:spacing w:val="10"/>
          <w:w w:val="105"/>
          <w:sz w:val="23"/>
        </w:rPr>
        <w:t xml:space="preserve"> </w:t>
      </w:r>
      <w:r>
        <w:rPr>
          <w:w w:val="105"/>
          <w:sz w:val="23"/>
        </w:rPr>
        <w:t>S.</w:t>
      </w:r>
      <w:r>
        <w:rPr>
          <w:spacing w:val="9"/>
          <w:w w:val="105"/>
          <w:sz w:val="23"/>
        </w:rPr>
        <w:t xml:space="preserve"> </w:t>
      </w:r>
      <w:r>
        <w:rPr>
          <w:w w:val="105"/>
          <w:sz w:val="23"/>
        </w:rPr>
        <w:t>(2007).</w:t>
      </w:r>
      <w:r>
        <w:rPr>
          <w:spacing w:val="12"/>
          <w:w w:val="105"/>
          <w:sz w:val="23"/>
        </w:rPr>
        <w:t xml:space="preserve"> </w:t>
      </w:r>
      <w:r>
        <w:rPr>
          <w:i/>
          <w:w w:val="105"/>
          <w:sz w:val="23"/>
        </w:rPr>
        <w:t>Using</w:t>
      </w:r>
      <w:r>
        <w:rPr>
          <w:i/>
          <w:spacing w:val="8"/>
          <w:w w:val="105"/>
          <w:sz w:val="23"/>
        </w:rPr>
        <w:t xml:space="preserve"> </w:t>
      </w:r>
      <w:r>
        <w:rPr>
          <w:i/>
          <w:w w:val="105"/>
          <w:sz w:val="23"/>
        </w:rPr>
        <w:t>multivariate</w:t>
      </w:r>
      <w:r>
        <w:rPr>
          <w:i/>
          <w:spacing w:val="7"/>
          <w:w w:val="105"/>
          <w:sz w:val="23"/>
        </w:rPr>
        <w:t xml:space="preserve"> </w:t>
      </w:r>
      <w:r>
        <w:rPr>
          <w:i/>
          <w:w w:val="105"/>
          <w:sz w:val="23"/>
        </w:rPr>
        <w:t>statistics,</w:t>
      </w:r>
      <w:r>
        <w:rPr>
          <w:i/>
          <w:spacing w:val="8"/>
          <w:w w:val="105"/>
          <w:sz w:val="23"/>
        </w:rPr>
        <w:t xml:space="preserve"> </w:t>
      </w:r>
      <w:r>
        <w:rPr>
          <w:w w:val="105"/>
          <w:sz w:val="23"/>
        </w:rPr>
        <w:t>(5</w:t>
      </w:r>
      <w:r>
        <w:rPr>
          <w:w w:val="105"/>
          <w:sz w:val="23"/>
          <w:vertAlign w:val="superscript"/>
        </w:rPr>
        <w:t>th</w:t>
      </w:r>
      <w:r>
        <w:rPr>
          <w:spacing w:val="5"/>
          <w:w w:val="105"/>
          <w:sz w:val="23"/>
        </w:rPr>
        <w:t xml:space="preserve"> </w:t>
      </w:r>
      <w:r>
        <w:rPr>
          <w:spacing w:val="-2"/>
          <w:w w:val="105"/>
          <w:sz w:val="23"/>
        </w:rPr>
        <w:t>edition).</w:t>
      </w:r>
    </w:p>
    <w:p w:rsidR="00487D64" w:rsidRDefault="00487D64">
      <w:pPr>
        <w:pStyle w:val="BodyText"/>
        <w:spacing w:before="26"/>
      </w:pPr>
    </w:p>
    <w:p w:rsidR="00487D64" w:rsidRDefault="006F0D93">
      <w:pPr>
        <w:pStyle w:val="BodyText"/>
        <w:ind w:left="2550"/>
      </w:pPr>
      <w:r>
        <w:rPr>
          <w:w w:val="105"/>
        </w:rPr>
        <w:t>Boston:</w:t>
      </w:r>
      <w:r>
        <w:rPr>
          <w:spacing w:val="-7"/>
          <w:w w:val="105"/>
        </w:rPr>
        <w:t xml:space="preserve"> </w:t>
      </w:r>
      <w:r>
        <w:rPr>
          <w:w w:val="105"/>
        </w:rPr>
        <w:t>Allyn</w:t>
      </w:r>
      <w:r>
        <w:rPr>
          <w:spacing w:val="-15"/>
          <w:w w:val="105"/>
        </w:rPr>
        <w:t xml:space="preserve"> </w:t>
      </w:r>
      <w:r>
        <w:rPr>
          <w:w w:val="105"/>
        </w:rPr>
        <w:t>and</w:t>
      </w:r>
      <w:r>
        <w:rPr>
          <w:spacing w:val="-9"/>
          <w:w w:val="105"/>
        </w:rPr>
        <w:t xml:space="preserve"> </w:t>
      </w:r>
      <w:r>
        <w:rPr>
          <w:spacing w:val="-2"/>
          <w:w w:val="105"/>
        </w:rPr>
        <w:t>Bacon.</w:t>
      </w:r>
    </w:p>
    <w:p w:rsidR="00487D64" w:rsidRDefault="00487D64">
      <w:pPr>
        <w:pStyle w:val="BodyText"/>
        <w:spacing w:before="18"/>
      </w:pPr>
    </w:p>
    <w:p w:rsidR="00487D64" w:rsidRDefault="006F0D93">
      <w:pPr>
        <w:pStyle w:val="BodyText"/>
        <w:spacing w:before="1" w:line="504" w:lineRule="auto"/>
        <w:ind w:left="2550" w:right="857" w:hanging="1131"/>
        <w:jc w:val="both"/>
      </w:pPr>
      <w:r>
        <w:rPr>
          <w:w w:val="105"/>
        </w:rPr>
        <w:t xml:space="preserve">Tammi, T., Saastamoinen, J., &amp; Reijonen, H. (2014). Market orientation and SMEʼ activity in public sector procurement participation. </w:t>
      </w:r>
      <w:r>
        <w:rPr>
          <w:i/>
          <w:w w:val="105"/>
        </w:rPr>
        <w:t>Journal of Public Procurement</w:t>
      </w:r>
      <w:r>
        <w:rPr>
          <w:w w:val="105"/>
        </w:rPr>
        <w:t xml:space="preserve">, </w:t>
      </w:r>
      <w:r>
        <w:rPr>
          <w:i/>
          <w:w w:val="105"/>
        </w:rPr>
        <w:t>14</w:t>
      </w:r>
      <w:r>
        <w:rPr>
          <w:w w:val="105"/>
        </w:rPr>
        <w:t>(3), 304-327.</w:t>
      </w:r>
    </w:p>
    <w:p w:rsidR="00487D64" w:rsidRDefault="006F0D93">
      <w:pPr>
        <w:spacing w:line="504" w:lineRule="auto"/>
        <w:ind w:left="2550" w:right="858" w:hanging="1131"/>
        <w:jc w:val="both"/>
        <w:rPr>
          <w:sz w:val="23"/>
        </w:rPr>
      </w:pPr>
      <w:r>
        <w:rPr>
          <w:w w:val="105"/>
          <w:sz w:val="23"/>
        </w:rPr>
        <w:t xml:space="preserve">Tanzania Small Industries Development Organization. (2024). </w:t>
      </w:r>
      <w:r>
        <w:rPr>
          <w:i/>
          <w:w w:val="105"/>
          <w:sz w:val="23"/>
        </w:rPr>
        <w:t>Financing SME and entrepreneurship in Tanzania</w:t>
      </w:r>
      <w:r>
        <w:rPr>
          <w:w w:val="105"/>
          <w:sz w:val="23"/>
        </w:rPr>
        <w:t>. TICGL.</w:t>
      </w:r>
    </w:p>
    <w:p w:rsidR="00487D64" w:rsidRDefault="006F0D93">
      <w:pPr>
        <w:pStyle w:val="BodyText"/>
        <w:spacing w:line="499" w:lineRule="auto"/>
        <w:ind w:left="2550" w:right="853" w:hanging="1131"/>
        <w:jc w:val="both"/>
      </w:pPr>
      <w:r>
        <w:rPr>
          <w:w w:val="105"/>
        </w:rPr>
        <w:t>Templer, K.J., Kennedy, J.C. and Phang, R. (2020), “Customer orientation: the interactive</w:t>
      </w:r>
      <w:r>
        <w:rPr>
          <w:spacing w:val="-1"/>
          <w:w w:val="105"/>
        </w:rPr>
        <w:t xml:space="preserve"> </w:t>
      </w:r>
      <w:r>
        <w:rPr>
          <w:w w:val="105"/>
        </w:rPr>
        <w:t>effect of</w:t>
      </w:r>
      <w:r>
        <w:rPr>
          <w:spacing w:val="-3"/>
          <w:w w:val="105"/>
        </w:rPr>
        <w:t xml:space="preserve"> </w:t>
      </w:r>
      <w:r>
        <w:rPr>
          <w:w w:val="105"/>
        </w:rPr>
        <w:t>role clarity</w:t>
      </w:r>
      <w:r>
        <w:rPr>
          <w:spacing w:val="-1"/>
          <w:w w:val="105"/>
        </w:rPr>
        <w:t xml:space="preserve"> </w:t>
      </w:r>
      <w:r>
        <w:rPr>
          <w:w w:val="105"/>
        </w:rPr>
        <w:t>and</w:t>
      </w:r>
      <w:r>
        <w:rPr>
          <w:spacing w:val="-7"/>
          <w:w w:val="105"/>
        </w:rPr>
        <w:t xml:space="preserve"> </w:t>
      </w:r>
      <w:r>
        <w:rPr>
          <w:w w:val="105"/>
        </w:rPr>
        <w:t>learning</w:t>
      </w:r>
      <w:r>
        <w:rPr>
          <w:spacing w:val="-1"/>
          <w:w w:val="105"/>
        </w:rPr>
        <w:t xml:space="preserve"> </w:t>
      </w:r>
      <w:r>
        <w:rPr>
          <w:w w:val="105"/>
        </w:rPr>
        <w:t>goal orientation”, Journal of Asia Business</w:t>
      </w:r>
      <w:r>
        <w:rPr>
          <w:spacing w:val="-1"/>
          <w:w w:val="105"/>
        </w:rPr>
        <w:t xml:space="preserve"> </w:t>
      </w:r>
      <w:r>
        <w:rPr>
          <w:w w:val="105"/>
        </w:rPr>
        <w:t xml:space="preserve">and Economics Studies, Vol. 27 </w:t>
      </w:r>
      <w:r>
        <w:rPr>
          <w:w w:val="105"/>
        </w:rPr>
        <w:t>No. 3, pp. 303-314.</w:t>
      </w:r>
    </w:p>
    <w:p w:rsidR="00487D64" w:rsidRDefault="006F0D93">
      <w:pPr>
        <w:pStyle w:val="BodyText"/>
        <w:spacing w:line="499" w:lineRule="auto"/>
        <w:ind w:left="2550" w:right="845" w:hanging="1131"/>
        <w:jc w:val="both"/>
      </w:pPr>
      <w:r>
        <w:rPr>
          <w:w w:val="105"/>
        </w:rPr>
        <w:t>Tesha, A. K., and Nsimbila, P. M. (2022). Determinants of The Special Groups Participation</w:t>
      </w:r>
      <w:r>
        <w:rPr>
          <w:spacing w:val="80"/>
          <w:w w:val="150"/>
        </w:rPr>
        <w:t xml:space="preserve"> </w:t>
      </w:r>
      <w:r>
        <w:rPr>
          <w:w w:val="105"/>
        </w:rPr>
        <w:t>in</w:t>
      </w:r>
      <w:r>
        <w:rPr>
          <w:spacing w:val="80"/>
          <w:w w:val="150"/>
        </w:rPr>
        <w:t xml:space="preserve"> </w:t>
      </w:r>
      <w:r>
        <w:rPr>
          <w:w w:val="105"/>
        </w:rPr>
        <w:t>Government</w:t>
      </w:r>
      <w:r>
        <w:rPr>
          <w:spacing w:val="80"/>
          <w:w w:val="150"/>
        </w:rPr>
        <w:t xml:space="preserve"> </w:t>
      </w:r>
      <w:r>
        <w:rPr>
          <w:w w:val="105"/>
        </w:rPr>
        <w:t>Procurement</w:t>
      </w:r>
      <w:r>
        <w:rPr>
          <w:spacing w:val="80"/>
          <w:w w:val="150"/>
        </w:rPr>
        <w:t xml:space="preserve"> </w:t>
      </w:r>
      <w:r>
        <w:rPr>
          <w:w w:val="105"/>
        </w:rPr>
        <w:t>Opportunity</w:t>
      </w:r>
      <w:r>
        <w:rPr>
          <w:spacing w:val="80"/>
          <w:w w:val="150"/>
        </w:rPr>
        <w:t xml:space="preserve"> </w:t>
      </w:r>
      <w:r>
        <w:rPr>
          <w:w w:val="105"/>
        </w:rPr>
        <w:t>in</w:t>
      </w:r>
      <w:r>
        <w:rPr>
          <w:spacing w:val="80"/>
          <w:w w:val="105"/>
        </w:rPr>
        <w:t xml:space="preserve"> </w:t>
      </w:r>
      <w:r>
        <w:rPr>
          <w:w w:val="105"/>
        </w:rPr>
        <w:t xml:space="preserve">Tanzania. </w:t>
      </w:r>
      <w:r>
        <w:rPr>
          <w:i/>
          <w:w w:val="105"/>
        </w:rPr>
        <w:t>African Journal of Applied Research</w:t>
      </w:r>
      <w:r>
        <w:rPr>
          <w:w w:val="105"/>
        </w:rPr>
        <w:t xml:space="preserve">, </w:t>
      </w:r>
      <w:r>
        <w:rPr>
          <w:i/>
          <w:w w:val="105"/>
        </w:rPr>
        <w:t>8</w:t>
      </w:r>
      <w:r>
        <w:rPr>
          <w:w w:val="105"/>
        </w:rPr>
        <w:t>(1), 213-227.</w:t>
      </w:r>
    </w:p>
    <w:p w:rsidR="00487D64" w:rsidRDefault="006F0D93">
      <w:pPr>
        <w:spacing w:before="2" w:line="499" w:lineRule="auto"/>
        <w:ind w:left="2550" w:right="858" w:hanging="1131"/>
        <w:jc w:val="both"/>
        <w:rPr>
          <w:sz w:val="23"/>
        </w:rPr>
      </w:pPr>
      <w:r>
        <w:rPr>
          <w:w w:val="105"/>
          <w:sz w:val="23"/>
        </w:rPr>
        <w:t>Tseng, L. M. (2018). How customer</w:t>
      </w:r>
      <w:r>
        <w:rPr>
          <w:w w:val="105"/>
          <w:sz w:val="23"/>
        </w:rPr>
        <w:t xml:space="preserve"> orientation leads to customer satisfaction: Mediating</w:t>
      </w:r>
      <w:r>
        <w:rPr>
          <w:spacing w:val="80"/>
          <w:w w:val="150"/>
          <w:sz w:val="23"/>
        </w:rPr>
        <w:t xml:space="preserve"> </w:t>
      </w:r>
      <w:r>
        <w:rPr>
          <w:w w:val="105"/>
          <w:sz w:val="23"/>
        </w:rPr>
        <w:t>mechanisms</w:t>
      </w:r>
      <w:r>
        <w:rPr>
          <w:spacing w:val="80"/>
          <w:w w:val="150"/>
          <w:sz w:val="23"/>
        </w:rPr>
        <w:t xml:space="preserve"> </w:t>
      </w:r>
      <w:r>
        <w:rPr>
          <w:w w:val="105"/>
          <w:sz w:val="23"/>
        </w:rPr>
        <w:t>of</w:t>
      </w:r>
      <w:r>
        <w:rPr>
          <w:spacing w:val="80"/>
          <w:w w:val="150"/>
          <w:sz w:val="23"/>
        </w:rPr>
        <w:t xml:space="preserve"> </w:t>
      </w:r>
      <w:r>
        <w:rPr>
          <w:w w:val="105"/>
          <w:sz w:val="23"/>
        </w:rPr>
        <w:t>service</w:t>
      </w:r>
      <w:r>
        <w:rPr>
          <w:spacing w:val="80"/>
          <w:w w:val="150"/>
          <w:sz w:val="23"/>
        </w:rPr>
        <w:t xml:space="preserve"> </w:t>
      </w:r>
      <w:r>
        <w:rPr>
          <w:w w:val="105"/>
          <w:sz w:val="23"/>
        </w:rPr>
        <w:t>workers’</w:t>
      </w:r>
      <w:r>
        <w:rPr>
          <w:spacing w:val="80"/>
          <w:w w:val="150"/>
          <w:sz w:val="23"/>
        </w:rPr>
        <w:t xml:space="preserve"> </w:t>
      </w:r>
      <w:r>
        <w:rPr>
          <w:w w:val="105"/>
          <w:sz w:val="23"/>
        </w:rPr>
        <w:t>etiquette</w:t>
      </w:r>
      <w:r>
        <w:rPr>
          <w:spacing w:val="80"/>
          <w:w w:val="150"/>
          <w:sz w:val="23"/>
        </w:rPr>
        <w:t xml:space="preserve"> </w:t>
      </w:r>
      <w:r>
        <w:rPr>
          <w:w w:val="105"/>
          <w:sz w:val="23"/>
        </w:rPr>
        <w:t xml:space="preserve">and creativity. </w:t>
      </w:r>
      <w:r>
        <w:rPr>
          <w:i/>
          <w:w w:val="105"/>
          <w:sz w:val="23"/>
        </w:rPr>
        <w:t>International Journal of Bank Marketing</w:t>
      </w:r>
      <w:r>
        <w:rPr>
          <w:w w:val="105"/>
          <w:sz w:val="23"/>
        </w:rPr>
        <w:t xml:space="preserve">, </w:t>
      </w:r>
      <w:r>
        <w:rPr>
          <w:i/>
          <w:w w:val="105"/>
          <w:sz w:val="23"/>
        </w:rPr>
        <w:t>37</w:t>
      </w:r>
      <w:r>
        <w:rPr>
          <w:w w:val="105"/>
          <w:sz w:val="23"/>
        </w:rPr>
        <w:t>(1), 210-225.</w:t>
      </w:r>
    </w:p>
    <w:p w:rsidR="00487D64" w:rsidRDefault="006F0D93">
      <w:pPr>
        <w:pStyle w:val="BodyText"/>
        <w:spacing w:before="6" w:line="499" w:lineRule="auto"/>
        <w:ind w:left="2550" w:right="851" w:hanging="1131"/>
        <w:jc w:val="both"/>
      </w:pPr>
      <w:r>
        <w:rPr>
          <w:w w:val="105"/>
        </w:rPr>
        <w:t>Tuboly, A.</w:t>
      </w:r>
      <w:r>
        <w:rPr>
          <w:spacing w:val="-2"/>
          <w:w w:val="105"/>
        </w:rPr>
        <w:t xml:space="preserve"> </w:t>
      </w:r>
      <w:r>
        <w:rPr>
          <w:w w:val="105"/>
        </w:rPr>
        <w:t>T. (2022).</w:t>
      </w:r>
      <w:r>
        <w:rPr>
          <w:spacing w:val="-2"/>
          <w:w w:val="105"/>
        </w:rPr>
        <w:t xml:space="preserve"> </w:t>
      </w:r>
      <w:r>
        <w:rPr>
          <w:w w:val="105"/>
        </w:rPr>
        <w:t>Making Logical Positivism Less Logical:</w:t>
      </w:r>
      <w:r>
        <w:rPr>
          <w:spacing w:val="-2"/>
          <w:w w:val="105"/>
        </w:rPr>
        <w:t xml:space="preserve"> </w:t>
      </w:r>
      <w:r>
        <w:rPr>
          <w:w w:val="105"/>
        </w:rPr>
        <w:t>The Case of Schlick and v</w:t>
      </w:r>
      <w:r>
        <w:rPr>
          <w:w w:val="105"/>
        </w:rPr>
        <w:t>on Mises. In The Socio-Ethical</w:t>
      </w:r>
      <w:r>
        <w:rPr>
          <w:spacing w:val="-3"/>
          <w:w w:val="105"/>
        </w:rPr>
        <w:t xml:space="preserve"> </w:t>
      </w:r>
      <w:r>
        <w:rPr>
          <w:w w:val="105"/>
        </w:rPr>
        <w:t>Dimension of</w:t>
      </w:r>
      <w:r>
        <w:rPr>
          <w:spacing w:val="-2"/>
          <w:w w:val="105"/>
        </w:rPr>
        <w:t xml:space="preserve"> </w:t>
      </w:r>
      <w:r>
        <w:rPr>
          <w:w w:val="105"/>
        </w:rPr>
        <w:t>Knowledge (pp. 105- 125). Springer, Cham</w:t>
      </w:r>
    </w:p>
    <w:p w:rsidR="00487D64" w:rsidRDefault="006F0D93">
      <w:pPr>
        <w:pStyle w:val="BodyText"/>
        <w:spacing w:before="6" w:line="499" w:lineRule="auto"/>
        <w:ind w:left="2550" w:right="859" w:hanging="1131"/>
        <w:jc w:val="both"/>
      </w:pPr>
      <w:r>
        <w:rPr>
          <w:w w:val="105"/>
        </w:rPr>
        <w:t>Tunç, T. (2020). The joint effects of customer and competitor orientation on marketing</w:t>
      </w:r>
      <w:r>
        <w:rPr>
          <w:spacing w:val="40"/>
          <w:w w:val="105"/>
        </w:rPr>
        <w:t xml:space="preserve"> </w:t>
      </w:r>
      <w:r>
        <w:rPr>
          <w:w w:val="105"/>
        </w:rPr>
        <w:t>performance:</w:t>
      </w:r>
      <w:r>
        <w:rPr>
          <w:spacing w:val="40"/>
          <w:w w:val="105"/>
        </w:rPr>
        <w:t xml:space="preserve"> </w:t>
      </w:r>
      <w:r>
        <w:rPr>
          <w:w w:val="105"/>
        </w:rPr>
        <w:t>A</w:t>
      </w:r>
      <w:r>
        <w:rPr>
          <w:spacing w:val="40"/>
          <w:w w:val="105"/>
        </w:rPr>
        <w:t xml:space="preserve"> </w:t>
      </w:r>
      <w:r>
        <w:rPr>
          <w:w w:val="105"/>
        </w:rPr>
        <w:t>case</w:t>
      </w:r>
      <w:r>
        <w:rPr>
          <w:spacing w:val="40"/>
          <w:w w:val="105"/>
        </w:rPr>
        <w:t xml:space="preserve"> </w:t>
      </w:r>
      <w:r>
        <w:rPr>
          <w:w w:val="105"/>
        </w:rPr>
        <w:t>of</w:t>
      </w:r>
      <w:r>
        <w:rPr>
          <w:spacing w:val="40"/>
          <w:w w:val="105"/>
        </w:rPr>
        <w:t xml:space="preserve"> </w:t>
      </w:r>
      <w:r>
        <w:rPr>
          <w:w w:val="105"/>
        </w:rPr>
        <w:t>an</w:t>
      </w:r>
      <w:r>
        <w:rPr>
          <w:spacing w:val="40"/>
          <w:w w:val="105"/>
        </w:rPr>
        <w:t xml:space="preserve"> </w:t>
      </w:r>
      <w:r>
        <w:rPr>
          <w:w w:val="105"/>
        </w:rPr>
        <w:t>industry</w:t>
      </w:r>
      <w:r>
        <w:rPr>
          <w:spacing w:val="40"/>
          <w:w w:val="105"/>
        </w:rPr>
        <w:t xml:space="preserve"> </w:t>
      </w:r>
      <w:r>
        <w:rPr>
          <w:w w:val="105"/>
        </w:rPr>
        <w:t>leading</w:t>
      </w:r>
      <w:r>
        <w:rPr>
          <w:spacing w:val="40"/>
          <w:w w:val="105"/>
        </w:rPr>
        <w:t xml:space="preserve"> </w:t>
      </w:r>
      <w:r>
        <w:rPr>
          <w:w w:val="105"/>
        </w:rPr>
        <w:t>firm</w:t>
      </w:r>
      <w:r>
        <w:rPr>
          <w:spacing w:val="40"/>
          <w:w w:val="105"/>
        </w:rPr>
        <w:t xml:space="preserve"> </w:t>
      </w:r>
      <w:r>
        <w:rPr>
          <w:w w:val="105"/>
        </w:rPr>
        <w:t>in</w:t>
      </w:r>
      <w:r>
        <w:rPr>
          <w:spacing w:val="40"/>
          <w:w w:val="105"/>
        </w:rPr>
        <w:t xml:space="preserve"> </w:t>
      </w:r>
      <w:r>
        <w:rPr>
          <w:w w:val="105"/>
        </w:rPr>
        <w:t xml:space="preserve">Turkey. </w:t>
      </w:r>
      <w:r>
        <w:rPr>
          <w:i/>
          <w:w w:val="105"/>
        </w:rPr>
        <w:t>Istanbul Management Journal</w:t>
      </w:r>
      <w:r>
        <w:rPr>
          <w:w w:val="105"/>
        </w:rPr>
        <w:t>, (89), 47-71.</w:t>
      </w:r>
    </w:p>
    <w:p w:rsidR="00487D64" w:rsidRDefault="00487D64">
      <w:pPr>
        <w:pStyle w:val="BodyText"/>
        <w:spacing w:line="499"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spacing w:line="499" w:lineRule="auto"/>
        <w:ind w:left="2550" w:right="837" w:hanging="1131"/>
        <w:jc w:val="both"/>
        <w:rPr>
          <w:sz w:val="23"/>
        </w:rPr>
      </w:pPr>
      <w:r>
        <w:rPr>
          <w:w w:val="105"/>
          <w:sz w:val="23"/>
        </w:rPr>
        <w:t xml:space="preserve">UN Women &amp; International Labour Organization. (2021). </w:t>
      </w:r>
      <w:r>
        <w:rPr>
          <w:i/>
          <w:w w:val="105"/>
          <w:sz w:val="23"/>
        </w:rPr>
        <w:t>Rethinking gender- responsive procurement: Enabling an ecosystem for women’s economic empowerment</w:t>
      </w:r>
      <w:r>
        <w:rPr>
          <w:w w:val="105"/>
          <w:sz w:val="23"/>
        </w:rPr>
        <w:t>. UN Women. Retrieved from UN Women publi</w:t>
      </w:r>
      <w:r>
        <w:rPr>
          <w:w w:val="105"/>
          <w:sz w:val="23"/>
        </w:rPr>
        <w:t>cation</w:t>
      </w:r>
    </w:p>
    <w:p w:rsidR="00487D64" w:rsidRDefault="006F0D93">
      <w:pPr>
        <w:pStyle w:val="BodyText"/>
        <w:spacing w:before="7" w:line="499" w:lineRule="auto"/>
        <w:ind w:left="2550" w:right="863" w:hanging="1131"/>
        <w:jc w:val="both"/>
      </w:pPr>
      <w:r>
        <w:rPr>
          <w:w w:val="105"/>
        </w:rPr>
        <w:t xml:space="preserve">UN. (2023). The Sustainable Development Goals Report 2023: Special edition. Towards a Rescue Plan for People and Planet. https://unstats.un.org/ </w:t>
      </w:r>
      <w:r>
        <w:rPr>
          <w:spacing w:val="-2"/>
        </w:rPr>
        <w:t>SMEs/report/2023/The-SustainableDevelopment-Goals-Report-2023.pdf</w:t>
      </w:r>
    </w:p>
    <w:p w:rsidR="00487D64" w:rsidRDefault="006F0D93">
      <w:pPr>
        <w:spacing w:before="6" w:line="504" w:lineRule="auto"/>
        <w:ind w:left="2550" w:right="850" w:hanging="1131"/>
        <w:jc w:val="both"/>
        <w:rPr>
          <w:sz w:val="23"/>
        </w:rPr>
      </w:pPr>
      <w:r>
        <w:rPr>
          <w:w w:val="105"/>
          <w:sz w:val="23"/>
        </w:rPr>
        <w:t>United</w:t>
      </w:r>
      <w:r>
        <w:rPr>
          <w:spacing w:val="-9"/>
          <w:w w:val="105"/>
          <w:sz w:val="23"/>
        </w:rPr>
        <w:t xml:space="preserve"> </w:t>
      </w:r>
      <w:r>
        <w:rPr>
          <w:w w:val="105"/>
          <w:sz w:val="23"/>
        </w:rPr>
        <w:t>Nations</w:t>
      </w:r>
      <w:r>
        <w:rPr>
          <w:spacing w:val="-4"/>
          <w:w w:val="105"/>
          <w:sz w:val="23"/>
        </w:rPr>
        <w:t xml:space="preserve"> </w:t>
      </w:r>
      <w:r>
        <w:rPr>
          <w:w w:val="105"/>
          <w:sz w:val="23"/>
        </w:rPr>
        <w:t>Department of</w:t>
      </w:r>
      <w:r>
        <w:rPr>
          <w:spacing w:val="-11"/>
          <w:w w:val="105"/>
          <w:sz w:val="23"/>
        </w:rPr>
        <w:t xml:space="preserve"> </w:t>
      </w:r>
      <w:r>
        <w:rPr>
          <w:w w:val="105"/>
          <w:sz w:val="23"/>
        </w:rPr>
        <w:t>Economic</w:t>
      </w:r>
      <w:r>
        <w:rPr>
          <w:spacing w:val="-9"/>
          <w:w w:val="105"/>
          <w:sz w:val="23"/>
        </w:rPr>
        <w:t xml:space="preserve"> </w:t>
      </w:r>
      <w:r>
        <w:rPr>
          <w:w w:val="105"/>
          <w:sz w:val="23"/>
        </w:rPr>
        <w:t>and</w:t>
      </w:r>
      <w:r>
        <w:rPr>
          <w:spacing w:val="-3"/>
          <w:w w:val="105"/>
          <w:sz w:val="23"/>
        </w:rPr>
        <w:t xml:space="preserve"> </w:t>
      </w:r>
      <w:r>
        <w:rPr>
          <w:w w:val="105"/>
          <w:sz w:val="23"/>
        </w:rPr>
        <w:t>Social Affairs.</w:t>
      </w:r>
      <w:r>
        <w:rPr>
          <w:spacing w:val="-7"/>
          <w:w w:val="105"/>
          <w:sz w:val="23"/>
        </w:rPr>
        <w:t xml:space="preserve"> </w:t>
      </w:r>
      <w:r>
        <w:rPr>
          <w:w w:val="105"/>
          <w:sz w:val="23"/>
        </w:rPr>
        <w:t>(2023).</w:t>
      </w:r>
      <w:r>
        <w:rPr>
          <w:spacing w:val="-2"/>
          <w:w w:val="105"/>
          <w:sz w:val="23"/>
        </w:rPr>
        <w:t xml:space="preserve"> </w:t>
      </w:r>
      <w:r>
        <w:rPr>
          <w:i/>
          <w:w w:val="105"/>
          <w:sz w:val="23"/>
        </w:rPr>
        <w:t>The</w:t>
      </w:r>
      <w:r>
        <w:rPr>
          <w:i/>
          <w:spacing w:val="-3"/>
          <w:w w:val="105"/>
          <w:sz w:val="23"/>
        </w:rPr>
        <w:t xml:space="preserve"> </w:t>
      </w:r>
      <w:r>
        <w:rPr>
          <w:i/>
          <w:w w:val="105"/>
          <w:sz w:val="23"/>
        </w:rPr>
        <w:t>Sustainable Development Goals Report 2023: Special Edition</w:t>
      </w:r>
      <w:r>
        <w:rPr>
          <w:w w:val="105"/>
          <w:sz w:val="23"/>
        </w:rPr>
        <w:t>. UN.</w:t>
      </w:r>
    </w:p>
    <w:p w:rsidR="00487D64" w:rsidRDefault="006F0D93">
      <w:pPr>
        <w:spacing w:line="504" w:lineRule="auto"/>
        <w:ind w:left="2550" w:right="858" w:hanging="1131"/>
        <w:jc w:val="both"/>
        <w:rPr>
          <w:sz w:val="23"/>
        </w:rPr>
      </w:pPr>
      <w:r>
        <w:rPr>
          <w:w w:val="105"/>
          <w:sz w:val="23"/>
        </w:rPr>
        <w:t xml:space="preserve">United Republic of Tanzania (URT). (2022). </w:t>
      </w:r>
      <w:r>
        <w:rPr>
          <w:i/>
          <w:w w:val="105"/>
          <w:sz w:val="23"/>
        </w:rPr>
        <w:t>National Public Procurement Policy Framework</w:t>
      </w:r>
      <w:r>
        <w:rPr>
          <w:w w:val="105"/>
          <w:sz w:val="23"/>
        </w:rPr>
        <w:t>. Ministry of Finance and Planning.</w:t>
      </w:r>
    </w:p>
    <w:p w:rsidR="00487D64" w:rsidRDefault="006F0D93">
      <w:pPr>
        <w:spacing w:line="496" w:lineRule="auto"/>
        <w:ind w:left="2550" w:right="862" w:hanging="1131"/>
        <w:jc w:val="both"/>
        <w:rPr>
          <w:sz w:val="23"/>
        </w:rPr>
      </w:pPr>
      <w:r>
        <w:rPr>
          <w:w w:val="105"/>
          <w:sz w:val="23"/>
        </w:rPr>
        <w:t>United</w:t>
      </w:r>
      <w:r>
        <w:rPr>
          <w:spacing w:val="-7"/>
          <w:w w:val="105"/>
          <w:sz w:val="23"/>
        </w:rPr>
        <w:t xml:space="preserve"> </w:t>
      </w:r>
      <w:r>
        <w:rPr>
          <w:w w:val="105"/>
          <w:sz w:val="23"/>
        </w:rPr>
        <w:t>Republic</w:t>
      </w:r>
      <w:r>
        <w:rPr>
          <w:spacing w:val="-8"/>
          <w:w w:val="105"/>
          <w:sz w:val="23"/>
        </w:rPr>
        <w:t xml:space="preserve"> </w:t>
      </w:r>
      <w:r>
        <w:rPr>
          <w:w w:val="105"/>
          <w:sz w:val="23"/>
        </w:rPr>
        <w:t>of</w:t>
      </w:r>
      <w:r>
        <w:rPr>
          <w:spacing w:val="-9"/>
          <w:w w:val="105"/>
          <w:sz w:val="23"/>
        </w:rPr>
        <w:t xml:space="preserve"> </w:t>
      </w:r>
      <w:r>
        <w:rPr>
          <w:w w:val="105"/>
          <w:sz w:val="23"/>
        </w:rPr>
        <w:t>Tanzania.</w:t>
      </w:r>
      <w:r>
        <w:rPr>
          <w:spacing w:val="-11"/>
          <w:w w:val="105"/>
          <w:sz w:val="23"/>
        </w:rPr>
        <w:t xml:space="preserve"> </w:t>
      </w:r>
      <w:r>
        <w:rPr>
          <w:w w:val="105"/>
          <w:sz w:val="23"/>
        </w:rPr>
        <w:t xml:space="preserve">(2016). </w:t>
      </w:r>
      <w:r>
        <w:rPr>
          <w:i/>
          <w:w w:val="105"/>
          <w:sz w:val="23"/>
        </w:rPr>
        <w:t>The</w:t>
      </w:r>
      <w:r>
        <w:rPr>
          <w:i/>
          <w:spacing w:val="-1"/>
          <w:w w:val="105"/>
          <w:sz w:val="23"/>
        </w:rPr>
        <w:t xml:space="preserve"> </w:t>
      </w:r>
      <w:r>
        <w:rPr>
          <w:i/>
          <w:w w:val="105"/>
          <w:sz w:val="23"/>
        </w:rPr>
        <w:t>Public Procurement</w:t>
      </w:r>
      <w:r>
        <w:rPr>
          <w:i/>
          <w:spacing w:val="-11"/>
          <w:w w:val="105"/>
          <w:sz w:val="23"/>
        </w:rPr>
        <w:t xml:space="preserve"> </w:t>
      </w:r>
      <w:r>
        <w:rPr>
          <w:i/>
          <w:w w:val="105"/>
          <w:sz w:val="23"/>
        </w:rPr>
        <w:t>Act,</w:t>
      </w:r>
      <w:r>
        <w:rPr>
          <w:i/>
          <w:spacing w:val="-5"/>
          <w:w w:val="105"/>
          <w:sz w:val="23"/>
        </w:rPr>
        <w:t xml:space="preserve"> </w:t>
      </w:r>
      <w:r>
        <w:rPr>
          <w:i/>
          <w:w w:val="105"/>
          <w:sz w:val="23"/>
        </w:rPr>
        <w:t>No.</w:t>
      </w:r>
      <w:r>
        <w:rPr>
          <w:i/>
          <w:spacing w:val="-5"/>
          <w:w w:val="105"/>
          <w:sz w:val="23"/>
        </w:rPr>
        <w:t xml:space="preserve"> </w:t>
      </w:r>
      <w:r>
        <w:rPr>
          <w:i/>
          <w:w w:val="105"/>
          <w:sz w:val="23"/>
        </w:rPr>
        <w:t>7 of</w:t>
      </w:r>
      <w:r>
        <w:rPr>
          <w:i/>
          <w:spacing w:val="-5"/>
          <w:w w:val="105"/>
          <w:sz w:val="23"/>
        </w:rPr>
        <w:t xml:space="preserve"> </w:t>
      </w:r>
      <w:r>
        <w:rPr>
          <w:i/>
          <w:w w:val="105"/>
          <w:sz w:val="23"/>
        </w:rPr>
        <w:t>2011</w:t>
      </w:r>
      <w:r>
        <w:rPr>
          <w:i/>
          <w:spacing w:val="-7"/>
          <w:w w:val="105"/>
          <w:sz w:val="23"/>
        </w:rPr>
        <w:t xml:space="preserve"> </w:t>
      </w:r>
      <w:r>
        <w:rPr>
          <w:i/>
          <w:w w:val="105"/>
          <w:sz w:val="23"/>
        </w:rPr>
        <w:t>(as amended in 2016)</w:t>
      </w:r>
      <w:r>
        <w:rPr>
          <w:w w:val="105"/>
          <w:sz w:val="23"/>
        </w:rPr>
        <w:t>. Government Printer: Dar es Salaam.</w:t>
      </w:r>
    </w:p>
    <w:p w:rsidR="00487D64" w:rsidRDefault="006F0D93">
      <w:pPr>
        <w:pStyle w:val="BodyText"/>
        <w:spacing w:line="499" w:lineRule="auto"/>
        <w:ind w:left="2550" w:right="843" w:hanging="1131"/>
        <w:jc w:val="both"/>
      </w:pPr>
      <w:r>
        <w:rPr>
          <w:w w:val="105"/>
        </w:rPr>
        <w:t>Uyarra,E., Edler, J.,andEstevez,J.G. (2014). Barriers to innovation through public procurement: A supplier perspective</w:t>
      </w:r>
      <w:r>
        <w:rPr>
          <w:i/>
          <w:w w:val="105"/>
        </w:rPr>
        <w:t xml:space="preserve">. Technovation, </w:t>
      </w:r>
      <w:r>
        <w:rPr>
          <w:w w:val="105"/>
        </w:rPr>
        <w:t xml:space="preserve">34(10): 631–645. </w:t>
      </w:r>
      <w:r>
        <w:rPr>
          <w:w w:val="105"/>
          <w:u w:val="single"/>
        </w:rPr>
        <w:t>[</w:t>
      </w:r>
      <w:r>
        <w:rPr>
          <w:color w:val="0462C1"/>
          <w:w w:val="105"/>
          <w:u w:val="single" w:color="0462C1"/>
        </w:rPr>
        <w:t>https://</w:t>
      </w:r>
      <w:hyperlink r:id="rId35">
        <w:r>
          <w:rPr>
            <w:color w:val="0462C1"/>
            <w:w w:val="105"/>
            <w:u w:val="single" w:color="0462C1"/>
          </w:rPr>
          <w:t>www.</w:t>
        </w:r>
        <w:r>
          <w:rPr>
            <w:color w:val="0462C1"/>
            <w:spacing w:val="40"/>
            <w:w w:val="105"/>
            <w:u w:val="single" w:color="0462C1"/>
          </w:rPr>
          <w:t xml:space="preserve">  </w:t>
        </w:r>
        <w:r>
          <w:rPr>
            <w:color w:val="0462C1"/>
            <w:w w:val="105"/>
            <w:u w:val="single" w:color="0462C1"/>
          </w:rPr>
          <w:t>sciencedirect.com/science/article/pii/S0166497</w:t>
        </w:r>
        <w:r>
          <w:rPr>
            <w:color w:val="0462C1"/>
            <w:spacing w:val="80"/>
            <w:w w:val="150"/>
            <w:u w:val="single" w:color="0462C1"/>
          </w:rPr>
          <w:t xml:space="preserve"> </w:t>
        </w:r>
        <w:r>
          <w:rPr>
            <w:color w:val="0462C1"/>
            <w:w w:val="105"/>
            <w:u w:val="single" w:color="0462C1"/>
          </w:rPr>
          <w:t>214000</w:t>
        </w:r>
      </w:hyperlink>
    </w:p>
    <w:p w:rsidR="00487D64" w:rsidRDefault="006F0D93">
      <w:pPr>
        <w:pStyle w:val="BodyText"/>
        <w:spacing w:before="4"/>
        <w:ind w:left="2550"/>
      </w:pPr>
      <w:r>
        <w:rPr>
          <w:color w:val="0462C1"/>
          <w:w w:val="105"/>
          <w:u w:val="single" w:color="0462C1"/>
        </w:rPr>
        <w:t>388</w:t>
      </w:r>
      <w:r>
        <w:rPr>
          <w:w w:val="105"/>
          <w:u w:val="single"/>
        </w:rPr>
        <w:t>],</w:t>
      </w:r>
      <w:r>
        <w:rPr>
          <w:spacing w:val="-12"/>
          <w:w w:val="105"/>
        </w:rPr>
        <w:t xml:space="preserve"> </w:t>
      </w:r>
      <w:r>
        <w:rPr>
          <w:w w:val="105"/>
        </w:rPr>
        <w:t>visited</w:t>
      </w:r>
      <w:r>
        <w:rPr>
          <w:spacing w:val="-7"/>
          <w:w w:val="105"/>
        </w:rPr>
        <w:t xml:space="preserve"> </w:t>
      </w:r>
      <w:r>
        <w:rPr>
          <w:w w:val="105"/>
        </w:rPr>
        <w:t>on</w:t>
      </w:r>
      <w:r>
        <w:rPr>
          <w:spacing w:val="-7"/>
          <w:w w:val="105"/>
        </w:rPr>
        <w:t xml:space="preserve"> </w:t>
      </w:r>
      <w:r>
        <w:rPr>
          <w:spacing w:val="-2"/>
          <w:w w:val="105"/>
        </w:rPr>
        <w:t>16/03/2023.</w:t>
      </w:r>
    </w:p>
    <w:p w:rsidR="00487D64" w:rsidRDefault="00487D64">
      <w:pPr>
        <w:pStyle w:val="BodyText"/>
        <w:spacing w:before="21"/>
      </w:pPr>
    </w:p>
    <w:p w:rsidR="00487D64" w:rsidRDefault="006F0D93">
      <w:pPr>
        <w:pStyle w:val="BodyText"/>
        <w:spacing w:line="501" w:lineRule="auto"/>
        <w:ind w:left="2550" w:right="856" w:hanging="1131"/>
        <w:jc w:val="both"/>
      </w:pPr>
      <w:r>
        <w:rPr>
          <w:w w:val="105"/>
        </w:rPr>
        <w:t>Vatamanescu, E. M., Gorgos, E. A., Ghigiu, A. M., &amp; Patruţ, M. (2019). Brid</w:t>
      </w:r>
      <w:r>
        <w:rPr>
          <w:w w:val="105"/>
        </w:rPr>
        <w:t xml:space="preserve">ging intellectual capital and SME internationalization through the lens of sustainable competitive advantage: A systematic literature review. Sustainability (Switzerland), 11(9). </w:t>
      </w:r>
      <w:hyperlink r:id="rId36">
        <w:r>
          <w:rPr>
            <w:w w:val="105"/>
            <w:u w:val="single"/>
          </w:rPr>
          <w:t>https://doi.org/10.3390</w:t>
        </w:r>
        <w:r>
          <w:rPr>
            <w:w w:val="105"/>
            <w:u w:val="single"/>
          </w:rPr>
          <w:t>/su11092510</w:t>
        </w:r>
      </w:hyperlink>
    </w:p>
    <w:p w:rsidR="00487D64" w:rsidRDefault="006F0D93">
      <w:pPr>
        <w:spacing w:line="501" w:lineRule="auto"/>
        <w:ind w:left="2550" w:right="848" w:hanging="1131"/>
        <w:jc w:val="both"/>
        <w:rPr>
          <w:sz w:val="23"/>
        </w:rPr>
      </w:pPr>
      <w:r>
        <w:rPr>
          <w:w w:val="105"/>
          <w:sz w:val="23"/>
        </w:rPr>
        <w:t>Vem, L. J., Samson, N., Nkup, Y. N., &amp; Jamoke, A. I. (2022). Does coordination flexibility mediates the relationship between strategic orientation and innovative performance.</w:t>
      </w:r>
      <w:r>
        <w:rPr>
          <w:spacing w:val="-2"/>
          <w:w w:val="105"/>
          <w:sz w:val="23"/>
        </w:rPr>
        <w:t xml:space="preserve"> </w:t>
      </w:r>
      <w:r>
        <w:rPr>
          <w:i/>
          <w:w w:val="105"/>
          <w:sz w:val="23"/>
        </w:rPr>
        <w:t>International Journal of Business, Management and Economics</w:t>
      </w:r>
      <w:r>
        <w:rPr>
          <w:w w:val="105"/>
          <w:sz w:val="23"/>
        </w:rPr>
        <w:t xml:space="preserve">, </w:t>
      </w:r>
      <w:r>
        <w:rPr>
          <w:i/>
          <w:w w:val="105"/>
          <w:sz w:val="23"/>
        </w:rPr>
        <w:t>3</w:t>
      </w:r>
      <w:r>
        <w:rPr>
          <w:w w:val="105"/>
          <w:sz w:val="23"/>
        </w:rPr>
        <w:t>(2), 12</w:t>
      </w:r>
      <w:r>
        <w:rPr>
          <w:w w:val="105"/>
          <w:sz w:val="23"/>
        </w:rPr>
        <w:t>8-148.</w:t>
      </w:r>
    </w:p>
    <w:p w:rsidR="00487D64" w:rsidRDefault="00487D64">
      <w:pPr>
        <w:spacing w:line="501" w:lineRule="auto"/>
        <w:jc w:val="bot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2550" w:right="859" w:hanging="1131"/>
        <w:jc w:val="both"/>
      </w:pPr>
      <w:r>
        <w:rPr>
          <w:w w:val="105"/>
        </w:rPr>
        <w:t>Wahyuni, N. M., and Astawa, I. P. (2020). An integrative model of market orientation on innovation performance. Journal of Management and Marketing Review, 5(1), 51–63.</w:t>
      </w:r>
    </w:p>
    <w:p w:rsidR="00487D64" w:rsidRDefault="006F0D93">
      <w:pPr>
        <w:spacing w:before="7" w:line="501" w:lineRule="auto"/>
        <w:ind w:left="2550" w:right="850" w:hanging="1131"/>
        <w:jc w:val="both"/>
        <w:rPr>
          <w:sz w:val="23"/>
        </w:rPr>
      </w:pPr>
      <w:r>
        <w:rPr>
          <w:w w:val="105"/>
          <w:sz w:val="23"/>
        </w:rPr>
        <w:t>Wamoto, E. (2017). Factors influencing uptake of</w:t>
      </w:r>
      <w:r>
        <w:rPr>
          <w:w w:val="105"/>
          <w:sz w:val="23"/>
        </w:rPr>
        <w:t xml:space="preserve"> government procurement opportunities</w:t>
      </w:r>
      <w:r>
        <w:rPr>
          <w:spacing w:val="-12"/>
          <w:w w:val="105"/>
          <w:sz w:val="23"/>
        </w:rPr>
        <w:t xml:space="preserve"> </w:t>
      </w:r>
      <w:r>
        <w:rPr>
          <w:w w:val="105"/>
          <w:sz w:val="23"/>
        </w:rPr>
        <w:t>by</w:t>
      </w:r>
      <w:r>
        <w:rPr>
          <w:spacing w:val="-10"/>
          <w:w w:val="105"/>
          <w:sz w:val="23"/>
        </w:rPr>
        <w:t xml:space="preserve"> </w:t>
      </w:r>
      <w:r>
        <w:rPr>
          <w:w w:val="105"/>
          <w:sz w:val="23"/>
        </w:rPr>
        <w:t>vulnerable</w:t>
      </w:r>
      <w:r>
        <w:rPr>
          <w:spacing w:val="-5"/>
          <w:w w:val="105"/>
          <w:sz w:val="23"/>
        </w:rPr>
        <w:t xml:space="preserve"> </w:t>
      </w:r>
      <w:r>
        <w:rPr>
          <w:w w:val="105"/>
          <w:sz w:val="23"/>
        </w:rPr>
        <w:t>groups</w:t>
      </w:r>
      <w:r>
        <w:rPr>
          <w:spacing w:val="-12"/>
          <w:w w:val="105"/>
          <w:sz w:val="23"/>
        </w:rPr>
        <w:t xml:space="preserve"> </w:t>
      </w:r>
      <w:r>
        <w:rPr>
          <w:w w:val="105"/>
          <w:sz w:val="23"/>
        </w:rPr>
        <w:t>in</w:t>
      </w:r>
      <w:r>
        <w:rPr>
          <w:spacing w:val="-4"/>
          <w:w w:val="105"/>
          <w:sz w:val="23"/>
        </w:rPr>
        <w:t xml:space="preserve"> </w:t>
      </w:r>
      <w:r>
        <w:rPr>
          <w:w w:val="105"/>
          <w:sz w:val="23"/>
        </w:rPr>
        <w:t>Kenyan</w:t>
      </w:r>
      <w:r>
        <w:rPr>
          <w:spacing w:val="-4"/>
          <w:w w:val="105"/>
          <w:sz w:val="23"/>
        </w:rPr>
        <w:t xml:space="preserve"> </w:t>
      </w:r>
      <w:r>
        <w:rPr>
          <w:w w:val="105"/>
          <w:sz w:val="23"/>
        </w:rPr>
        <w:t>county</w:t>
      </w:r>
      <w:r>
        <w:rPr>
          <w:spacing w:val="-10"/>
          <w:w w:val="105"/>
          <w:sz w:val="23"/>
        </w:rPr>
        <w:t xml:space="preserve"> </w:t>
      </w:r>
      <w:r>
        <w:rPr>
          <w:w w:val="105"/>
          <w:sz w:val="23"/>
        </w:rPr>
        <w:t xml:space="preserve">governments. </w:t>
      </w:r>
      <w:r>
        <w:rPr>
          <w:i/>
          <w:w w:val="105"/>
          <w:sz w:val="23"/>
        </w:rPr>
        <w:t xml:space="preserve">IOSR Journal of Business and Management, 19(12), 32-40. </w:t>
      </w:r>
      <w:r>
        <w:rPr>
          <w:spacing w:val="-2"/>
          <w:w w:val="105"/>
          <w:sz w:val="23"/>
          <w:u w:val="single"/>
        </w:rPr>
        <w:t>[</w:t>
      </w:r>
      <w:hyperlink r:id="rId37">
        <w:r>
          <w:rPr>
            <w:spacing w:val="-2"/>
            <w:w w:val="105"/>
            <w:sz w:val="23"/>
            <w:u w:val="single"/>
          </w:rPr>
          <w:t>http://</w:t>
        </w:r>
        <w:r>
          <w:rPr>
            <w:spacing w:val="-2"/>
            <w:w w:val="105"/>
            <w:sz w:val="23"/>
            <w:u w:val="single"/>
          </w:rPr>
          <w:t>www.iosrjournals.org/iosr-jbm/papers/Vol19-issue12/Version-</w:t>
        </w:r>
      </w:hyperlink>
    </w:p>
    <w:p w:rsidR="00487D64" w:rsidRDefault="006F0D93">
      <w:pPr>
        <w:pStyle w:val="BodyText"/>
        <w:ind w:left="2550"/>
      </w:pPr>
      <w:hyperlink r:id="rId38">
        <w:r>
          <w:rPr>
            <w:u w:val="single"/>
          </w:rPr>
          <w:t>6/F1912063240.pdf</w:t>
        </w:r>
      </w:hyperlink>
      <w:r>
        <w:rPr>
          <w:u w:val="single"/>
        </w:rPr>
        <w:t>],</w:t>
      </w:r>
      <w:r>
        <w:rPr>
          <w:spacing w:val="38"/>
        </w:rPr>
        <w:t xml:space="preserve"> </w:t>
      </w:r>
      <w:r>
        <w:t>visited</w:t>
      </w:r>
      <w:r>
        <w:rPr>
          <w:spacing w:val="36"/>
        </w:rPr>
        <w:t xml:space="preserve"> </w:t>
      </w:r>
      <w:r>
        <w:t>on</w:t>
      </w:r>
      <w:r>
        <w:rPr>
          <w:spacing w:val="24"/>
        </w:rPr>
        <w:t xml:space="preserve"> </w:t>
      </w:r>
      <w:r>
        <w:rPr>
          <w:spacing w:val="-2"/>
        </w:rPr>
        <w:t>24/02/2023.</w:t>
      </w:r>
    </w:p>
    <w:p w:rsidR="00487D64" w:rsidRDefault="00487D64">
      <w:pPr>
        <w:pStyle w:val="BodyText"/>
        <w:spacing w:before="18"/>
      </w:pPr>
    </w:p>
    <w:p w:rsidR="00487D64" w:rsidRDefault="006F0D93">
      <w:pPr>
        <w:pStyle w:val="BodyText"/>
        <w:spacing w:before="1" w:line="501" w:lineRule="auto"/>
        <w:ind w:left="2550" w:right="850" w:hanging="1131"/>
        <w:jc w:val="both"/>
      </w:pPr>
      <w:r>
        <w:rPr>
          <w:w w:val="105"/>
        </w:rPr>
        <w:t>Wamoto, E. M. I. L. Y. (2017). Factors Influencin</w:t>
      </w:r>
      <w:r>
        <w:rPr>
          <w:w w:val="105"/>
        </w:rPr>
        <w:t xml:space="preserve">g Uptake of Government Procurement Opportunities by Vulnerable Groups in Kenyan County Governments:(A Case Study of Laikipia County Government. </w:t>
      </w:r>
      <w:r>
        <w:rPr>
          <w:i/>
          <w:w w:val="105"/>
        </w:rPr>
        <w:t>IOSR Journal of Business and Management</w:t>
      </w:r>
      <w:r>
        <w:rPr>
          <w:w w:val="105"/>
        </w:rPr>
        <w:t>, 32-40.</w:t>
      </w:r>
    </w:p>
    <w:p w:rsidR="00487D64" w:rsidRDefault="006F0D93">
      <w:pPr>
        <w:pStyle w:val="BodyText"/>
        <w:spacing w:line="499" w:lineRule="auto"/>
        <w:ind w:left="2550" w:right="857" w:hanging="1131"/>
        <w:jc w:val="both"/>
      </w:pPr>
      <w:r>
        <w:rPr>
          <w:w w:val="105"/>
        </w:rPr>
        <w:t>Wang, Z., Ling, K. C., and Li, H. (2021). The impact of knowledg</w:t>
      </w:r>
      <w:r>
        <w:rPr>
          <w:w w:val="105"/>
        </w:rPr>
        <w:t>e sharing on the relationship between market orientation and service innovation. International Journal of Knowledge Management, 17(2), 130–154</w:t>
      </w:r>
    </w:p>
    <w:p w:rsidR="00487D64" w:rsidRDefault="006F0D93">
      <w:pPr>
        <w:spacing w:before="7" w:line="499" w:lineRule="auto"/>
        <w:ind w:left="2550" w:right="853" w:hanging="1131"/>
        <w:jc w:val="both"/>
        <w:rPr>
          <w:sz w:val="23"/>
        </w:rPr>
      </w:pPr>
      <w:r>
        <w:rPr>
          <w:w w:val="105"/>
          <w:sz w:val="23"/>
        </w:rPr>
        <w:t>WANJIRU, N. J. (2018).</w:t>
      </w:r>
      <w:r>
        <w:rPr>
          <w:spacing w:val="-5"/>
          <w:w w:val="105"/>
          <w:sz w:val="23"/>
        </w:rPr>
        <w:t xml:space="preserve"> </w:t>
      </w:r>
      <w:r>
        <w:rPr>
          <w:i/>
          <w:w w:val="105"/>
          <w:sz w:val="23"/>
        </w:rPr>
        <w:t>Determinants of youth-owned companies participation in public procurement projects in keri</w:t>
      </w:r>
      <w:r>
        <w:rPr>
          <w:i/>
          <w:w w:val="105"/>
          <w:sz w:val="23"/>
        </w:rPr>
        <w:t xml:space="preserve">cho kenya </w:t>
      </w:r>
      <w:r>
        <w:rPr>
          <w:w w:val="105"/>
          <w:sz w:val="23"/>
        </w:rPr>
        <w:t xml:space="preserve">(Doctoral dissertation, </w:t>
      </w:r>
      <w:r>
        <w:rPr>
          <w:spacing w:val="-2"/>
          <w:w w:val="105"/>
          <w:sz w:val="23"/>
        </w:rPr>
        <w:t>JKUAT).</w:t>
      </w:r>
    </w:p>
    <w:p w:rsidR="00487D64" w:rsidRDefault="006F0D93">
      <w:pPr>
        <w:spacing w:before="6" w:line="501" w:lineRule="auto"/>
        <w:ind w:left="2550" w:right="850" w:hanging="1131"/>
        <w:jc w:val="both"/>
        <w:rPr>
          <w:sz w:val="23"/>
        </w:rPr>
      </w:pPr>
      <w:r>
        <w:rPr>
          <w:w w:val="105"/>
          <w:sz w:val="23"/>
        </w:rPr>
        <w:t>Waruiru, E., Namusonge, M., &amp; Wanjira, J. (2018). Influence of inter-functional coordination</w:t>
      </w:r>
      <w:r>
        <w:rPr>
          <w:spacing w:val="40"/>
          <w:w w:val="105"/>
          <w:sz w:val="23"/>
        </w:rPr>
        <w:t xml:space="preserve">  </w:t>
      </w:r>
      <w:r>
        <w:rPr>
          <w:w w:val="105"/>
          <w:sz w:val="23"/>
        </w:rPr>
        <w:t>on</w:t>
      </w:r>
      <w:r>
        <w:rPr>
          <w:spacing w:val="40"/>
          <w:w w:val="105"/>
          <w:sz w:val="23"/>
        </w:rPr>
        <w:t xml:space="preserve">  </w:t>
      </w:r>
      <w:r>
        <w:rPr>
          <w:w w:val="105"/>
          <w:sz w:val="23"/>
        </w:rPr>
        <w:t>performance</w:t>
      </w:r>
      <w:r>
        <w:rPr>
          <w:spacing w:val="80"/>
          <w:w w:val="150"/>
          <w:sz w:val="23"/>
        </w:rPr>
        <w:t xml:space="preserve"> </w:t>
      </w:r>
      <w:r>
        <w:rPr>
          <w:w w:val="105"/>
          <w:sz w:val="23"/>
        </w:rPr>
        <w:t>of</w:t>
      </w:r>
      <w:r>
        <w:rPr>
          <w:spacing w:val="80"/>
          <w:w w:val="150"/>
          <w:sz w:val="23"/>
        </w:rPr>
        <w:t xml:space="preserve"> </w:t>
      </w:r>
      <w:r>
        <w:rPr>
          <w:w w:val="105"/>
          <w:sz w:val="23"/>
        </w:rPr>
        <w:t>insurance</w:t>
      </w:r>
      <w:r>
        <w:rPr>
          <w:spacing w:val="80"/>
          <w:w w:val="150"/>
          <w:sz w:val="23"/>
        </w:rPr>
        <w:t xml:space="preserve"> </w:t>
      </w:r>
      <w:r>
        <w:rPr>
          <w:w w:val="105"/>
          <w:sz w:val="23"/>
        </w:rPr>
        <w:t>organizations</w:t>
      </w:r>
      <w:r>
        <w:rPr>
          <w:spacing w:val="80"/>
          <w:w w:val="150"/>
          <w:sz w:val="23"/>
        </w:rPr>
        <w:t xml:space="preserve"> </w:t>
      </w:r>
      <w:r>
        <w:rPr>
          <w:w w:val="105"/>
          <w:sz w:val="23"/>
        </w:rPr>
        <w:t>in</w:t>
      </w:r>
      <w:r>
        <w:rPr>
          <w:spacing w:val="40"/>
          <w:w w:val="105"/>
          <w:sz w:val="23"/>
        </w:rPr>
        <w:t xml:space="preserve"> </w:t>
      </w:r>
      <w:r>
        <w:rPr>
          <w:w w:val="105"/>
          <w:sz w:val="23"/>
        </w:rPr>
        <w:t>Kenya.</w:t>
      </w:r>
      <w:r>
        <w:rPr>
          <w:spacing w:val="-4"/>
          <w:w w:val="105"/>
          <w:sz w:val="23"/>
        </w:rPr>
        <w:t xml:space="preserve"> </w:t>
      </w:r>
      <w:r>
        <w:rPr>
          <w:i/>
          <w:w w:val="105"/>
          <w:sz w:val="23"/>
        </w:rPr>
        <w:t>European Journal of Business and Strategic Management</w:t>
      </w:r>
      <w:r>
        <w:rPr>
          <w:w w:val="105"/>
          <w:sz w:val="23"/>
        </w:rPr>
        <w:t>,</w:t>
      </w:r>
      <w:r>
        <w:rPr>
          <w:spacing w:val="-11"/>
          <w:w w:val="105"/>
          <w:sz w:val="23"/>
        </w:rPr>
        <w:t xml:space="preserve"> </w:t>
      </w:r>
      <w:r>
        <w:rPr>
          <w:i/>
          <w:w w:val="105"/>
          <w:sz w:val="23"/>
        </w:rPr>
        <w:t>3</w:t>
      </w:r>
      <w:r>
        <w:rPr>
          <w:w w:val="105"/>
          <w:sz w:val="23"/>
        </w:rPr>
        <w:t xml:space="preserve">(6), </w:t>
      </w:r>
      <w:r>
        <w:rPr>
          <w:spacing w:val="-2"/>
          <w:w w:val="105"/>
          <w:sz w:val="23"/>
        </w:rPr>
        <w:t>52-65.</w:t>
      </w:r>
    </w:p>
    <w:p w:rsidR="00487D64" w:rsidRDefault="00487D64">
      <w:pPr>
        <w:spacing w:line="501" w:lineRule="auto"/>
        <w:jc w:val="bot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2550" w:right="854" w:hanging="1131"/>
        <w:jc w:val="both"/>
      </w:pPr>
      <w:r>
        <w:rPr>
          <w:w w:val="105"/>
        </w:rPr>
        <w:t>Wong,</w:t>
      </w:r>
      <w:r>
        <w:rPr>
          <w:spacing w:val="-4"/>
          <w:w w:val="105"/>
        </w:rPr>
        <w:t xml:space="preserve"> </w:t>
      </w:r>
      <w:r>
        <w:rPr>
          <w:w w:val="105"/>
        </w:rPr>
        <w:t>M.</w:t>
      </w:r>
      <w:r>
        <w:rPr>
          <w:spacing w:val="-4"/>
          <w:w w:val="105"/>
        </w:rPr>
        <w:t xml:space="preserve"> </w:t>
      </w:r>
      <w:r>
        <w:rPr>
          <w:w w:val="105"/>
        </w:rPr>
        <w:t>C.</w:t>
      </w:r>
      <w:r>
        <w:rPr>
          <w:spacing w:val="-5"/>
          <w:w w:val="105"/>
        </w:rPr>
        <w:t xml:space="preserve"> </w:t>
      </w:r>
      <w:r>
        <w:rPr>
          <w:w w:val="105"/>
        </w:rPr>
        <w:t>M., Kwok, M.</w:t>
      </w:r>
      <w:r>
        <w:rPr>
          <w:spacing w:val="-4"/>
          <w:w w:val="105"/>
        </w:rPr>
        <w:t xml:space="preserve"> </w:t>
      </w:r>
      <w:r>
        <w:rPr>
          <w:w w:val="105"/>
        </w:rPr>
        <w:t>L.</w:t>
      </w:r>
      <w:r>
        <w:rPr>
          <w:spacing w:val="-4"/>
          <w:w w:val="105"/>
        </w:rPr>
        <w:t xml:space="preserve"> </w:t>
      </w:r>
      <w:r>
        <w:rPr>
          <w:w w:val="105"/>
        </w:rPr>
        <w:t>J.,</w:t>
      </w:r>
      <w:r>
        <w:rPr>
          <w:spacing w:val="-4"/>
          <w:w w:val="105"/>
        </w:rPr>
        <w:t xml:space="preserve"> </w:t>
      </w:r>
      <w:r>
        <w:rPr>
          <w:w w:val="105"/>
        </w:rPr>
        <w:t>and</w:t>
      </w:r>
      <w:r>
        <w:rPr>
          <w:spacing w:val="-6"/>
          <w:w w:val="105"/>
        </w:rPr>
        <w:t xml:space="preserve"> </w:t>
      </w:r>
      <w:r>
        <w:rPr>
          <w:w w:val="105"/>
        </w:rPr>
        <w:t>Lau,</w:t>
      </w:r>
      <w:r>
        <w:rPr>
          <w:spacing w:val="-4"/>
          <w:w w:val="105"/>
        </w:rPr>
        <w:t xml:space="preserve"> </w:t>
      </w:r>
      <w:r>
        <w:rPr>
          <w:w w:val="105"/>
        </w:rPr>
        <w:t>M.</w:t>
      </w:r>
      <w:r>
        <w:rPr>
          <w:spacing w:val="-4"/>
          <w:w w:val="105"/>
        </w:rPr>
        <w:t xml:space="preserve"> </w:t>
      </w:r>
      <w:r>
        <w:rPr>
          <w:w w:val="105"/>
        </w:rPr>
        <w:t>M.</w:t>
      </w:r>
      <w:r>
        <w:rPr>
          <w:spacing w:val="-11"/>
          <w:w w:val="105"/>
        </w:rPr>
        <w:t xml:space="preserve"> </w:t>
      </w:r>
      <w:r>
        <w:rPr>
          <w:w w:val="105"/>
        </w:rPr>
        <w:t>(2015).</w:t>
      </w:r>
      <w:r>
        <w:rPr>
          <w:spacing w:val="-11"/>
          <w:w w:val="105"/>
        </w:rPr>
        <w:t xml:space="preserve"> </w:t>
      </w:r>
      <w:r>
        <w:rPr>
          <w:w w:val="105"/>
        </w:rPr>
        <w:t>Spreading</w:t>
      </w:r>
      <w:r>
        <w:rPr>
          <w:spacing w:val="-6"/>
          <w:w w:val="105"/>
        </w:rPr>
        <w:t xml:space="preserve"> </w:t>
      </w:r>
      <w:r>
        <w:rPr>
          <w:w w:val="105"/>
        </w:rPr>
        <w:t>good words:</w:t>
      </w:r>
      <w:r>
        <w:rPr>
          <w:spacing w:val="-11"/>
          <w:w w:val="105"/>
        </w:rPr>
        <w:t xml:space="preserve"> </w:t>
      </w:r>
      <w:r>
        <w:rPr>
          <w:w w:val="105"/>
        </w:rPr>
        <w:t>the mediating</w:t>
      </w:r>
      <w:r>
        <w:rPr>
          <w:spacing w:val="-2"/>
          <w:w w:val="105"/>
        </w:rPr>
        <w:t xml:space="preserve"> </w:t>
      </w:r>
      <w:r>
        <w:rPr>
          <w:w w:val="105"/>
        </w:rPr>
        <w:t>effect of</w:t>
      </w:r>
      <w:r>
        <w:rPr>
          <w:spacing w:val="-4"/>
          <w:w w:val="105"/>
        </w:rPr>
        <w:t xml:space="preserve"> </w:t>
      </w:r>
      <w:r>
        <w:rPr>
          <w:w w:val="105"/>
        </w:rPr>
        <w:t>brand</w:t>
      </w:r>
      <w:r>
        <w:rPr>
          <w:spacing w:val="-2"/>
          <w:w w:val="105"/>
        </w:rPr>
        <w:t xml:space="preserve"> </w:t>
      </w:r>
      <w:r>
        <w:rPr>
          <w:w w:val="105"/>
        </w:rPr>
        <w:t>loyalty</w:t>
      </w:r>
      <w:r>
        <w:rPr>
          <w:spacing w:val="-2"/>
          <w:w w:val="105"/>
        </w:rPr>
        <w:t xml:space="preserve"> </w:t>
      </w:r>
      <w:r>
        <w:rPr>
          <w:w w:val="105"/>
        </w:rPr>
        <w:t>between</w:t>
      </w:r>
      <w:r>
        <w:rPr>
          <w:spacing w:val="-2"/>
          <w:w w:val="105"/>
        </w:rPr>
        <w:t xml:space="preserve"> </w:t>
      </w:r>
      <w:r>
        <w:rPr>
          <w:w w:val="105"/>
        </w:rPr>
        <w:t>role</w:t>
      </w:r>
      <w:r>
        <w:rPr>
          <w:spacing w:val="-2"/>
          <w:w w:val="105"/>
        </w:rPr>
        <w:t xml:space="preserve"> </w:t>
      </w:r>
      <w:r>
        <w:rPr>
          <w:w w:val="105"/>
        </w:rPr>
        <w:t>model</w:t>
      </w:r>
      <w:r>
        <w:rPr>
          <w:spacing w:val="-6"/>
          <w:w w:val="105"/>
        </w:rPr>
        <w:t xml:space="preserve"> </w:t>
      </w:r>
      <w:r>
        <w:rPr>
          <w:w w:val="105"/>
        </w:rPr>
        <w:t>influence</w:t>
      </w:r>
      <w:r>
        <w:rPr>
          <w:spacing w:val="-9"/>
          <w:w w:val="105"/>
        </w:rPr>
        <w:t xml:space="preserve"> </w:t>
      </w:r>
      <w:r>
        <w:rPr>
          <w:w w:val="105"/>
        </w:rPr>
        <w:t xml:space="preserve">and word of mouth. </w:t>
      </w:r>
      <w:r>
        <w:rPr>
          <w:i/>
          <w:w w:val="105"/>
        </w:rPr>
        <w:t>Contemporary Management Research</w:t>
      </w:r>
      <w:r>
        <w:rPr>
          <w:w w:val="105"/>
        </w:rPr>
        <w:t xml:space="preserve">, </w:t>
      </w:r>
      <w:r>
        <w:rPr>
          <w:i/>
          <w:w w:val="105"/>
        </w:rPr>
        <w:t>11</w:t>
      </w:r>
      <w:r>
        <w:rPr>
          <w:w w:val="105"/>
        </w:rPr>
        <w:t>(4).</w:t>
      </w:r>
    </w:p>
    <w:p w:rsidR="00487D64" w:rsidRDefault="006F0D93">
      <w:pPr>
        <w:pStyle w:val="BodyText"/>
        <w:spacing w:before="7" w:line="499" w:lineRule="auto"/>
        <w:ind w:left="2550" w:right="855" w:hanging="1131"/>
        <w:jc w:val="both"/>
      </w:pPr>
      <w:r>
        <w:rPr>
          <w:w w:val="105"/>
        </w:rPr>
        <w:t>Woo, H., Kim, S. J., and</w:t>
      </w:r>
      <w:r>
        <w:rPr>
          <w:w w:val="105"/>
        </w:rPr>
        <w:t xml:space="preserve"> Wang, H. (2021). Understanding the role of service innovation</w:t>
      </w:r>
      <w:r>
        <w:rPr>
          <w:spacing w:val="80"/>
          <w:w w:val="105"/>
        </w:rPr>
        <w:t xml:space="preserve"> </w:t>
      </w:r>
      <w:r>
        <w:rPr>
          <w:w w:val="105"/>
        </w:rPr>
        <w:t>behavior</w:t>
      </w:r>
      <w:r>
        <w:rPr>
          <w:spacing w:val="80"/>
          <w:w w:val="150"/>
        </w:rPr>
        <w:t xml:space="preserve"> </w:t>
      </w:r>
      <w:r>
        <w:rPr>
          <w:w w:val="105"/>
        </w:rPr>
        <w:t>on</w:t>
      </w:r>
      <w:r>
        <w:rPr>
          <w:spacing w:val="80"/>
          <w:w w:val="150"/>
        </w:rPr>
        <w:t xml:space="preserve"> </w:t>
      </w:r>
      <w:r>
        <w:rPr>
          <w:w w:val="105"/>
        </w:rPr>
        <w:t>business</w:t>
      </w:r>
      <w:r>
        <w:rPr>
          <w:spacing w:val="80"/>
          <w:w w:val="150"/>
        </w:rPr>
        <w:t xml:space="preserve"> </w:t>
      </w:r>
      <w:r>
        <w:rPr>
          <w:w w:val="105"/>
        </w:rPr>
        <w:t>customer</w:t>
      </w:r>
      <w:r>
        <w:rPr>
          <w:spacing w:val="80"/>
          <w:w w:val="150"/>
        </w:rPr>
        <w:t xml:space="preserve"> </w:t>
      </w:r>
      <w:r>
        <w:rPr>
          <w:w w:val="105"/>
        </w:rPr>
        <w:t>performance</w:t>
      </w:r>
      <w:r>
        <w:rPr>
          <w:spacing w:val="80"/>
          <w:w w:val="105"/>
        </w:rPr>
        <w:t xml:space="preserve"> </w:t>
      </w:r>
      <w:r>
        <w:rPr>
          <w:w w:val="105"/>
        </w:rPr>
        <w:t>and</w:t>
      </w:r>
      <w:r>
        <w:rPr>
          <w:spacing w:val="40"/>
          <w:w w:val="105"/>
        </w:rPr>
        <w:t xml:space="preserve"> </w:t>
      </w:r>
      <w:r>
        <w:rPr>
          <w:w w:val="105"/>
        </w:rPr>
        <w:t xml:space="preserve">loyalty. </w:t>
      </w:r>
      <w:r>
        <w:rPr>
          <w:i/>
          <w:w w:val="105"/>
        </w:rPr>
        <w:t>Industrial Marketing Management</w:t>
      </w:r>
      <w:r>
        <w:rPr>
          <w:w w:val="105"/>
        </w:rPr>
        <w:t xml:space="preserve">, </w:t>
      </w:r>
      <w:r>
        <w:rPr>
          <w:i/>
          <w:w w:val="105"/>
        </w:rPr>
        <w:t>93</w:t>
      </w:r>
      <w:r>
        <w:rPr>
          <w:w w:val="105"/>
        </w:rPr>
        <w:t>, 41-51.</w:t>
      </w:r>
    </w:p>
    <w:p w:rsidR="00487D64" w:rsidRDefault="006F0D93">
      <w:pPr>
        <w:pStyle w:val="BodyText"/>
        <w:spacing w:before="6" w:line="501" w:lineRule="auto"/>
        <w:ind w:left="2550" w:right="848" w:hanging="1131"/>
        <w:jc w:val="both"/>
      </w:pPr>
      <w:r>
        <w:rPr>
          <w:w w:val="105"/>
        </w:rPr>
        <w:t>Woolcott, G., Loosemore, M., Keast, R., Meltzer, A., &amp; Alkilani, S. (2025). Transitioning</w:t>
      </w:r>
      <w:r>
        <w:rPr>
          <w:w w:val="105"/>
        </w:rPr>
        <w:t xml:space="preserve"> young people into employment in the Australian construction industry: the trust-building role of project-based intermediaries. </w:t>
      </w:r>
      <w:r>
        <w:rPr>
          <w:i/>
          <w:w w:val="105"/>
        </w:rPr>
        <w:t>Engineering, Construction and Architectural Management</w:t>
      </w:r>
      <w:r>
        <w:rPr>
          <w:w w:val="105"/>
        </w:rPr>
        <w:t xml:space="preserve">, </w:t>
      </w:r>
      <w:r>
        <w:rPr>
          <w:i/>
          <w:w w:val="105"/>
        </w:rPr>
        <w:t>32</w:t>
      </w:r>
      <w:r>
        <w:rPr>
          <w:w w:val="105"/>
        </w:rPr>
        <w:t>(4), 2571-2589.</w:t>
      </w:r>
    </w:p>
    <w:p w:rsidR="00487D64" w:rsidRDefault="006F0D93">
      <w:pPr>
        <w:pStyle w:val="BodyText"/>
        <w:spacing w:line="501" w:lineRule="auto"/>
        <w:ind w:left="2550" w:right="848" w:hanging="1131"/>
        <w:jc w:val="both"/>
      </w:pPr>
      <w:r>
        <w:rPr>
          <w:w w:val="105"/>
        </w:rPr>
        <w:t>Woolcott, G., Loosemore, M., Keast, R., Meltzer, A., &amp;</w:t>
      </w:r>
      <w:r>
        <w:rPr>
          <w:w w:val="105"/>
        </w:rPr>
        <w:t xml:space="preserve"> Alkilani, S. (2025). Transitioning young people into employment in the Australian construction industry: the trust-building role of project-based intermediaries. </w:t>
      </w:r>
      <w:r>
        <w:rPr>
          <w:i/>
          <w:w w:val="105"/>
        </w:rPr>
        <w:t>Engineering, Construction and Architectural Management</w:t>
      </w:r>
      <w:r>
        <w:rPr>
          <w:w w:val="105"/>
        </w:rPr>
        <w:t xml:space="preserve">, </w:t>
      </w:r>
      <w:r>
        <w:rPr>
          <w:i/>
          <w:w w:val="105"/>
        </w:rPr>
        <w:t>32</w:t>
      </w:r>
      <w:r>
        <w:rPr>
          <w:w w:val="105"/>
        </w:rPr>
        <w:t>(4), 2571-2589.</w:t>
      </w:r>
    </w:p>
    <w:p w:rsidR="00487D64" w:rsidRDefault="006F0D93">
      <w:pPr>
        <w:spacing w:line="496" w:lineRule="auto"/>
        <w:ind w:left="2550" w:right="869" w:hanging="1131"/>
        <w:jc w:val="both"/>
        <w:rPr>
          <w:i/>
          <w:sz w:val="23"/>
        </w:rPr>
      </w:pPr>
      <w:r>
        <w:rPr>
          <w:w w:val="105"/>
          <w:sz w:val="23"/>
        </w:rPr>
        <w:t>World Bank. (2020).</w:t>
      </w:r>
      <w:r>
        <w:rPr>
          <w:w w:val="105"/>
          <w:sz w:val="23"/>
        </w:rPr>
        <w:t xml:space="preserve"> </w:t>
      </w:r>
      <w:r>
        <w:rPr>
          <w:i/>
          <w:w w:val="105"/>
          <w:sz w:val="23"/>
        </w:rPr>
        <w:t>Procurement Regulations for IPF Borrowers: Goods, Works, Non-Consulting and Consulting Services (Fourth Edition)</w:t>
      </w:r>
    </w:p>
    <w:p w:rsidR="00487D64" w:rsidRDefault="006F0D93">
      <w:pPr>
        <w:pStyle w:val="BodyText"/>
        <w:spacing w:before="4" w:line="504" w:lineRule="auto"/>
        <w:ind w:left="2550" w:right="875" w:hanging="1131"/>
        <w:jc w:val="both"/>
      </w:pPr>
      <w:r>
        <w:rPr>
          <w:w w:val="105"/>
        </w:rPr>
        <w:t>Xiu, L., Liang, X., Chen, Z., &amp; Xu, W. (2017). Strategic flexibility, innovative HR practices, and firm performance. Personnel Review</w:t>
      </w:r>
    </w:p>
    <w:p w:rsidR="00487D64" w:rsidRDefault="006F0D93">
      <w:pPr>
        <w:pStyle w:val="BodyText"/>
        <w:spacing w:line="504" w:lineRule="auto"/>
        <w:ind w:left="2550" w:right="875" w:hanging="1131"/>
        <w:jc w:val="both"/>
      </w:pPr>
      <w:r>
        <w:rPr>
          <w:w w:val="105"/>
        </w:rPr>
        <w:t>Xiu, L.,</w:t>
      </w:r>
      <w:r>
        <w:rPr>
          <w:w w:val="105"/>
        </w:rPr>
        <w:t xml:space="preserve"> Liang, X., Chen, Z., &amp; Xu, W. (2017). Strategic flexibility, innovative HR practices, and firm performance. Personnel Review.</w:t>
      </w:r>
    </w:p>
    <w:p w:rsidR="00487D64" w:rsidRDefault="006F0D93">
      <w:pPr>
        <w:spacing w:line="496" w:lineRule="auto"/>
        <w:ind w:left="2550" w:right="854" w:hanging="1131"/>
        <w:jc w:val="both"/>
        <w:rPr>
          <w:sz w:val="23"/>
        </w:rPr>
      </w:pPr>
      <w:r>
        <w:rPr>
          <w:w w:val="105"/>
          <w:sz w:val="23"/>
        </w:rPr>
        <w:t xml:space="preserve">Yaghmaei, F. (2009). Content validity and its estimation. </w:t>
      </w:r>
      <w:r>
        <w:rPr>
          <w:i/>
          <w:w w:val="105"/>
          <w:sz w:val="23"/>
        </w:rPr>
        <w:t>Journal of Medical Education, 3</w:t>
      </w:r>
      <w:r>
        <w:rPr>
          <w:w w:val="105"/>
          <w:sz w:val="23"/>
        </w:rPr>
        <w:t>(1), 25-27.</w:t>
      </w:r>
    </w:p>
    <w:p w:rsidR="00487D64" w:rsidRDefault="00487D64">
      <w:pPr>
        <w:spacing w:line="496" w:lineRule="auto"/>
        <w:jc w:val="bot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BodyText"/>
        <w:spacing w:line="499" w:lineRule="auto"/>
        <w:ind w:left="2550" w:right="849" w:hanging="1131"/>
        <w:jc w:val="both"/>
      </w:pPr>
      <w:r>
        <w:rPr>
          <w:w w:val="105"/>
        </w:rPr>
        <w:t>Yan, H., &amp; Cui, L. (2025). Research on the Recognition of State-owned Enterprises as</w:t>
      </w:r>
      <w:r>
        <w:rPr>
          <w:spacing w:val="80"/>
          <w:w w:val="105"/>
        </w:rPr>
        <w:t xml:space="preserve"> </w:t>
      </w:r>
      <w:r>
        <w:rPr>
          <w:w w:val="105"/>
        </w:rPr>
        <w:t>Eligible</w:t>
      </w:r>
      <w:r>
        <w:rPr>
          <w:spacing w:val="80"/>
          <w:w w:val="105"/>
        </w:rPr>
        <w:t xml:space="preserve"> </w:t>
      </w:r>
      <w:r>
        <w:rPr>
          <w:w w:val="105"/>
        </w:rPr>
        <w:t>Procuring</w:t>
      </w:r>
      <w:r>
        <w:rPr>
          <w:spacing w:val="80"/>
          <w:w w:val="105"/>
        </w:rPr>
        <w:t xml:space="preserve"> </w:t>
      </w:r>
      <w:r>
        <w:rPr>
          <w:w w:val="105"/>
        </w:rPr>
        <w:t>Entities:</w:t>
      </w:r>
      <w:r>
        <w:rPr>
          <w:spacing w:val="80"/>
          <w:w w:val="105"/>
        </w:rPr>
        <w:t xml:space="preserve"> </w:t>
      </w:r>
      <w:r>
        <w:rPr>
          <w:w w:val="105"/>
        </w:rPr>
        <w:t>Focused</w:t>
      </w:r>
      <w:r>
        <w:rPr>
          <w:spacing w:val="80"/>
          <w:w w:val="105"/>
        </w:rPr>
        <w:t xml:space="preserve"> </w:t>
      </w:r>
      <w:r>
        <w:rPr>
          <w:w w:val="105"/>
        </w:rPr>
        <w:t>on</w:t>
      </w:r>
      <w:r>
        <w:rPr>
          <w:spacing w:val="80"/>
          <w:w w:val="105"/>
        </w:rPr>
        <w:t xml:space="preserve"> </w:t>
      </w:r>
      <w:r>
        <w:rPr>
          <w:w w:val="105"/>
        </w:rPr>
        <w:t>China’s</w:t>
      </w:r>
      <w:r>
        <w:rPr>
          <w:spacing w:val="80"/>
          <w:w w:val="105"/>
        </w:rPr>
        <w:t xml:space="preserve"> </w:t>
      </w:r>
      <w:r>
        <w:rPr>
          <w:w w:val="105"/>
        </w:rPr>
        <w:t>Bid</w:t>
      </w:r>
      <w:r>
        <w:rPr>
          <w:spacing w:val="80"/>
          <w:w w:val="105"/>
        </w:rPr>
        <w:t xml:space="preserve"> </w:t>
      </w:r>
      <w:r>
        <w:rPr>
          <w:w w:val="105"/>
        </w:rPr>
        <w:t>to</w:t>
      </w:r>
      <w:r>
        <w:rPr>
          <w:spacing w:val="80"/>
          <w:w w:val="105"/>
        </w:rPr>
        <w:t xml:space="preserve"> </w:t>
      </w:r>
      <w:r>
        <w:rPr>
          <w:w w:val="105"/>
        </w:rPr>
        <w:t xml:space="preserve">the GPA. </w:t>
      </w:r>
      <w:r>
        <w:rPr>
          <w:i/>
          <w:w w:val="105"/>
        </w:rPr>
        <w:t>Research in Social Sciences</w:t>
      </w:r>
      <w:r>
        <w:rPr>
          <w:w w:val="105"/>
        </w:rPr>
        <w:t xml:space="preserve">, </w:t>
      </w:r>
      <w:r>
        <w:rPr>
          <w:i/>
          <w:w w:val="105"/>
        </w:rPr>
        <w:t>8</w:t>
      </w:r>
      <w:r>
        <w:rPr>
          <w:w w:val="105"/>
        </w:rPr>
        <w:t>(1), 43-52.</w:t>
      </w:r>
    </w:p>
    <w:p w:rsidR="00487D64" w:rsidRDefault="006F0D93">
      <w:pPr>
        <w:pStyle w:val="BodyText"/>
        <w:spacing w:before="7" w:line="501" w:lineRule="auto"/>
        <w:ind w:left="2550" w:right="851" w:hanging="1131"/>
        <w:jc w:val="both"/>
      </w:pPr>
      <w:r>
        <w:rPr>
          <w:w w:val="105"/>
        </w:rPr>
        <w:t>Yang, M., Jaafar, N., Al Mamun, A., Salameh, A. A., &amp; Nawi, N. C.</w:t>
      </w:r>
      <w:r>
        <w:rPr>
          <w:w w:val="105"/>
        </w:rPr>
        <w:t xml:space="preserve"> (2022). Modelling the significance of strategic orientation for competitive advantage and economic sustainability: the use of hybrid SEM–neural network</w:t>
      </w:r>
      <w:r>
        <w:rPr>
          <w:spacing w:val="-6"/>
          <w:w w:val="105"/>
        </w:rPr>
        <w:t xml:space="preserve"> </w:t>
      </w:r>
      <w:r>
        <w:rPr>
          <w:w w:val="105"/>
        </w:rPr>
        <w:t>analysis.</w:t>
      </w:r>
      <w:r>
        <w:rPr>
          <w:spacing w:val="-1"/>
          <w:w w:val="105"/>
        </w:rPr>
        <w:t xml:space="preserve"> </w:t>
      </w:r>
      <w:r>
        <w:rPr>
          <w:i/>
          <w:w w:val="105"/>
        </w:rPr>
        <w:t>Journal</w:t>
      </w:r>
      <w:r>
        <w:rPr>
          <w:i/>
          <w:spacing w:val="-10"/>
          <w:w w:val="105"/>
        </w:rPr>
        <w:t xml:space="preserve"> </w:t>
      </w:r>
      <w:r>
        <w:rPr>
          <w:i/>
          <w:w w:val="105"/>
        </w:rPr>
        <w:t>of</w:t>
      </w:r>
      <w:r>
        <w:rPr>
          <w:i/>
          <w:spacing w:val="-10"/>
          <w:w w:val="105"/>
        </w:rPr>
        <w:t xml:space="preserve"> </w:t>
      </w:r>
      <w:r>
        <w:rPr>
          <w:i/>
          <w:w w:val="105"/>
        </w:rPr>
        <w:t>Innovation</w:t>
      </w:r>
      <w:r>
        <w:rPr>
          <w:i/>
          <w:spacing w:val="-6"/>
          <w:w w:val="105"/>
        </w:rPr>
        <w:t xml:space="preserve"> </w:t>
      </w:r>
      <w:r>
        <w:rPr>
          <w:i/>
          <w:w w:val="105"/>
        </w:rPr>
        <w:t>and</w:t>
      </w:r>
      <w:r>
        <w:rPr>
          <w:i/>
          <w:spacing w:val="-6"/>
          <w:w w:val="105"/>
        </w:rPr>
        <w:t xml:space="preserve"> </w:t>
      </w:r>
      <w:r>
        <w:rPr>
          <w:i/>
          <w:w w:val="105"/>
        </w:rPr>
        <w:t>Entrepreneurship</w:t>
      </w:r>
      <w:r>
        <w:rPr>
          <w:w w:val="105"/>
        </w:rPr>
        <w:t>,</w:t>
      </w:r>
      <w:r>
        <w:rPr>
          <w:spacing w:val="-10"/>
          <w:w w:val="105"/>
        </w:rPr>
        <w:t xml:space="preserve"> </w:t>
      </w:r>
      <w:r>
        <w:rPr>
          <w:i/>
          <w:w w:val="105"/>
        </w:rPr>
        <w:t>11</w:t>
      </w:r>
      <w:r>
        <w:rPr>
          <w:w w:val="105"/>
        </w:rPr>
        <w:t>(1),</w:t>
      </w:r>
      <w:r>
        <w:rPr>
          <w:spacing w:val="-10"/>
          <w:w w:val="105"/>
        </w:rPr>
        <w:t xml:space="preserve"> </w:t>
      </w:r>
      <w:r>
        <w:rPr>
          <w:w w:val="105"/>
        </w:rPr>
        <w:t>44.</w:t>
      </w:r>
    </w:p>
    <w:p w:rsidR="00487D64" w:rsidRDefault="006F0D93">
      <w:pPr>
        <w:spacing w:line="499" w:lineRule="auto"/>
        <w:ind w:left="2550" w:right="848" w:hanging="1131"/>
        <w:jc w:val="both"/>
        <w:rPr>
          <w:sz w:val="23"/>
        </w:rPr>
      </w:pPr>
      <w:r>
        <w:rPr>
          <w:w w:val="105"/>
          <w:sz w:val="23"/>
        </w:rPr>
        <w:t xml:space="preserve">Yang, S., Wang, C., Zhang, H., Lu, T., &amp; Yi, Y. (2022). Environmental regulation, firms’ bargaining power, and firms’ total factor productivity: evidence from China. </w:t>
      </w:r>
      <w:r>
        <w:rPr>
          <w:i/>
          <w:w w:val="105"/>
          <w:sz w:val="23"/>
        </w:rPr>
        <w:t>Environmental Science and Pollution Research</w:t>
      </w:r>
      <w:r>
        <w:rPr>
          <w:w w:val="105"/>
          <w:sz w:val="23"/>
        </w:rPr>
        <w:t>, 1-13.</w:t>
      </w:r>
    </w:p>
    <w:p w:rsidR="00487D64" w:rsidRDefault="006F0D93">
      <w:pPr>
        <w:spacing w:before="7" w:line="496" w:lineRule="auto"/>
        <w:ind w:left="2550" w:right="852" w:hanging="1131"/>
        <w:jc w:val="both"/>
        <w:rPr>
          <w:sz w:val="23"/>
        </w:rPr>
      </w:pPr>
      <w:r>
        <w:rPr>
          <w:w w:val="105"/>
          <w:sz w:val="23"/>
        </w:rPr>
        <w:t>Zhang, Z. (2016).</w:t>
      </w:r>
      <w:r>
        <w:rPr>
          <w:spacing w:val="-6"/>
          <w:w w:val="105"/>
          <w:sz w:val="23"/>
        </w:rPr>
        <w:t xml:space="preserve"> </w:t>
      </w:r>
      <w:r>
        <w:rPr>
          <w:w w:val="105"/>
          <w:sz w:val="23"/>
        </w:rPr>
        <w:t>Missing data imputat</w:t>
      </w:r>
      <w:r>
        <w:rPr>
          <w:w w:val="105"/>
          <w:sz w:val="23"/>
        </w:rPr>
        <w:t>ion: focusing</w:t>
      </w:r>
      <w:r>
        <w:rPr>
          <w:spacing w:val="-2"/>
          <w:w w:val="105"/>
          <w:sz w:val="23"/>
        </w:rPr>
        <w:t xml:space="preserve"> </w:t>
      </w:r>
      <w:r>
        <w:rPr>
          <w:w w:val="105"/>
          <w:sz w:val="23"/>
        </w:rPr>
        <w:t>on single</w:t>
      </w:r>
      <w:r>
        <w:rPr>
          <w:spacing w:val="-3"/>
          <w:w w:val="105"/>
          <w:sz w:val="23"/>
        </w:rPr>
        <w:t xml:space="preserve"> </w:t>
      </w:r>
      <w:r>
        <w:rPr>
          <w:w w:val="105"/>
          <w:sz w:val="23"/>
        </w:rPr>
        <w:t xml:space="preserve">imputation. </w:t>
      </w:r>
      <w:r>
        <w:rPr>
          <w:i/>
          <w:w w:val="105"/>
          <w:sz w:val="23"/>
        </w:rPr>
        <w:t>Annals</w:t>
      </w:r>
      <w:r>
        <w:rPr>
          <w:i/>
          <w:spacing w:val="-4"/>
          <w:w w:val="105"/>
          <w:sz w:val="23"/>
        </w:rPr>
        <w:t xml:space="preserve"> </w:t>
      </w:r>
      <w:r>
        <w:rPr>
          <w:i/>
          <w:w w:val="105"/>
          <w:sz w:val="23"/>
        </w:rPr>
        <w:t>of translational medicine</w:t>
      </w:r>
      <w:r>
        <w:rPr>
          <w:w w:val="105"/>
          <w:sz w:val="23"/>
        </w:rPr>
        <w:t xml:space="preserve">, </w:t>
      </w:r>
      <w:r>
        <w:rPr>
          <w:i/>
          <w:w w:val="105"/>
          <w:sz w:val="23"/>
        </w:rPr>
        <w:t>4</w:t>
      </w:r>
      <w:r>
        <w:rPr>
          <w:w w:val="105"/>
          <w:sz w:val="23"/>
        </w:rPr>
        <w:t>(1).</w:t>
      </w:r>
    </w:p>
    <w:p w:rsidR="00487D64" w:rsidRDefault="006F0D93">
      <w:pPr>
        <w:pStyle w:val="BodyText"/>
        <w:spacing w:before="7" w:line="504" w:lineRule="auto"/>
        <w:ind w:left="2550" w:right="857" w:hanging="1131"/>
        <w:jc w:val="both"/>
      </w:pPr>
      <w:r>
        <w:rPr>
          <w:w w:val="105"/>
        </w:rPr>
        <w:t xml:space="preserve">Zhou, K. Z., and Wu, F. (2010). Technological capability, strategic flexibility, and product innovation. </w:t>
      </w:r>
      <w:r>
        <w:rPr>
          <w:i/>
          <w:w w:val="105"/>
        </w:rPr>
        <w:t>Strategic management journal</w:t>
      </w:r>
      <w:r>
        <w:rPr>
          <w:w w:val="105"/>
        </w:rPr>
        <w:t xml:space="preserve">, </w:t>
      </w:r>
      <w:r>
        <w:rPr>
          <w:i/>
          <w:w w:val="105"/>
        </w:rPr>
        <w:t>31</w:t>
      </w:r>
      <w:r>
        <w:rPr>
          <w:w w:val="105"/>
        </w:rPr>
        <w:t>(5), 547-561.</w:t>
      </w:r>
    </w:p>
    <w:p w:rsidR="00487D64" w:rsidRDefault="006F0D93">
      <w:pPr>
        <w:pStyle w:val="BodyText"/>
        <w:spacing w:line="504" w:lineRule="auto"/>
        <w:ind w:left="2550" w:right="852" w:hanging="1131"/>
        <w:jc w:val="both"/>
      </w:pPr>
      <w:r>
        <w:rPr>
          <w:w w:val="105"/>
        </w:rPr>
        <w:t>Zhou, K. Z., Brown, J. R., an</w:t>
      </w:r>
      <w:r>
        <w:rPr>
          <w:w w:val="105"/>
        </w:rPr>
        <w:t>d Dev, C. S. (2009). Market orientation, competitive advantage, and performance: A demand-based perspective.</w:t>
      </w:r>
      <w:r>
        <w:rPr>
          <w:spacing w:val="-1"/>
          <w:w w:val="105"/>
        </w:rPr>
        <w:t xml:space="preserve"> </w:t>
      </w:r>
      <w:r>
        <w:rPr>
          <w:i/>
          <w:w w:val="105"/>
        </w:rPr>
        <w:t>Journal of business research</w:t>
      </w:r>
      <w:r>
        <w:rPr>
          <w:w w:val="105"/>
        </w:rPr>
        <w:t xml:space="preserve">, </w:t>
      </w:r>
      <w:r>
        <w:rPr>
          <w:i/>
          <w:w w:val="105"/>
        </w:rPr>
        <w:t>62</w:t>
      </w:r>
      <w:r>
        <w:rPr>
          <w:w w:val="105"/>
        </w:rPr>
        <w:t>(11), 1063-1070.</w:t>
      </w:r>
    </w:p>
    <w:p w:rsidR="00487D64" w:rsidRDefault="006F0D93">
      <w:pPr>
        <w:pStyle w:val="BodyText"/>
        <w:spacing w:line="504" w:lineRule="auto"/>
        <w:ind w:left="2550" w:right="844" w:hanging="1131"/>
        <w:jc w:val="both"/>
      </w:pPr>
      <w:r>
        <w:rPr>
          <w:w w:val="105"/>
        </w:rPr>
        <w:t xml:space="preserve">Zikmund, W. G., Carr, J. C., Babin, B., &amp; Griffin, M. (2013). </w:t>
      </w:r>
      <w:r>
        <w:rPr>
          <w:i/>
          <w:w w:val="105"/>
        </w:rPr>
        <w:t>Business research methods</w:t>
      </w:r>
      <w:r>
        <w:rPr>
          <w:w w:val="105"/>
        </w:rPr>
        <w:t>(9th</w:t>
      </w:r>
      <w:r>
        <w:rPr>
          <w:spacing w:val="-2"/>
          <w:w w:val="105"/>
        </w:rPr>
        <w:t xml:space="preserve"> </w:t>
      </w:r>
      <w:r>
        <w:rPr>
          <w:w w:val="105"/>
        </w:rPr>
        <w:t>ed.). Mason, Thompson</w:t>
      </w:r>
      <w:r>
        <w:rPr>
          <w:spacing w:val="-2"/>
          <w:w w:val="105"/>
        </w:rPr>
        <w:t xml:space="preserve"> </w:t>
      </w:r>
      <w:r>
        <w:rPr>
          <w:w w:val="105"/>
        </w:rPr>
        <w:t>South-Western.: Nelson Education.</w:t>
      </w:r>
    </w:p>
    <w:p w:rsidR="00487D64" w:rsidRDefault="00487D64">
      <w:pPr>
        <w:pStyle w:val="BodyText"/>
        <w:spacing w:line="504" w:lineRule="auto"/>
        <w:jc w:val="both"/>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3066" w:right="2507"/>
        <w:jc w:val="center"/>
        <w:rPr>
          <w:b/>
          <w:sz w:val="23"/>
        </w:rPr>
      </w:pPr>
      <w:bookmarkStart w:id="259" w:name="APPENDICES"/>
      <w:bookmarkStart w:id="260" w:name="_bookmark125"/>
      <w:bookmarkEnd w:id="259"/>
      <w:bookmarkEnd w:id="260"/>
      <w:r>
        <w:rPr>
          <w:b/>
          <w:spacing w:val="-2"/>
          <w:w w:val="105"/>
          <w:sz w:val="23"/>
        </w:rPr>
        <w:t>APPENDICES</w:t>
      </w:r>
    </w:p>
    <w:p w:rsidR="00487D64" w:rsidRDefault="00487D64">
      <w:pPr>
        <w:pStyle w:val="BodyText"/>
        <w:spacing w:before="263"/>
        <w:rPr>
          <w:b/>
        </w:rPr>
      </w:pPr>
    </w:p>
    <w:p w:rsidR="00487D64" w:rsidRDefault="006F0D93">
      <w:pPr>
        <w:ind w:left="1419"/>
        <w:jc w:val="both"/>
        <w:rPr>
          <w:b/>
          <w:sz w:val="23"/>
        </w:rPr>
      </w:pPr>
      <w:r>
        <w:rPr>
          <w:b/>
          <w:w w:val="105"/>
          <w:sz w:val="23"/>
        </w:rPr>
        <w:t>Appendix</w:t>
      </w:r>
      <w:r>
        <w:rPr>
          <w:b/>
          <w:spacing w:val="-14"/>
          <w:w w:val="105"/>
          <w:sz w:val="23"/>
        </w:rPr>
        <w:t xml:space="preserve"> </w:t>
      </w:r>
      <w:r>
        <w:rPr>
          <w:b/>
          <w:w w:val="105"/>
          <w:sz w:val="23"/>
        </w:rPr>
        <w:t>1:</w:t>
      </w:r>
      <w:r>
        <w:rPr>
          <w:b/>
          <w:spacing w:val="-5"/>
          <w:w w:val="105"/>
          <w:sz w:val="23"/>
        </w:rPr>
        <w:t xml:space="preserve"> </w:t>
      </w:r>
      <w:r>
        <w:rPr>
          <w:b/>
          <w:spacing w:val="-2"/>
          <w:w w:val="105"/>
          <w:sz w:val="23"/>
        </w:rPr>
        <w:t>Questionnaire</w:t>
      </w:r>
    </w:p>
    <w:p w:rsidR="00487D64" w:rsidRDefault="006F0D93">
      <w:pPr>
        <w:spacing w:before="139" w:line="501" w:lineRule="auto"/>
        <w:ind w:left="1419" w:right="848"/>
        <w:jc w:val="both"/>
        <w:rPr>
          <w:sz w:val="23"/>
        </w:rPr>
      </w:pPr>
      <w:r>
        <w:rPr>
          <w:w w:val="105"/>
          <w:sz w:val="23"/>
        </w:rPr>
        <w:t xml:space="preserve">My name is Denis Kawishe. Researching </w:t>
      </w:r>
      <w:r>
        <w:rPr>
          <w:b/>
          <w:w w:val="105"/>
          <w:sz w:val="23"/>
        </w:rPr>
        <w:t>“Impact of Market Orientation on Sustainable Competitiveness of Special Group SME' in Public</w:t>
      </w:r>
      <w:r>
        <w:rPr>
          <w:b/>
          <w:w w:val="105"/>
          <w:sz w:val="23"/>
        </w:rPr>
        <w:t xml:space="preserve"> Procurement: The</w:t>
      </w:r>
      <w:r>
        <w:rPr>
          <w:b/>
          <w:spacing w:val="-7"/>
          <w:w w:val="105"/>
          <w:sz w:val="23"/>
        </w:rPr>
        <w:t xml:space="preserve"> </w:t>
      </w:r>
      <w:r>
        <w:rPr>
          <w:b/>
          <w:w w:val="105"/>
          <w:sz w:val="23"/>
        </w:rPr>
        <w:t>Moderating Role</w:t>
      </w:r>
      <w:r>
        <w:rPr>
          <w:b/>
          <w:spacing w:val="-7"/>
          <w:w w:val="105"/>
          <w:sz w:val="23"/>
        </w:rPr>
        <w:t xml:space="preserve"> </w:t>
      </w:r>
      <w:r>
        <w:rPr>
          <w:b/>
          <w:w w:val="105"/>
          <w:sz w:val="23"/>
        </w:rPr>
        <w:t>of</w:t>
      </w:r>
      <w:r>
        <w:rPr>
          <w:b/>
          <w:spacing w:val="-3"/>
          <w:w w:val="105"/>
          <w:sz w:val="23"/>
        </w:rPr>
        <w:t xml:space="preserve"> </w:t>
      </w:r>
      <w:r>
        <w:rPr>
          <w:b/>
          <w:w w:val="105"/>
          <w:sz w:val="23"/>
        </w:rPr>
        <w:t>Strategic</w:t>
      </w:r>
      <w:r>
        <w:rPr>
          <w:b/>
          <w:spacing w:val="-7"/>
          <w:w w:val="105"/>
          <w:sz w:val="23"/>
        </w:rPr>
        <w:t xml:space="preserve"> </w:t>
      </w:r>
      <w:r>
        <w:rPr>
          <w:b/>
          <w:w w:val="105"/>
          <w:sz w:val="23"/>
        </w:rPr>
        <w:t xml:space="preserve">Flexibility” </w:t>
      </w:r>
      <w:r>
        <w:rPr>
          <w:w w:val="105"/>
          <w:sz w:val="23"/>
        </w:rPr>
        <w:t>in</w:t>
      </w:r>
      <w:r>
        <w:rPr>
          <w:spacing w:val="-6"/>
          <w:w w:val="105"/>
          <w:sz w:val="23"/>
        </w:rPr>
        <w:t xml:space="preserve"> </w:t>
      </w:r>
      <w:r>
        <w:rPr>
          <w:w w:val="105"/>
          <w:sz w:val="23"/>
        </w:rPr>
        <w:t>partial</w:t>
      </w:r>
      <w:r>
        <w:rPr>
          <w:spacing w:val="-4"/>
          <w:w w:val="105"/>
          <w:sz w:val="23"/>
        </w:rPr>
        <w:t xml:space="preserve"> </w:t>
      </w:r>
      <w:r>
        <w:rPr>
          <w:w w:val="105"/>
          <w:sz w:val="23"/>
        </w:rPr>
        <w:t>fulfillment</w:t>
      </w:r>
      <w:r>
        <w:rPr>
          <w:spacing w:val="-4"/>
          <w:w w:val="105"/>
          <w:sz w:val="23"/>
        </w:rPr>
        <w:t xml:space="preserve"> </w:t>
      </w:r>
      <w:r>
        <w:rPr>
          <w:w w:val="105"/>
          <w:sz w:val="23"/>
        </w:rPr>
        <w:t>of</w:t>
      </w:r>
      <w:r>
        <w:rPr>
          <w:spacing w:val="-9"/>
          <w:w w:val="105"/>
          <w:sz w:val="23"/>
        </w:rPr>
        <w:t xml:space="preserve"> </w:t>
      </w:r>
      <w:r>
        <w:rPr>
          <w:w w:val="105"/>
          <w:sz w:val="23"/>
        </w:rPr>
        <w:t>the</w:t>
      </w:r>
      <w:r>
        <w:rPr>
          <w:spacing w:val="-7"/>
          <w:w w:val="105"/>
          <w:sz w:val="23"/>
        </w:rPr>
        <w:t xml:space="preserve"> </w:t>
      </w:r>
      <w:r>
        <w:rPr>
          <w:w w:val="105"/>
          <w:sz w:val="23"/>
        </w:rPr>
        <w:t>award of PhD degree of the Open University of Tanzania.</w:t>
      </w:r>
      <w:r>
        <w:rPr>
          <w:spacing w:val="40"/>
          <w:w w:val="105"/>
          <w:sz w:val="23"/>
        </w:rPr>
        <w:t xml:space="preserve"> </w:t>
      </w:r>
      <w:r>
        <w:rPr>
          <w:w w:val="105"/>
          <w:sz w:val="23"/>
        </w:rPr>
        <w:t>I kindly request you to respond to the questions herein. Please note that all information collected will be us</w:t>
      </w:r>
      <w:r>
        <w:rPr>
          <w:w w:val="105"/>
          <w:sz w:val="23"/>
        </w:rPr>
        <w:t xml:space="preserve">ed for academic purposes only and treated with utmost Confidentiality. Thank you in </w:t>
      </w:r>
      <w:r>
        <w:rPr>
          <w:spacing w:val="-2"/>
          <w:w w:val="105"/>
          <w:sz w:val="23"/>
        </w:rPr>
        <w:t>advance.</w:t>
      </w:r>
    </w:p>
    <w:p w:rsidR="00487D64" w:rsidRDefault="006F0D93">
      <w:pPr>
        <w:spacing w:before="6"/>
        <w:ind w:left="1419"/>
        <w:jc w:val="both"/>
        <w:rPr>
          <w:b/>
          <w:sz w:val="23"/>
        </w:rPr>
      </w:pPr>
      <w:r>
        <w:rPr>
          <w:b/>
          <w:w w:val="105"/>
          <w:sz w:val="23"/>
        </w:rPr>
        <w:t>PART</w:t>
      </w:r>
      <w:r>
        <w:rPr>
          <w:b/>
          <w:spacing w:val="-11"/>
          <w:w w:val="105"/>
          <w:sz w:val="23"/>
        </w:rPr>
        <w:t xml:space="preserve"> </w:t>
      </w:r>
      <w:r>
        <w:rPr>
          <w:b/>
          <w:w w:val="105"/>
          <w:sz w:val="23"/>
        </w:rPr>
        <w:t>A:</w:t>
      </w:r>
      <w:r>
        <w:rPr>
          <w:b/>
          <w:spacing w:val="-10"/>
          <w:w w:val="105"/>
          <w:sz w:val="23"/>
        </w:rPr>
        <w:t xml:space="preserve"> </w:t>
      </w:r>
      <w:r>
        <w:rPr>
          <w:b/>
          <w:w w:val="105"/>
          <w:sz w:val="23"/>
        </w:rPr>
        <w:t>GENERAL</w:t>
      </w:r>
      <w:r>
        <w:rPr>
          <w:b/>
          <w:spacing w:val="-11"/>
          <w:w w:val="105"/>
          <w:sz w:val="23"/>
        </w:rPr>
        <w:t xml:space="preserve"> </w:t>
      </w:r>
      <w:r>
        <w:rPr>
          <w:b/>
          <w:spacing w:val="-2"/>
          <w:w w:val="105"/>
          <w:sz w:val="23"/>
        </w:rPr>
        <w:t>INFORMATION</w:t>
      </w:r>
    </w:p>
    <w:p w:rsidR="00487D64" w:rsidRDefault="00487D64">
      <w:pPr>
        <w:pStyle w:val="BodyText"/>
        <w:spacing w:before="18"/>
        <w:rPr>
          <w:b/>
        </w:rPr>
      </w:pPr>
    </w:p>
    <w:p w:rsidR="00487D64" w:rsidRDefault="006F0D93">
      <w:pPr>
        <w:pStyle w:val="ListParagraph"/>
        <w:numPr>
          <w:ilvl w:val="0"/>
          <w:numId w:val="5"/>
        </w:numPr>
        <w:tabs>
          <w:tab w:val="left" w:pos="2138"/>
        </w:tabs>
        <w:ind w:left="2138" w:hanging="359"/>
        <w:rPr>
          <w:sz w:val="23"/>
        </w:rPr>
      </w:pPr>
      <w:r>
        <w:rPr>
          <w:w w:val="105"/>
          <w:sz w:val="23"/>
        </w:rPr>
        <w:t>Under</w:t>
      </w:r>
      <w:r>
        <w:rPr>
          <w:spacing w:val="-2"/>
          <w:w w:val="105"/>
          <w:sz w:val="23"/>
        </w:rPr>
        <w:t xml:space="preserve"> </w:t>
      </w:r>
      <w:r>
        <w:rPr>
          <w:w w:val="105"/>
          <w:sz w:val="23"/>
        </w:rPr>
        <w:t>which</w:t>
      </w:r>
      <w:r>
        <w:rPr>
          <w:spacing w:val="-11"/>
          <w:w w:val="105"/>
          <w:sz w:val="23"/>
        </w:rPr>
        <w:t xml:space="preserve"> </w:t>
      </w:r>
      <w:r>
        <w:rPr>
          <w:w w:val="105"/>
          <w:sz w:val="23"/>
        </w:rPr>
        <w:t>category</w:t>
      </w:r>
      <w:r>
        <w:rPr>
          <w:spacing w:val="-11"/>
          <w:w w:val="105"/>
          <w:sz w:val="23"/>
        </w:rPr>
        <w:t xml:space="preserve"> </w:t>
      </w:r>
      <w:r>
        <w:rPr>
          <w:w w:val="105"/>
          <w:sz w:val="23"/>
        </w:rPr>
        <w:t>does</w:t>
      </w:r>
      <w:r>
        <w:rPr>
          <w:spacing w:val="-13"/>
          <w:w w:val="105"/>
          <w:sz w:val="23"/>
        </w:rPr>
        <w:t xml:space="preserve"> </w:t>
      </w:r>
      <w:r>
        <w:rPr>
          <w:w w:val="105"/>
          <w:sz w:val="23"/>
        </w:rPr>
        <w:t>your</w:t>
      </w:r>
      <w:r>
        <w:rPr>
          <w:spacing w:val="-7"/>
          <w:w w:val="105"/>
          <w:sz w:val="23"/>
        </w:rPr>
        <w:t xml:space="preserve"> </w:t>
      </w:r>
      <w:r>
        <w:rPr>
          <w:w w:val="105"/>
          <w:sz w:val="23"/>
        </w:rPr>
        <w:t>special</w:t>
      </w:r>
      <w:r>
        <w:rPr>
          <w:spacing w:val="-10"/>
          <w:w w:val="105"/>
          <w:sz w:val="23"/>
        </w:rPr>
        <w:t xml:space="preserve"> </w:t>
      </w:r>
      <w:r>
        <w:rPr>
          <w:w w:val="105"/>
          <w:sz w:val="23"/>
        </w:rPr>
        <w:t>group</w:t>
      </w:r>
      <w:r>
        <w:rPr>
          <w:spacing w:val="-11"/>
          <w:w w:val="105"/>
          <w:sz w:val="23"/>
        </w:rPr>
        <w:t xml:space="preserve"> </w:t>
      </w:r>
      <w:r>
        <w:rPr>
          <w:spacing w:val="-4"/>
          <w:w w:val="105"/>
          <w:sz w:val="23"/>
        </w:rPr>
        <w:t>fall</w:t>
      </w:r>
    </w:p>
    <w:p w:rsidR="00487D64" w:rsidRDefault="00487D64">
      <w:pPr>
        <w:pStyle w:val="BodyText"/>
        <w:spacing w:before="19"/>
      </w:pPr>
    </w:p>
    <w:p w:rsidR="00487D64" w:rsidRDefault="006F0D93">
      <w:pPr>
        <w:pStyle w:val="ListParagraph"/>
        <w:numPr>
          <w:ilvl w:val="1"/>
          <w:numId w:val="5"/>
        </w:numPr>
        <w:tabs>
          <w:tab w:val="left" w:pos="2859"/>
        </w:tabs>
        <w:ind w:left="2859" w:hanging="359"/>
        <w:rPr>
          <w:sz w:val="23"/>
        </w:rPr>
      </w:pPr>
      <w:r>
        <w:rPr>
          <w:sz w:val="23"/>
        </w:rPr>
        <w:t>Women</w:t>
      </w:r>
      <w:r>
        <w:rPr>
          <w:spacing w:val="22"/>
          <w:sz w:val="23"/>
        </w:rPr>
        <w:t xml:space="preserve"> </w:t>
      </w:r>
      <w:r>
        <w:rPr>
          <w:spacing w:val="-2"/>
          <w:sz w:val="23"/>
        </w:rPr>
        <w:t>group</w:t>
      </w:r>
    </w:p>
    <w:p w:rsidR="00487D64" w:rsidRDefault="00487D64">
      <w:pPr>
        <w:pStyle w:val="BodyText"/>
        <w:spacing w:before="25"/>
      </w:pPr>
    </w:p>
    <w:p w:rsidR="00487D64" w:rsidRDefault="006F0D93">
      <w:pPr>
        <w:pStyle w:val="ListParagraph"/>
        <w:numPr>
          <w:ilvl w:val="1"/>
          <w:numId w:val="5"/>
        </w:numPr>
        <w:tabs>
          <w:tab w:val="left" w:pos="2859"/>
        </w:tabs>
        <w:ind w:left="2859" w:hanging="359"/>
        <w:rPr>
          <w:sz w:val="23"/>
        </w:rPr>
      </w:pPr>
      <w:r>
        <w:rPr>
          <w:w w:val="105"/>
          <w:sz w:val="23"/>
        </w:rPr>
        <w:t>Youth</w:t>
      </w:r>
      <w:r>
        <w:rPr>
          <w:spacing w:val="-15"/>
          <w:w w:val="105"/>
          <w:sz w:val="23"/>
        </w:rPr>
        <w:t xml:space="preserve"> </w:t>
      </w:r>
      <w:r>
        <w:rPr>
          <w:spacing w:val="-4"/>
          <w:w w:val="105"/>
          <w:sz w:val="23"/>
        </w:rPr>
        <w:t>group</w:t>
      </w:r>
    </w:p>
    <w:p w:rsidR="00487D64" w:rsidRDefault="00487D64">
      <w:pPr>
        <w:pStyle w:val="BodyText"/>
        <w:spacing w:before="26"/>
      </w:pPr>
    </w:p>
    <w:p w:rsidR="00487D64" w:rsidRDefault="006F0D93">
      <w:pPr>
        <w:pStyle w:val="ListParagraph"/>
        <w:numPr>
          <w:ilvl w:val="1"/>
          <w:numId w:val="5"/>
        </w:numPr>
        <w:tabs>
          <w:tab w:val="left" w:pos="2860"/>
        </w:tabs>
        <w:spacing w:before="1"/>
        <w:ind w:hanging="360"/>
        <w:rPr>
          <w:sz w:val="23"/>
        </w:rPr>
      </w:pPr>
      <w:r>
        <w:rPr>
          <w:w w:val="105"/>
          <w:sz w:val="23"/>
        </w:rPr>
        <w:t>People</w:t>
      </w:r>
      <w:r>
        <w:rPr>
          <w:spacing w:val="-12"/>
          <w:w w:val="105"/>
          <w:sz w:val="23"/>
        </w:rPr>
        <w:t xml:space="preserve"> </w:t>
      </w:r>
      <w:r>
        <w:rPr>
          <w:w w:val="105"/>
          <w:sz w:val="23"/>
        </w:rPr>
        <w:t>with</w:t>
      </w:r>
      <w:r>
        <w:rPr>
          <w:spacing w:val="-10"/>
          <w:w w:val="105"/>
          <w:sz w:val="23"/>
        </w:rPr>
        <w:t xml:space="preserve"> </w:t>
      </w:r>
      <w:r>
        <w:rPr>
          <w:w w:val="105"/>
          <w:sz w:val="23"/>
        </w:rPr>
        <w:t>disability</w:t>
      </w:r>
      <w:r>
        <w:rPr>
          <w:spacing w:val="-11"/>
          <w:w w:val="105"/>
          <w:sz w:val="23"/>
        </w:rPr>
        <w:t xml:space="preserve"> </w:t>
      </w:r>
      <w:r>
        <w:rPr>
          <w:spacing w:val="-4"/>
          <w:w w:val="105"/>
          <w:sz w:val="23"/>
        </w:rPr>
        <w:t>group</w:t>
      </w:r>
    </w:p>
    <w:p w:rsidR="00487D64" w:rsidRDefault="00487D64">
      <w:pPr>
        <w:pStyle w:val="BodyText"/>
        <w:spacing w:before="18"/>
      </w:pPr>
    </w:p>
    <w:p w:rsidR="00487D64" w:rsidRDefault="006F0D93">
      <w:pPr>
        <w:pStyle w:val="ListParagraph"/>
        <w:numPr>
          <w:ilvl w:val="0"/>
          <w:numId w:val="5"/>
        </w:numPr>
        <w:tabs>
          <w:tab w:val="left" w:pos="2138"/>
        </w:tabs>
        <w:ind w:left="2138" w:hanging="359"/>
        <w:rPr>
          <w:sz w:val="23"/>
        </w:rPr>
      </w:pPr>
      <w:r>
        <w:rPr>
          <w:w w:val="105"/>
          <w:sz w:val="23"/>
        </w:rPr>
        <w:t>Indicate</w:t>
      </w:r>
      <w:r>
        <w:rPr>
          <w:spacing w:val="-11"/>
          <w:w w:val="105"/>
          <w:sz w:val="23"/>
        </w:rPr>
        <w:t xml:space="preserve"> </w:t>
      </w:r>
      <w:r>
        <w:rPr>
          <w:w w:val="105"/>
          <w:sz w:val="23"/>
        </w:rPr>
        <w:t>the</w:t>
      </w:r>
      <w:r>
        <w:rPr>
          <w:spacing w:val="-9"/>
          <w:w w:val="105"/>
          <w:sz w:val="23"/>
        </w:rPr>
        <w:t xml:space="preserve"> </w:t>
      </w:r>
      <w:r>
        <w:rPr>
          <w:w w:val="105"/>
          <w:sz w:val="23"/>
        </w:rPr>
        <w:t>nature</w:t>
      </w:r>
      <w:r>
        <w:rPr>
          <w:spacing w:val="-9"/>
          <w:w w:val="105"/>
          <w:sz w:val="23"/>
        </w:rPr>
        <w:t xml:space="preserve"> </w:t>
      </w:r>
      <w:r>
        <w:rPr>
          <w:w w:val="105"/>
          <w:sz w:val="23"/>
        </w:rPr>
        <w:t>of</w:t>
      </w:r>
      <w:r>
        <w:rPr>
          <w:spacing w:val="-15"/>
          <w:w w:val="105"/>
          <w:sz w:val="23"/>
        </w:rPr>
        <w:t xml:space="preserve"> </w:t>
      </w:r>
      <w:r>
        <w:rPr>
          <w:w w:val="105"/>
          <w:sz w:val="23"/>
        </w:rPr>
        <w:t>activity</w:t>
      </w:r>
      <w:r>
        <w:rPr>
          <w:spacing w:val="-8"/>
          <w:w w:val="105"/>
          <w:sz w:val="23"/>
        </w:rPr>
        <w:t xml:space="preserve"> </w:t>
      </w:r>
      <w:r>
        <w:rPr>
          <w:w w:val="105"/>
          <w:sz w:val="23"/>
        </w:rPr>
        <w:t>that</w:t>
      </w:r>
      <w:r>
        <w:rPr>
          <w:spacing w:val="-6"/>
          <w:w w:val="105"/>
          <w:sz w:val="23"/>
        </w:rPr>
        <w:t xml:space="preserve"> </w:t>
      </w:r>
      <w:r>
        <w:rPr>
          <w:w w:val="105"/>
          <w:sz w:val="23"/>
        </w:rPr>
        <w:t>your</w:t>
      </w:r>
      <w:r>
        <w:rPr>
          <w:spacing w:val="-4"/>
          <w:w w:val="105"/>
          <w:sz w:val="23"/>
        </w:rPr>
        <w:t xml:space="preserve"> </w:t>
      </w:r>
      <w:r>
        <w:rPr>
          <w:w w:val="105"/>
          <w:sz w:val="23"/>
        </w:rPr>
        <w:t>firm</w:t>
      </w:r>
      <w:r>
        <w:rPr>
          <w:spacing w:val="-9"/>
          <w:w w:val="105"/>
          <w:sz w:val="23"/>
        </w:rPr>
        <w:t xml:space="preserve"> </w:t>
      </w:r>
      <w:r>
        <w:rPr>
          <w:w w:val="105"/>
          <w:sz w:val="23"/>
        </w:rPr>
        <w:t>performs</w:t>
      </w:r>
      <w:r>
        <w:rPr>
          <w:spacing w:val="-10"/>
          <w:w w:val="105"/>
          <w:sz w:val="23"/>
        </w:rPr>
        <w:t xml:space="preserve"> </w:t>
      </w:r>
      <w:r>
        <w:rPr>
          <w:w w:val="105"/>
          <w:sz w:val="23"/>
        </w:rPr>
        <w:t>(Please</w:t>
      </w:r>
      <w:r>
        <w:rPr>
          <w:spacing w:val="-9"/>
          <w:w w:val="105"/>
          <w:sz w:val="23"/>
        </w:rPr>
        <w:t xml:space="preserve"> </w:t>
      </w:r>
      <w:r>
        <w:rPr>
          <w:w w:val="105"/>
          <w:sz w:val="23"/>
        </w:rPr>
        <w:t>tick</w:t>
      </w:r>
      <w:r>
        <w:rPr>
          <w:spacing w:val="-8"/>
          <w:w w:val="105"/>
          <w:sz w:val="23"/>
        </w:rPr>
        <w:t xml:space="preserve"> </w:t>
      </w:r>
      <w:r>
        <w:rPr>
          <w:spacing w:val="-4"/>
          <w:w w:val="105"/>
          <w:sz w:val="23"/>
        </w:rPr>
        <w:t>one)</w:t>
      </w:r>
    </w:p>
    <w:p w:rsidR="00487D64" w:rsidRDefault="00487D64">
      <w:pPr>
        <w:pStyle w:val="BodyText"/>
        <w:spacing w:before="25"/>
      </w:pPr>
    </w:p>
    <w:p w:rsidR="00487D64" w:rsidRDefault="006F0D93">
      <w:pPr>
        <w:pStyle w:val="ListParagraph"/>
        <w:numPr>
          <w:ilvl w:val="1"/>
          <w:numId w:val="5"/>
        </w:numPr>
        <w:tabs>
          <w:tab w:val="left" w:pos="2859"/>
          <w:tab w:val="left" w:pos="7182"/>
          <w:tab w:val="left" w:pos="7903"/>
        </w:tabs>
        <w:spacing w:before="1"/>
        <w:ind w:left="2859" w:hanging="359"/>
        <w:rPr>
          <w:sz w:val="23"/>
        </w:rPr>
      </w:pPr>
      <w:r>
        <w:rPr>
          <w:w w:val="105"/>
          <w:sz w:val="23"/>
        </w:rPr>
        <w:t>Supply</w:t>
      </w:r>
      <w:r>
        <w:rPr>
          <w:spacing w:val="-9"/>
          <w:w w:val="105"/>
          <w:sz w:val="23"/>
        </w:rPr>
        <w:t xml:space="preserve"> </w:t>
      </w:r>
      <w:r>
        <w:rPr>
          <w:w w:val="105"/>
          <w:sz w:val="23"/>
        </w:rPr>
        <w:t>of</w:t>
      </w:r>
      <w:r>
        <w:rPr>
          <w:spacing w:val="-4"/>
          <w:w w:val="105"/>
          <w:sz w:val="23"/>
        </w:rPr>
        <w:t xml:space="preserve"> </w:t>
      </w:r>
      <w:r>
        <w:rPr>
          <w:spacing w:val="-2"/>
          <w:w w:val="105"/>
          <w:sz w:val="23"/>
        </w:rPr>
        <w:t>goods</w:t>
      </w:r>
      <w:r>
        <w:rPr>
          <w:sz w:val="23"/>
        </w:rPr>
        <w:tab/>
      </w:r>
      <w:r>
        <w:rPr>
          <w:spacing w:val="-10"/>
          <w:w w:val="105"/>
          <w:sz w:val="23"/>
        </w:rPr>
        <w:t>(</w:t>
      </w:r>
      <w:r>
        <w:rPr>
          <w:sz w:val="23"/>
        </w:rPr>
        <w:tab/>
      </w:r>
      <w:r>
        <w:rPr>
          <w:spacing w:val="-10"/>
          <w:w w:val="105"/>
          <w:sz w:val="23"/>
        </w:rPr>
        <w:t>)</w:t>
      </w:r>
    </w:p>
    <w:p w:rsidR="00487D64" w:rsidRDefault="00487D64">
      <w:pPr>
        <w:pStyle w:val="BodyText"/>
        <w:spacing w:before="25"/>
      </w:pPr>
    </w:p>
    <w:p w:rsidR="00487D64" w:rsidRDefault="006F0D93">
      <w:pPr>
        <w:pStyle w:val="ListParagraph"/>
        <w:numPr>
          <w:ilvl w:val="1"/>
          <w:numId w:val="5"/>
        </w:numPr>
        <w:tabs>
          <w:tab w:val="left" w:pos="2859"/>
          <w:tab w:val="left" w:pos="7182"/>
          <w:tab w:val="left" w:pos="7903"/>
        </w:tabs>
        <w:ind w:left="2859" w:hanging="359"/>
        <w:rPr>
          <w:sz w:val="23"/>
        </w:rPr>
      </w:pPr>
      <w:r>
        <w:rPr>
          <w:sz w:val="23"/>
        </w:rPr>
        <w:t>Supply</w:t>
      </w:r>
      <w:r>
        <w:rPr>
          <w:spacing w:val="28"/>
          <w:sz w:val="23"/>
        </w:rPr>
        <w:t xml:space="preserve"> </w:t>
      </w:r>
      <w:r>
        <w:rPr>
          <w:sz w:val="23"/>
        </w:rPr>
        <w:t>of</w:t>
      </w:r>
      <w:r>
        <w:rPr>
          <w:spacing w:val="24"/>
          <w:sz w:val="23"/>
        </w:rPr>
        <w:t xml:space="preserve"> </w:t>
      </w:r>
      <w:r>
        <w:rPr>
          <w:sz w:val="23"/>
        </w:rPr>
        <w:t>Consultancy</w:t>
      </w:r>
      <w:r>
        <w:rPr>
          <w:spacing w:val="18"/>
          <w:sz w:val="23"/>
        </w:rPr>
        <w:t xml:space="preserve"> </w:t>
      </w:r>
      <w:r>
        <w:rPr>
          <w:spacing w:val="-2"/>
          <w:sz w:val="23"/>
        </w:rPr>
        <w:t>Services</w:t>
      </w:r>
      <w:r>
        <w:rPr>
          <w:sz w:val="23"/>
        </w:rPr>
        <w:tab/>
      </w:r>
      <w:r>
        <w:rPr>
          <w:spacing w:val="-10"/>
          <w:sz w:val="23"/>
        </w:rPr>
        <w:t>(</w:t>
      </w:r>
      <w:r>
        <w:rPr>
          <w:sz w:val="23"/>
        </w:rPr>
        <w:tab/>
      </w:r>
      <w:r>
        <w:rPr>
          <w:spacing w:val="-10"/>
          <w:sz w:val="23"/>
        </w:rPr>
        <w:t>)</w:t>
      </w:r>
    </w:p>
    <w:p w:rsidR="00487D64" w:rsidRDefault="00487D64">
      <w:pPr>
        <w:pStyle w:val="BodyText"/>
        <w:spacing w:before="18"/>
      </w:pPr>
    </w:p>
    <w:p w:rsidR="00487D64" w:rsidRDefault="006F0D93">
      <w:pPr>
        <w:pStyle w:val="ListParagraph"/>
        <w:numPr>
          <w:ilvl w:val="1"/>
          <w:numId w:val="5"/>
        </w:numPr>
        <w:tabs>
          <w:tab w:val="left" w:pos="2860"/>
          <w:tab w:val="left" w:pos="7182"/>
          <w:tab w:val="left" w:pos="7903"/>
        </w:tabs>
        <w:spacing w:before="1"/>
        <w:ind w:hanging="360"/>
        <w:rPr>
          <w:sz w:val="23"/>
        </w:rPr>
      </w:pPr>
      <w:r>
        <w:rPr>
          <w:w w:val="105"/>
          <w:sz w:val="23"/>
        </w:rPr>
        <w:t>Supply</w:t>
      </w:r>
      <w:r>
        <w:rPr>
          <w:spacing w:val="-14"/>
          <w:w w:val="105"/>
          <w:sz w:val="23"/>
        </w:rPr>
        <w:t xml:space="preserve"> </w:t>
      </w:r>
      <w:r>
        <w:rPr>
          <w:w w:val="105"/>
          <w:sz w:val="23"/>
        </w:rPr>
        <w:t>of</w:t>
      </w:r>
      <w:r>
        <w:rPr>
          <w:spacing w:val="-11"/>
          <w:w w:val="105"/>
          <w:sz w:val="23"/>
        </w:rPr>
        <w:t xml:space="preserve"> </w:t>
      </w:r>
      <w:r>
        <w:rPr>
          <w:w w:val="105"/>
          <w:sz w:val="23"/>
        </w:rPr>
        <w:t>non-consultancy</w:t>
      </w:r>
      <w:r>
        <w:rPr>
          <w:spacing w:val="-13"/>
          <w:w w:val="105"/>
          <w:sz w:val="23"/>
        </w:rPr>
        <w:t xml:space="preserve"> </w:t>
      </w:r>
      <w:r>
        <w:rPr>
          <w:spacing w:val="-2"/>
          <w:w w:val="105"/>
          <w:sz w:val="23"/>
        </w:rPr>
        <w:t>services</w:t>
      </w:r>
      <w:r>
        <w:rPr>
          <w:sz w:val="23"/>
        </w:rPr>
        <w:tab/>
      </w:r>
      <w:r>
        <w:rPr>
          <w:spacing w:val="-10"/>
          <w:w w:val="105"/>
          <w:sz w:val="23"/>
        </w:rPr>
        <w:t>(</w:t>
      </w:r>
      <w:r>
        <w:rPr>
          <w:sz w:val="23"/>
        </w:rPr>
        <w:tab/>
      </w:r>
      <w:r>
        <w:rPr>
          <w:spacing w:val="-10"/>
          <w:w w:val="105"/>
          <w:sz w:val="23"/>
        </w:rPr>
        <w:t>)</w:t>
      </w:r>
    </w:p>
    <w:p w:rsidR="00487D64" w:rsidRDefault="00487D64">
      <w:pPr>
        <w:pStyle w:val="BodyText"/>
        <w:spacing w:before="25"/>
      </w:pPr>
    </w:p>
    <w:p w:rsidR="00487D64" w:rsidRDefault="006F0D93">
      <w:pPr>
        <w:pStyle w:val="ListParagraph"/>
        <w:numPr>
          <w:ilvl w:val="1"/>
          <w:numId w:val="5"/>
        </w:numPr>
        <w:tabs>
          <w:tab w:val="left" w:pos="2859"/>
          <w:tab w:val="left" w:pos="7182"/>
          <w:tab w:val="left" w:pos="7903"/>
        </w:tabs>
        <w:ind w:left="2859" w:hanging="359"/>
        <w:rPr>
          <w:sz w:val="23"/>
        </w:rPr>
      </w:pPr>
      <w:r>
        <w:rPr>
          <w:spacing w:val="-2"/>
          <w:w w:val="105"/>
          <w:sz w:val="23"/>
        </w:rPr>
        <w:t>Works</w:t>
      </w:r>
      <w:r>
        <w:rPr>
          <w:sz w:val="23"/>
        </w:rPr>
        <w:tab/>
      </w:r>
      <w:r>
        <w:rPr>
          <w:spacing w:val="-10"/>
          <w:w w:val="105"/>
          <w:sz w:val="23"/>
        </w:rPr>
        <w:t>(</w:t>
      </w:r>
      <w:r>
        <w:rPr>
          <w:sz w:val="23"/>
        </w:rPr>
        <w:tab/>
      </w:r>
      <w:r>
        <w:rPr>
          <w:spacing w:val="-10"/>
          <w:w w:val="105"/>
          <w:sz w:val="23"/>
        </w:rPr>
        <w:t>)</w:t>
      </w:r>
    </w:p>
    <w:p w:rsidR="00487D64" w:rsidRDefault="00487D64">
      <w:pPr>
        <w:pStyle w:val="BodyText"/>
        <w:spacing w:before="26"/>
      </w:pPr>
    </w:p>
    <w:p w:rsidR="00487D64" w:rsidRDefault="006F0D93">
      <w:pPr>
        <w:pStyle w:val="ListParagraph"/>
        <w:numPr>
          <w:ilvl w:val="0"/>
          <w:numId w:val="5"/>
        </w:numPr>
        <w:tabs>
          <w:tab w:val="left" w:pos="2138"/>
          <w:tab w:val="left" w:pos="2140"/>
        </w:tabs>
        <w:spacing w:line="496" w:lineRule="auto"/>
        <w:ind w:right="860"/>
        <w:rPr>
          <w:sz w:val="23"/>
        </w:rPr>
      </w:pPr>
      <w:r>
        <w:rPr>
          <w:w w:val="105"/>
          <w:sz w:val="23"/>
        </w:rPr>
        <w:t>What</w:t>
      </w:r>
      <w:r>
        <w:rPr>
          <w:spacing w:val="32"/>
          <w:w w:val="105"/>
          <w:sz w:val="23"/>
        </w:rPr>
        <w:t xml:space="preserve"> </w:t>
      </w:r>
      <w:r>
        <w:rPr>
          <w:w w:val="105"/>
          <w:sz w:val="23"/>
        </w:rPr>
        <w:t>is the</w:t>
      </w:r>
      <w:r>
        <w:rPr>
          <w:spacing w:val="28"/>
          <w:w w:val="105"/>
          <w:sz w:val="23"/>
        </w:rPr>
        <w:t xml:space="preserve"> </w:t>
      </w:r>
      <w:r>
        <w:rPr>
          <w:w w:val="105"/>
          <w:sz w:val="23"/>
        </w:rPr>
        <w:t>value</w:t>
      </w:r>
      <w:r>
        <w:rPr>
          <w:spacing w:val="28"/>
          <w:w w:val="105"/>
          <w:sz w:val="23"/>
        </w:rPr>
        <w:t xml:space="preserve"> </w:t>
      </w:r>
      <w:r>
        <w:rPr>
          <w:w w:val="105"/>
          <w:sz w:val="23"/>
        </w:rPr>
        <w:t>of your company’s</w:t>
      </w:r>
      <w:r>
        <w:rPr>
          <w:spacing w:val="27"/>
          <w:w w:val="105"/>
          <w:sz w:val="23"/>
        </w:rPr>
        <w:t xml:space="preserve"> </w:t>
      </w:r>
      <w:r>
        <w:rPr>
          <w:w w:val="105"/>
          <w:sz w:val="23"/>
        </w:rPr>
        <w:t>capital investment</w:t>
      </w:r>
      <w:r>
        <w:rPr>
          <w:spacing w:val="32"/>
          <w:w w:val="105"/>
          <w:sz w:val="23"/>
        </w:rPr>
        <w:t xml:space="preserve"> </w:t>
      </w:r>
      <w:r>
        <w:rPr>
          <w:w w:val="105"/>
          <w:sz w:val="23"/>
        </w:rPr>
        <w:t>(in TZS)?</w:t>
      </w:r>
      <w:r>
        <w:rPr>
          <w:spacing w:val="28"/>
          <w:w w:val="105"/>
          <w:sz w:val="23"/>
        </w:rPr>
        <w:t xml:space="preserve"> </w:t>
      </w:r>
      <w:r>
        <w:rPr>
          <w:w w:val="105"/>
          <w:sz w:val="23"/>
        </w:rPr>
        <w:t>(Please tick one)</w:t>
      </w:r>
    </w:p>
    <w:p w:rsidR="00487D64" w:rsidRDefault="006F0D93">
      <w:pPr>
        <w:pStyle w:val="ListParagraph"/>
        <w:numPr>
          <w:ilvl w:val="1"/>
          <w:numId w:val="5"/>
        </w:numPr>
        <w:tabs>
          <w:tab w:val="left" w:pos="2859"/>
          <w:tab w:val="left" w:pos="7182"/>
          <w:tab w:val="left" w:pos="7903"/>
        </w:tabs>
        <w:spacing w:before="7"/>
        <w:ind w:left="2859" w:hanging="359"/>
        <w:rPr>
          <w:sz w:val="23"/>
        </w:rPr>
      </w:pPr>
      <w:r>
        <w:rPr>
          <w:w w:val="105"/>
          <w:sz w:val="23"/>
        </w:rPr>
        <w:t>Below</w:t>
      </w:r>
      <w:r>
        <w:rPr>
          <w:spacing w:val="-14"/>
          <w:w w:val="105"/>
          <w:sz w:val="23"/>
        </w:rPr>
        <w:t xml:space="preserve"> </w:t>
      </w:r>
      <w:r>
        <w:rPr>
          <w:w w:val="105"/>
          <w:sz w:val="23"/>
        </w:rPr>
        <w:t xml:space="preserve">5 </w:t>
      </w:r>
      <w:r>
        <w:rPr>
          <w:spacing w:val="-2"/>
          <w:w w:val="105"/>
          <w:sz w:val="23"/>
        </w:rPr>
        <w:t>Million</w:t>
      </w:r>
      <w:r>
        <w:rPr>
          <w:sz w:val="23"/>
        </w:rPr>
        <w:tab/>
      </w:r>
      <w:r>
        <w:rPr>
          <w:spacing w:val="-10"/>
          <w:w w:val="105"/>
          <w:sz w:val="23"/>
        </w:rPr>
        <w:t>(</w:t>
      </w:r>
      <w:r>
        <w:rPr>
          <w:sz w:val="23"/>
        </w:rPr>
        <w:tab/>
      </w:r>
      <w:r>
        <w:rPr>
          <w:spacing w:val="-10"/>
          <w:w w:val="105"/>
          <w:sz w:val="23"/>
        </w:rPr>
        <w:t>)</w:t>
      </w:r>
    </w:p>
    <w:p w:rsidR="00487D64" w:rsidRDefault="00487D64">
      <w:pPr>
        <w:pStyle w:val="BodyText"/>
        <w:spacing w:before="25"/>
      </w:pPr>
    </w:p>
    <w:p w:rsidR="00487D64" w:rsidRDefault="006F0D93">
      <w:pPr>
        <w:pStyle w:val="ListParagraph"/>
        <w:numPr>
          <w:ilvl w:val="1"/>
          <w:numId w:val="5"/>
        </w:numPr>
        <w:tabs>
          <w:tab w:val="left" w:pos="2859"/>
          <w:tab w:val="left" w:pos="7182"/>
          <w:tab w:val="left" w:pos="7903"/>
        </w:tabs>
        <w:spacing w:before="1"/>
        <w:ind w:left="2859" w:hanging="359"/>
        <w:rPr>
          <w:sz w:val="23"/>
        </w:rPr>
      </w:pPr>
      <w:r>
        <w:rPr>
          <w:w w:val="105"/>
          <w:sz w:val="23"/>
        </w:rPr>
        <w:t>above</w:t>
      </w:r>
      <w:r>
        <w:rPr>
          <w:spacing w:val="-11"/>
          <w:w w:val="105"/>
          <w:sz w:val="23"/>
        </w:rPr>
        <w:t xml:space="preserve"> </w:t>
      </w:r>
      <w:r>
        <w:rPr>
          <w:w w:val="105"/>
          <w:sz w:val="23"/>
        </w:rPr>
        <w:t>5</w:t>
      </w:r>
      <w:r>
        <w:rPr>
          <w:spacing w:val="-2"/>
          <w:w w:val="105"/>
          <w:sz w:val="23"/>
        </w:rPr>
        <w:t xml:space="preserve"> </w:t>
      </w:r>
      <w:r>
        <w:rPr>
          <w:w w:val="105"/>
          <w:sz w:val="23"/>
        </w:rPr>
        <w:t>to</w:t>
      </w:r>
      <w:r>
        <w:rPr>
          <w:spacing w:val="-9"/>
          <w:w w:val="105"/>
          <w:sz w:val="23"/>
        </w:rPr>
        <w:t xml:space="preserve"> </w:t>
      </w:r>
      <w:r>
        <w:rPr>
          <w:w w:val="105"/>
          <w:sz w:val="23"/>
        </w:rPr>
        <w:t>50</w:t>
      </w:r>
      <w:r>
        <w:rPr>
          <w:spacing w:val="-2"/>
          <w:w w:val="105"/>
          <w:sz w:val="23"/>
        </w:rPr>
        <w:t xml:space="preserve"> Million</w:t>
      </w:r>
      <w:r>
        <w:rPr>
          <w:sz w:val="23"/>
        </w:rPr>
        <w:tab/>
      </w:r>
      <w:r>
        <w:rPr>
          <w:spacing w:val="-10"/>
          <w:w w:val="105"/>
          <w:sz w:val="23"/>
        </w:rPr>
        <w:t>(</w:t>
      </w:r>
      <w:r>
        <w:rPr>
          <w:sz w:val="23"/>
        </w:rPr>
        <w:tab/>
      </w:r>
      <w:r>
        <w:rPr>
          <w:spacing w:val="-10"/>
          <w:w w:val="105"/>
          <w:sz w:val="23"/>
        </w:rPr>
        <w:t>)</w:t>
      </w:r>
    </w:p>
    <w:p w:rsidR="00487D64" w:rsidRDefault="00487D64">
      <w:pPr>
        <w:pStyle w:val="BodyText"/>
        <w:spacing w:before="18"/>
      </w:pPr>
    </w:p>
    <w:p w:rsidR="00487D64" w:rsidRDefault="006F0D93">
      <w:pPr>
        <w:pStyle w:val="ListParagraph"/>
        <w:numPr>
          <w:ilvl w:val="1"/>
          <w:numId w:val="5"/>
        </w:numPr>
        <w:tabs>
          <w:tab w:val="left" w:pos="2860"/>
          <w:tab w:val="left" w:pos="7182"/>
          <w:tab w:val="left" w:pos="7903"/>
        </w:tabs>
        <w:ind w:hanging="360"/>
        <w:rPr>
          <w:sz w:val="23"/>
        </w:rPr>
      </w:pPr>
      <w:r>
        <w:rPr>
          <w:w w:val="105"/>
          <w:sz w:val="23"/>
        </w:rPr>
        <w:t>Above</w:t>
      </w:r>
      <w:r>
        <w:rPr>
          <w:spacing w:val="-11"/>
          <w:w w:val="105"/>
          <w:sz w:val="23"/>
        </w:rPr>
        <w:t xml:space="preserve"> </w:t>
      </w:r>
      <w:r>
        <w:rPr>
          <w:w w:val="105"/>
          <w:sz w:val="23"/>
        </w:rPr>
        <w:t>50</w:t>
      </w:r>
      <w:r>
        <w:rPr>
          <w:spacing w:val="-3"/>
          <w:w w:val="105"/>
          <w:sz w:val="23"/>
        </w:rPr>
        <w:t xml:space="preserve"> </w:t>
      </w:r>
      <w:r>
        <w:rPr>
          <w:w w:val="105"/>
          <w:sz w:val="23"/>
        </w:rPr>
        <w:t>to</w:t>
      </w:r>
      <w:r>
        <w:rPr>
          <w:spacing w:val="-9"/>
          <w:w w:val="105"/>
          <w:sz w:val="23"/>
        </w:rPr>
        <w:t xml:space="preserve"> </w:t>
      </w:r>
      <w:r>
        <w:rPr>
          <w:w w:val="105"/>
          <w:sz w:val="23"/>
        </w:rPr>
        <w:t>100</w:t>
      </w:r>
      <w:r>
        <w:rPr>
          <w:spacing w:val="-3"/>
          <w:w w:val="105"/>
          <w:sz w:val="23"/>
        </w:rPr>
        <w:t xml:space="preserve"> </w:t>
      </w:r>
      <w:r>
        <w:rPr>
          <w:spacing w:val="-2"/>
          <w:w w:val="105"/>
          <w:sz w:val="23"/>
        </w:rPr>
        <w:t>Million</w:t>
      </w:r>
      <w:r>
        <w:rPr>
          <w:sz w:val="23"/>
        </w:rPr>
        <w:tab/>
      </w:r>
      <w:r>
        <w:rPr>
          <w:spacing w:val="-10"/>
          <w:w w:val="105"/>
          <w:sz w:val="23"/>
        </w:rPr>
        <w:t>(</w:t>
      </w:r>
      <w:r>
        <w:rPr>
          <w:sz w:val="23"/>
        </w:rPr>
        <w:tab/>
      </w:r>
      <w:r>
        <w:rPr>
          <w:spacing w:val="-10"/>
          <w:w w:val="105"/>
          <w:sz w:val="23"/>
        </w:rPr>
        <w:t>)</w:t>
      </w:r>
    </w:p>
    <w:p w:rsidR="00487D64" w:rsidRDefault="00487D64">
      <w:pPr>
        <w:pStyle w:val="ListParagraph"/>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1"/>
      </w:pPr>
    </w:p>
    <w:p w:rsidR="00487D64" w:rsidRDefault="006F0D93">
      <w:pPr>
        <w:pStyle w:val="ListParagraph"/>
        <w:numPr>
          <w:ilvl w:val="1"/>
          <w:numId w:val="5"/>
        </w:numPr>
        <w:tabs>
          <w:tab w:val="left" w:pos="359"/>
          <w:tab w:val="left" w:pos="4682"/>
          <w:tab w:val="left" w:pos="5403"/>
        </w:tabs>
        <w:ind w:left="359" w:right="2508" w:hanging="359"/>
        <w:jc w:val="right"/>
        <w:rPr>
          <w:sz w:val="23"/>
        </w:rPr>
      </w:pPr>
      <w:r>
        <w:rPr>
          <w:w w:val="105"/>
          <w:sz w:val="23"/>
        </w:rPr>
        <w:t>Above</w:t>
      </w:r>
      <w:r>
        <w:rPr>
          <w:spacing w:val="-14"/>
          <w:w w:val="105"/>
          <w:sz w:val="23"/>
        </w:rPr>
        <w:t xml:space="preserve"> </w:t>
      </w:r>
      <w:r>
        <w:rPr>
          <w:w w:val="105"/>
          <w:sz w:val="23"/>
        </w:rPr>
        <w:t>100</w:t>
      </w:r>
      <w:r>
        <w:rPr>
          <w:spacing w:val="-5"/>
          <w:w w:val="105"/>
          <w:sz w:val="23"/>
        </w:rPr>
        <w:t xml:space="preserve"> </w:t>
      </w:r>
      <w:r>
        <w:rPr>
          <w:spacing w:val="-2"/>
          <w:w w:val="105"/>
          <w:sz w:val="23"/>
        </w:rPr>
        <w:t>Million</w:t>
      </w:r>
      <w:r>
        <w:rPr>
          <w:sz w:val="23"/>
        </w:rPr>
        <w:tab/>
      </w:r>
      <w:r>
        <w:rPr>
          <w:spacing w:val="-12"/>
          <w:w w:val="105"/>
          <w:sz w:val="23"/>
        </w:rPr>
        <w:t>(</w:t>
      </w:r>
      <w:r>
        <w:rPr>
          <w:sz w:val="23"/>
        </w:rPr>
        <w:tab/>
      </w:r>
      <w:r>
        <w:rPr>
          <w:spacing w:val="-10"/>
          <w:w w:val="105"/>
          <w:sz w:val="23"/>
        </w:rPr>
        <w:t>)</w:t>
      </w:r>
    </w:p>
    <w:p w:rsidR="00487D64" w:rsidRDefault="00487D64">
      <w:pPr>
        <w:pStyle w:val="BodyText"/>
        <w:spacing w:before="26"/>
      </w:pPr>
    </w:p>
    <w:p w:rsidR="00487D64" w:rsidRDefault="006F0D93">
      <w:pPr>
        <w:pStyle w:val="ListParagraph"/>
        <w:numPr>
          <w:ilvl w:val="0"/>
          <w:numId w:val="5"/>
        </w:numPr>
        <w:tabs>
          <w:tab w:val="left" w:pos="359"/>
        </w:tabs>
        <w:ind w:left="359" w:right="2427" w:hanging="359"/>
        <w:jc w:val="right"/>
        <w:rPr>
          <w:sz w:val="23"/>
        </w:rPr>
      </w:pPr>
      <w:r>
        <w:rPr>
          <w:w w:val="105"/>
          <w:sz w:val="23"/>
        </w:rPr>
        <w:t>Most</w:t>
      </w:r>
      <w:r>
        <w:rPr>
          <w:spacing w:val="-5"/>
          <w:w w:val="105"/>
          <w:sz w:val="23"/>
        </w:rPr>
        <w:t xml:space="preserve"> </w:t>
      </w:r>
      <w:r>
        <w:rPr>
          <w:w w:val="105"/>
          <w:sz w:val="23"/>
        </w:rPr>
        <w:t>of</w:t>
      </w:r>
      <w:r>
        <w:rPr>
          <w:spacing w:val="-9"/>
          <w:w w:val="105"/>
          <w:sz w:val="23"/>
        </w:rPr>
        <w:t xml:space="preserve"> </w:t>
      </w:r>
      <w:r>
        <w:rPr>
          <w:w w:val="105"/>
          <w:sz w:val="23"/>
        </w:rPr>
        <w:t>our</w:t>
      </w:r>
      <w:r>
        <w:rPr>
          <w:spacing w:val="-3"/>
          <w:w w:val="105"/>
          <w:sz w:val="23"/>
        </w:rPr>
        <w:t xml:space="preserve"> </w:t>
      </w:r>
      <w:r>
        <w:rPr>
          <w:w w:val="105"/>
          <w:sz w:val="23"/>
        </w:rPr>
        <w:t>firm’s</w:t>
      </w:r>
      <w:r>
        <w:rPr>
          <w:spacing w:val="-8"/>
          <w:w w:val="105"/>
          <w:sz w:val="23"/>
        </w:rPr>
        <w:t xml:space="preserve"> </w:t>
      </w:r>
      <w:r>
        <w:rPr>
          <w:w w:val="105"/>
          <w:sz w:val="23"/>
        </w:rPr>
        <w:t>income</w:t>
      </w:r>
      <w:r>
        <w:rPr>
          <w:spacing w:val="-14"/>
          <w:w w:val="105"/>
          <w:sz w:val="23"/>
        </w:rPr>
        <w:t xml:space="preserve"> </w:t>
      </w:r>
      <w:r>
        <w:rPr>
          <w:w w:val="105"/>
          <w:sz w:val="23"/>
        </w:rPr>
        <w:t>is</w:t>
      </w:r>
      <w:r>
        <w:rPr>
          <w:spacing w:val="-8"/>
          <w:w w:val="105"/>
          <w:sz w:val="23"/>
        </w:rPr>
        <w:t xml:space="preserve"> </w:t>
      </w:r>
      <w:r>
        <w:rPr>
          <w:w w:val="105"/>
          <w:sz w:val="23"/>
        </w:rPr>
        <w:t>generated</w:t>
      </w:r>
      <w:r>
        <w:rPr>
          <w:spacing w:val="-6"/>
          <w:w w:val="105"/>
          <w:sz w:val="23"/>
        </w:rPr>
        <w:t xml:space="preserve"> </w:t>
      </w:r>
      <w:r>
        <w:rPr>
          <w:w w:val="105"/>
          <w:sz w:val="23"/>
        </w:rPr>
        <w:t>from</w:t>
      </w:r>
      <w:r>
        <w:rPr>
          <w:spacing w:val="-8"/>
          <w:w w:val="105"/>
          <w:sz w:val="23"/>
        </w:rPr>
        <w:t xml:space="preserve"> </w:t>
      </w:r>
      <w:r>
        <w:rPr>
          <w:w w:val="105"/>
          <w:sz w:val="23"/>
        </w:rPr>
        <w:t>(please</w:t>
      </w:r>
      <w:r>
        <w:rPr>
          <w:spacing w:val="-13"/>
          <w:w w:val="105"/>
          <w:sz w:val="23"/>
        </w:rPr>
        <w:t xml:space="preserve"> </w:t>
      </w:r>
      <w:r>
        <w:rPr>
          <w:w w:val="105"/>
          <w:sz w:val="23"/>
        </w:rPr>
        <w:t xml:space="preserve">tick </w:t>
      </w:r>
      <w:r>
        <w:rPr>
          <w:spacing w:val="-4"/>
          <w:w w:val="105"/>
          <w:sz w:val="23"/>
        </w:rPr>
        <w:t>one)</w:t>
      </w:r>
    </w:p>
    <w:p w:rsidR="00487D64" w:rsidRDefault="00487D64">
      <w:pPr>
        <w:pStyle w:val="BodyText"/>
        <w:spacing w:before="18"/>
      </w:pPr>
    </w:p>
    <w:p w:rsidR="00487D64" w:rsidRDefault="006F0D93">
      <w:pPr>
        <w:pStyle w:val="ListParagraph"/>
        <w:numPr>
          <w:ilvl w:val="1"/>
          <w:numId w:val="5"/>
        </w:numPr>
        <w:tabs>
          <w:tab w:val="left" w:pos="359"/>
          <w:tab w:val="left" w:pos="4682"/>
          <w:tab w:val="left" w:pos="5403"/>
        </w:tabs>
        <w:spacing w:before="1"/>
        <w:ind w:left="359" w:right="2508" w:hanging="359"/>
        <w:jc w:val="right"/>
        <w:rPr>
          <w:sz w:val="23"/>
        </w:rPr>
      </w:pPr>
      <w:r>
        <w:rPr>
          <w:spacing w:val="-2"/>
          <w:w w:val="105"/>
          <w:sz w:val="23"/>
        </w:rPr>
        <w:t>Private tenders</w:t>
      </w:r>
      <w:r>
        <w:rPr>
          <w:sz w:val="23"/>
        </w:rPr>
        <w:tab/>
      </w:r>
      <w:r>
        <w:rPr>
          <w:spacing w:val="-10"/>
          <w:w w:val="105"/>
          <w:sz w:val="23"/>
        </w:rPr>
        <w:t>(</w:t>
      </w:r>
      <w:r>
        <w:rPr>
          <w:sz w:val="23"/>
        </w:rPr>
        <w:tab/>
      </w:r>
      <w:r>
        <w:rPr>
          <w:spacing w:val="-10"/>
          <w:w w:val="105"/>
          <w:sz w:val="23"/>
        </w:rPr>
        <w:t>)</w:t>
      </w:r>
    </w:p>
    <w:p w:rsidR="00487D64" w:rsidRDefault="00487D64">
      <w:pPr>
        <w:pStyle w:val="BodyText"/>
        <w:spacing w:before="25"/>
      </w:pPr>
    </w:p>
    <w:p w:rsidR="00487D64" w:rsidRDefault="006F0D93">
      <w:pPr>
        <w:pStyle w:val="ListParagraph"/>
        <w:numPr>
          <w:ilvl w:val="1"/>
          <w:numId w:val="5"/>
        </w:numPr>
        <w:tabs>
          <w:tab w:val="left" w:pos="359"/>
          <w:tab w:val="left" w:pos="4682"/>
          <w:tab w:val="left" w:pos="5403"/>
        </w:tabs>
        <w:spacing w:before="1"/>
        <w:ind w:left="359" w:right="2508" w:hanging="359"/>
        <w:jc w:val="right"/>
        <w:rPr>
          <w:sz w:val="23"/>
        </w:rPr>
      </w:pPr>
      <w:r>
        <w:rPr>
          <w:w w:val="105"/>
          <w:sz w:val="23"/>
        </w:rPr>
        <w:t>Public</w:t>
      </w:r>
      <w:r>
        <w:rPr>
          <w:spacing w:val="-14"/>
          <w:w w:val="105"/>
          <w:sz w:val="23"/>
        </w:rPr>
        <w:t xml:space="preserve"> </w:t>
      </w:r>
      <w:r>
        <w:rPr>
          <w:spacing w:val="-2"/>
          <w:w w:val="105"/>
          <w:sz w:val="23"/>
        </w:rPr>
        <w:t>tenders</w:t>
      </w:r>
      <w:r>
        <w:rPr>
          <w:sz w:val="23"/>
        </w:rPr>
        <w:tab/>
      </w:r>
      <w:r>
        <w:rPr>
          <w:spacing w:val="-12"/>
          <w:w w:val="105"/>
          <w:sz w:val="23"/>
        </w:rPr>
        <w:t>(</w:t>
      </w:r>
      <w:r>
        <w:rPr>
          <w:sz w:val="23"/>
        </w:rPr>
        <w:tab/>
      </w:r>
      <w:r>
        <w:rPr>
          <w:spacing w:val="-10"/>
          <w:w w:val="105"/>
          <w:sz w:val="23"/>
        </w:rPr>
        <w:t>)</w:t>
      </w:r>
    </w:p>
    <w:p w:rsidR="00487D64" w:rsidRDefault="00487D64">
      <w:pPr>
        <w:pStyle w:val="BodyText"/>
        <w:spacing w:before="25"/>
      </w:pPr>
    </w:p>
    <w:p w:rsidR="00487D64" w:rsidRDefault="006F0D93">
      <w:pPr>
        <w:pStyle w:val="ListParagraph"/>
        <w:numPr>
          <w:ilvl w:val="0"/>
          <w:numId w:val="5"/>
        </w:numPr>
        <w:tabs>
          <w:tab w:val="left" w:pos="2138"/>
          <w:tab w:val="left" w:pos="2140"/>
        </w:tabs>
        <w:spacing w:line="496" w:lineRule="auto"/>
        <w:ind w:right="853"/>
        <w:rPr>
          <w:sz w:val="23"/>
        </w:rPr>
      </w:pPr>
      <w:r>
        <w:rPr>
          <w:w w:val="105"/>
          <w:sz w:val="23"/>
        </w:rPr>
        <w:t>For</w:t>
      </w:r>
      <w:r>
        <w:rPr>
          <w:spacing w:val="39"/>
          <w:w w:val="105"/>
          <w:sz w:val="23"/>
        </w:rPr>
        <w:t xml:space="preserve"> </w:t>
      </w:r>
      <w:r>
        <w:rPr>
          <w:w w:val="105"/>
          <w:sz w:val="23"/>
        </w:rPr>
        <w:t>how</w:t>
      </w:r>
      <w:r>
        <w:rPr>
          <w:spacing w:val="33"/>
          <w:w w:val="105"/>
          <w:sz w:val="23"/>
        </w:rPr>
        <w:t xml:space="preserve"> </w:t>
      </w:r>
      <w:r>
        <w:rPr>
          <w:w w:val="105"/>
          <w:sz w:val="23"/>
        </w:rPr>
        <w:t>many</w:t>
      </w:r>
      <w:r>
        <w:rPr>
          <w:spacing w:val="36"/>
          <w:w w:val="105"/>
          <w:sz w:val="23"/>
        </w:rPr>
        <w:t xml:space="preserve"> </w:t>
      </w:r>
      <w:r>
        <w:rPr>
          <w:w w:val="105"/>
          <w:sz w:val="23"/>
        </w:rPr>
        <w:t>years</w:t>
      </w:r>
      <w:r>
        <w:rPr>
          <w:spacing w:val="33"/>
          <w:w w:val="105"/>
          <w:sz w:val="23"/>
        </w:rPr>
        <w:t xml:space="preserve"> </w:t>
      </w:r>
      <w:r>
        <w:rPr>
          <w:w w:val="105"/>
          <w:sz w:val="23"/>
        </w:rPr>
        <w:t>has</w:t>
      </w:r>
      <w:r>
        <w:rPr>
          <w:spacing w:val="33"/>
          <w:w w:val="105"/>
          <w:sz w:val="23"/>
        </w:rPr>
        <w:t xml:space="preserve"> </w:t>
      </w:r>
      <w:r>
        <w:rPr>
          <w:w w:val="105"/>
          <w:sz w:val="23"/>
        </w:rPr>
        <w:t>your</w:t>
      </w:r>
      <w:r>
        <w:rPr>
          <w:spacing w:val="39"/>
          <w:w w:val="105"/>
          <w:sz w:val="23"/>
        </w:rPr>
        <w:t xml:space="preserve"> </w:t>
      </w:r>
      <w:r>
        <w:rPr>
          <w:w w:val="105"/>
          <w:sz w:val="23"/>
        </w:rPr>
        <w:t>business</w:t>
      </w:r>
      <w:r>
        <w:rPr>
          <w:spacing w:val="27"/>
          <w:w w:val="105"/>
          <w:sz w:val="23"/>
        </w:rPr>
        <w:t xml:space="preserve"> </w:t>
      </w:r>
      <w:r>
        <w:rPr>
          <w:w w:val="105"/>
          <w:sz w:val="23"/>
        </w:rPr>
        <w:t>registered</w:t>
      </w:r>
      <w:r>
        <w:rPr>
          <w:spacing w:val="29"/>
          <w:w w:val="105"/>
          <w:sz w:val="23"/>
        </w:rPr>
        <w:t xml:space="preserve"> </w:t>
      </w:r>
      <w:r>
        <w:rPr>
          <w:w w:val="105"/>
          <w:sz w:val="23"/>
        </w:rPr>
        <w:t>as</w:t>
      </w:r>
      <w:r>
        <w:rPr>
          <w:spacing w:val="27"/>
          <w:w w:val="105"/>
          <w:sz w:val="23"/>
        </w:rPr>
        <w:t xml:space="preserve"> </w:t>
      </w:r>
      <w:r>
        <w:rPr>
          <w:w w:val="105"/>
          <w:sz w:val="23"/>
        </w:rPr>
        <w:t>Special</w:t>
      </w:r>
      <w:r>
        <w:rPr>
          <w:spacing w:val="38"/>
          <w:w w:val="105"/>
          <w:sz w:val="23"/>
        </w:rPr>
        <w:t xml:space="preserve"> </w:t>
      </w:r>
      <w:r>
        <w:rPr>
          <w:w w:val="105"/>
          <w:sz w:val="23"/>
        </w:rPr>
        <w:t>group</w:t>
      </w:r>
      <w:r>
        <w:rPr>
          <w:spacing w:val="40"/>
          <w:w w:val="105"/>
          <w:sz w:val="23"/>
        </w:rPr>
        <w:t xml:space="preserve"> </w:t>
      </w:r>
      <w:r>
        <w:rPr>
          <w:w w:val="105"/>
          <w:sz w:val="23"/>
        </w:rPr>
        <w:t>SME? (please tick one)</w:t>
      </w:r>
    </w:p>
    <w:p w:rsidR="00487D64" w:rsidRDefault="006F0D93">
      <w:pPr>
        <w:pStyle w:val="ListParagraph"/>
        <w:numPr>
          <w:ilvl w:val="1"/>
          <w:numId w:val="5"/>
        </w:numPr>
        <w:tabs>
          <w:tab w:val="left" w:pos="359"/>
          <w:tab w:val="left" w:pos="4682"/>
          <w:tab w:val="left" w:pos="5403"/>
        </w:tabs>
        <w:spacing w:before="7"/>
        <w:ind w:left="359" w:right="2508" w:hanging="359"/>
        <w:jc w:val="right"/>
        <w:rPr>
          <w:sz w:val="23"/>
        </w:rPr>
      </w:pPr>
      <w:r>
        <w:rPr>
          <w:w w:val="105"/>
          <w:sz w:val="23"/>
        </w:rPr>
        <w:t>Less</w:t>
      </w:r>
      <w:r>
        <w:rPr>
          <w:spacing w:val="-7"/>
          <w:w w:val="105"/>
          <w:sz w:val="23"/>
        </w:rPr>
        <w:t xml:space="preserve"> </w:t>
      </w:r>
      <w:r>
        <w:rPr>
          <w:w w:val="105"/>
          <w:sz w:val="23"/>
        </w:rPr>
        <w:t>than</w:t>
      </w:r>
      <w:r>
        <w:rPr>
          <w:spacing w:val="-12"/>
          <w:w w:val="105"/>
          <w:sz w:val="23"/>
        </w:rPr>
        <w:t xml:space="preserve"> </w:t>
      </w:r>
      <w:r>
        <w:rPr>
          <w:w w:val="105"/>
          <w:sz w:val="23"/>
        </w:rPr>
        <w:t>1</w:t>
      </w:r>
      <w:r>
        <w:rPr>
          <w:spacing w:val="1"/>
          <w:w w:val="105"/>
          <w:sz w:val="23"/>
        </w:rPr>
        <w:t xml:space="preserve"> </w:t>
      </w:r>
      <w:r>
        <w:rPr>
          <w:spacing w:val="-4"/>
          <w:w w:val="105"/>
          <w:sz w:val="23"/>
        </w:rPr>
        <w:t>year</w:t>
      </w:r>
      <w:r>
        <w:rPr>
          <w:sz w:val="23"/>
        </w:rPr>
        <w:tab/>
      </w:r>
      <w:r>
        <w:rPr>
          <w:spacing w:val="-12"/>
          <w:w w:val="105"/>
          <w:sz w:val="23"/>
        </w:rPr>
        <w:t>(</w:t>
      </w:r>
      <w:r>
        <w:rPr>
          <w:sz w:val="23"/>
        </w:rPr>
        <w:tab/>
      </w:r>
      <w:r>
        <w:rPr>
          <w:spacing w:val="-10"/>
          <w:w w:val="105"/>
          <w:sz w:val="23"/>
        </w:rPr>
        <w:t>)</w:t>
      </w:r>
    </w:p>
    <w:p w:rsidR="00487D64" w:rsidRDefault="00487D64">
      <w:pPr>
        <w:pStyle w:val="BodyText"/>
        <w:spacing w:before="26"/>
      </w:pPr>
    </w:p>
    <w:p w:rsidR="00487D64" w:rsidRDefault="006F0D93">
      <w:pPr>
        <w:pStyle w:val="ListParagraph"/>
        <w:numPr>
          <w:ilvl w:val="1"/>
          <w:numId w:val="5"/>
        </w:numPr>
        <w:tabs>
          <w:tab w:val="left" w:pos="359"/>
          <w:tab w:val="left" w:pos="4682"/>
          <w:tab w:val="left" w:pos="5403"/>
        </w:tabs>
        <w:ind w:left="359" w:right="2508" w:hanging="359"/>
        <w:jc w:val="right"/>
        <w:rPr>
          <w:sz w:val="23"/>
        </w:rPr>
      </w:pPr>
      <w:r>
        <w:rPr>
          <w:w w:val="105"/>
          <w:sz w:val="23"/>
        </w:rPr>
        <w:t>Less</w:t>
      </w:r>
      <w:r>
        <w:rPr>
          <w:spacing w:val="-7"/>
          <w:w w:val="105"/>
          <w:sz w:val="23"/>
        </w:rPr>
        <w:t xml:space="preserve"> </w:t>
      </w:r>
      <w:r>
        <w:rPr>
          <w:w w:val="105"/>
          <w:sz w:val="23"/>
        </w:rPr>
        <w:t>than</w:t>
      </w:r>
      <w:r>
        <w:rPr>
          <w:spacing w:val="-12"/>
          <w:w w:val="105"/>
          <w:sz w:val="23"/>
        </w:rPr>
        <w:t xml:space="preserve"> </w:t>
      </w:r>
      <w:r>
        <w:rPr>
          <w:w w:val="105"/>
          <w:sz w:val="23"/>
        </w:rPr>
        <w:t>3</w:t>
      </w:r>
      <w:r>
        <w:rPr>
          <w:spacing w:val="1"/>
          <w:w w:val="105"/>
          <w:sz w:val="23"/>
        </w:rPr>
        <w:t xml:space="preserve"> </w:t>
      </w:r>
      <w:r>
        <w:rPr>
          <w:spacing w:val="-4"/>
          <w:w w:val="105"/>
          <w:sz w:val="23"/>
        </w:rPr>
        <w:t>years</w:t>
      </w:r>
      <w:r>
        <w:rPr>
          <w:sz w:val="23"/>
        </w:rPr>
        <w:tab/>
      </w:r>
      <w:r>
        <w:rPr>
          <w:spacing w:val="-12"/>
          <w:w w:val="105"/>
          <w:sz w:val="23"/>
        </w:rPr>
        <w:t>(</w:t>
      </w:r>
      <w:r>
        <w:rPr>
          <w:sz w:val="23"/>
        </w:rPr>
        <w:tab/>
      </w:r>
      <w:r>
        <w:rPr>
          <w:spacing w:val="-10"/>
          <w:w w:val="105"/>
          <w:sz w:val="23"/>
        </w:rPr>
        <w:t>)</w:t>
      </w:r>
    </w:p>
    <w:p w:rsidR="00487D64" w:rsidRDefault="00487D64">
      <w:pPr>
        <w:pStyle w:val="BodyText"/>
        <w:spacing w:before="18"/>
      </w:pPr>
    </w:p>
    <w:p w:rsidR="00487D64" w:rsidRDefault="006F0D93">
      <w:pPr>
        <w:pStyle w:val="ListParagraph"/>
        <w:numPr>
          <w:ilvl w:val="1"/>
          <w:numId w:val="5"/>
        </w:numPr>
        <w:tabs>
          <w:tab w:val="left" w:pos="360"/>
          <w:tab w:val="left" w:pos="4682"/>
          <w:tab w:val="left" w:pos="5403"/>
        </w:tabs>
        <w:ind w:left="360" w:right="2508" w:hanging="360"/>
        <w:jc w:val="right"/>
        <w:rPr>
          <w:sz w:val="23"/>
        </w:rPr>
      </w:pPr>
      <w:r>
        <w:rPr>
          <w:w w:val="105"/>
          <w:sz w:val="23"/>
        </w:rPr>
        <w:t>Less</w:t>
      </w:r>
      <w:r>
        <w:rPr>
          <w:spacing w:val="-7"/>
          <w:w w:val="105"/>
          <w:sz w:val="23"/>
        </w:rPr>
        <w:t xml:space="preserve"> </w:t>
      </w:r>
      <w:r>
        <w:rPr>
          <w:w w:val="105"/>
          <w:sz w:val="23"/>
        </w:rPr>
        <w:t>than</w:t>
      </w:r>
      <w:r>
        <w:rPr>
          <w:spacing w:val="-12"/>
          <w:w w:val="105"/>
          <w:sz w:val="23"/>
        </w:rPr>
        <w:t xml:space="preserve"> </w:t>
      </w:r>
      <w:r>
        <w:rPr>
          <w:w w:val="105"/>
          <w:sz w:val="23"/>
        </w:rPr>
        <w:t>5</w:t>
      </w:r>
      <w:r>
        <w:rPr>
          <w:spacing w:val="1"/>
          <w:w w:val="105"/>
          <w:sz w:val="23"/>
        </w:rPr>
        <w:t xml:space="preserve"> </w:t>
      </w:r>
      <w:r>
        <w:rPr>
          <w:spacing w:val="-4"/>
          <w:w w:val="105"/>
          <w:sz w:val="23"/>
        </w:rPr>
        <w:t>years</w:t>
      </w:r>
      <w:r>
        <w:rPr>
          <w:sz w:val="23"/>
        </w:rPr>
        <w:tab/>
      </w:r>
      <w:r>
        <w:rPr>
          <w:spacing w:val="-12"/>
          <w:w w:val="105"/>
          <w:sz w:val="23"/>
        </w:rPr>
        <w:t>(</w:t>
      </w:r>
      <w:r>
        <w:rPr>
          <w:sz w:val="23"/>
        </w:rPr>
        <w:tab/>
      </w:r>
      <w:r>
        <w:rPr>
          <w:spacing w:val="-10"/>
          <w:w w:val="105"/>
          <w:sz w:val="23"/>
        </w:rPr>
        <w:t>)</w:t>
      </w:r>
    </w:p>
    <w:p w:rsidR="00487D64" w:rsidRDefault="00487D64">
      <w:pPr>
        <w:pStyle w:val="BodyText"/>
        <w:spacing w:before="26"/>
      </w:pPr>
    </w:p>
    <w:p w:rsidR="00487D64" w:rsidRDefault="006F0D93">
      <w:pPr>
        <w:pStyle w:val="ListParagraph"/>
        <w:numPr>
          <w:ilvl w:val="1"/>
          <w:numId w:val="5"/>
        </w:numPr>
        <w:tabs>
          <w:tab w:val="left" w:pos="359"/>
          <w:tab w:val="left" w:pos="4682"/>
          <w:tab w:val="left" w:pos="5403"/>
        </w:tabs>
        <w:ind w:left="359" w:right="2508" w:hanging="359"/>
        <w:jc w:val="right"/>
        <w:rPr>
          <w:sz w:val="23"/>
        </w:rPr>
      </w:pPr>
      <w:r>
        <w:rPr>
          <w:w w:val="105"/>
          <w:sz w:val="23"/>
        </w:rPr>
        <w:t>Above</w:t>
      </w:r>
      <w:r>
        <w:rPr>
          <w:spacing w:val="-14"/>
          <w:w w:val="105"/>
          <w:sz w:val="23"/>
        </w:rPr>
        <w:t xml:space="preserve"> </w:t>
      </w:r>
      <w:r>
        <w:rPr>
          <w:w w:val="105"/>
          <w:sz w:val="23"/>
        </w:rPr>
        <w:t xml:space="preserve">5 </w:t>
      </w:r>
      <w:r>
        <w:rPr>
          <w:spacing w:val="-2"/>
          <w:w w:val="105"/>
          <w:sz w:val="23"/>
        </w:rPr>
        <w:t>years</w:t>
      </w:r>
      <w:r>
        <w:rPr>
          <w:sz w:val="23"/>
        </w:rPr>
        <w:tab/>
      </w:r>
      <w:r>
        <w:rPr>
          <w:spacing w:val="-12"/>
          <w:w w:val="105"/>
          <w:sz w:val="23"/>
        </w:rPr>
        <w:t>(</w:t>
      </w:r>
      <w:r>
        <w:rPr>
          <w:sz w:val="23"/>
        </w:rPr>
        <w:tab/>
      </w:r>
      <w:r>
        <w:rPr>
          <w:spacing w:val="-10"/>
          <w:w w:val="105"/>
          <w:sz w:val="23"/>
        </w:rPr>
        <w:t>)</w:t>
      </w:r>
    </w:p>
    <w:p w:rsidR="00487D64" w:rsidRDefault="00487D64">
      <w:pPr>
        <w:pStyle w:val="ListParagraph"/>
        <w:jc w:val="right"/>
        <w:rPr>
          <w:sz w:val="23"/>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38"/>
      </w:pPr>
    </w:p>
    <w:p w:rsidR="00487D64" w:rsidRDefault="006F0D93">
      <w:pPr>
        <w:spacing w:before="1"/>
        <w:ind w:left="1419"/>
        <w:jc w:val="both"/>
        <w:rPr>
          <w:b/>
          <w:sz w:val="23"/>
        </w:rPr>
      </w:pPr>
      <w:r>
        <w:rPr>
          <w:b/>
          <w:sz w:val="23"/>
        </w:rPr>
        <w:t>PART</w:t>
      </w:r>
      <w:r>
        <w:rPr>
          <w:b/>
          <w:spacing w:val="18"/>
          <w:sz w:val="23"/>
        </w:rPr>
        <w:t xml:space="preserve"> </w:t>
      </w:r>
      <w:r>
        <w:rPr>
          <w:b/>
          <w:spacing w:val="-10"/>
          <w:sz w:val="23"/>
        </w:rPr>
        <w:t>B</w:t>
      </w:r>
    </w:p>
    <w:p w:rsidR="00487D64" w:rsidRDefault="006F0D93">
      <w:pPr>
        <w:spacing w:before="189" w:line="504" w:lineRule="auto"/>
        <w:ind w:left="1419" w:right="856"/>
        <w:jc w:val="both"/>
        <w:rPr>
          <w:b/>
          <w:i/>
          <w:sz w:val="23"/>
        </w:rPr>
      </w:pPr>
      <w:r>
        <w:rPr>
          <w:w w:val="105"/>
          <w:sz w:val="23"/>
        </w:rPr>
        <w:t>Please indicate the extent to which you agree or disagree with the following statements by</w:t>
      </w:r>
      <w:r>
        <w:rPr>
          <w:w w:val="105"/>
          <w:sz w:val="23"/>
        </w:rPr>
        <w:t xml:space="preserve"> applying a tick (√) using the following guidelines: </w:t>
      </w:r>
      <w:r>
        <w:rPr>
          <w:b/>
          <w:i/>
          <w:w w:val="105"/>
          <w:sz w:val="23"/>
        </w:rPr>
        <w:t>1 = strongly disagree; 2 = Disagree; 3 = neither agree nor disagree; 4 = agree; 5 = strongly agree.</w:t>
      </w:r>
      <w:r>
        <w:rPr>
          <w:b/>
          <w:i/>
          <w:spacing w:val="60"/>
          <w:w w:val="105"/>
          <w:sz w:val="23"/>
        </w:rPr>
        <w:t xml:space="preserve"> </w:t>
      </w:r>
      <w:r>
        <w:rPr>
          <w:b/>
          <w:i/>
          <w:w w:val="105"/>
          <w:sz w:val="23"/>
        </w:rPr>
        <w:t>OR</w:t>
      </w:r>
      <w:r>
        <w:rPr>
          <w:b/>
          <w:i/>
          <w:spacing w:val="63"/>
          <w:w w:val="105"/>
          <w:sz w:val="23"/>
        </w:rPr>
        <w:t xml:space="preserve"> </w:t>
      </w:r>
      <w:r>
        <w:rPr>
          <w:b/>
          <w:i/>
          <w:w w:val="105"/>
          <w:sz w:val="23"/>
        </w:rPr>
        <w:t>1</w:t>
      </w:r>
      <w:r>
        <w:rPr>
          <w:b/>
          <w:i/>
          <w:spacing w:val="66"/>
          <w:w w:val="105"/>
          <w:sz w:val="23"/>
        </w:rPr>
        <w:t xml:space="preserve"> </w:t>
      </w:r>
      <w:r>
        <w:rPr>
          <w:b/>
          <w:i/>
          <w:w w:val="105"/>
          <w:sz w:val="23"/>
        </w:rPr>
        <w:t>=</w:t>
      </w:r>
      <w:r>
        <w:rPr>
          <w:b/>
          <w:i/>
          <w:spacing w:val="64"/>
          <w:w w:val="105"/>
          <w:sz w:val="23"/>
        </w:rPr>
        <w:t xml:space="preserve"> </w:t>
      </w:r>
      <w:r>
        <w:rPr>
          <w:b/>
          <w:i/>
          <w:w w:val="105"/>
          <w:sz w:val="23"/>
        </w:rPr>
        <w:t>Not</w:t>
      </w:r>
      <w:r>
        <w:rPr>
          <w:b/>
          <w:i/>
          <w:spacing w:val="61"/>
          <w:w w:val="105"/>
          <w:sz w:val="23"/>
        </w:rPr>
        <w:t xml:space="preserve"> </w:t>
      </w:r>
      <w:r>
        <w:rPr>
          <w:b/>
          <w:i/>
          <w:w w:val="105"/>
          <w:sz w:val="23"/>
        </w:rPr>
        <w:t>at</w:t>
      </w:r>
      <w:r>
        <w:rPr>
          <w:b/>
          <w:i/>
          <w:spacing w:val="68"/>
          <w:w w:val="105"/>
          <w:sz w:val="23"/>
        </w:rPr>
        <w:t xml:space="preserve"> </w:t>
      </w:r>
      <w:r>
        <w:rPr>
          <w:b/>
          <w:i/>
          <w:w w:val="105"/>
          <w:sz w:val="23"/>
        </w:rPr>
        <w:t>all;</w:t>
      </w:r>
      <w:r>
        <w:rPr>
          <w:b/>
          <w:i/>
          <w:spacing w:val="63"/>
          <w:w w:val="105"/>
          <w:sz w:val="23"/>
        </w:rPr>
        <w:t xml:space="preserve"> </w:t>
      </w:r>
      <w:r>
        <w:rPr>
          <w:b/>
          <w:i/>
          <w:w w:val="105"/>
          <w:sz w:val="23"/>
        </w:rPr>
        <w:t>2</w:t>
      </w:r>
      <w:r>
        <w:rPr>
          <w:b/>
          <w:i/>
          <w:spacing w:val="66"/>
          <w:w w:val="105"/>
          <w:sz w:val="23"/>
        </w:rPr>
        <w:t xml:space="preserve"> </w:t>
      </w:r>
      <w:r>
        <w:rPr>
          <w:b/>
          <w:i/>
          <w:w w:val="105"/>
          <w:sz w:val="23"/>
        </w:rPr>
        <w:t>=</w:t>
      </w:r>
      <w:r>
        <w:rPr>
          <w:b/>
          <w:i/>
          <w:spacing w:val="70"/>
          <w:w w:val="105"/>
          <w:sz w:val="23"/>
        </w:rPr>
        <w:t xml:space="preserve"> </w:t>
      </w:r>
      <w:r>
        <w:rPr>
          <w:b/>
          <w:i/>
          <w:w w:val="105"/>
          <w:sz w:val="23"/>
        </w:rPr>
        <w:t>Slightly;</w:t>
      </w:r>
      <w:r>
        <w:rPr>
          <w:b/>
          <w:i/>
          <w:spacing w:val="70"/>
          <w:w w:val="105"/>
          <w:sz w:val="23"/>
        </w:rPr>
        <w:t xml:space="preserve"> </w:t>
      </w:r>
      <w:r>
        <w:rPr>
          <w:b/>
          <w:i/>
          <w:w w:val="105"/>
          <w:sz w:val="23"/>
        </w:rPr>
        <w:t>3</w:t>
      </w:r>
      <w:r>
        <w:rPr>
          <w:b/>
          <w:i/>
          <w:spacing w:val="65"/>
          <w:w w:val="105"/>
          <w:sz w:val="23"/>
        </w:rPr>
        <w:t xml:space="preserve"> </w:t>
      </w:r>
      <w:r>
        <w:rPr>
          <w:b/>
          <w:i/>
          <w:w w:val="105"/>
          <w:sz w:val="23"/>
        </w:rPr>
        <w:t>=</w:t>
      </w:r>
      <w:r>
        <w:rPr>
          <w:b/>
          <w:i/>
          <w:spacing w:val="64"/>
          <w:w w:val="105"/>
          <w:sz w:val="23"/>
        </w:rPr>
        <w:t xml:space="preserve"> </w:t>
      </w:r>
      <w:r>
        <w:rPr>
          <w:b/>
          <w:i/>
          <w:w w:val="105"/>
          <w:sz w:val="23"/>
        </w:rPr>
        <w:t>Moderately;</w:t>
      </w:r>
      <w:r>
        <w:rPr>
          <w:b/>
          <w:i/>
          <w:spacing w:val="63"/>
          <w:w w:val="105"/>
          <w:sz w:val="23"/>
        </w:rPr>
        <w:t xml:space="preserve"> </w:t>
      </w:r>
      <w:r>
        <w:rPr>
          <w:b/>
          <w:i/>
          <w:w w:val="105"/>
          <w:sz w:val="23"/>
        </w:rPr>
        <w:t>4</w:t>
      </w:r>
      <w:r>
        <w:rPr>
          <w:b/>
          <w:i/>
          <w:spacing w:val="65"/>
          <w:w w:val="105"/>
          <w:sz w:val="23"/>
        </w:rPr>
        <w:t xml:space="preserve"> </w:t>
      </w:r>
      <w:r>
        <w:rPr>
          <w:b/>
          <w:i/>
          <w:w w:val="105"/>
          <w:sz w:val="23"/>
        </w:rPr>
        <w:t>=Very</w:t>
      </w:r>
      <w:r>
        <w:rPr>
          <w:b/>
          <w:i/>
          <w:spacing w:val="73"/>
          <w:w w:val="105"/>
          <w:sz w:val="23"/>
        </w:rPr>
        <w:t xml:space="preserve"> </w:t>
      </w:r>
      <w:r>
        <w:rPr>
          <w:b/>
          <w:i/>
          <w:w w:val="105"/>
          <w:sz w:val="23"/>
        </w:rPr>
        <w:t>much;</w:t>
      </w:r>
      <w:r>
        <w:rPr>
          <w:b/>
          <w:i/>
          <w:spacing w:val="63"/>
          <w:w w:val="105"/>
          <w:sz w:val="23"/>
        </w:rPr>
        <w:t xml:space="preserve"> </w:t>
      </w:r>
      <w:r>
        <w:rPr>
          <w:b/>
          <w:i/>
          <w:spacing w:val="-10"/>
          <w:w w:val="105"/>
          <w:sz w:val="23"/>
        </w:rPr>
        <w:t>5</w:t>
      </w:r>
    </w:p>
    <w:p w:rsidR="00487D64" w:rsidRDefault="006F0D93">
      <w:pPr>
        <w:pStyle w:val="Heading2"/>
        <w:spacing w:line="254" w:lineRule="exact"/>
      </w:pPr>
      <w:r>
        <w:rPr>
          <w:spacing w:val="-2"/>
          <w:w w:val="105"/>
        </w:rPr>
        <w:t>=Completely</w:t>
      </w:r>
    </w:p>
    <w:p w:rsidR="00487D64" w:rsidRDefault="00487D64">
      <w:pPr>
        <w:pStyle w:val="BodyText"/>
        <w:spacing w:before="44"/>
        <w:rPr>
          <w:b/>
          <w:i/>
          <w:sz w:val="20"/>
        </w:rPr>
      </w:pPr>
    </w:p>
    <w:tbl>
      <w:tblPr>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7"/>
        <w:gridCol w:w="4813"/>
        <w:gridCol w:w="584"/>
        <w:gridCol w:w="598"/>
        <w:gridCol w:w="584"/>
        <w:gridCol w:w="526"/>
        <w:gridCol w:w="583"/>
      </w:tblGrid>
      <w:tr w:rsidR="00487D64">
        <w:trPr>
          <w:trHeight w:val="277"/>
        </w:trPr>
        <w:tc>
          <w:tcPr>
            <w:tcW w:w="757" w:type="dxa"/>
          </w:tcPr>
          <w:p w:rsidR="00487D64" w:rsidRDefault="006F0D93">
            <w:pPr>
              <w:pStyle w:val="TableParagraph"/>
              <w:spacing w:before="7" w:line="251" w:lineRule="exact"/>
              <w:ind w:left="110"/>
              <w:rPr>
                <w:b/>
                <w:sz w:val="23"/>
              </w:rPr>
            </w:pPr>
            <w:r>
              <w:rPr>
                <w:b/>
                <w:spacing w:val="-5"/>
                <w:w w:val="105"/>
                <w:sz w:val="23"/>
              </w:rPr>
              <w:t>SN</w:t>
            </w:r>
          </w:p>
        </w:tc>
        <w:tc>
          <w:tcPr>
            <w:tcW w:w="4813" w:type="dxa"/>
          </w:tcPr>
          <w:p w:rsidR="00487D64" w:rsidRDefault="006F0D93">
            <w:pPr>
              <w:pStyle w:val="TableParagraph"/>
              <w:spacing w:before="7" w:line="251" w:lineRule="exact"/>
              <w:ind w:left="109"/>
              <w:rPr>
                <w:b/>
                <w:sz w:val="23"/>
              </w:rPr>
            </w:pPr>
            <w:r>
              <w:rPr>
                <w:b/>
                <w:spacing w:val="-2"/>
                <w:w w:val="105"/>
                <w:sz w:val="23"/>
              </w:rPr>
              <w:t>STATEMENT</w:t>
            </w:r>
          </w:p>
        </w:tc>
        <w:tc>
          <w:tcPr>
            <w:tcW w:w="2875" w:type="dxa"/>
            <w:gridSpan w:val="5"/>
          </w:tcPr>
          <w:p w:rsidR="00487D64" w:rsidRDefault="006F0D93">
            <w:pPr>
              <w:pStyle w:val="TableParagraph"/>
              <w:spacing w:before="7" w:line="251" w:lineRule="exact"/>
              <w:ind w:left="109"/>
              <w:rPr>
                <w:b/>
                <w:sz w:val="23"/>
              </w:rPr>
            </w:pPr>
            <w:r>
              <w:rPr>
                <w:b/>
                <w:spacing w:val="-2"/>
                <w:w w:val="105"/>
                <w:sz w:val="23"/>
              </w:rPr>
              <w:t>RESPONSE</w:t>
            </w:r>
          </w:p>
        </w:tc>
      </w:tr>
      <w:tr w:rsidR="00487D64">
        <w:trPr>
          <w:trHeight w:val="270"/>
        </w:trPr>
        <w:tc>
          <w:tcPr>
            <w:tcW w:w="757" w:type="dxa"/>
          </w:tcPr>
          <w:p w:rsidR="00487D64" w:rsidRDefault="00487D64">
            <w:pPr>
              <w:pStyle w:val="TableParagraph"/>
              <w:rPr>
                <w:sz w:val="20"/>
              </w:rPr>
            </w:pPr>
          </w:p>
        </w:tc>
        <w:tc>
          <w:tcPr>
            <w:tcW w:w="4813" w:type="dxa"/>
          </w:tcPr>
          <w:p w:rsidR="00487D64" w:rsidRDefault="006F0D93">
            <w:pPr>
              <w:pStyle w:val="TableParagraph"/>
              <w:spacing w:before="7" w:line="244" w:lineRule="exact"/>
              <w:ind w:left="109"/>
              <w:rPr>
                <w:b/>
                <w:sz w:val="23"/>
              </w:rPr>
            </w:pPr>
            <w:r>
              <w:rPr>
                <w:b/>
                <w:sz w:val="23"/>
              </w:rPr>
              <w:t>Your</w:t>
            </w:r>
            <w:r>
              <w:rPr>
                <w:b/>
                <w:spacing w:val="25"/>
                <w:sz w:val="23"/>
              </w:rPr>
              <w:t xml:space="preserve"> </w:t>
            </w:r>
            <w:r>
              <w:rPr>
                <w:b/>
                <w:sz w:val="23"/>
              </w:rPr>
              <w:t>firm's</w:t>
            </w:r>
            <w:r>
              <w:rPr>
                <w:b/>
                <w:spacing w:val="24"/>
                <w:sz w:val="23"/>
              </w:rPr>
              <w:t xml:space="preserve"> </w:t>
            </w:r>
            <w:r>
              <w:rPr>
                <w:b/>
                <w:sz w:val="23"/>
              </w:rPr>
              <w:t>Customer</w:t>
            </w:r>
            <w:r>
              <w:rPr>
                <w:b/>
                <w:spacing w:val="26"/>
                <w:sz w:val="23"/>
              </w:rPr>
              <w:t xml:space="preserve"> </w:t>
            </w:r>
            <w:r>
              <w:rPr>
                <w:b/>
                <w:spacing w:val="-2"/>
                <w:sz w:val="23"/>
              </w:rPr>
              <w:t>Orientation</w:t>
            </w:r>
          </w:p>
        </w:tc>
        <w:tc>
          <w:tcPr>
            <w:tcW w:w="584" w:type="dxa"/>
          </w:tcPr>
          <w:p w:rsidR="00487D64" w:rsidRDefault="006F0D93">
            <w:pPr>
              <w:pStyle w:val="TableParagraph"/>
              <w:spacing w:line="251" w:lineRule="exact"/>
              <w:ind w:left="109"/>
              <w:rPr>
                <w:sz w:val="23"/>
              </w:rPr>
            </w:pPr>
            <w:r>
              <w:rPr>
                <w:spacing w:val="-10"/>
                <w:w w:val="105"/>
                <w:sz w:val="23"/>
              </w:rPr>
              <w:t>1</w:t>
            </w:r>
          </w:p>
        </w:tc>
        <w:tc>
          <w:tcPr>
            <w:tcW w:w="598" w:type="dxa"/>
          </w:tcPr>
          <w:p w:rsidR="00487D64" w:rsidRDefault="006F0D93">
            <w:pPr>
              <w:pStyle w:val="TableParagraph"/>
              <w:spacing w:line="251" w:lineRule="exact"/>
              <w:ind w:left="108"/>
              <w:rPr>
                <w:sz w:val="23"/>
              </w:rPr>
            </w:pPr>
            <w:r>
              <w:rPr>
                <w:spacing w:val="-10"/>
                <w:w w:val="105"/>
                <w:sz w:val="23"/>
              </w:rPr>
              <w:t>2</w:t>
            </w:r>
          </w:p>
        </w:tc>
        <w:tc>
          <w:tcPr>
            <w:tcW w:w="584" w:type="dxa"/>
          </w:tcPr>
          <w:p w:rsidR="00487D64" w:rsidRDefault="006F0D93">
            <w:pPr>
              <w:pStyle w:val="TableParagraph"/>
              <w:spacing w:line="251" w:lineRule="exact"/>
              <w:ind w:left="108"/>
              <w:rPr>
                <w:sz w:val="23"/>
              </w:rPr>
            </w:pPr>
            <w:r>
              <w:rPr>
                <w:spacing w:val="-10"/>
                <w:w w:val="105"/>
                <w:sz w:val="23"/>
              </w:rPr>
              <w:t>3</w:t>
            </w:r>
          </w:p>
        </w:tc>
        <w:tc>
          <w:tcPr>
            <w:tcW w:w="526" w:type="dxa"/>
          </w:tcPr>
          <w:p w:rsidR="00487D64" w:rsidRDefault="006F0D93">
            <w:pPr>
              <w:pStyle w:val="TableParagraph"/>
              <w:spacing w:line="251" w:lineRule="exact"/>
              <w:ind w:left="108"/>
              <w:rPr>
                <w:sz w:val="23"/>
              </w:rPr>
            </w:pPr>
            <w:r>
              <w:rPr>
                <w:spacing w:val="-10"/>
                <w:w w:val="105"/>
                <w:sz w:val="23"/>
              </w:rPr>
              <w:t>4</w:t>
            </w:r>
          </w:p>
        </w:tc>
        <w:tc>
          <w:tcPr>
            <w:tcW w:w="583" w:type="dxa"/>
          </w:tcPr>
          <w:p w:rsidR="00487D64" w:rsidRDefault="006F0D93">
            <w:pPr>
              <w:pStyle w:val="TableParagraph"/>
              <w:spacing w:line="251" w:lineRule="exact"/>
              <w:ind w:left="108"/>
              <w:rPr>
                <w:sz w:val="23"/>
              </w:rPr>
            </w:pPr>
            <w:r>
              <w:rPr>
                <w:spacing w:val="-10"/>
                <w:w w:val="105"/>
                <w:sz w:val="23"/>
              </w:rPr>
              <w:t>5</w:t>
            </w:r>
          </w:p>
        </w:tc>
      </w:tr>
      <w:tr w:rsidR="00487D64">
        <w:trPr>
          <w:trHeight w:val="551"/>
        </w:trPr>
        <w:tc>
          <w:tcPr>
            <w:tcW w:w="757" w:type="dxa"/>
          </w:tcPr>
          <w:p w:rsidR="00487D64" w:rsidRDefault="006F0D93">
            <w:pPr>
              <w:pStyle w:val="TableParagraph"/>
              <w:spacing w:before="7"/>
              <w:ind w:left="110"/>
              <w:rPr>
                <w:sz w:val="23"/>
              </w:rPr>
            </w:pPr>
            <w:r>
              <w:rPr>
                <w:spacing w:val="-10"/>
                <w:w w:val="105"/>
                <w:sz w:val="23"/>
              </w:rPr>
              <w:t>1</w:t>
            </w:r>
          </w:p>
        </w:tc>
        <w:tc>
          <w:tcPr>
            <w:tcW w:w="4813" w:type="dxa"/>
          </w:tcPr>
          <w:p w:rsidR="00487D64" w:rsidRDefault="006F0D93">
            <w:pPr>
              <w:pStyle w:val="TableParagraph"/>
              <w:spacing w:line="274" w:lineRule="exact"/>
              <w:ind w:left="109"/>
              <w:rPr>
                <w:sz w:val="23"/>
              </w:rPr>
            </w:pPr>
            <w:r>
              <w:rPr>
                <w:w w:val="105"/>
                <w:sz w:val="23"/>
              </w:rPr>
              <w:t>We</w:t>
            </w:r>
            <w:r>
              <w:rPr>
                <w:spacing w:val="80"/>
                <w:w w:val="105"/>
                <w:sz w:val="23"/>
              </w:rPr>
              <w:t xml:space="preserve"> </w:t>
            </w:r>
            <w:r>
              <w:rPr>
                <w:w w:val="105"/>
                <w:sz w:val="23"/>
              </w:rPr>
              <w:t>continuously</w:t>
            </w:r>
            <w:r>
              <w:rPr>
                <w:spacing w:val="80"/>
                <w:w w:val="105"/>
                <w:sz w:val="23"/>
              </w:rPr>
              <w:t xml:space="preserve"> </w:t>
            </w:r>
            <w:r>
              <w:rPr>
                <w:w w:val="105"/>
                <w:sz w:val="23"/>
              </w:rPr>
              <w:t>try</w:t>
            </w:r>
            <w:r>
              <w:rPr>
                <w:spacing w:val="80"/>
                <w:w w:val="105"/>
                <w:sz w:val="23"/>
              </w:rPr>
              <w:t xml:space="preserve"> </w:t>
            </w:r>
            <w:r>
              <w:rPr>
                <w:w w:val="105"/>
                <w:sz w:val="23"/>
              </w:rPr>
              <w:t>to</w:t>
            </w:r>
            <w:r>
              <w:rPr>
                <w:spacing w:val="80"/>
                <w:w w:val="105"/>
                <w:sz w:val="23"/>
              </w:rPr>
              <w:t xml:space="preserve"> </w:t>
            </w:r>
            <w:r>
              <w:rPr>
                <w:w w:val="105"/>
                <w:sz w:val="23"/>
              </w:rPr>
              <w:t>discover</w:t>
            </w:r>
            <w:r>
              <w:rPr>
                <w:spacing w:val="80"/>
                <w:w w:val="105"/>
                <w:sz w:val="23"/>
              </w:rPr>
              <w:t xml:space="preserve"> </w:t>
            </w:r>
            <w:r>
              <w:rPr>
                <w:w w:val="105"/>
                <w:sz w:val="23"/>
              </w:rPr>
              <w:t>additional customer needs that they are not aware of yet.</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32"/>
        </w:trPr>
        <w:tc>
          <w:tcPr>
            <w:tcW w:w="757" w:type="dxa"/>
          </w:tcPr>
          <w:p w:rsidR="00487D64" w:rsidRDefault="006F0D93">
            <w:pPr>
              <w:pStyle w:val="TableParagraph"/>
              <w:spacing w:before="7"/>
              <w:ind w:left="110"/>
              <w:rPr>
                <w:sz w:val="23"/>
              </w:rPr>
            </w:pPr>
            <w:r>
              <w:rPr>
                <w:spacing w:val="-10"/>
                <w:w w:val="105"/>
                <w:sz w:val="23"/>
              </w:rPr>
              <w:t>2</w:t>
            </w:r>
          </w:p>
        </w:tc>
        <w:tc>
          <w:tcPr>
            <w:tcW w:w="4813" w:type="dxa"/>
          </w:tcPr>
          <w:p w:rsidR="00487D64" w:rsidRDefault="006F0D93">
            <w:pPr>
              <w:pStyle w:val="TableParagraph"/>
              <w:spacing w:before="7" w:line="247" w:lineRule="auto"/>
              <w:ind w:left="109"/>
              <w:rPr>
                <w:sz w:val="23"/>
              </w:rPr>
            </w:pPr>
            <w:r>
              <w:rPr>
                <w:w w:val="105"/>
                <w:sz w:val="23"/>
              </w:rPr>
              <w:t>We anticipate what customers might need and suggest</w:t>
            </w:r>
            <w:r>
              <w:rPr>
                <w:spacing w:val="55"/>
                <w:w w:val="150"/>
                <w:sz w:val="23"/>
              </w:rPr>
              <w:t xml:space="preserve"> </w:t>
            </w:r>
            <w:r>
              <w:rPr>
                <w:w w:val="105"/>
                <w:sz w:val="23"/>
              </w:rPr>
              <w:t>new</w:t>
            </w:r>
            <w:r>
              <w:rPr>
                <w:spacing w:val="77"/>
                <w:w w:val="105"/>
                <w:sz w:val="23"/>
              </w:rPr>
              <w:t xml:space="preserve"> </w:t>
            </w:r>
            <w:r>
              <w:rPr>
                <w:w w:val="105"/>
                <w:sz w:val="23"/>
              </w:rPr>
              <w:t>products</w:t>
            </w:r>
            <w:r>
              <w:rPr>
                <w:spacing w:val="70"/>
                <w:w w:val="105"/>
                <w:sz w:val="23"/>
              </w:rPr>
              <w:t xml:space="preserve"> </w:t>
            </w:r>
            <w:r>
              <w:rPr>
                <w:w w:val="105"/>
                <w:sz w:val="23"/>
              </w:rPr>
              <w:t>and</w:t>
            </w:r>
            <w:r>
              <w:rPr>
                <w:spacing w:val="60"/>
                <w:w w:val="150"/>
                <w:sz w:val="23"/>
              </w:rPr>
              <w:t xml:space="preserve"> </w:t>
            </w:r>
            <w:r>
              <w:rPr>
                <w:w w:val="105"/>
                <w:sz w:val="23"/>
              </w:rPr>
              <w:t>services</w:t>
            </w:r>
            <w:r>
              <w:rPr>
                <w:spacing w:val="59"/>
                <w:w w:val="150"/>
                <w:sz w:val="23"/>
              </w:rPr>
              <w:t xml:space="preserve"> </w:t>
            </w:r>
            <w:r>
              <w:rPr>
                <w:w w:val="105"/>
                <w:sz w:val="23"/>
              </w:rPr>
              <w:t>that</w:t>
            </w:r>
            <w:r>
              <w:rPr>
                <w:spacing w:val="56"/>
                <w:w w:val="150"/>
                <w:sz w:val="23"/>
              </w:rPr>
              <w:t xml:space="preserve"> </w:t>
            </w:r>
            <w:r>
              <w:rPr>
                <w:spacing w:val="-5"/>
                <w:w w:val="105"/>
                <w:sz w:val="23"/>
              </w:rPr>
              <w:t>we</w:t>
            </w:r>
          </w:p>
          <w:p w:rsidR="00487D64" w:rsidRDefault="006F0D93">
            <w:pPr>
              <w:pStyle w:val="TableParagraph"/>
              <w:spacing w:before="3" w:line="258" w:lineRule="exact"/>
              <w:ind w:left="109"/>
              <w:rPr>
                <w:sz w:val="23"/>
              </w:rPr>
            </w:pPr>
            <w:r>
              <w:rPr>
                <w:w w:val="105"/>
                <w:sz w:val="23"/>
              </w:rPr>
              <w:t>could</w:t>
            </w:r>
            <w:r>
              <w:rPr>
                <w:spacing w:val="-8"/>
                <w:w w:val="105"/>
                <w:sz w:val="23"/>
              </w:rPr>
              <w:t xml:space="preserve"> </w:t>
            </w:r>
            <w:r>
              <w:rPr>
                <w:w w:val="105"/>
                <w:sz w:val="23"/>
              </w:rPr>
              <w:t>supply</w:t>
            </w:r>
            <w:r>
              <w:rPr>
                <w:spacing w:val="-7"/>
                <w:w w:val="105"/>
                <w:sz w:val="23"/>
              </w:rPr>
              <w:t xml:space="preserve"> </w:t>
            </w:r>
            <w:r>
              <w:rPr>
                <w:w w:val="105"/>
                <w:sz w:val="23"/>
              </w:rPr>
              <w:t>to</w:t>
            </w:r>
            <w:r>
              <w:rPr>
                <w:spacing w:val="-13"/>
                <w:w w:val="105"/>
                <w:sz w:val="23"/>
              </w:rPr>
              <w:t xml:space="preserve"> </w:t>
            </w:r>
            <w:r>
              <w:rPr>
                <w:spacing w:val="-4"/>
                <w:w w:val="105"/>
                <w:sz w:val="23"/>
              </w:rPr>
              <w:t>them.</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25"/>
        </w:trPr>
        <w:tc>
          <w:tcPr>
            <w:tcW w:w="757" w:type="dxa"/>
          </w:tcPr>
          <w:p w:rsidR="00487D64" w:rsidRDefault="006F0D93">
            <w:pPr>
              <w:pStyle w:val="TableParagraph"/>
              <w:ind w:left="110"/>
              <w:rPr>
                <w:sz w:val="23"/>
              </w:rPr>
            </w:pPr>
            <w:r>
              <w:rPr>
                <w:spacing w:val="-10"/>
                <w:w w:val="105"/>
                <w:sz w:val="23"/>
              </w:rPr>
              <w:t>3</w:t>
            </w:r>
          </w:p>
        </w:tc>
        <w:tc>
          <w:tcPr>
            <w:tcW w:w="4813" w:type="dxa"/>
          </w:tcPr>
          <w:p w:rsidR="00487D64" w:rsidRDefault="006F0D93">
            <w:pPr>
              <w:pStyle w:val="TableParagraph"/>
              <w:spacing w:line="247" w:lineRule="auto"/>
              <w:ind w:left="109"/>
              <w:rPr>
                <w:sz w:val="23"/>
              </w:rPr>
            </w:pPr>
            <w:r>
              <w:rPr>
                <w:w w:val="105"/>
                <w:sz w:val="23"/>
              </w:rPr>
              <w:t>We</w:t>
            </w:r>
            <w:r>
              <w:rPr>
                <w:spacing w:val="-9"/>
                <w:w w:val="105"/>
                <w:sz w:val="23"/>
              </w:rPr>
              <w:t xml:space="preserve"> </w:t>
            </w:r>
            <w:r>
              <w:rPr>
                <w:w w:val="105"/>
                <w:sz w:val="23"/>
              </w:rPr>
              <w:t>always</w:t>
            </w:r>
            <w:r>
              <w:rPr>
                <w:spacing w:val="-10"/>
                <w:w w:val="105"/>
                <w:sz w:val="23"/>
              </w:rPr>
              <w:t xml:space="preserve"> </w:t>
            </w:r>
            <w:r>
              <w:rPr>
                <w:w w:val="105"/>
                <w:sz w:val="23"/>
              </w:rPr>
              <w:t>try</w:t>
            </w:r>
            <w:r>
              <w:rPr>
                <w:spacing w:val="-2"/>
                <w:w w:val="105"/>
                <w:sz w:val="23"/>
              </w:rPr>
              <w:t xml:space="preserve"> </w:t>
            </w:r>
            <w:r>
              <w:rPr>
                <w:w w:val="105"/>
                <w:sz w:val="23"/>
              </w:rPr>
              <w:t>to</w:t>
            </w:r>
            <w:r>
              <w:rPr>
                <w:spacing w:val="-2"/>
                <w:w w:val="105"/>
                <w:sz w:val="23"/>
              </w:rPr>
              <w:t xml:space="preserve"> </w:t>
            </w:r>
            <w:r>
              <w:rPr>
                <w:w w:val="105"/>
                <w:sz w:val="23"/>
              </w:rPr>
              <w:t>innovate</w:t>
            </w:r>
            <w:r>
              <w:rPr>
                <w:spacing w:val="-3"/>
                <w:w w:val="105"/>
                <w:sz w:val="23"/>
              </w:rPr>
              <w:t xml:space="preserve"> </w:t>
            </w:r>
            <w:r>
              <w:rPr>
                <w:w w:val="105"/>
                <w:sz w:val="23"/>
              </w:rPr>
              <w:t>our business</w:t>
            </w:r>
            <w:r>
              <w:rPr>
                <w:spacing w:val="-3"/>
                <w:w w:val="105"/>
                <w:sz w:val="23"/>
              </w:rPr>
              <w:t xml:space="preserve"> </w:t>
            </w:r>
            <w:r>
              <w:rPr>
                <w:w w:val="105"/>
                <w:sz w:val="23"/>
              </w:rPr>
              <w:t>to</w:t>
            </w:r>
            <w:r>
              <w:rPr>
                <w:spacing w:val="-2"/>
                <w:w w:val="105"/>
                <w:sz w:val="23"/>
              </w:rPr>
              <w:t xml:space="preserve"> </w:t>
            </w:r>
            <w:r>
              <w:rPr>
                <w:w w:val="105"/>
                <w:sz w:val="23"/>
              </w:rPr>
              <w:t>meet customer</w:t>
            </w:r>
            <w:r>
              <w:rPr>
                <w:spacing w:val="37"/>
                <w:w w:val="105"/>
                <w:sz w:val="23"/>
              </w:rPr>
              <w:t xml:space="preserve"> </w:t>
            </w:r>
            <w:r>
              <w:rPr>
                <w:w w:val="105"/>
                <w:sz w:val="23"/>
              </w:rPr>
              <w:t>needs,</w:t>
            </w:r>
            <w:r>
              <w:rPr>
                <w:spacing w:val="37"/>
                <w:w w:val="105"/>
                <w:sz w:val="23"/>
              </w:rPr>
              <w:t xml:space="preserve"> </w:t>
            </w:r>
            <w:r>
              <w:rPr>
                <w:w w:val="105"/>
                <w:sz w:val="23"/>
              </w:rPr>
              <w:t>even</w:t>
            </w:r>
            <w:r>
              <w:rPr>
                <w:spacing w:val="35"/>
                <w:w w:val="105"/>
                <w:sz w:val="23"/>
              </w:rPr>
              <w:t xml:space="preserve"> </w:t>
            </w:r>
            <w:r>
              <w:rPr>
                <w:w w:val="105"/>
                <w:sz w:val="23"/>
              </w:rPr>
              <w:t>when</w:t>
            </w:r>
            <w:r>
              <w:rPr>
                <w:spacing w:val="41"/>
                <w:w w:val="105"/>
                <w:sz w:val="23"/>
              </w:rPr>
              <w:t xml:space="preserve"> </w:t>
            </w:r>
            <w:r>
              <w:rPr>
                <w:w w:val="105"/>
                <w:sz w:val="23"/>
              </w:rPr>
              <w:t>we</w:t>
            </w:r>
            <w:r>
              <w:rPr>
                <w:spacing w:val="27"/>
                <w:w w:val="105"/>
                <w:sz w:val="23"/>
              </w:rPr>
              <w:t xml:space="preserve"> </w:t>
            </w:r>
            <w:r>
              <w:rPr>
                <w:w w:val="105"/>
                <w:sz w:val="23"/>
              </w:rPr>
              <w:t>recognize</w:t>
            </w:r>
            <w:r>
              <w:rPr>
                <w:spacing w:val="33"/>
                <w:w w:val="105"/>
                <w:sz w:val="23"/>
              </w:rPr>
              <w:t xml:space="preserve"> </w:t>
            </w:r>
            <w:r>
              <w:rPr>
                <w:spacing w:val="-5"/>
                <w:w w:val="105"/>
                <w:sz w:val="23"/>
              </w:rPr>
              <w:t>the</w:t>
            </w:r>
          </w:p>
          <w:p w:rsidR="00487D64" w:rsidRDefault="006F0D93">
            <w:pPr>
              <w:pStyle w:val="TableParagraph"/>
              <w:spacing w:before="9" w:line="251" w:lineRule="exact"/>
              <w:ind w:left="109"/>
              <w:rPr>
                <w:sz w:val="23"/>
              </w:rPr>
            </w:pPr>
            <w:r>
              <w:rPr>
                <w:sz w:val="23"/>
              </w:rPr>
              <w:t>possibility</w:t>
            </w:r>
            <w:r>
              <w:rPr>
                <w:spacing w:val="23"/>
                <w:sz w:val="23"/>
              </w:rPr>
              <w:t xml:space="preserve"> </w:t>
            </w:r>
            <w:r>
              <w:rPr>
                <w:sz w:val="23"/>
              </w:rPr>
              <w:t>of</w:t>
            </w:r>
            <w:r>
              <w:rPr>
                <w:spacing w:val="8"/>
                <w:sz w:val="23"/>
              </w:rPr>
              <w:t xml:space="preserve"> </w:t>
            </w:r>
            <w:r>
              <w:rPr>
                <w:spacing w:val="-4"/>
                <w:sz w:val="23"/>
              </w:rPr>
              <w:t>risk.</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32"/>
        </w:trPr>
        <w:tc>
          <w:tcPr>
            <w:tcW w:w="757" w:type="dxa"/>
          </w:tcPr>
          <w:p w:rsidR="00487D64" w:rsidRDefault="006F0D93">
            <w:pPr>
              <w:pStyle w:val="TableParagraph"/>
              <w:spacing w:before="7"/>
              <w:ind w:left="110"/>
              <w:rPr>
                <w:sz w:val="23"/>
              </w:rPr>
            </w:pPr>
            <w:r>
              <w:rPr>
                <w:spacing w:val="-10"/>
                <w:w w:val="105"/>
                <w:sz w:val="23"/>
              </w:rPr>
              <w:t>4</w:t>
            </w:r>
          </w:p>
        </w:tc>
        <w:tc>
          <w:tcPr>
            <w:tcW w:w="4813" w:type="dxa"/>
          </w:tcPr>
          <w:p w:rsidR="00487D64" w:rsidRDefault="006F0D93">
            <w:pPr>
              <w:pStyle w:val="TableParagraph"/>
              <w:spacing w:line="274" w:lineRule="exact"/>
              <w:ind w:left="109" w:right="101"/>
              <w:jc w:val="both"/>
              <w:rPr>
                <w:sz w:val="23"/>
              </w:rPr>
            </w:pPr>
            <w:r>
              <w:rPr>
                <w:w w:val="105"/>
                <w:sz w:val="23"/>
              </w:rPr>
              <w:t xml:space="preserve">We usually think about the benefits that customers receive from our products and </w:t>
            </w:r>
            <w:r>
              <w:rPr>
                <w:spacing w:val="-2"/>
                <w:w w:val="105"/>
                <w:sz w:val="23"/>
              </w:rPr>
              <w:t>services.</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1099"/>
        </w:trPr>
        <w:tc>
          <w:tcPr>
            <w:tcW w:w="757" w:type="dxa"/>
          </w:tcPr>
          <w:p w:rsidR="00487D64" w:rsidRDefault="006F0D93">
            <w:pPr>
              <w:pStyle w:val="TableParagraph"/>
              <w:ind w:left="110"/>
              <w:rPr>
                <w:sz w:val="23"/>
              </w:rPr>
            </w:pPr>
            <w:r>
              <w:rPr>
                <w:spacing w:val="-10"/>
                <w:w w:val="105"/>
                <w:sz w:val="23"/>
              </w:rPr>
              <w:t>5</w:t>
            </w:r>
          </w:p>
        </w:tc>
        <w:tc>
          <w:tcPr>
            <w:tcW w:w="4813" w:type="dxa"/>
          </w:tcPr>
          <w:p w:rsidR="00487D64" w:rsidRDefault="006F0D93">
            <w:pPr>
              <w:pStyle w:val="TableParagraph"/>
              <w:spacing w:line="249" w:lineRule="auto"/>
              <w:ind w:left="109"/>
              <w:rPr>
                <w:sz w:val="23"/>
              </w:rPr>
            </w:pPr>
            <w:r>
              <w:rPr>
                <w:w w:val="105"/>
                <w:sz w:val="23"/>
              </w:rPr>
              <w:t>We</w:t>
            </w:r>
            <w:r>
              <w:rPr>
                <w:spacing w:val="32"/>
                <w:w w:val="105"/>
                <w:sz w:val="23"/>
              </w:rPr>
              <w:t xml:space="preserve"> </w:t>
            </w:r>
            <w:r>
              <w:rPr>
                <w:w w:val="105"/>
                <w:sz w:val="23"/>
              </w:rPr>
              <w:t>closely</w:t>
            </w:r>
            <w:r>
              <w:rPr>
                <w:spacing w:val="33"/>
                <w:w w:val="105"/>
                <w:sz w:val="23"/>
              </w:rPr>
              <w:t xml:space="preserve"> </w:t>
            </w:r>
            <w:r>
              <w:rPr>
                <w:w w:val="105"/>
                <w:sz w:val="23"/>
              </w:rPr>
              <w:t>contact</w:t>
            </w:r>
            <w:r>
              <w:rPr>
                <w:spacing w:val="37"/>
                <w:w w:val="105"/>
                <w:sz w:val="23"/>
              </w:rPr>
              <w:t xml:space="preserve"> </w:t>
            </w:r>
            <w:r>
              <w:rPr>
                <w:w w:val="105"/>
                <w:sz w:val="23"/>
              </w:rPr>
              <w:t>lead</w:t>
            </w:r>
            <w:r>
              <w:rPr>
                <w:spacing w:val="33"/>
                <w:w w:val="105"/>
                <w:sz w:val="23"/>
              </w:rPr>
              <w:t xml:space="preserve"> </w:t>
            </w:r>
            <w:r>
              <w:rPr>
                <w:w w:val="105"/>
                <w:sz w:val="23"/>
              </w:rPr>
              <w:t>customers</w:t>
            </w:r>
            <w:r>
              <w:rPr>
                <w:spacing w:val="30"/>
                <w:w w:val="105"/>
                <w:sz w:val="23"/>
              </w:rPr>
              <w:t xml:space="preserve"> </w:t>
            </w:r>
            <w:r>
              <w:rPr>
                <w:w w:val="105"/>
                <w:sz w:val="23"/>
              </w:rPr>
              <w:t>and</w:t>
            </w:r>
            <w:r>
              <w:rPr>
                <w:spacing w:val="26"/>
                <w:w w:val="105"/>
                <w:sz w:val="23"/>
              </w:rPr>
              <w:t xml:space="preserve"> </w:t>
            </w:r>
            <w:r>
              <w:rPr>
                <w:w w:val="105"/>
                <w:sz w:val="23"/>
              </w:rPr>
              <w:t>try</w:t>
            </w:r>
            <w:r>
              <w:rPr>
                <w:spacing w:val="33"/>
                <w:w w:val="105"/>
                <w:sz w:val="23"/>
              </w:rPr>
              <w:t xml:space="preserve"> </w:t>
            </w:r>
            <w:r>
              <w:rPr>
                <w:w w:val="105"/>
                <w:sz w:val="23"/>
              </w:rPr>
              <w:t>to recognize</w:t>
            </w:r>
            <w:r>
              <w:rPr>
                <w:spacing w:val="60"/>
                <w:w w:val="105"/>
                <w:sz w:val="23"/>
              </w:rPr>
              <w:t xml:space="preserve"> </w:t>
            </w:r>
            <w:r>
              <w:rPr>
                <w:w w:val="105"/>
                <w:sz w:val="23"/>
              </w:rPr>
              <w:t>their</w:t>
            </w:r>
            <w:r>
              <w:rPr>
                <w:spacing w:val="71"/>
                <w:w w:val="105"/>
                <w:sz w:val="23"/>
              </w:rPr>
              <w:t xml:space="preserve"> </w:t>
            </w:r>
            <w:r>
              <w:rPr>
                <w:w w:val="105"/>
                <w:sz w:val="23"/>
              </w:rPr>
              <w:t>needs</w:t>
            </w:r>
            <w:r>
              <w:rPr>
                <w:spacing w:val="66"/>
                <w:w w:val="105"/>
                <w:sz w:val="23"/>
              </w:rPr>
              <w:t xml:space="preserve"> </w:t>
            </w:r>
            <w:r>
              <w:rPr>
                <w:w w:val="105"/>
                <w:sz w:val="23"/>
              </w:rPr>
              <w:t>months</w:t>
            </w:r>
            <w:r>
              <w:rPr>
                <w:spacing w:val="59"/>
                <w:w w:val="105"/>
                <w:sz w:val="23"/>
              </w:rPr>
              <w:t xml:space="preserve"> </w:t>
            </w:r>
            <w:r>
              <w:rPr>
                <w:w w:val="105"/>
                <w:sz w:val="23"/>
              </w:rPr>
              <w:t>or</w:t>
            </w:r>
            <w:r>
              <w:rPr>
                <w:spacing w:val="72"/>
                <w:w w:val="105"/>
                <w:sz w:val="23"/>
              </w:rPr>
              <w:t xml:space="preserve"> </w:t>
            </w:r>
            <w:r>
              <w:rPr>
                <w:w w:val="105"/>
                <w:sz w:val="23"/>
              </w:rPr>
              <w:t>even</w:t>
            </w:r>
            <w:r>
              <w:rPr>
                <w:spacing w:val="67"/>
                <w:w w:val="105"/>
                <w:sz w:val="23"/>
              </w:rPr>
              <w:t xml:space="preserve"> </w:t>
            </w:r>
            <w:r>
              <w:rPr>
                <w:spacing w:val="-2"/>
                <w:w w:val="105"/>
                <w:sz w:val="23"/>
              </w:rPr>
              <w:t>years</w:t>
            </w:r>
          </w:p>
          <w:p w:rsidR="00487D64" w:rsidRDefault="006F0D93">
            <w:pPr>
              <w:pStyle w:val="TableParagraph"/>
              <w:spacing w:line="274" w:lineRule="exact"/>
              <w:ind w:left="109"/>
              <w:rPr>
                <w:sz w:val="23"/>
              </w:rPr>
            </w:pPr>
            <w:r>
              <w:rPr>
                <w:w w:val="105"/>
                <w:sz w:val="23"/>
              </w:rPr>
              <w:t>before</w:t>
            </w:r>
            <w:r>
              <w:rPr>
                <w:spacing w:val="32"/>
                <w:w w:val="105"/>
                <w:sz w:val="23"/>
              </w:rPr>
              <w:t xml:space="preserve"> </w:t>
            </w:r>
            <w:r>
              <w:rPr>
                <w:w w:val="105"/>
                <w:sz w:val="23"/>
              </w:rPr>
              <w:t>the</w:t>
            </w:r>
            <w:r>
              <w:rPr>
                <w:spacing w:val="32"/>
                <w:w w:val="105"/>
                <w:sz w:val="23"/>
              </w:rPr>
              <w:t xml:space="preserve"> </w:t>
            </w:r>
            <w:r>
              <w:rPr>
                <w:w w:val="105"/>
                <w:sz w:val="23"/>
              </w:rPr>
              <w:t>majority</w:t>
            </w:r>
            <w:r>
              <w:rPr>
                <w:spacing w:val="33"/>
                <w:w w:val="105"/>
                <w:sz w:val="23"/>
              </w:rPr>
              <w:t xml:space="preserve"> </w:t>
            </w:r>
            <w:r>
              <w:rPr>
                <w:w w:val="105"/>
                <w:sz w:val="23"/>
              </w:rPr>
              <w:t>of</w:t>
            </w:r>
            <w:r>
              <w:rPr>
                <w:spacing w:val="33"/>
                <w:w w:val="105"/>
                <w:sz w:val="23"/>
              </w:rPr>
              <w:t xml:space="preserve"> </w:t>
            </w:r>
            <w:r>
              <w:rPr>
                <w:w w:val="105"/>
                <w:sz w:val="23"/>
              </w:rPr>
              <w:t>the</w:t>
            </w:r>
            <w:r>
              <w:rPr>
                <w:spacing w:val="32"/>
                <w:w w:val="105"/>
                <w:sz w:val="23"/>
              </w:rPr>
              <w:t xml:space="preserve"> </w:t>
            </w:r>
            <w:r>
              <w:rPr>
                <w:w w:val="105"/>
                <w:sz w:val="23"/>
              </w:rPr>
              <w:t>market</w:t>
            </w:r>
            <w:r>
              <w:rPr>
                <w:spacing w:val="35"/>
                <w:w w:val="105"/>
                <w:sz w:val="23"/>
              </w:rPr>
              <w:t xml:space="preserve"> </w:t>
            </w:r>
            <w:r>
              <w:rPr>
                <w:w w:val="105"/>
                <w:sz w:val="23"/>
              </w:rPr>
              <w:t>may</w:t>
            </w:r>
            <w:r>
              <w:rPr>
                <w:spacing w:val="26"/>
                <w:w w:val="105"/>
                <w:sz w:val="23"/>
              </w:rPr>
              <w:t xml:space="preserve"> </w:t>
            </w:r>
            <w:r>
              <w:rPr>
                <w:w w:val="105"/>
                <w:sz w:val="23"/>
              </w:rPr>
              <w:t xml:space="preserve">notice </w:t>
            </w:r>
            <w:r>
              <w:rPr>
                <w:spacing w:val="-2"/>
                <w:w w:val="105"/>
                <w:sz w:val="23"/>
              </w:rPr>
              <w:t>them.</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278"/>
        </w:trPr>
        <w:tc>
          <w:tcPr>
            <w:tcW w:w="757" w:type="dxa"/>
          </w:tcPr>
          <w:p w:rsidR="00487D64" w:rsidRDefault="00487D64">
            <w:pPr>
              <w:pStyle w:val="TableParagraph"/>
              <w:rPr>
                <w:sz w:val="20"/>
              </w:rPr>
            </w:pPr>
          </w:p>
        </w:tc>
        <w:tc>
          <w:tcPr>
            <w:tcW w:w="4813" w:type="dxa"/>
          </w:tcPr>
          <w:p w:rsidR="00487D64" w:rsidRDefault="006F0D93">
            <w:pPr>
              <w:pStyle w:val="TableParagraph"/>
              <w:spacing w:before="14" w:line="244" w:lineRule="exact"/>
              <w:ind w:left="109"/>
              <w:rPr>
                <w:b/>
                <w:sz w:val="23"/>
              </w:rPr>
            </w:pPr>
            <w:r>
              <w:rPr>
                <w:b/>
                <w:sz w:val="23"/>
              </w:rPr>
              <w:t>Your</w:t>
            </w:r>
            <w:r>
              <w:rPr>
                <w:b/>
                <w:spacing w:val="27"/>
                <w:sz w:val="23"/>
              </w:rPr>
              <w:t xml:space="preserve"> </w:t>
            </w:r>
            <w:r>
              <w:rPr>
                <w:b/>
                <w:sz w:val="23"/>
              </w:rPr>
              <w:t>firm's</w:t>
            </w:r>
            <w:r>
              <w:rPr>
                <w:b/>
                <w:spacing w:val="25"/>
                <w:sz w:val="23"/>
              </w:rPr>
              <w:t xml:space="preserve"> </w:t>
            </w:r>
            <w:r>
              <w:rPr>
                <w:b/>
                <w:sz w:val="23"/>
              </w:rPr>
              <w:t>Competitor</w:t>
            </w:r>
            <w:r>
              <w:rPr>
                <w:b/>
                <w:spacing w:val="28"/>
                <w:sz w:val="23"/>
              </w:rPr>
              <w:t xml:space="preserve"> </w:t>
            </w:r>
            <w:r>
              <w:rPr>
                <w:b/>
                <w:spacing w:val="-2"/>
                <w:sz w:val="23"/>
              </w:rPr>
              <w:t>Orientation</w:t>
            </w:r>
          </w:p>
        </w:tc>
        <w:tc>
          <w:tcPr>
            <w:tcW w:w="584" w:type="dxa"/>
          </w:tcPr>
          <w:p w:rsidR="00487D64" w:rsidRDefault="006F0D93">
            <w:pPr>
              <w:pStyle w:val="TableParagraph"/>
              <w:spacing w:before="14" w:line="244" w:lineRule="exact"/>
              <w:ind w:left="109"/>
              <w:rPr>
                <w:b/>
                <w:sz w:val="23"/>
              </w:rPr>
            </w:pPr>
            <w:r>
              <w:rPr>
                <w:b/>
                <w:spacing w:val="-10"/>
                <w:w w:val="105"/>
                <w:sz w:val="23"/>
              </w:rPr>
              <w:t>1</w:t>
            </w:r>
          </w:p>
        </w:tc>
        <w:tc>
          <w:tcPr>
            <w:tcW w:w="598" w:type="dxa"/>
          </w:tcPr>
          <w:p w:rsidR="00487D64" w:rsidRDefault="006F0D93">
            <w:pPr>
              <w:pStyle w:val="TableParagraph"/>
              <w:spacing w:before="14" w:line="244" w:lineRule="exact"/>
              <w:ind w:left="108"/>
              <w:rPr>
                <w:b/>
                <w:sz w:val="23"/>
              </w:rPr>
            </w:pPr>
            <w:r>
              <w:rPr>
                <w:b/>
                <w:spacing w:val="-10"/>
                <w:w w:val="105"/>
                <w:sz w:val="23"/>
              </w:rPr>
              <w:t>2</w:t>
            </w:r>
          </w:p>
        </w:tc>
        <w:tc>
          <w:tcPr>
            <w:tcW w:w="584" w:type="dxa"/>
          </w:tcPr>
          <w:p w:rsidR="00487D64" w:rsidRDefault="006F0D93">
            <w:pPr>
              <w:pStyle w:val="TableParagraph"/>
              <w:spacing w:before="14" w:line="244" w:lineRule="exact"/>
              <w:ind w:left="108"/>
              <w:rPr>
                <w:b/>
                <w:sz w:val="23"/>
              </w:rPr>
            </w:pPr>
            <w:r>
              <w:rPr>
                <w:b/>
                <w:spacing w:val="-10"/>
                <w:w w:val="105"/>
                <w:sz w:val="23"/>
              </w:rPr>
              <w:t>3</w:t>
            </w:r>
          </w:p>
        </w:tc>
        <w:tc>
          <w:tcPr>
            <w:tcW w:w="526" w:type="dxa"/>
          </w:tcPr>
          <w:p w:rsidR="00487D64" w:rsidRDefault="006F0D93">
            <w:pPr>
              <w:pStyle w:val="TableParagraph"/>
              <w:spacing w:before="14" w:line="244" w:lineRule="exact"/>
              <w:ind w:left="108"/>
              <w:rPr>
                <w:b/>
                <w:sz w:val="23"/>
              </w:rPr>
            </w:pPr>
            <w:r>
              <w:rPr>
                <w:b/>
                <w:spacing w:val="-10"/>
                <w:w w:val="105"/>
                <w:sz w:val="23"/>
              </w:rPr>
              <w:t>4</w:t>
            </w:r>
          </w:p>
        </w:tc>
        <w:tc>
          <w:tcPr>
            <w:tcW w:w="583" w:type="dxa"/>
          </w:tcPr>
          <w:p w:rsidR="00487D64" w:rsidRDefault="006F0D93">
            <w:pPr>
              <w:pStyle w:val="TableParagraph"/>
              <w:spacing w:before="14" w:line="244" w:lineRule="exact"/>
              <w:ind w:left="108"/>
              <w:rPr>
                <w:b/>
                <w:sz w:val="23"/>
              </w:rPr>
            </w:pPr>
            <w:r>
              <w:rPr>
                <w:b/>
                <w:spacing w:val="-10"/>
                <w:w w:val="105"/>
                <w:sz w:val="23"/>
              </w:rPr>
              <w:t>5</w:t>
            </w:r>
          </w:p>
        </w:tc>
      </w:tr>
      <w:tr w:rsidR="00487D64">
        <w:trPr>
          <w:trHeight w:val="551"/>
        </w:trPr>
        <w:tc>
          <w:tcPr>
            <w:tcW w:w="757" w:type="dxa"/>
          </w:tcPr>
          <w:p w:rsidR="00487D64" w:rsidRDefault="006F0D93">
            <w:pPr>
              <w:pStyle w:val="TableParagraph"/>
              <w:ind w:left="110"/>
              <w:rPr>
                <w:sz w:val="23"/>
              </w:rPr>
            </w:pPr>
            <w:r>
              <w:rPr>
                <w:spacing w:val="-10"/>
                <w:w w:val="105"/>
                <w:sz w:val="23"/>
              </w:rPr>
              <w:t>6</w:t>
            </w:r>
          </w:p>
        </w:tc>
        <w:tc>
          <w:tcPr>
            <w:tcW w:w="4813" w:type="dxa"/>
          </w:tcPr>
          <w:p w:rsidR="00487D64" w:rsidRDefault="006F0D93">
            <w:pPr>
              <w:pStyle w:val="TableParagraph"/>
              <w:ind w:left="109"/>
              <w:rPr>
                <w:sz w:val="23"/>
              </w:rPr>
            </w:pPr>
            <w:r>
              <w:rPr>
                <w:w w:val="105"/>
                <w:sz w:val="23"/>
              </w:rPr>
              <w:t>We</w:t>
            </w:r>
            <w:r>
              <w:rPr>
                <w:spacing w:val="62"/>
                <w:w w:val="105"/>
                <w:sz w:val="23"/>
              </w:rPr>
              <w:t xml:space="preserve"> </w:t>
            </w:r>
            <w:r>
              <w:rPr>
                <w:w w:val="105"/>
                <w:sz w:val="23"/>
              </w:rPr>
              <w:t>always</w:t>
            </w:r>
            <w:r>
              <w:rPr>
                <w:spacing w:val="68"/>
                <w:w w:val="105"/>
                <w:sz w:val="23"/>
              </w:rPr>
              <w:t xml:space="preserve"> </w:t>
            </w:r>
            <w:r>
              <w:rPr>
                <w:w w:val="105"/>
                <w:sz w:val="23"/>
              </w:rPr>
              <w:t>collect</w:t>
            </w:r>
            <w:r>
              <w:rPr>
                <w:spacing w:val="60"/>
                <w:w w:val="105"/>
                <w:sz w:val="23"/>
              </w:rPr>
              <w:t xml:space="preserve"> </w:t>
            </w:r>
            <w:r>
              <w:rPr>
                <w:w w:val="105"/>
                <w:sz w:val="23"/>
              </w:rPr>
              <w:t>and</w:t>
            </w:r>
            <w:r>
              <w:rPr>
                <w:spacing w:val="67"/>
                <w:w w:val="105"/>
                <w:sz w:val="23"/>
              </w:rPr>
              <w:t xml:space="preserve"> </w:t>
            </w:r>
            <w:r>
              <w:rPr>
                <w:w w:val="105"/>
                <w:sz w:val="23"/>
              </w:rPr>
              <w:t>are</w:t>
            </w:r>
            <w:r>
              <w:rPr>
                <w:spacing w:val="70"/>
                <w:w w:val="105"/>
                <w:sz w:val="23"/>
              </w:rPr>
              <w:t xml:space="preserve"> </w:t>
            </w:r>
            <w:r>
              <w:rPr>
                <w:w w:val="105"/>
                <w:sz w:val="23"/>
              </w:rPr>
              <w:t>concerned</w:t>
            </w:r>
            <w:r>
              <w:rPr>
                <w:spacing w:val="58"/>
                <w:w w:val="105"/>
                <w:sz w:val="23"/>
              </w:rPr>
              <w:t xml:space="preserve"> </w:t>
            </w:r>
            <w:r>
              <w:rPr>
                <w:spacing w:val="-2"/>
                <w:w w:val="105"/>
                <w:sz w:val="23"/>
              </w:rPr>
              <w:t>about</w:t>
            </w:r>
          </w:p>
          <w:p w:rsidR="00487D64" w:rsidRDefault="006F0D93">
            <w:pPr>
              <w:pStyle w:val="TableParagraph"/>
              <w:spacing w:before="16" w:line="251" w:lineRule="exact"/>
              <w:ind w:left="109"/>
              <w:rPr>
                <w:sz w:val="23"/>
              </w:rPr>
            </w:pPr>
            <w:r>
              <w:rPr>
                <w:sz w:val="23"/>
              </w:rPr>
              <w:t>competitors’</w:t>
            </w:r>
            <w:r>
              <w:rPr>
                <w:spacing w:val="37"/>
                <w:sz w:val="23"/>
              </w:rPr>
              <w:t xml:space="preserve"> </w:t>
            </w:r>
            <w:r>
              <w:rPr>
                <w:spacing w:val="-2"/>
                <w:sz w:val="23"/>
              </w:rPr>
              <w:t>activities</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278"/>
        </w:trPr>
        <w:tc>
          <w:tcPr>
            <w:tcW w:w="757" w:type="dxa"/>
          </w:tcPr>
          <w:p w:rsidR="00487D64" w:rsidRDefault="006F0D93">
            <w:pPr>
              <w:pStyle w:val="TableParagraph"/>
              <w:spacing w:line="258" w:lineRule="exact"/>
              <w:ind w:left="110"/>
              <w:rPr>
                <w:sz w:val="23"/>
              </w:rPr>
            </w:pPr>
            <w:r>
              <w:rPr>
                <w:spacing w:val="-10"/>
                <w:w w:val="105"/>
                <w:sz w:val="23"/>
              </w:rPr>
              <w:t>7</w:t>
            </w:r>
          </w:p>
        </w:tc>
        <w:tc>
          <w:tcPr>
            <w:tcW w:w="4813" w:type="dxa"/>
          </w:tcPr>
          <w:p w:rsidR="00487D64" w:rsidRDefault="006F0D93">
            <w:pPr>
              <w:pStyle w:val="TableParagraph"/>
              <w:spacing w:line="258" w:lineRule="exact"/>
              <w:ind w:left="109"/>
              <w:rPr>
                <w:sz w:val="23"/>
              </w:rPr>
            </w:pPr>
            <w:r>
              <w:rPr>
                <w:w w:val="105"/>
                <w:sz w:val="23"/>
              </w:rPr>
              <w:t>We</w:t>
            </w:r>
            <w:r>
              <w:rPr>
                <w:spacing w:val="-13"/>
                <w:w w:val="105"/>
                <w:sz w:val="23"/>
              </w:rPr>
              <w:t xml:space="preserve"> </w:t>
            </w:r>
            <w:r>
              <w:rPr>
                <w:w w:val="105"/>
                <w:sz w:val="23"/>
              </w:rPr>
              <w:t>diagnose</w:t>
            </w:r>
            <w:r>
              <w:rPr>
                <w:spacing w:val="-13"/>
                <w:w w:val="105"/>
                <w:sz w:val="23"/>
              </w:rPr>
              <w:t xml:space="preserve"> </w:t>
            </w:r>
            <w:r>
              <w:rPr>
                <w:w w:val="105"/>
                <w:sz w:val="23"/>
              </w:rPr>
              <w:t>competitors’</w:t>
            </w:r>
            <w:r>
              <w:rPr>
                <w:spacing w:val="-9"/>
                <w:w w:val="105"/>
                <w:sz w:val="23"/>
              </w:rPr>
              <w:t xml:space="preserve"> </w:t>
            </w:r>
            <w:r>
              <w:rPr>
                <w:spacing w:val="-2"/>
                <w:w w:val="105"/>
                <w:sz w:val="23"/>
              </w:rPr>
              <w:t>goals.</w:t>
            </w:r>
          </w:p>
        </w:tc>
        <w:tc>
          <w:tcPr>
            <w:tcW w:w="584" w:type="dxa"/>
          </w:tcPr>
          <w:p w:rsidR="00487D64" w:rsidRDefault="00487D64">
            <w:pPr>
              <w:pStyle w:val="TableParagraph"/>
              <w:rPr>
                <w:sz w:val="20"/>
              </w:rPr>
            </w:pPr>
          </w:p>
        </w:tc>
        <w:tc>
          <w:tcPr>
            <w:tcW w:w="598" w:type="dxa"/>
          </w:tcPr>
          <w:p w:rsidR="00487D64" w:rsidRDefault="00487D64">
            <w:pPr>
              <w:pStyle w:val="TableParagraph"/>
              <w:rPr>
                <w:sz w:val="20"/>
              </w:rPr>
            </w:pPr>
          </w:p>
        </w:tc>
        <w:tc>
          <w:tcPr>
            <w:tcW w:w="584" w:type="dxa"/>
          </w:tcPr>
          <w:p w:rsidR="00487D64" w:rsidRDefault="00487D64">
            <w:pPr>
              <w:pStyle w:val="TableParagraph"/>
              <w:rPr>
                <w:sz w:val="20"/>
              </w:rPr>
            </w:pPr>
          </w:p>
        </w:tc>
        <w:tc>
          <w:tcPr>
            <w:tcW w:w="526" w:type="dxa"/>
          </w:tcPr>
          <w:p w:rsidR="00487D64" w:rsidRDefault="00487D64">
            <w:pPr>
              <w:pStyle w:val="TableParagraph"/>
              <w:rPr>
                <w:sz w:val="20"/>
              </w:rPr>
            </w:pPr>
          </w:p>
        </w:tc>
        <w:tc>
          <w:tcPr>
            <w:tcW w:w="583" w:type="dxa"/>
          </w:tcPr>
          <w:p w:rsidR="00487D64" w:rsidRDefault="00487D64">
            <w:pPr>
              <w:pStyle w:val="TableParagraph"/>
              <w:rPr>
                <w:sz w:val="20"/>
              </w:rPr>
            </w:pPr>
          </w:p>
        </w:tc>
      </w:tr>
      <w:tr w:rsidR="00487D64">
        <w:trPr>
          <w:trHeight w:val="551"/>
        </w:trPr>
        <w:tc>
          <w:tcPr>
            <w:tcW w:w="757" w:type="dxa"/>
          </w:tcPr>
          <w:p w:rsidR="00487D64" w:rsidRDefault="006F0D93">
            <w:pPr>
              <w:pStyle w:val="TableParagraph"/>
              <w:ind w:left="110"/>
              <w:rPr>
                <w:sz w:val="23"/>
              </w:rPr>
            </w:pPr>
            <w:r>
              <w:rPr>
                <w:spacing w:val="-10"/>
                <w:w w:val="105"/>
                <w:sz w:val="23"/>
              </w:rPr>
              <w:t>8</w:t>
            </w:r>
          </w:p>
        </w:tc>
        <w:tc>
          <w:tcPr>
            <w:tcW w:w="4813" w:type="dxa"/>
          </w:tcPr>
          <w:p w:rsidR="00487D64" w:rsidRDefault="006F0D93">
            <w:pPr>
              <w:pStyle w:val="TableParagraph"/>
              <w:ind w:left="109"/>
              <w:rPr>
                <w:sz w:val="23"/>
              </w:rPr>
            </w:pPr>
            <w:r>
              <w:rPr>
                <w:w w:val="105"/>
                <w:sz w:val="23"/>
              </w:rPr>
              <w:t>We</w:t>
            </w:r>
            <w:r>
              <w:rPr>
                <w:spacing w:val="26"/>
                <w:w w:val="105"/>
                <w:sz w:val="23"/>
              </w:rPr>
              <w:t xml:space="preserve"> </w:t>
            </w:r>
            <w:r>
              <w:rPr>
                <w:w w:val="105"/>
                <w:sz w:val="23"/>
              </w:rPr>
              <w:t>always</w:t>
            </w:r>
            <w:r>
              <w:rPr>
                <w:spacing w:val="26"/>
                <w:w w:val="105"/>
                <w:sz w:val="23"/>
              </w:rPr>
              <w:t xml:space="preserve"> </w:t>
            </w:r>
            <w:r>
              <w:rPr>
                <w:w w:val="105"/>
                <w:sz w:val="23"/>
              </w:rPr>
              <w:t>track</w:t>
            </w:r>
            <w:r>
              <w:rPr>
                <w:spacing w:val="34"/>
                <w:w w:val="105"/>
                <w:sz w:val="23"/>
              </w:rPr>
              <w:t xml:space="preserve"> </w:t>
            </w:r>
            <w:r>
              <w:rPr>
                <w:w w:val="105"/>
                <w:sz w:val="23"/>
              </w:rPr>
              <w:t>the</w:t>
            </w:r>
            <w:r>
              <w:rPr>
                <w:spacing w:val="27"/>
                <w:w w:val="105"/>
                <w:sz w:val="23"/>
              </w:rPr>
              <w:t xml:space="preserve"> </w:t>
            </w:r>
            <w:r>
              <w:rPr>
                <w:w w:val="105"/>
                <w:sz w:val="23"/>
              </w:rPr>
              <w:t>business</w:t>
            </w:r>
            <w:r>
              <w:rPr>
                <w:spacing w:val="32"/>
                <w:w w:val="105"/>
                <w:sz w:val="23"/>
              </w:rPr>
              <w:t xml:space="preserve"> </w:t>
            </w:r>
            <w:r>
              <w:rPr>
                <w:w w:val="105"/>
                <w:sz w:val="23"/>
              </w:rPr>
              <w:t>performance</w:t>
            </w:r>
            <w:r>
              <w:rPr>
                <w:spacing w:val="26"/>
                <w:w w:val="105"/>
                <w:sz w:val="23"/>
              </w:rPr>
              <w:t xml:space="preserve"> </w:t>
            </w:r>
            <w:r>
              <w:rPr>
                <w:spacing w:val="-5"/>
                <w:w w:val="105"/>
                <w:sz w:val="23"/>
              </w:rPr>
              <w:t>of</w:t>
            </w:r>
          </w:p>
          <w:p w:rsidR="00487D64" w:rsidRDefault="006F0D93">
            <w:pPr>
              <w:pStyle w:val="TableParagraph"/>
              <w:spacing w:before="9" w:line="258" w:lineRule="exact"/>
              <w:ind w:left="109"/>
              <w:rPr>
                <w:sz w:val="23"/>
              </w:rPr>
            </w:pPr>
            <w:r>
              <w:rPr>
                <w:w w:val="105"/>
                <w:sz w:val="23"/>
              </w:rPr>
              <w:t>key</w:t>
            </w:r>
            <w:r>
              <w:rPr>
                <w:spacing w:val="-9"/>
                <w:w w:val="105"/>
                <w:sz w:val="23"/>
              </w:rPr>
              <w:t xml:space="preserve"> </w:t>
            </w:r>
            <w:r>
              <w:rPr>
                <w:spacing w:val="-2"/>
                <w:w w:val="105"/>
                <w:sz w:val="23"/>
              </w:rPr>
              <w:t>competitors</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551"/>
        </w:trPr>
        <w:tc>
          <w:tcPr>
            <w:tcW w:w="757" w:type="dxa"/>
          </w:tcPr>
          <w:p w:rsidR="00487D64" w:rsidRDefault="006F0D93">
            <w:pPr>
              <w:pStyle w:val="TableParagraph"/>
              <w:ind w:left="110"/>
              <w:rPr>
                <w:sz w:val="23"/>
              </w:rPr>
            </w:pPr>
            <w:r>
              <w:rPr>
                <w:spacing w:val="-10"/>
                <w:w w:val="105"/>
                <w:sz w:val="23"/>
              </w:rPr>
              <w:t>9</w:t>
            </w:r>
          </w:p>
        </w:tc>
        <w:tc>
          <w:tcPr>
            <w:tcW w:w="4813" w:type="dxa"/>
          </w:tcPr>
          <w:p w:rsidR="00487D64" w:rsidRDefault="006F0D93">
            <w:pPr>
              <w:pStyle w:val="TableParagraph"/>
              <w:ind w:left="109"/>
              <w:rPr>
                <w:sz w:val="23"/>
              </w:rPr>
            </w:pPr>
            <w:r>
              <w:rPr>
                <w:w w:val="105"/>
                <w:sz w:val="23"/>
              </w:rPr>
              <w:t>We</w:t>
            </w:r>
            <w:r>
              <w:rPr>
                <w:spacing w:val="-8"/>
                <w:w w:val="105"/>
                <w:sz w:val="23"/>
              </w:rPr>
              <w:t xml:space="preserve"> </w:t>
            </w:r>
            <w:r>
              <w:rPr>
                <w:w w:val="105"/>
                <w:sz w:val="23"/>
              </w:rPr>
              <w:t>identify</w:t>
            </w:r>
            <w:r>
              <w:rPr>
                <w:spacing w:val="-7"/>
                <w:w w:val="105"/>
                <w:sz w:val="23"/>
              </w:rPr>
              <w:t xml:space="preserve"> </w:t>
            </w:r>
            <w:r>
              <w:rPr>
                <w:w w:val="105"/>
                <w:sz w:val="23"/>
              </w:rPr>
              <w:t>the</w:t>
            </w:r>
            <w:r>
              <w:rPr>
                <w:spacing w:val="-8"/>
                <w:w w:val="105"/>
                <w:sz w:val="23"/>
              </w:rPr>
              <w:t xml:space="preserve"> </w:t>
            </w:r>
            <w:r>
              <w:rPr>
                <w:w w:val="105"/>
                <w:sz w:val="23"/>
              </w:rPr>
              <w:t>area</w:t>
            </w:r>
            <w:r>
              <w:rPr>
                <w:spacing w:val="5"/>
                <w:w w:val="105"/>
                <w:sz w:val="23"/>
              </w:rPr>
              <w:t xml:space="preserve"> </w:t>
            </w:r>
            <w:r>
              <w:rPr>
                <w:w w:val="105"/>
                <w:sz w:val="23"/>
              </w:rPr>
              <w:t>where</w:t>
            </w:r>
            <w:r>
              <w:rPr>
                <w:spacing w:val="-2"/>
                <w:w w:val="105"/>
                <w:sz w:val="23"/>
              </w:rPr>
              <w:t xml:space="preserve"> </w:t>
            </w:r>
            <w:r>
              <w:rPr>
                <w:w w:val="105"/>
                <w:sz w:val="23"/>
              </w:rPr>
              <w:t>our</w:t>
            </w:r>
            <w:r>
              <w:rPr>
                <w:spacing w:val="-9"/>
                <w:w w:val="105"/>
                <w:sz w:val="23"/>
              </w:rPr>
              <w:t xml:space="preserve"> </w:t>
            </w:r>
            <w:r>
              <w:rPr>
                <w:w w:val="105"/>
                <w:sz w:val="23"/>
              </w:rPr>
              <w:t>key</w:t>
            </w:r>
            <w:r>
              <w:rPr>
                <w:spacing w:val="-1"/>
                <w:w w:val="105"/>
                <w:sz w:val="23"/>
              </w:rPr>
              <w:t xml:space="preserve"> </w:t>
            </w:r>
            <w:r>
              <w:rPr>
                <w:spacing w:val="-2"/>
                <w:w w:val="105"/>
                <w:sz w:val="23"/>
              </w:rPr>
              <w:t>competitors</w:t>
            </w:r>
          </w:p>
          <w:p w:rsidR="00487D64" w:rsidRDefault="006F0D93">
            <w:pPr>
              <w:pStyle w:val="TableParagraph"/>
              <w:spacing w:before="9" w:line="258" w:lineRule="exact"/>
              <w:ind w:left="109"/>
              <w:rPr>
                <w:sz w:val="23"/>
              </w:rPr>
            </w:pPr>
            <w:r>
              <w:rPr>
                <w:w w:val="105"/>
                <w:sz w:val="23"/>
              </w:rPr>
              <w:t>have</w:t>
            </w:r>
            <w:r>
              <w:rPr>
                <w:spacing w:val="-11"/>
                <w:w w:val="105"/>
                <w:sz w:val="23"/>
              </w:rPr>
              <w:t xml:space="preserve"> </w:t>
            </w:r>
            <w:r>
              <w:rPr>
                <w:w w:val="105"/>
                <w:sz w:val="23"/>
              </w:rPr>
              <w:t>succeeded</w:t>
            </w:r>
            <w:r>
              <w:rPr>
                <w:spacing w:val="-10"/>
                <w:w w:val="105"/>
                <w:sz w:val="23"/>
              </w:rPr>
              <w:t xml:space="preserve"> </w:t>
            </w:r>
            <w:r>
              <w:rPr>
                <w:w w:val="105"/>
                <w:sz w:val="23"/>
              </w:rPr>
              <w:t>or</w:t>
            </w:r>
            <w:r>
              <w:rPr>
                <w:spacing w:val="-1"/>
                <w:w w:val="105"/>
                <w:sz w:val="23"/>
              </w:rPr>
              <w:t xml:space="preserve"> </w:t>
            </w:r>
            <w:r>
              <w:rPr>
                <w:spacing w:val="-2"/>
                <w:w w:val="105"/>
                <w:sz w:val="23"/>
              </w:rPr>
              <w:t>failed.</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552"/>
        </w:trPr>
        <w:tc>
          <w:tcPr>
            <w:tcW w:w="757" w:type="dxa"/>
          </w:tcPr>
          <w:p w:rsidR="00487D64" w:rsidRDefault="006F0D93">
            <w:pPr>
              <w:pStyle w:val="TableParagraph"/>
              <w:ind w:left="110"/>
              <w:rPr>
                <w:sz w:val="23"/>
              </w:rPr>
            </w:pPr>
            <w:r>
              <w:rPr>
                <w:spacing w:val="-5"/>
                <w:w w:val="105"/>
                <w:sz w:val="23"/>
              </w:rPr>
              <w:t>10</w:t>
            </w:r>
          </w:p>
        </w:tc>
        <w:tc>
          <w:tcPr>
            <w:tcW w:w="4813" w:type="dxa"/>
          </w:tcPr>
          <w:p w:rsidR="00487D64" w:rsidRDefault="006F0D93">
            <w:pPr>
              <w:pStyle w:val="TableParagraph"/>
              <w:ind w:left="109"/>
              <w:rPr>
                <w:sz w:val="23"/>
              </w:rPr>
            </w:pPr>
            <w:r>
              <w:rPr>
                <w:w w:val="105"/>
                <w:sz w:val="23"/>
              </w:rPr>
              <w:t>We</w:t>
            </w:r>
            <w:r>
              <w:rPr>
                <w:spacing w:val="41"/>
                <w:w w:val="105"/>
                <w:sz w:val="23"/>
              </w:rPr>
              <w:t xml:space="preserve"> </w:t>
            </w:r>
            <w:r>
              <w:rPr>
                <w:w w:val="105"/>
                <w:sz w:val="23"/>
              </w:rPr>
              <w:t>evaluate</w:t>
            </w:r>
            <w:r>
              <w:rPr>
                <w:spacing w:val="34"/>
                <w:w w:val="105"/>
                <w:sz w:val="23"/>
              </w:rPr>
              <w:t xml:space="preserve"> </w:t>
            </w:r>
            <w:r>
              <w:rPr>
                <w:w w:val="105"/>
                <w:sz w:val="23"/>
              </w:rPr>
              <w:t>the</w:t>
            </w:r>
            <w:r>
              <w:rPr>
                <w:spacing w:val="42"/>
                <w:w w:val="105"/>
                <w:sz w:val="23"/>
              </w:rPr>
              <w:t xml:space="preserve"> </w:t>
            </w:r>
            <w:r>
              <w:rPr>
                <w:w w:val="105"/>
                <w:sz w:val="23"/>
              </w:rPr>
              <w:t>strengths</w:t>
            </w:r>
            <w:r>
              <w:rPr>
                <w:spacing w:val="27"/>
                <w:w w:val="105"/>
                <w:sz w:val="23"/>
              </w:rPr>
              <w:t xml:space="preserve"> </w:t>
            </w:r>
            <w:r>
              <w:rPr>
                <w:w w:val="105"/>
                <w:sz w:val="23"/>
              </w:rPr>
              <w:t>and</w:t>
            </w:r>
            <w:r>
              <w:rPr>
                <w:spacing w:val="42"/>
                <w:w w:val="105"/>
                <w:sz w:val="23"/>
              </w:rPr>
              <w:t xml:space="preserve"> </w:t>
            </w:r>
            <w:r>
              <w:rPr>
                <w:w w:val="105"/>
                <w:sz w:val="23"/>
              </w:rPr>
              <w:t>weaknesses</w:t>
            </w:r>
            <w:r>
              <w:rPr>
                <w:spacing w:val="33"/>
                <w:w w:val="105"/>
                <w:sz w:val="23"/>
              </w:rPr>
              <w:t xml:space="preserve"> </w:t>
            </w:r>
            <w:r>
              <w:rPr>
                <w:spacing w:val="-5"/>
                <w:w w:val="105"/>
                <w:sz w:val="23"/>
              </w:rPr>
              <w:t>of</w:t>
            </w:r>
          </w:p>
          <w:p w:rsidR="00487D64" w:rsidRDefault="006F0D93">
            <w:pPr>
              <w:pStyle w:val="TableParagraph"/>
              <w:spacing w:before="16" w:line="251" w:lineRule="exact"/>
              <w:ind w:left="109"/>
              <w:rPr>
                <w:sz w:val="23"/>
              </w:rPr>
            </w:pPr>
            <w:r>
              <w:rPr>
                <w:spacing w:val="-2"/>
                <w:w w:val="105"/>
                <w:sz w:val="23"/>
              </w:rPr>
              <w:t>competitors.</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278"/>
        </w:trPr>
        <w:tc>
          <w:tcPr>
            <w:tcW w:w="757" w:type="dxa"/>
          </w:tcPr>
          <w:p w:rsidR="00487D64" w:rsidRDefault="00487D64">
            <w:pPr>
              <w:pStyle w:val="TableParagraph"/>
              <w:rPr>
                <w:sz w:val="20"/>
              </w:rPr>
            </w:pPr>
          </w:p>
        </w:tc>
        <w:tc>
          <w:tcPr>
            <w:tcW w:w="4813" w:type="dxa"/>
          </w:tcPr>
          <w:p w:rsidR="00487D64" w:rsidRDefault="006F0D93">
            <w:pPr>
              <w:pStyle w:val="TableParagraph"/>
              <w:spacing w:before="7" w:line="251" w:lineRule="exact"/>
              <w:ind w:left="109"/>
              <w:rPr>
                <w:b/>
                <w:sz w:val="23"/>
              </w:rPr>
            </w:pPr>
            <w:r>
              <w:rPr>
                <w:b/>
                <w:sz w:val="23"/>
              </w:rPr>
              <w:t>Your</w:t>
            </w:r>
            <w:r>
              <w:rPr>
                <w:b/>
                <w:spacing w:val="28"/>
                <w:sz w:val="23"/>
              </w:rPr>
              <w:t xml:space="preserve"> </w:t>
            </w:r>
            <w:r>
              <w:rPr>
                <w:b/>
                <w:sz w:val="23"/>
              </w:rPr>
              <w:t>firm's</w:t>
            </w:r>
            <w:r>
              <w:rPr>
                <w:b/>
                <w:spacing w:val="26"/>
                <w:sz w:val="23"/>
              </w:rPr>
              <w:t xml:space="preserve"> </w:t>
            </w:r>
            <w:r>
              <w:rPr>
                <w:b/>
                <w:sz w:val="23"/>
              </w:rPr>
              <w:t>Functional</w:t>
            </w:r>
            <w:r>
              <w:rPr>
                <w:b/>
                <w:spacing w:val="22"/>
                <w:sz w:val="23"/>
              </w:rPr>
              <w:t xml:space="preserve"> </w:t>
            </w:r>
            <w:r>
              <w:rPr>
                <w:b/>
                <w:spacing w:val="-2"/>
                <w:sz w:val="23"/>
              </w:rPr>
              <w:t>Coordination</w:t>
            </w:r>
          </w:p>
        </w:tc>
        <w:tc>
          <w:tcPr>
            <w:tcW w:w="584" w:type="dxa"/>
          </w:tcPr>
          <w:p w:rsidR="00487D64" w:rsidRDefault="006F0D93">
            <w:pPr>
              <w:pStyle w:val="TableParagraph"/>
              <w:spacing w:before="7" w:line="251" w:lineRule="exact"/>
              <w:ind w:left="109"/>
              <w:rPr>
                <w:b/>
                <w:sz w:val="23"/>
              </w:rPr>
            </w:pPr>
            <w:r>
              <w:rPr>
                <w:b/>
                <w:spacing w:val="-10"/>
                <w:w w:val="105"/>
                <w:sz w:val="23"/>
              </w:rPr>
              <w:t>1</w:t>
            </w:r>
          </w:p>
        </w:tc>
        <w:tc>
          <w:tcPr>
            <w:tcW w:w="598" w:type="dxa"/>
          </w:tcPr>
          <w:p w:rsidR="00487D64" w:rsidRDefault="006F0D93">
            <w:pPr>
              <w:pStyle w:val="TableParagraph"/>
              <w:spacing w:before="7" w:line="251" w:lineRule="exact"/>
              <w:ind w:left="108"/>
              <w:rPr>
                <w:b/>
                <w:sz w:val="23"/>
              </w:rPr>
            </w:pPr>
            <w:r>
              <w:rPr>
                <w:b/>
                <w:spacing w:val="-10"/>
                <w:w w:val="105"/>
                <w:sz w:val="23"/>
              </w:rPr>
              <w:t>2</w:t>
            </w:r>
          </w:p>
        </w:tc>
        <w:tc>
          <w:tcPr>
            <w:tcW w:w="584" w:type="dxa"/>
          </w:tcPr>
          <w:p w:rsidR="00487D64" w:rsidRDefault="006F0D93">
            <w:pPr>
              <w:pStyle w:val="TableParagraph"/>
              <w:spacing w:before="7" w:line="251" w:lineRule="exact"/>
              <w:ind w:left="108"/>
              <w:rPr>
                <w:b/>
                <w:sz w:val="23"/>
              </w:rPr>
            </w:pPr>
            <w:r>
              <w:rPr>
                <w:b/>
                <w:spacing w:val="-10"/>
                <w:w w:val="105"/>
                <w:sz w:val="23"/>
              </w:rPr>
              <w:t>3</w:t>
            </w:r>
          </w:p>
        </w:tc>
        <w:tc>
          <w:tcPr>
            <w:tcW w:w="526" w:type="dxa"/>
          </w:tcPr>
          <w:p w:rsidR="00487D64" w:rsidRDefault="006F0D93">
            <w:pPr>
              <w:pStyle w:val="TableParagraph"/>
              <w:spacing w:before="7" w:line="251" w:lineRule="exact"/>
              <w:ind w:left="108"/>
              <w:rPr>
                <w:b/>
                <w:sz w:val="23"/>
              </w:rPr>
            </w:pPr>
            <w:r>
              <w:rPr>
                <w:b/>
                <w:spacing w:val="-10"/>
                <w:w w:val="105"/>
                <w:sz w:val="23"/>
              </w:rPr>
              <w:t>4</w:t>
            </w:r>
          </w:p>
        </w:tc>
        <w:tc>
          <w:tcPr>
            <w:tcW w:w="583" w:type="dxa"/>
          </w:tcPr>
          <w:p w:rsidR="00487D64" w:rsidRDefault="006F0D93">
            <w:pPr>
              <w:pStyle w:val="TableParagraph"/>
              <w:spacing w:before="7" w:line="251" w:lineRule="exact"/>
              <w:ind w:left="108"/>
              <w:rPr>
                <w:b/>
                <w:sz w:val="23"/>
              </w:rPr>
            </w:pPr>
            <w:r>
              <w:rPr>
                <w:b/>
                <w:spacing w:val="-10"/>
                <w:w w:val="105"/>
                <w:sz w:val="23"/>
              </w:rPr>
              <w:t>5</w:t>
            </w:r>
          </w:p>
        </w:tc>
      </w:tr>
      <w:tr w:rsidR="00487D64">
        <w:trPr>
          <w:trHeight w:val="551"/>
        </w:trPr>
        <w:tc>
          <w:tcPr>
            <w:tcW w:w="757" w:type="dxa"/>
          </w:tcPr>
          <w:p w:rsidR="00487D64" w:rsidRDefault="006F0D93">
            <w:pPr>
              <w:pStyle w:val="TableParagraph"/>
              <w:ind w:left="110"/>
              <w:rPr>
                <w:sz w:val="23"/>
              </w:rPr>
            </w:pPr>
            <w:r>
              <w:rPr>
                <w:spacing w:val="-5"/>
                <w:w w:val="105"/>
                <w:sz w:val="23"/>
              </w:rPr>
              <w:t>11</w:t>
            </w:r>
          </w:p>
        </w:tc>
        <w:tc>
          <w:tcPr>
            <w:tcW w:w="4813" w:type="dxa"/>
          </w:tcPr>
          <w:p w:rsidR="00487D64" w:rsidRDefault="006F0D93">
            <w:pPr>
              <w:pStyle w:val="TableParagraph"/>
              <w:ind w:left="109"/>
              <w:rPr>
                <w:sz w:val="23"/>
              </w:rPr>
            </w:pPr>
            <w:r>
              <w:rPr>
                <w:w w:val="105"/>
                <w:sz w:val="23"/>
              </w:rPr>
              <w:t>We</w:t>
            </w:r>
            <w:r>
              <w:rPr>
                <w:spacing w:val="73"/>
                <w:w w:val="150"/>
                <w:sz w:val="23"/>
              </w:rPr>
              <w:t xml:space="preserve"> </w:t>
            </w:r>
            <w:r>
              <w:rPr>
                <w:w w:val="105"/>
                <w:sz w:val="23"/>
              </w:rPr>
              <w:t>regularly</w:t>
            </w:r>
            <w:r>
              <w:rPr>
                <w:spacing w:val="74"/>
                <w:w w:val="150"/>
                <w:sz w:val="23"/>
              </w:rPr>
              <w:t xml:space="preserve"> </w:t>
            </w:r>
            <w:r>
              <w:rPr>
                <w:w w:val="105"/>
                <w:sz w:val="23"/>
              </w:rPr>
              <w:t>visit</w:t>
            </w:r>
            <w:r>
              <w:rPr>
                <w:spacing w:val="24"/>
                <w:w w:val="105"/>
                <w:sz w:val="23"/>
              </w:rPr>
              <w:t xml:space="preserve">  </w:t>
            </w:r>
            <w:r>
              <w:rPr>
                <w:w w:val="105"/>
                <w:sz w:val="23"/>
              </w:rPr>
              <w:t>current</w:t>
            </w:r>
            <w:r>
              <w:rPr>
                <w:spacing w:val="76"/>
                <w:w w:val="150"/>
                <w:sz w:val="23"/>
              </w:rPr>
              <w:t xml:space="preserve"> </w:t>
            </w:r>
            <w:r>
              <w:rPr>
                <w:w w:val="105"/>
                <w:sz w:val="23"/>
              </w:rPr>
              <w:t>and</w:t>
            </w:r>
            <w:r>
              <w:rPr>
                <w:spacing w:val="74"/>
                <w:w w:val="150"/>
                <w:sz w:val="23"/>
              </w:rPr>
              <w:t xml:space="preserve"> </w:t>
            </w:r>
            <w:r>
              <w:rPr>
                <w:spacing w:val="-2"/>
                <w:w w:val="105"/>
                <w:sz w:val="23"/>
              </w:rPr>
              <w:t>prospective</w:t>
            </w:r>
          </w:p>
          <w:p w:rsidR="00487D64" w:rsidRDefault="006F0D93">
            <w:pPr>
              <w:pStyle w:val="TableParagraph"/>
              <w:spacing w:before="9" w:line="258" w:lineRule="exact"/>
              <w:ind w:left="109"/>
              <w:rPr>
                <w:sz w:val="23"/>
              </w:rPr>
            </w:pPr>
            <w:r>
              <w:rPr>
                <w:spacing w:val="-2"/>
                <w:w w:val="105"/>
                <w:sz w:val="23"/>
              </w:rPr>
              <w:t>customers</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25"/>
        </w:trPr>
        <w:tc>
          <w:tcPr>
            <w:tcW w:w="757" w:type="dxa"/>
          </w:tcPr>
          <w:p w:rsidR="00487D64" w:rsidRDefault="006F0D93">
            <w:pPr>
              <w:pStyle w:val="TableParagraph"/>
              <w:ind w:left="110"/>
              <w:rPr>
                <w:sz w:val="23"/>
              </w:rPr>
            </w:pPr>
            <w:r>
              <w:rPr>
                <w:spacing w:val="-5"/>
                <w:w w:val="105"/>
                <w:sz w:val="23"/>
              </w:rPr>
              <w:t>12</w:t>
            </w:r>
          </w:p>
        </w:tc>
        <w:tc>
          <w:tcPr>
            <w:tcW w:w="4813" w:type="dxa"/>
          </w:tcPr>
          <w:p w:rsidR="00487D64" w:rsidRDefault="006F0D93">
            <w:pPr>
              <w:pStyle w:val="TableParagraph"/>
              <w:tabs>
                <w:tab w:val="left" w:pos="714"/>
                <w:tab w:val="left" w:pos="1541"/>
                <w:tab w:val="left" w:pos="2505"/>
                <w:tab w:val="left" w:pos="3095"/>
                <w:tab w:val="left" w:pos="4345"/>
              </w:tabs>
              <w:spacing w:line="247" w:lineRule="auto"/>
              <w:ind w:left="109" w:right="105"/>
              <w:rPr>
                <w:sz w:val="23"/>
              </w:rPr>
            </w:pPr>
            <w:r>
              <w:rPr>
                <w:spacing w:val="-6"/>
                <w:w w:val="105"/>
                <w:sz w:val="23"/>
              </w:rPr>
              <w:t>We</w:t>
            </w:r>
            <w:r>
              <w:rPr>
                <w:sz w:val="23"/>
              </w:rPr>
              <w:tab/>
            </w:r>
            <w:r>
              <w:rPr>
                <w:spacing w:val="-2"/>
                <w:w w:val="105"/>
                <w:sz w:val="23"/>
              </w:rPr>
              <w:t>freely</w:t>
            </w:r>
            <w:r>
              <w:rPr>
                <w:sz w:val="23"/>
              </w:rPr>
              <w:tab/>
            </w:r>
            <w:r>
              <w:rPr>
                <w:spacing w:val="-2"/>
                <w:w w:val="105"/>
                <w:sz w:val="23"/>
              </w:rPr>
              <w:t>discuss</w:t>
            </w:r>
            <w:r>
              <w:rPr>
                <w:sz w:val="23"/>
              </w:rPr>
              <w:tab/>
            </w:r>
            <w:r>
              <w:rPr>
                <w:spacing w:val="-4"/>
                <w:w w:val="105"/>
                <w:sz w:val="23"/>
              </w:rPr>
              <w:t>our</w:t>
            </w:r>
            <w:r>
              <w:rPr>
                <w:sz w:val="23"/>
              </w:rPr>
              <w:tab/>
            </w:r>
            <w:r>
              <w:rPr>
                <w:spacing w:val="-2"/>
                <w:w w:val="105"/>
                <w:sz w:val="23"/>
              </w:rPr>
              <w:t>successful</w:t>
            </w:r>
            <w:r>
              <w:rPr>
                <w:sz w:val="23"/>
              </w:rPr>
              <w:tab/>
            </w:r>
            <w:r>
              <w:rPr>
                <w:spacing w:val="-4"/>
                <w:w w:val="105"/>
                <w:sz w:val="23"/>
              </w:rPr>
              <w:t xml:space="preserve">and </w:t>
            </w:r>
            <w:r>
              <w:rPr>
                <w:w w:val="105"/>
                <w:sz w:val="23"/>
              </w:rPr>
              <w:t>unsuccessful</w:t>
            </w:r>
            <w:r>
              <w:rPr>
                <w:spacing w:val="57"/>
                <w:w w:val="150"/>
                <w:sz w:val="23"/>
              </w:rPr>
              <w:t xml:space="preserve"> </w:t>
            </w:r>
            <w:r>
              <w:rPr>
                <w:w w:val="105"/>
                <w:sz w:val="23"/>
              </w:rPr>
              <w:t>customer</w:t>
            </w:r>
            <w:r>
              <w:rPr>
                <w:spacing w:val="59"/>
                <w:w w:val="150"/>
                <w:sz w:val="23"/>
              </w:rPr>
              <w:t xml:space="preserve"> </w:t>
            </w:r>
            <w:r>
              <w:rPr>
                <w:w w:val="105"/>
                <w:sz w:val="23"/>
              </w:rPr>
              <w:t>experiences</w:t>
            </w:r>
            <w:r>
              <w:rPr>
                <w:spacing w:val="79"/>
                <w:w w:val="105"/>
                <w:sz w:val="23"/>
              </w:rPr>
              <w:t xml:space="preserve"> </w:t>
            </w:r>
            <w:r>
              <w:rPr>
                <w:w w:val="105"/>
                <w:sz w:val="23"/>
              </w:rPr>
              <w:t>with</w:t>
            </w:r>
            <w:r>
              <w:rPr>
                <w:spacing w:val="56"/>
                <w:w w:val="150"/>
                <w:sz w:val="23"/>
              </w:rPr>
              <w:t xml:space="preserve"> </w:t>
            </w:r>
            <w:r>
              <w:rPr>
                <w:spacing w:val="-5"/>
                <w:w w:val="105"/>
                <w:sz w:val="23"/>
              </w:rPr>
              <w:t>my</w:t>
            </w:r>
          </w:p>
          <w:p w:rsidR="00487D64" w:rsidRDefault="006F0D93">
            <w:pPr>
              <w:pStyle w:val="TableParagraph"/>
              <w:spacing w:before="10" w:line="251" w:lineRule="exact"/>
              <w:ind w:left="109"/>
              <w:rPr>
                <w:sz w:val="23"/>
              </w:rPr>
            </w:pPr>
            <w:r>
              <w:rPr>
                <w:spacing w:val="-2"/>
                <w:w w:val="105"/>
                <w:sz w:val="23"/>
              </w:rPr>
              <w:t>partners.</w:t>
            </w:r>
          </w:p>
        </w:tc>
        <w:tc>
          <w:tcPr>
            <w:tcW w:w="584" w:type="dxa"/>
          </w:tcPr>
          <w:p w:rsidR="00487D64" w:rsidRDefault="00487D64">
            <w:pPr>
              <w:pStyle w:val="TableParagraph"/>
            </w:pPr>
          </w:p>
        </w:tc>
        <w:tc>
          <w:tcPr>
            <w:tcW w:w="598" w:type="dxa"/>
          </w:tcPr>
          <w:p w:rsidR="00487D64" w:rsidRDefault="00487D64">
            <w:pPr>
              <w:pStyle w:val="TableParagraph"/>
            </w:pPr>
          </w:p>
        </w:tc>
        <w:tc>
          <w:tcPr>
            <w:tcW w:w="584"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bl>
    <w:p w:rsidR="00487D64" w:rsidRDefault="00487D64">
      <w:pPr>
        <w:pStyle w:val="TableParagraph"/>
        <w:sectPr w:rsidR="00487D64">
          <w:pgSz w:w="11910" w:h="16850"/>
          <w:pgMar w:top="980" w:right="566" w:bottom="280" w:left="850" w:header="725" w:footer="0" w:gutter="0"/>
          <w:cols w:space="720"/>
        </w:sectPr>
      </w:pPr>
    </w:p>
    <w:p w:rsidR="00487D64" w:rsidRDefault="00487D64">
      <w:pPr>
        <w:pStyle w:val="BodyText"/>
        <w:rPr>
          <w:b/>
          <w:i/>
          <w:sz w:val="20"/>
        </w:rPr>
      </w:pPr>
    </w:p>
    <w:p w:rsidR="00487D64" w:rsidRDefault="00487D64">
      <w:pPr>
        <w:pStyle w:val="BodyText"/>
        <w:rPr>
          <w:b/>
          <w:i/>
          <w:sz w:val="20"/>
        </w:rPr>
      </w:pPr>
    </w:p>
    <w:p w:rsidR="00487D64" w:rsidRDefault="00487D64">
      <w:pPr>
        <w:pStyle w:val="BodyText"/>
        <w:rPr>
          <w:b/>
          <w:i/>
          <w:sz w:val="20"/>
        </w:rPr>
      </w:pPr>
    </w:p>
    <w:p w:rsidR="00487D64" w:rsidRDefault="00487D64">
      <w:pPr>
        <w:pStyle w:val="BodyText"/>
        <w:rPr>
          <w:b/>
          <w:i/>
          <w:sz w:val="20"/>
        </w:rPr>
      </w:pPr>
    </w:p>
    <w:p w:rsidR="00487D64" w:rsidRDefault="00487D64">
      <w:pPr>
        <w:pStyle w:val="BodyText"/>
        <w:rPr>
          <w:b/>
          <w:i/>
          <w:sz w:val="20"/>
        </w:rPr>
      </w:pPr>
    </w:p>
    <w:p w:rsidR="00487D64" w:rsidRDefault="00487D64">
      <w:pPr>
        <w:pStyle w:val="BodyText"/>
        <w:spacing w:before="174" w:after="1"/>
        <w:rPr>
          <w:b/>
          <w:i/>
          <w:sz w:val="20"/>
        </w:rPr>
      </w:pPr>
    </w:p>
    <w:tbl>
      <w:tblPr>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7"/>
        <w:gridCol w:w="4813"/>
        <w:gridCol w:w="584"/>
        <w:gridCol w:w="591"/>
        <w:gridCol w:w="591"/>
        <w:gridCol w:w="526"/>
        <w:gridCol w:w="583"/>
      </w:tblGrid>
      <w:tr w:rsidR="00487D64">
        <w:trPr>
          <w:trHeight w:val="832"/>
        </w:trPr>
        <w:tc>
          <w:tcPr>
            <w:tcW w:w="757" w:type="dxa"/>
          </w:tcPr>
          <w:p w:rsidR="00487D64" w:rsidRDefault="006F0D93">
            <w:pPr>
              <w:pStyle w:val="TableParagraph"/>
              <w:spacing w:before="7"/>
              <w:ind w:left="110"/>
              <w:rPr>
                <w:sz w:val="23"/>
              </w:rPr>
            </w:pPr>
            <w:r>
              <w:rPr>
                <w:spacing w:val="-5"/>
                <w:w w:val="105"/>
                <w:sz w:val="23"/>
              </w:rPr>
              <w:t>13</w:t>
            </w:r>
          </w:p>
        </w:tc>
        <w:tc>
          <w:tcPr>
            <w:tcW w:w="4813" w:type="dxa"/>
          </w:tcPr>
          <w:p w:rsidR="00487D64" w:rsidRDefault="006F0D93">
            <w:pPr>
              <w:pStyle w:val="TableParagraph"/>
              <w:spacing w:line="274" w:lineRule="exact"/>
              <w:ind w:left="109" w:right="106"/>
              <w:jc w:val="both"/>
              <w:rPr>
                <w:sz w:val="23"/>
              </w:rPr>
            </w:pPr>
            <w:r>
              <w:rPr>
                <w:w w:val="105"/>
                <w:sz w:val="23"/>
              </w:rPr>
              <w:t>Actors in contract implementation</w:t>
            </w:r>
            <w:r>
              <w:rPr>
                <w:w w:val="105"/>
                <w:sz w:val="23"/>
              </w:rPr>
              <w:t xml:space="preserve"> understand how everyone can contribute to creating customer value.</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25"/>
        </w:trPr>
        <w:tc>
          <w:tcPr>
            <w:tcW w:w="757" w:type="dxa"/>
          </w:tcPr>
          <w:p w:rsidR="00487D64" w:rsidRDefault="006F0D93">
            <w:pPr>
              <w:pStyle w:val="TableParagraph"/>
              <w:ind w:left="110"/>
              <w:rPr>
                <w:sz w:val="23"/>
              </w:rPr>
            </w:pPr>
            <w:r>
              <w:rPr>
                <w:spacing w:val="-5"/>
                <w:w w:val="105"/>
                <w:sz w:val="23"/>
              </w:rPr>
              <w:t>14</w:t>
            </w:r>
          </w:p>
        </w:tc>
        <w:tc>
          <w:tcPr>
            <w:tcW w:w="4813" w:type="dxa"/>
          </w:tcPr>
          <w:p w:rsidR="00487D64" w:rsidRDefault="006F0D93">
            <w:pPr>
              <w:pStyle w:val="TableParagraph"/>
              <w:spacing w:line="247" w:lineRule="auto"/>
              <w:ind w:left="109"/>
              <w:rPr>
                <w:sz w:val="23"/>
              </w:rPr>
            </w:pPr>
            <w:r>
              <w:rPr>
                <w:w w:val="105"/>
                <w:sz w:val="23"/>
              </w:rPr>
              <w:t>We</w:t>
            </w:r>
            <w:r>
              <w:rPr>
                <w:spacing w:val="-10"/>
                <w:w w:val="105"/>
                <w:sz w:val="23"/>
              </w:rPr>
              <w:t xml:space="preserve"> </w:t>
            </w:r>
            <w:r>
              <w:rPr>
                <w:w w:val="105"/>
                <w:sz w:val="23"/>
              </w:rPr>
              <w:t>always</w:t>
            </w:r>
            <w:r>
              <w:rPr>
                <w:spacing w:val="-11"/>
                <w:w w:val="105"/>
                <w:sz w:val="23"/>
              </w:rPr>
              <w:t xml:space="preserve"> </w:t>
            </w:r>
            <w:r>
              <w:rPr>
                <w:w w:val="105"/>
                <w:sz w:val="23"/>
              </w:rPr>
              <w:t>share</w:t>
            </w:r>
            <w:r>
              <w:rPr>
                <w:spacing w:val="-10"/>
                <w:w w:val="105"/>
                <w:sz w:val="23"/>
              </w:rPr>
              <w:t xml:space="preserve"> </w:t>
            </w:r>
            <w:r>
              <w:rPr>
                <w:w w:val="105"/>
                <w:sz w:val="23"/>
              </w:rPr>
              <w:t>resources</w:t>
            </w:r>
            <w:r>
              <w:rPr>
                <w:spacing w:val="-5"/>
                <w:w w:val="105"/>
                <w:sz w:val="23"/>
              </w:rPr>
              <w:t xml:space="preserve"> </w:t>
            </w:r>
            <w:r>
              <w:rPr>
                <w:w w:val="105"/>
                <w:sz w:val="23"/>
              </w:rPr>
              <w:t>with</w:t>
            </w:r>
            <w:r>
              <w:rPr>
                <w:spacing w:val="-10"/>
                <w:w w:val="105"/>
                <w:sz w:val="23"/>
              </w:rPr>
              <w:t xml:space="preserve"> </w:t>
            </w:r>
            <w:r>
              <w:rPr>
                <w:w w:val="105"/>
                <w:sz w:val="23"/>
              </w:rPr>
              <w:t>other</w:t>
            </w:r>
            <w:r>
              <w:rPr>
                <w:spacing w:val="-6"/>
                <w:w w:val="105"/>
                <w:sz w:val="23"/>
              </w:rPr>
              <w:t xml:space="preserve"> </w:t>
            </w:r>
            <w:r>
              <w:rPr>
                <w:w w:val="105"/>
                <w:sz w:val="23"/>
              </w:rPr>
              <w:t>tenderers and contractors.</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551"/>
        </w:trPr>
        <w:tc>
          <w:tcPr>
            <w:tcW w:w="757" w:type="dxa"/>
          </w:tcPr>
          <w:p w:rsidR="00487D64" w:rsidRDefault="00487D64">
            <w:pPr>
              <w:pStyle w:val="TableParagraph"/>
            </w:pPr>
          </w:p>
        </w:tc>
        <w:tc>
          <w:tcPr>
            <w:tcW w:w="4813" w:type="dxa"/>
          </w:tcPr>
          <w:p w:rsidR="00487D64" w:rsidRDefault="006F0D93">
            <w:pPr>
              <w:pStyle w:val="TableParagraph"/>
              <w:spacing w:before="14"/>
              <w:ind w:left="109"/>
              <w:rPr>
                <w:b/>
                <w:sz w:val="23"/>
              </w:rPr>
            </w:pPr>
            <w:r>
              <w:rPr>
                <w:b/>
                <w:sz w:val="23"/>
              </w:rPr>
              <w:t>Your</w:t>
            </w:r>
            <w:r>
              <w:rPr>
                <w:b/>
                <w:spacing w:val="26"/>
                <w:sz w:val="23"/>
              </w:rPr>
              <w:t xml:space="preserve"> </w:t>
            </w:r>
            <w:r>
              <w:rPr>
                <w:b/>
                <w:sz w:val="23"/>
              </w:rPr>
              <w:t>firm's</w:t>
            </w:r>
            <w:r>
              <w:rPr>
                <w:b/>
                <w:spacing w:val="25"/>
                <w:sz w:val="23"/>
              </w:rPr>
              <w:t xml:space="preserve"> </w:t>
            </w:r>
            <w:r>
              <w:rPr>
                <w:b/>
                <w:sz w:val="23"/>
              </w:rPr>
              <w:t>Sustainable</w:t>
            </w:r>
            <w:r>
              <w:rPr>
                <w:b/>
                <w:spacing w:val="27"/>
                <w:sz w:val="23"/>
              </w:rPr>
              <w:t xml:space="preserve"> </w:t>
            </w:r>
            <w:r>
              <w:rPr>
                <w:b/>
                <w:spacing w:val="-2"/>
                <w:sz w:val="23"/>
              </w:rPr>
              <w:t>Competitiveness</w:t>
            </w:r>
          </w:p>
        </w:tc>
        <w:tc>
          <w:tcPr>
            <w:tcW w:w="584" w:type="dxa"/>
          </w:tcPr>
          <w:p w:rsidR="00487D64" w:rsidRDefault="006F0D93">
            <w:pPr>
              <w:pStyle w:val="TableParagraph"/>
              <w:spacing w:before="14"/>
              <w:ind w:left="109"/>
              <w:rPr>
                <w:b/>
                <w:sz w:val="23"/>
              </w:rPr>
            </w:pPr>
            <w:r>
              <w:rPr>
                <w:b/>
                <w:spacing w:val="-10"/>
                <w:w w:val="105"/>
                <w:sz w:val="23"/>
              </w:rPr>
              <w:t>1</w:t>
            </w:r>
          </w:p>
        </w:tc>
        <w:tc>
          <w:tcPr>
            <w:tcW w:w="591" w:type="dxa"/>
          </w:tcPr>
          <w:p w:rsidR="00487D64" w:rsidRDefault="006F0D93">
            <w:pPr>
              <w:pStyle w:val="TableParagraph"/>
              <w:spacing w:before="14"/>
              <w:ind w:left="108"/>
              <w:rPr>
                <w:b/>
                <w:sz w:val="23"/>
              </w:rPr>
            </w:pPr>
            <w:r>
              <w:rPr>
                <w:b/>
                <w:spacing w:val="-10"/>
                <w:w w:val="105"/>
                <w:sz w:val="23"/>
              </w:rPr>
              <w:t>2</w:t>
            </w:r>
          </w:p>
        </w:tc>
        <w:tc>
          <w:tcPr>
            <w:tcW w:w="591" w:type="dxa"/>
          </w:tcPr>
          <w:p w:rsidR="00487D64" w:rsidRDefault="006F0D93">
            <w:pPr>
              <w:pStyle w:val="TableParagraph"/>
              <w:spacing w:before="14"/>
              <w:ind w:left="108"/>
              <w:rPr>
                <w:b/>
                <w:sz w:val="23"/>
              </w:rPr>
            </w:pPr>
            <w:r>
              <w:rPr>
                <w:b/>
                <w:spacing w:val="-10"/>
                <w:w w:val="105"/>
                <w:sz w:val="23"/>
              </w:rPr>
              <w:t>3</w:t>
            </w:r>
          </w:p>
        </w:tc>
        <w:tc>
          <w:tcPr>
            <w:tcW w:w="526" w:type="dxa"/>
          </w:tcPr>
          <w:p w:rsidR="00487D64" w:rsidRDefault="006F0D93">
            <w:pPr>
              <w:pStyle w:val="TableParagraph"/>
              <w:spacing w:before="14"/>
              <w:ind w:left="101"/>
              <w:rPr>
                <w:b/>
                <w:sz w:val="23"/>
              </w:rPr>
            </w:pPr>
            <w:r>
              <w:rPr>
                <w:b/>
                <w:spacing w:val="-10"/>
                <w:w w:val="105"/>
                <w:sz w:val="23"/>
              </w:rPr>
              <w:t>4</w:t>
            </w:r>
          </w:p>
        </w:tc>
        <w:tc>
          <w:tcPr>
            <w:tcW w:w="583" w:type="dxa"/>
          </w:tcPr>
          <w:p w:rsidR="00487D64" w:rsidRDefault="006F0D93">
            <w:pPr>
              <w:pStyle w:val="TableParagraph"/>
              <w:spacing w:before="14"/>
              <w:ind w:left="108"/>
              <w:rPr>
                <w:b/>
                <w:sz w:val="23"/>
              </w:rPr>
            </w:pPr>
            <w:r>
              <w:rPr>
                <w:b/>
                <w:spacing w:val="-10"/>
                <w:w w:val="105"/>
                <w:sz w:val="23"/>
              </w:rPr>
              <w:t>5</w:t>
            </w:r>
          </w:p>
        </w:tc>
      </w:tr>
      <w:tr w:rsidR="00487D64">
        <w:trPr>
          <w:trHeight w:val="551"/>
        </w:trPr>
        <w:tc>
          <w:tcPr>
            <w:tcW w:w="757" w:type="dxa"/>
          </w:tcPr>
          <w:p w:rsidR="00487D64" w:rsidRDefault="006F0D93">
            <w:pPr>
              <w:pStyle w:val="TableParagraph"/>
              <w:spacing w:before="14"/>
              <w:ind w:left="110"/>
              <w:rPr>
                <w:sz w:val="23"/>
              </w:rPr>
            </w:pPr>
            <w:r>
              <w:rPr>
                <w:spacing w:val="-5"/>
                <w:w w:val="105"/>
                <w:sz w:val="23"/>
              </w:rPr>
              <w:t>15</w:t>
            </w:r>
          </w:p>
        </w:tc>
        <w:tc>
          <w:tcPr>
            <w:tcW w:w="4813" w:type="dxa"/>
          </w:tcPr>
          <w:p w:rsidR="00487D64" w:rsidRDefault="006F0D93">
            <w:pPr>
              <w:pStyle w:val="TableParagraph"/>
              <w:tabs>
                <w:tab w:val="left" w:pos="735"/>
                <w:tab w:val="left" w:pos="1972"/>
                <w:tab w:val="left" w:pos="2555"/>
                <w:tab w:val="left" w:pos="3768"/>
              </w:tabs>
              <w:spacing w:line="274" w:lineRule="exact"/>
              <w:ind w:left="109" w:right="101"/>
              <w:rPr>
                <w:sz w:val="23"/>
              </w:rPr>
            </w:pPr>
            <w:r>
              <w:rPr>
                <w:spacing w:val="-4"/>
                <w:w w:val="105"/>
                <w:sz w:val="23"/>
              </w:rPr>
              <w:t>The</w:t>
            </w:r>
            <w:r>
              <w:rPr>
                <w:sz w:val="23"/>
              </w:rPr>
              <w:tab/>
            </w:r>
            <w:r>
              <w:rPr>
                <w:spacing w:val="-2"/>
                <w:w w:val="105"/>
                <w:sz w:val="23"/>
              </w:rPr>
              <w:t>advantage</w:t>
            </w:r>
            <w:r>
              <w:rPr>
                <w:sz w:val="23"/>
              </w:rPr>
              <w:tab/>
            </w:r>
            <w:r>
              <w:rPr>
                <w:spacing w:val="-4"/>
                <w:w w:val="105"/>
                <w:sz w:val="23"/>
              </w:rPr>
              <w:t>has</w:t>
            </w:r>
            <w:r>
              <w:rPr>
                <w:sz w:val="23"/>
              </w:rPr>
              <w:tab/>
            </w:r>
            <w:r>
              <w:rPr>
                <w:spacing w:val="-2"/>
                <w:w w:val="105"/>
                <w:sz w:val="23"/>
              </w:rPr>
              <w:t>long-term</w:t>
            </w:r>
            <w:r>
              <w:rPr>
                <w:sz w:val="23"/>
              </w:rPr>
              <w:tab/>
            </w:r>
            <w:r>
              <w:rPr>
                <w:spacing w:val="-2"/>
                <w:w w:val="105"/>
                <w:sz w:val="23"/>
              </w:rPr>
              <w:t xml:space="preserve">durability </w:t>
            </w:r>
            <w:r>
              <w:rPr>
                <w:w w:val="105"/>
                <w:sz w:val="23"/>
              </w:rPr>
              <w:t>(Competitive advantage)</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551"/>
        </w:trPr>
        <w:tc>
          <w:tcPr>
            <w:tcW w:w="757" w:type="dxa"/>
          </w:tcPr>
          <w:p w:rsidR="00487D64" w:rsidRDefault="006F0D93">
            <w:pPr>
              <w:pStyle w:val="TableParagraph"/>
              <w:spacing w:before="14"/>
              <w:ind w:left="110"/>
              <w:rPr>
                <w:sz w:val="23"/>
              </w:rPr>
            </w:pPr>
            <w:r>
              <w:rPr>
                <w:spacing w:val="-5"/>
                <w:w w:val="105"/>
                <w:sz w:val="23"/>
              </w:rPr>
              <w:t>16</w:t>
            </w:r>
          </w:p>
        </w:tc>
        <w:tc>
          <w:tcPr>
            <w:tcW w:w="4813" w:type="dxa"/>
          </w:tcPr>
          <w:p w:rsidR="00487D64" w:rsidRDefault="006F0D93">
            <w:pPr>
              <w:pStyle w:val="TableParagraph"/>
              <w:spacing w:before="7"/>
              <w:ind w:left="109"/>
              <w:rPr>
                <w:sz w:val="23"/>
              </w:rPr>
            </w:pPr>
            <w:r>
              <w:rPr>
                <w:w w:val="105"/>
                <w:sz w:val="23"/>
              </w:rPr>
              <w:t>The</w:t>
            </w:r>
            <w:r>
              <w:rPr>
                <w:spacing w:val="-7"/>
                <w:w w:val="105"/>
                <w:sz w:val="23"/>
              </w:rPr>
              <w:t xml:space="preserve"> </w:t>
            </w:r>
            <w:r>
              <w:rPr>
                <w:w w:val="105"/>
                <w:sz w:val="23"/>
              </w:rPr>
              <w:t>company</w:t>
            </w:r>
            <w:r>
              <w:rPr>
                <w:spacing w:val="-6"/>
                <w:w w:val="105"/>
                <w:sz w:val="23"/>
              </w:rPr>
              <w:t xml:space="preserve"> </w:t>
            </w:r>
            <w:r>
              <w:rPr>
                <w:w w:val="105"/>
                <w:sz w:val="23"/>
              </w:rPr>
              <w:t>can</w:t>
            </w:r>
            <w:r>
              <w:rPr>
                <w:spacing w:val="-12"/>
                <w:w w:val="105"/>
                <w:sz w:val="23"/>
              </w:rPr>
              <w:t xml:space="preserve"> </w:t>
            </w:r>
            <w:r>
              <w:rPr>
                <w:w w:val="105"/>
                <w:sz w:val="23"/>
              </w:rPr>
              <w:t>adapt</w:t>
            </w:r>
            <w:r>
              <w:rPr>
                <w:spacing w:val="-4"/>
                <w:w w:val="105"/>
                <w:sz w:val="23"/>
              </w:rPr>
              <w:t xml:space="preserve"> </w:t>
            </w:r>
            <w:r>
              <w:rPr>
                <w:w w:val="105"/>
                <w:sz w:val="23"/>
              </w:rPr>
              <w:t>to</w:t>
            </w:r>
            <w:r>
              <w:rPr>
                <w:spacing w:val="-6"/>
                <w:w w:val="105"/>
                <w:sz w:val="23"/>
              </w:rPr>
              <w:t xml:space="preserve"> </w:t>
            </w:r>
            <w:r>
              <w:rPr>
                <w:spacing w:val="-2"/>
                <w:w w:val="105"/>
                <w:sz w:val="23"/>
              </w:rPr>
              <w:t>change.</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32"/>
        </w:trPr>
        <w:tc>
          <w:tcPr>
            <w:tcW w:w="757" w:type="dxa"/>
          </w:tcPr>
          <w:p w:rsidR="00487D64" w:rsidRDefault="006F0D93">
            <w:pPr>
              <w:pStyle w:val="TableParagraph"/>
              <w:spacing w:before="14"/>
              <w:ind w:left="110"/>
              <w:rPr>
                <w:sz w:val="23"/>
              </w:rPr>
            </w:pPr>
            <w:r>
              <w:rPr>
                <w:spacing w:val="-5"/>
                <w:w w:val="105"/>
                <w:sz w:val="23"/>
              </w:rPr>
              <w:t>17</w:t>
            </w:r>
          </w:p>
        </w:tc>
        <w:tc>
          <w:tcPr>
            <w:tcW w:w="4813" w:type="dxa"/>
          </w:tcPr>
          <w:p w:rsidR="00487D64" w:rsidRDefault="006F0D93">
            <w:pPr>
              <w:pStyle w:val="TableParagraph"/>
              <w:spacing w:before="7"/>
              <w:ind w:left="109"/>
              <w:rPr>
                <w:sz w:val="23"/>
              </w:rPr>
            </w:pPr>
            <w:r>
              <w:rPr>
                <w:w w:val="105"/>
                <w:sz w:val="23"/>
              </w:rPr>
              <w:t>Information</w:t>
            </w:r>
            <w:r>
              <w:rPr>
                <w:spacing w:val="29"/>
                <w:w w:val="105"/>
                <w:sz w:val="23"/>
              </w:rPr>
              <w:t xml:space="preserve">  </w:t>
            </w:r>
            <w:r>
              <w:rPr>
                <w:w w:val="105"/>
                <w:sz w:val="23"/>
              </w:rPr>
              <w:t>about</w:t>
            </w:r>
            <w:r>
              <w:rPr>
                <w:spacing w:val="35"/>
                <w:w w:val="105"/>
                <w:sz w:val="23"/>
              </w:rPr>
              <w:t xml:space="preserve">  </w:t>
            </w:r>
            <w:r>
              <w:rPr>
                <w:w w:val="105"/>
                <w:sz w:val="23"/>
              </w:rPr>
              <w:t>company</w:t>
            </w:r>
            <w:r>
              <w:rPr>
                <w:spacing w:val="30"/>
                <w:w w:val="105"/>
                <w:sz w:val="23"/>
              </w:rPr>
              <w:t xml:space="preserve">  </w:t>
            </w:r>
            <w:r>
              <w:rPr>
                <w:w w:val="105"/>
                <w:sz w:val="23"/>
              </w:rPr>
              <w:t>resources</w:t>
            </w:r>
            <w:r>
              <w:rPr>
                <w:spacing w:val="28"/>
                <w:w w:val="105"/>
                <w:sz w:val="23"/>
              </w:rPr>
              <w:t xml:space="preserve">  </w:t>
            </w:r>
            <w:r>
              <w:rPr>
                <w:spacing w:val="-5"/>
                <w:w w:val="105"/>
                <w:sz w:val="23"/>
              </w:rPr>
              <w:t>and</w:t>
            </w:r>
          </w:p>
          <w:p w:rsidR="00487D64" w:rsidRDefault="006F0D93">
            <w:pPr>
              <w:pStyle w:val="TableParagraph"/>
              <w:tabs>
                <w:tab w:val="left" w:pos="1464"/>
                <w:tab w:val="left" w:pos="1888"/>
                <w:tab w:val="left" w:pos="2456"/>
                <w:tab w:val="left" w:pos="3269"/>
                <w:tab w:val="left" w:pos="4506"/>
              </w:tabs>
              <w:spacing w:before="1" w:line="270" w:lineRule="atLeast"/>
              <w:ind w:left="109" w:right="103"/>
              <w:rPr>
                <w:sz w:val="23"/>
              </w:rPr>
            </w:pPr>
            <w:r>
              <w:rPr>
                <w:spacing w:val="-2"/>
                <w:w w:val="105"/>
                <w:sz w:val="23"/>
              </w:rPr>
              <w:t>capabilities</w:t>
            </w:r>
            <w:r>
              <w:rPr>
                <w:sz w:val="23"/>
              </w:rPr>
              <w:tab/>
            </w:r>
            <w:r>
              <w:rPr>
                <w:spacing w:val="-6"/>
                <w:w w:val="105"/>
                <w:sz w:val="23"/>
              </w:rPr>
              <w:t>is</w:t>
            </w:r>
            <w:r>
              <w:rPr>
                <w:sz w:val="23"/>
              </w:rPr>
              <w:tab/>
            </w:r>
            <w:r>
              <w:rPr>
                <w:spacing w:val="-4"/>
                <w:w w:val="105"/>
                <w:sz w:val="23"/>
              </w:rPr>
              <w:t>not</w:t>
            </w:r>
            <w:r>
              <w:rPr>
                <w:sz w:val="23"/>
              </w:rPr>
              <w:tab/>
            </w:r>
            <w:r>
              <w:rPr>
                <w:spacing w:val="-2"/>
                <w:w w:val="105"/>
                <w:sz w:val="23"/>
              </w:rPr>
              <w:t>easily</w:t>
            </w:r>
            <w:r>
              <w:rPr>
                <w:sz w:val="23"/>
              </w:rPr>
              <w:tab/>
            </w:r>
            <w:r>
              <w:rPr>
                <w:spacing w:val="-2"/>
                <w:w w:val="105"/>
                <w:sz w:val="23"/>
              </w:rPr>
              <w:t>accessible</w:t>
            </w:r>
            <w:r>
              <w:rPr>
                <w:sz w:val="23"/>
              </w:rPr>
              <w:tab/>
            </w:r>
            <w:r>
              <w:rPr>
                <w:spacing w:val="-6"/>
                <w:w w:val="105"/>
                <w:sz w:val="23"/>
              </w:rPr>
              <w:t xml:space="preserve">to </w:t>
            </w:r>
            <w:r>
              <w:rPr>
                <w:spacing w:val="-2"/>
                <w:w w:val="105"/>
                <w:sz w:val="23"/>
              </w:rPr>
              <w:t>competitors.</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552"/>
        </w:trPr>
        <w:tc>
          <w:tcPr>
            <w:tcW w:w="757" w:type="dxa"/>
          </w:tcPr>
          <w:p w:rsidR="00487D64" w:rsidRDefault="006F0D93">
            <w:pPr>
              <w:pStyle w:val="TableParagraph"/>
              <w:spacing w:before="7"/>
              <w:ind w:left="110"/>
              <w:rPr>
                <w:sz w:val="23"/>
              </w:rPr>
            </w:pPr>
            <w:r>
              <w:rPr>
                <w:spacing w:val="-5"/>
                <w:w w:val="105"/>
                <w:sz w:val="23"/>
              </w:rPr>
              <w:t>18</w:t>
            </w:r>
          </w:p>
        </w:tc>
        <w:tc>
          <w:tcPr>
            <w:tcW w:w="4813" w:type="dxa"/>
          </w:tcPr>
          <w:p w:rsidR="00487D64" w:rsidRDefault="006F0D93">
            <w:pPr>
              <w:pStyle w:val="TableParagraph"/>
              <w:tabs>
                <w:tab w:val="left" w:pos="1354"/>
                <w:tab w:val="left" w:pos="2800"/>
                <w:tab w:val="left" w:pos="3274"/>
                <w:tab w:val="left" w:pos="4424"/>
              </w:tabs>
              <w:ind w:left="109"/>
              <w:rPr>
                <w:sz w:val="23"/>
              </w:rPr>
            </w:pPr>
            <w:r>
              <w:rPr>
                <w:spacing w:val="-2"/>
                <w:w w:val="105"/>
                <w:sz w:val="23"/>
              </w:rPr>
              <w:t>Company</w:t>
            </w:r>
            <w:r>
              <w:rPr>
                <w:sz w:val="23"/>
              </w:rPr>
              <w:tab/>
            </w:r>
            <w:r>
              <w:rPr>
                <w:spacing w:val="-2"/>
                <w:w w:val="105"/>
                <w:sz w:val="23"/>
              </w:rPr>
              <w:t>information</w:t>
            </w:r>
            <w:r>
              <w:rPr>
                <w:sz w:val="23"/>
              </w:rPr>
              <w:tab/>
            </w:r>
            <w:r>
              <w:rPr>
                <w:spacing w:val="-7"/>
                <w:w w:val="105"/>
                <w:sz w:val="23"/>
              </w:rPr>
              <w:t>is</w:t>
            </w:r>
            <w:r>
              <w:rPr>
                <w:sz w:val="23"/>
              </w:rPr>
              <w:tab/>
            </w:r>
            <w:r>
              <w:rPr>
                <w:spacing w:val="-2"/>
                <w:w w:val="105"/>
                <w:sz w:val="23"/>
              </w:rPr>
              <w:t>complex</w:t>
            </w:r>
            <w:r>
              <w:rPr>
                <w:sz w:val="23"/>
              </w:rPr>
              <w:tab/>
            </w:r>
            <w:r>
              <w:rPr>
                <w:spacing w:val="-5"/>
                <w:w w:val="105"/>
                <w:sz w:val="23"/>
              </w:rPr>
              <w:t>for</w:t>
            </w:r>
          </w:p>
          <w:p w:rsidR="00487D64" w:rsidRDefault="006F0D93">
            <w:pPr>
              <w:pStyle w:val="TableParagraph"/>
              <w:spacing w:before="9" w:line="259" w:lineRule="exact"/>
              <w:ind w:left="109"/>
              <w:rPr>
                <w:sz w:val="23"/>
              </w:rPr>
            </w:pPr>
            <w:r>
              <w:rPr>
                <w:spacing w:val="-2"/>
                <w:w w:val="105"/>
                <w:sz w:val="23"/>
              </w:rPr>
              <w:t>competitors.</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25"/>
        </w:trPr>
        <w:tc>
          <w:tcPr>
            <w:tcW w:w="757" w:type="dxa"/>
          </w:tcPr>
          <w:p w:rsidR="00487D64" w:rsidRDefault="006F0D93">
            <w:pPr>
              <w:pStyle w:val="TableParagraph"/>
              <w:spacing w:before="7"/>
              <w:ind w:left="110"/>
              <w:rPr>
                <w:sz w:val="23"/>
              </w:rPr>
            </w:pPr>
            <w:r>
              <w:rPr>
                <w:spacing w:val="-5"/>
                <w:w w:val="105"/>
                <w:sz w:val="23"/>
              </w:rPr>
              <w:t>19</w:t>
            </w:r>
          </w:p>
        </w:tc>
        <w:tc>
          <w:tcPr>
            <w:tcW w:w="4813" w:type="dxa"/>
          </w:tcPr>
          <w:p w:rsidR="00487D64" w:rsidRDefault="006F0D93">
            <w:pPr>
              <w:pStyle w:val="TableParagraph"/>
              <w:tabs>
                <w:tab w:val="left" w:pos="670"/>
                <w:tab w:val="left" w:pos="1548"/>
                <w:tab w:val="left" w:pos="1957"/>
                <w:tab w:val="left" w:pos="2508"/>
                <w:tab w:val="left" w:pos="2979"/>
                <w:tab w:val="left" w:pos="3754"/>
                <w:tab w:val="left" w:pos="4029"/>
              </w:tabs>
              <w:spacing w:line="247" w:lineRule="auto"/>
              <w:ind w:left="109" w:right="100"/>
              <w:rPr>
                <w:sz w:val="23"/>
              </w:rPr>
            </w:pPr>
            <w:r>
              <w:rPr>
                <w:spacing w:val="-6"/>
                <w:w w:val="105"/>
                <w:sz w:val="23"/>
              </w:rPr>
              <w:t>An</w:t>
            </w:r>
            <w:r>
              <w:rPr>
                <w:sz w:val="23"/>
              </w:rPr>
              <w:tab/>
            </w:r>
            <w:r>
              <w:rPr>
                <w:spacing w:val="-2"/>
                <w:w w:val="105"/>
                <w:sz w:val="23"/>
              </w:rPr>
              <w:t>excellence</w:t>
            </w:r>
            <w:r>
              <w:rPr>
                <w:sz w:val="23"/>
              </w:rPr>
              <w:tab/>
            </w:r>
            <w:r>
              <w:rPr>
                <w:spacing w:val="-2"/>
                <w:w w:val="105"/>
                <w:sz w:val="23"/>
              </w:rPr>
              <w:t>strategy</w:t>
            </w:r>
            <w:r>
              <w:rPr>
                <w:sz w:val="23"/>
              </w:rPr>
              <w:tab/>
            </w:r>
            <w:r>
              <w:rPr>
                <w:spacing w:val="-2"/>
                <w:w w:val="105"/>
                <w:sz w:val="23"/>
              </w:rPr>
              <w:t>requires</w:t>
            </w:r>
            <w:r>
              <w:rPr>
                <w:sz w:val="23"/>
              </w:rPr>
              <w:tab/>
            </w:r>
            <w:r>
              <w:rPr>
                <w:sz w:val="23"/>
              </w:rPr>
              <w:tab/>
            </w:r>
            <w:r>
              <w:rPr>
                <w:spacing w:val="-2"/>
                <w:w w:val="105"/>
                <w:sz w:val="23"/>
              </w:rPr>
              <w:t>special coordination</w:t>
            </w:r>
            <w:r>
              <w:rPr>
                <w:sz w:val="23"/>
              </w:rPr>
              <w:tab/>
            </w:r>
            <w:r>
              <w:rPr>
                <w:spacing w:val="-5"/>
                <w:w w:val="105"/>
                <w:sz w:val="23"/>
              </w:rPr>
              <w:t>of</w:t>
            </w:r>
            <w:r>
              <w:rPr>
                <w:sz w:val="23"/>
              </w:rPr>
              <w:tab/>
            </w:r>
            <w:r>
              <w:rPr>
                <w:spacing w:val="-33"/>
                <w:sz w:val="23"/>
              </w:rPr>
              <w:t xml:space="preserve"> </w:t>
            </w:r>
            <w:r>
              <w:rPr>
                <w:w w:val="105"/>
                <w:sz w:val="23"/>
              </w:rPr>
              <w:t>the</w:t>
            </w:r>
            <w:r>
              <w:rPr>
                <w:sz w:val="23"/>
              </w:rPr>
              <w:tab/>
            </w:r>
            <w:r>
              <w:rPr>
                <w:spacing w:val="-2"/>
                <w:w w:val="105"/>
                <w:sz w:val="23"/>
              </w:rPr>
              <w:t>company's</w:t>
            </w:r>
            <w:r>
              <w:rPr>
                <w:sz w:val="23"/>
              </w:rPr>
              <w:tab/>
            </w:r>
            <w:r>
              <w:rPr>
                <w:spacing w:val="-2"/>
                <w:w w:val="105"/>
                <w:sz w:val="23"/>
              </w:rPr>
              <w:t>combined</w:t>
            </w:r>
          </w:p>
          <w:p w:rsidR="00487D64" w:rsidRDefault="006F0D93">
            <w:pPr>
              <w:pStyle w:val="TableParagraph"/>
              <w:spacing w:before="9" w:line="251" w:lineRule="exact"/>
              <w:ind w:left="109"/>
              <w:rPr>
                <w:sz w:val="23"/>
              </w:rPr>
            </w:pPr>
            <w:r>
              <w:rPr>
                <w:sz w:val="23"/>
              </w:rPr>
              <w:t>resources</w:t>
            </w:r>
            <w:r>
              <w:rPr>
                <w:spacing w:val="15"/>
                <w:sz w:val="23"/>
              </w:rPr>
              <w:t xml:space="preserve"> </w:t>
            </w:r>
            <w:r>
              <w:rPr>
                <w:sz w:val="23"/>
              </w:rPr>
              <w:t>and</w:t>
            </w:r>
            <w:r>
              <w:rPr>
                <w:spacing w:val="28"/>
                <w:sz w:val="23"/>
              </w:rPr>
              <w:t xml:space="preserve"> </w:t>
            </w:r>
            <w:r>
              <w:rPr>
                <w:spacing w:val="-2"/>
                <w:sz w:val="23"/>
              </w:rPr>
              <w:t>capabilities.</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552"/>
        </w:trPr>
        <w:tc>
          <w:tcPr>
            <w:tcW w:w="757" w:type="dxa"/>
          </w:tcPr>
          <w:p w:rsidR="00487D64" w:rsidRDefault="006F0D93">
            <w:pPr>
              <w:pStyle w:val="TableParagraph"/>
              <w:spacing w:before="7"/>
              <w:ind w:left="110"/>
              <w:rPr>
                <w:sz w:val="23"/>
              </w:rPr>
            </w:pPr>
            <w:r>
              <w:rPr>
                <w:spacing w:val="-5"/>
                <w:w w:val="105"/>
                <w:sz w:val="23"/>
              </w:rPr>
              <w:t>20</w:t>
            </w:r>
          </w:p>
        </w:tc>
        <w:tc>
          <w:tcPr>
            <w:tcW w:w="4813" w:type="dxa"/>
          </w:tcPr>
          <w:p w:rsidR="00487D64" w:rsidRDefault="006F0D93">
            <w:pPr>
              <w:pStyle w:val="TableParagraph"/>
              <w:tabs>
                <w:tab w:val="left" w:pos="1289"/>
                <w:tab w:val="left" w:pos="2447"/>
                <w:tab w:val="left" w:pos="3059"/>
                <w:tab w:val="left" w:pos="4403"/>
              </w:tabs>
              <w:ind w:left="109"/>
              <w:rPr>
                <w:sz w:val="23"/>
              </w:rPr>
            </w:pPr>
            <w:r>
              <w:rPr>
                <w:spacing w:val="-2"/>
                <w:w w:val="105"/>
                <w:sz w:val="23"/>
              </w:rPr>
              <w:t>Company</w:t>
            </w:r>
            <w:r>
              <w:rPr>
                <w:sz w:val="23"/>
              </w:rPr>
              <w:tab/>
            </w:r>
            <w:r>
              <w:rPr>
                <w:spacing w:val="-2"/>
                <w:w w:val="105"/>
                <w:sz w:val="23"/>
              </w:rPr>
              <w:t>resources</w:t>
            </w:r>
            <w:r>
              <w:rPr>
                <w:sz w:val="23"/>
              </w:rPr>
              <w:tab/>
            </w:r>
            <w:r>
              <w:rPr>
                <w:spacing w:val="-5"/>
                <w:w w:val="105"/>
                <w:sz w:val="23"/>
              </w:rPr>
              <w:t>and</w:t>
            </w:r>
            <w:r>
              <w:rPr>
                <w:sz w:val="23"/>
              </w:rPr>
              <w:tab/>
            </w:r>
            <w:r>
              <w:rPr>
                <w:spacing w:val="-2"/>
                <w:w w:val="105"/>
                <w:sz w:val="23"/>
              </w:rPr>
              <w:t>capabilities</w:t>
            </w:r>
            <w:r>
              <w:rPr>
                <w:sz w:val="23"/>
              </w:rPr>
              <w:tab/>
            </w:r>
            <w:r>
              <w:rPr>
                <w:spacing w:val="-5"/>
                <w:w w:val="105"/>
                <w:sz w:val="23"/>
              </w:rPr>
              <w:t>are</w:t>
            </w:r>
          </w:p>
          <w:p w:rsidR="00487D64" w:rsidRDefault="006F0D93">
            <w:pPr>
              <w:pStyle w:val="TableParagraph"/>
              <w:spacing w:before="16" w:line="251" w:lineRule="exact"/>
              <w:ind w:left="109"/>
              <w:rPr>
                <w:sz w:val="23"/>
              </w:rPr>
            </w:pPr>
            <w:r>
              <w:rPr>
                <w:w w:val="105"/>
                <w:sz w:val="23"/>
              </w:rPr>
              <w:t>difficult</w:t>
            </w:r>
            <w:r>
              <w:rPr>
                <w:spacing w:val="-8"/>
                <w:w w:val="105"/>
                <w:sz w:val="23"/>
              </w:rPr>
              <w:t xml:space="preserve"> </w:t>
            </w:r>
            <w:r>
              <w:rPr>
                <w:w w:val="105"/>
                <w:sz w:val="23"/>
              </w:rPr>
              <w:t>for</w:t>
            </w:r>
            <w:r>
              <w:rPr>
                <w:spacing w:val="-10"/>
                <w:w w:val="105"/>
                <w:sz w:val="23"/>
              </w:rPr>
              <w:t xml:space="preserve"> </w:t>
            </w:r>
            <w:r>
              <w:rPr>
                <w:w w:val="105"/>
                <w:sz w:val="23"/>
              </w:rPr>
              <w:t>competitors</w:t>
            </w:r>
            <w:r>
              <w:rPr>
                <w:spacing w:val="-15"/>
                <w:w w:val="105"/>
                <w:sz w:val="23"/>
              </w:rPr>
              <w:t xml:space="preserve"> </w:t>
            </w:r>
            <w:r>
              <w:rPr>
                <w:w w:val="105"/>
                <w:sz w:val="23"/>
              </w:rPr>
              <w:t>to</w:t>
            </w:r>
            <w:r>
              <w:rPr>
                <w:spacing w:val="-13"/>
                <w:w w:val="105"/>
                <w:sz w:val="23"/>
              </w:rPr>
              <w:t xml:space="preserve"> </w:t>
            </w:r>
            <w:r>
              <w:rPr>
                <w:spacing w:val="-2"/>
                <w:w w:val="105"/>
                <w:sz w:val="23"/>
              </w:rPr>
              <w:t>obtain</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551"/>
        </w:trPr>
        <w:tc>
          <w:tcPr>
            <w:tcW w:w="757" w:type="dxa"/>
          </w:tcPr>
          <w:p w:rsidR="00487D64" w:rsidRDefault="006F0D93">
            <w:pPr>
              <w:pStyle w:val="TableParagraph"/>
              <w:spacing w:before="7"/>
              <w:ind w:left="110"/>
              <w:rPr>
                <w:sz w:val="23"/>
              </w:rPr>
            </w:pPr>
            <w:r>
              <w:rPr>
                <w:spacing w:val="-5"/>
                <w:w w:val="105"/>
                <w:sz w:val="23"/>
              </w:rPr>
              <w:t>21</w:t>
            </w:r>
          </w:p>
        </w:tc>
        <w:tc>
          <w:tcPr>
            <w:tcW w:w="4813" w:type="dxa"/>
          </w:tcPr>
          <w:p w:rsidR="00487D64" w:rsidRDefault="006F0D93">
            <w:pPr>
              <w:pStyle w:val="TableParagraph"/>
              <w:ind w:left="109"/>
              <w:rPr>
                <w:sz w:val="23"/>
              </w:rPr>
            </w:pPr>
            <w:r>
              <w:rPr>
                <w:sz w:val="23"/>
              </w:rPr>
              <w:t>Possesses</w:t>
            </w:r>
            <w:r>
              <w:rPr>
                <w:spacing w:val="34"/>
                <w:sz w:val="23"/>
              </w:rPr>
              <w:t xml:space="preserve"> </w:t>
            </w:r>
            <w:r>
              <w:rPr>
                <w:sz w:val="23"/>
              </w:rPr>
              <w:t>specialized</w:t>
            </w:r>
            <w:r>
              <w:rPr>
                <w:spacing w:val="27"/>
                <w:sz w:val="23"/>
              </w:rPr>
              <w:t xml:space="preserve"> </w:t>
            </w:r>
            <w:r>
              <w:rPr>
                <w:spacing w:val="-2"/>
                <w:sz w:val="23"/>
              </w:rPr>
              <w:t>resources</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552"/>
        </w:trPr>
        <w:tc>
          <w:tcPr>
            <w:tcW w:w="757" w:type="dxa"/>
          </w:tcPr>
          <w:p w:rsidR="00487D64" w:rsidRDefault="006F0D93">
            <w:pPr>
              <w:pStyle w:val="TableParagraph"/>
              <w:spacing w:before="15"/>
              <w:ind w:left="110"/>
              <w:rPr>
                <w:sz w:val="23"/>
              </w:rPr>
            </w:pPr>
            <w:r>
              <w:rPr>
                <w:spacing w:val="-5"/>
                <w:w w:val="105"/>
                <w:sz w:val="23"/>
              </w:rPr>
              <w:t>22</w:t>
            </w:r>
          </w:p>
        </w:tc>
        <w:tc>
          <w:tcPr>
            <w:tcW w:w="4813" w:type="dxa"/>
          </w:tcPr>
          <w:p w:rsidR="00487D64" w:rsidRDefault="006F0D93">
            <w:pPr>
              <w:pStyle w:val="TableParagraph"/>
              <w:spacing w:before="7"/>
              <w:ind w:left="109"/>
              <w:rPr>
                <w:sz w:val="23"/>
              </w:rPr>
            </w:pPr>
            <w:r>
              <w:rPr>
                <w:w w:val="105"/>
                <w:sz w:val="23"/>
              </w:rPr>
              <w:t>Have</w:t>
            </w:r>
            <w:r>
              <w:rPr>
                <w:spacing w:val="-10"/>
                <w:w w:val="105"/>
                <w:sz w:val="23"/>
              </w:rPr>
              <w:t xml:space="preserve"> </w:t>
            </w:r>
            <w:r>
              <w:rPr>
                <w:w w:val="105"/>
                <w:sz w:val="23"/>
              </w:rPr>
              <w:t>a</w:t>
            </w:r>
            <w:r>
              <w:rPr>
                <w:spacing w:val="-5"/>
                <w:w w:val="105"/>
                <w:sz w:val="23"/>
              </w:rPr>
              <w:t xml:space="preserve"> </w:t>
            </w:r>
            <w:r>
              <w:rPr>
                <w:w w:val="105"/>
                <w:sz w:val="23"/>
              </w:rPr>
              <w:t>specific</w:t>
            </w:r>
            <w:r>
              <w:rPr>
                <w:spacing w:val="-4"/>
                <w:w w:val="105"/>
                <w:sz w:val="23"/>
              </w:rPr>
              <w:t xml:space="preserve"> </w:t>
            </w:r>
            <w:r>
              <w:rPr>
                <w:spacing w:val="-2"/>
                <w:w w:val="105"/>
                <w:sz w:val="23"/>
              </w:rPr>
              <w:t>capability.</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32"/>
        </w:trPr>
        <w:tc>
          <w:tcPr>
            <w:tcW w:w="757" w:type="dxa"/>
          </w:tcPr>
          <w:p w:rsidR="00487D64" w:rsidRDefault="006F0D93">
            <w:pPr>
              <w:pStyle w:val="TableParagraph"/>
              <w:spacing w:before="14"/>
              <w:ind w:left="110"/>
              <w:rPr>
                <w:sz w:val="23"/>
              </w:rPr>
            </w:pPr>
            <w:r>
              <w:rPr>
                <w:spacing w:val="-5"/>
                <w:w w:val="105"/>
                <w:sz w:val="23"/>
              </w:rPr>
              <w:t>23</w:t>
            </w:r>
          </w:p>
        </w:tc>
        <w:tc>
          <w:tcPr>
            <w:tcW w:w="4813" w:type="dxa"/>
          </w:tcPr>
          <w:p w:rsidR="00487D64" w:rsidRDefault="006F0D93">
            <w:pPr>
              <w:pStyle w:val="TableParagraph"/>
              <w:spacing w:before="7" w:line="247" w:lineRule="auto"/>
              <w:ind w:left="109"/>
              <w:rPr>
                <w:sz w:val="23"/>
              </w:rPr>
            </w:pPr>
            <w:r>
              <w:rPr>
                <w:w w:val="105"/>
                <w:sz w:val="23"/>
              </w:rPr>
              <w:t>Company</w:t>
            </w:r>
            <w:r>
              <w:rPr>
                <w:spacing w:val="40"/>
                <w:w w:val="105"/>
                <w:sz w:val="23"/>
              </w:rPr>
              <w:t xml:space="preserve"> </w:t>
            </w:r>
            <w:r>
              <w:rPr>
                <w:w w:val="105"/>
                <w:sz w:val="23"/>
              </w:rPr>
              <w:t>resources</w:t>
            </w:r>
            <w:r>
              <w:rPr>
                <w:spacing w:val="40"/>
                <w:w w:val="105"/>
                <w:sz w:val="23"/>
              </w:rPr>
              <w:t xml:space="preserve"> </w:t>
            </w:r>
            <w:r>
              <w:rPr>
                <w:w w:val="105"/>
                <w:sz w:val="23"/>
              </w:rPr>
              <w:t>and</w:t>
            </w:r>
            <w:r>
              <w:rPr>
                <w:spacing w:val="40"/>
                <w:w w:val="105"/>
                <w:sz w:val="23"/>
              </w:rPr>
              <w:t xml:space="preserve"> </w:t>
            </w:r>
            <w:r>
              <w:rPr>
                <w:w w:val="105"/>
                <w:sz w:val="23"/>
              </w:rPr>
              <w:t>capabilities</w:t>
            </w:r>
            <w:r>
              <w:rPr>
                <w:spacing w:val="40"/>
                <w:w w:val="105"/>
                <w:sz w:val="23"/>
              </w:rPr>
              <w:t xml:space="preserve"> </w:t>
            </w:r>
            <w:r>
              <w:rPr>
                <w:w w:val="105"/>
                <w:sz w:val="23"/>
              </w:rPr>
              <w:t>are</w:t>
            </w:r>
            <w:r>
              <w:rPr>
                <w:spacing w:val="40"/>
                <w:w w:val="105"/>
                <w:sz w:val="23"/>
              </w:rPr>
              <w:t xml:space="preserve"> </w:t>
            </w:r>
            <w:r>
              <w:rPr>
                <w:w w:val="105"/>
                <w:sz w:val="23"/>
              </w:rPr>
              <w:t>not easy to imitate</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25"/>
        </w:trPr>
        <w:tc>
          <w:tcPr>
            <w:tcW w:w="757" w:type="dxa"/>
          </w:tcPr>
          <w:p w:rsidR="00487D64" w:rsidRDefault="006F0D93">
            <w:pPr>
              <w:pStyle w:val="TableParagraph"/>
              <w:spacing w:before="7"/>
              <w:ind w:left="110"/>
              <w:rPr>
                <w:sz w:val="23"/>
              </w:rPr>
            </w:pPr>
            <w:r>
              <w:rPr>
                <w:spacing w:val="-5"/>
                <w:w w:val="105"/>
                <w:sz w:val="23"/>
              </w:rPr>
              <w:t>24</w:t>
            </w:r>
          </w:p>
        </w:tc>
        <w:tc>
          <w:tcPr>
            <w:tcW w:w="4813" w:type="dxa"/>
          </w:tcPr>
          <w:p w:rsidR="00487D64" w:rsidRDefault="006F0D93">
            <w:pPr>
              <w:pStyle w:val="TableParagraph"/>
              <w:spacing w:line="247" w:lineRule="auto"/>
              <w:ind w:left="109"/>
              <w:rPr>
                <w:sz w:val="23"/>
              </w:rPr>
            </w:pPr>
            <w:r>
              <w:rPr>
                <w:w w:val="105"/>
                <w:sz w:val="23"/>
              </w:rPr>
              <w:t>Company</w:t>
            </w:r>
            <w:r>
              <w:rPr>
                <w:spacing w:val="40"/>
                <w:w w:val="105"/>
                <w:sz w:val="23"/>
              </w:rPr>
              <w:t xml:space="preserve"> </w:t>
            </w:r>
            <w:r>
              <w:rPr>
                <w:w w:val="105"/>
                <w:sz w:val="23"/>
              </w:rPr>
              <w:t>resources</w:t>
            </w:r>
            <w:r>
              <w:rPr>
                <w:spacing w:val="40"/>
                <w:w w:val="105"/>
                <w:sz w:val="23"/>
              </w:rPr>
              <w:t xml:space="preserve"> </w:t>
            </w:r>
            <w:r>
              <w:rPr>
                <w:w w:val="105"/>
                <w:sz w:val="23"/>
              </w:rPr>
              <w:t>and</w:t>
            </w:r>
            <w:r>
              <w:rPr>
                <w:spacing w:val="40"/>
                <w:w w:val="105"/>
                <w:sz w:val="23"/>
              </w:rPr>
              <w:t xml:space="preserve"> </w:t>
            </w:r>
            <w:r>
              <w:rPr>
                <w:w w:val="105"/>
                <w:sz w:val="23"/>
              </w:rPr>
              <w:t>capabilities</w:t>
            </w:r>
            <w:r>
              <w:rPr>
                <w:spacing w:val="40"/>
                <w:w w:val="105"/>
                <w:sz w:val="23"/>
              </w:rPr>
              <w:t xml:space="preserve"> </w:t>
            </w:r>
            <w:r>
              <w:rPr>
                <w:w w:val="105"/>
                <w:sz w:val="23"/>
              </w:rPr>
              <w:t>are</w:t>
            </w:r>
            <w:r>
              <w:rPr>
                <w:spacing w:val="40"/>
                <w:w w:val="105"/>
                <w:sz w:val="23"/>
              </w:rPr>
              <w:t xml:space="preserve"> </w:t>
            </w:r>
            <w:r>
              <w:rPr>
                <w:w w:val="105"/>
                <w:sz w:val="23"/>
              </w:rPr>
              <w:t>not easily replaced by competitors.</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1106"/>
        </w:trPr>
        <w:tc>
          <w:tcPr>
            <w:tcW w:w="757" w:type="dxa"/>
          </w:tcPr>
          <w:p w:rsidR="00487D64" w:rsidRDefault="00487D64">
            <w:pPr>
              <w:pStyle w:val="TableParagraph"/>
            </w:pPr>
          </w:p>
        </w:tc>
        <w:tc>
          <w:tcPr>
            <w:tcW w:w="4813" w:type="dxa"/>
          </w:tcPr>
          <w:p w:rsidR="00487D64" w:rsidRDefault="006F0D93">
            <w:pPr>
              <w:pStyle w:val="TableParagraph"/>
              <w:spacing w:before="14"/>
              <w:ind w:left="109"/>
              <w:rPr>
                <w:b/>
                <w:sz w:val="23"/>
              </w:rPr>
            </w:pPr>
            <w:r>
              <w:rPr>
                <w:b/>
                <w:w w:val="105"/>
                <w:sz w:val="23"/>
              </w:rPr>
              <w:t>Your</w:t>
            </w:r>
            <w:r>
              <w:rPr>
                <w:b/>
                <w:spacing w:val="47"/>
                <w:w w:val="105"/>
                <w:sz w:val="23"/>
              </w:rPr>
              <w:t xml:space="preserve"> </w:t>
            </w:r>
            <w:r>
              <w:rPr>
                <w:b/>
                <w:w w:val="105"/>
                <w:sz w:val="23"/>
              </w:rPr>
              <w:t>firm's</w:t>
            </w:r>
            <w:r>
              <w:rPr>
                <w:b/>
                <w:spacing w:val="53"/>
                <w:w w:val="105"/>
                <w:sz w:val="23"/>
              </w:rPr>
              <w:t xml:space="preserve"> </w:t>
            </w:r>
            <w:r>
              <w:rPr>
                <w:b/>
                <w:w w:val="105"/>
                <w:sz w:val="23"/>
              </w:rPr>
              <w:t>Strategic</w:t>
            </w:r>
            <w:r>
              <w:rPr>
                <w:b/>
                <w:spacing w:val="48"/>
                <w:w w:val="105"/>
                <w:sz w:val="23"/>
              </w:rPr>
              <w:t xml:space="preserve"> </w:t>
            </w:r>
            <w:r>
              <w:rPr>
                <w:b/>
                <w:w w:val="105"/>
                <w:sz w:val="23"/>
              </w:rPr>
              <w:t>Flexibility</w:t>
            </w:r>
            <w:r>
              <w:rPr>
                <w:b/>
                <w:spacing w:val="42"/>
                <w:w w:val="105"/>
                <w:sz w:val="23"/>
              </w:rPr>
              <w:t xml:space="preserve"> </w:t>
            </w:r>
            <w:r>
              <w:rPr>
                <w:b/>
                <w:spacing w:val="-2"/>
                <w:w w:val="105"/>
                <w:sz w:val="23"/>
              </w:rPr>
              <w:t>(Planning</w:t>
            </w:r>
          </w:p>
          <w:p w:rsidR="00487D64" w:rsidRDefault="00487D64">
            <w:pPr>
              <w:pStyle w:val="TableParagraph"/>
              <w:spacing w:before="26"/>
              <w:rPr>
                <w:b/>
                <w:i/>
                <w:sz w:val="23"/>
              </w:rPr>
            </w:pPr>
          </w:p>
          <w:p w:rsidR="00487D64" w:rsidRDefault="006F0D93">
            <w:pPr>
              <w:pStyle w:val="TableParagraph"/>
              <w:ind w:left="109"/>
              <w:rPr>
                <w:b/>
                <w:sz w:val="23"/>
              </w:rPr>
            </w:pPr>
            <w:r>
              <w:rPr>
                <w:b/>
                <w:spacing w:val="-2"/>
                <w:w w:val="105"/>
                <w:sz w:val="23"/>
              </w:rPr>
              <w:t>Flexibility)</w:t>
            </w:r>
          </w:p>
        </w:tc>
        <w:tc>
          <w:tcPr>
            <w:tcW w:w="584" w:type="dxa"/>
          </w:tcPr>
          <w:p w:rsidR="00487D64" w:rsidRDefault="006F0D93">
            <w:pPr>
              <w:pStyle w:val="TableParagraph"/>
              <w:spacing w:before="14"/>
              <w:ind w:left="109"/>
              <w:rPr>
                <w:b/>
                <w:sz w:val="23"/>
              </w:rPr>
            </w:pPr>
            <w:r>
              <w:rPr>
                <w:b/>
                <w:spacing w:val="-10"/>
                <w:w w:val="105"/>
                <w:sz w:val="23"/>
              </w:rPr>
              <w:t>1</w:t>
            </w:r>
          </w:p>
        </w:tc>
        <w:tc>
          <w:tcPr>
            <w:tcW w:w="591" w:type="dxa"/>
          </w:tcPr>
          <w:p w:rsidR="00487D64" w:rsidRDefault="006F0D93">
            <w:pPr>
              <w:pStyle w:val="TableParagraph"/>
              <w:spacing w:before="14"/>
              <w:ind w:left="108"/>
              <w:rPr>
                <w:b/>
                <w:sz w:val="23"/>
              </w:rPr>
            </w:pPr>
            <w:r>
              <w:rPr>
                <w:b/>
                <w:spacing w:val="-10"/>
                <w:w w:val="105"/>
                <w:sz w:val="23"/>
              </w:rPr>
              <w:t>2</w:t>
            </w:r>
          </w:p>
        </w:tc>
        <w:tc>
          <w:tcPr>
            <w:tcW w:w="591" w:type="dxa"/>
          </w:tcPr>
          <w:p w:rsidR="00487D64" w:rsidRDefault="006F0D93">
            <w:pPr>
              <w:pStyle w:val="TableParagraph"/>
              <w:spacing w:before="14"/>
              <w:ind w:left="108"/>
              <w:rPr>
                <w:b/>
                <w:sz w:val="23"/>
              </w:rPr>
            </w:pPr>
            <w:r>
              <w:rPr>
                <w:b/>
                <w:spacing w:val="-10"/>
                <w:w w:val="105"/>
                <w:sz w:val="23"/>
              </w:rPr>
              <w:t>3</w:t>
            </w:r>
          </w:p>
        </w:tc>
        <w:tc>
          <w:tcPr>
            <w:tcW w:w="526" w:type="dxa"/>
          </w:tcPr>
          <w:p w:rsidR="00487D64" w:rsidRDefault="006F0D93">
            <w:pPr>
              <w:pStyle w:val="TableParagraph"/>
              <w:spacing w:before="14"/>
              <w:ind w:left="101"/>
              <w:rPr>
                <w:b/>
                <w:sz w:val="23"/>
              </w:rPr>
            </w:pPr>
            <w:r>
              <w:rPr>
                <w:b/>
                <w:spacing w:val="-10"/>
                <w:w w:val="105"/>
                <w:sz w:val="23"/>
              </w:rPr>
              <w:t>4</w:t>
            </w:r>
          </w:p>
        </w:tc>
        <w:tc>
          <w:tcPr>
            <w:tcW w:w="583" w:type="dxa"/>
          </w:tcPr>
          <w:p w:rsidR="00487D64" w:rsidRDefault="006F0D93">
            <w:pPr>
              <w:pStyle w:val="TableParagraph"/>
              <w:spacing w:before="14"/>
              <w:ind w:left="108"/>
              <w:rPr>
                <w:b/>
                <w:sz w:val="23"/>
              </w:rPr>
            </w:pPr>
            <w:r>
              <w:rPr>
                <w:b/>
                <w:spacing w:val="-10"/>
                <w:w w:val="105"/>
                <w:sz w:val="23"/>
              </w:rPr>
              <w:t>5</w:t>
            </w:r>
          </w:p>
        </w:tc>
      </w:tr>
      <w:tr w:rsidR="00487D64">
        <w:trPr>
          <w:trHeight w:val="825"/>
        </w:trPr>
        <w:tc>
          <w:tcPr>
            <w:tcW w:w="757" w:type="dxa"/>
          </w:tcPr>
          <w:p w:rsidR="00487D64" w:rsidRDefault="006F0D93">
            <w:pPr>
              <w:pStyle w:val="TableParagraph"/>
              <w:ind w:left="110"/>
              <w:rPr>
                <w:sz w:val="23"/>
              </w:rPr>
            </w:pPr>
            <w:r>
              <w:rPr>
                <w:spacing w:val="-5"/>
                <w:w w:val="105"/>
                <w:sz w:val="23"/>
              </w:rPr>
              <w:t>25</w:t>
            </w:r>
          </w:p>
        </w:tc>
        <w:tc>
          <w:tcPr>
            <w:tcW w:w="4813" w:type="dxa"/>
          </w:tcPr>
          <w:p w:rsidR="00487D64" w:rsidRDefault="006F0D93">
            <w:pPr>
              <w:pStyle w:val="TableParagraph"/>
              <w:spacing w:line="249" w:lineRule="auto"/>
              <w:ind w:left="109"/>
              <w:rPr>
                <w:sz w:val="23"/>
              </w:rPr>
            </w:pPr>
            <w:r>
              <w:rPr>
                <w:w w:val="105"/>
                <w:sz w:val="23"/>
              </w:rPr>
              <w:t>To what extent does your</w:t>
            </w:r>
            <w:r>
              <w:rPr>
                <w:w w:val="105"/>
                <w:sz w:val="23"/>
              </w:rPr>
              <w:t xml:space="preserve"> organization exhibit opportunistic</w:t>
            </w:r>
            <w:r>
              <w:rPr>
                <w:spacing w:val="38"/>
                <w:w w:val="105"/>
                <w:sz w:val="23"/>
              </w:rPr>
              <w:t xml:space="preserve"> </w:t>
            </w:r>
            <w:r>
              <w:rPr>
                <w:w w:val="105"/>
                <w:sz w:val="23"/>
              </w:rPr>
              <w:t>shifts</w:t>
            </w:r>
            <w:r>
              <w:rPr>
                <w:spacing w:val="31"/>
                <w:w w:val="105"/>
                <w:sz w:val="23"/>
              </w:rPr>
              <w:t xml:space="preserve"> </w:t>
            </w:r>
            <w:r>
              <w:rPr>
                <w:w w:val="105"/>
                <w:sz w:val="23"/>
              </w:rPr>
              <w:t>in</w:t>
            </w:r>
            <w:r>
              <w:rPr>
                <w:spacing w:val="32"/>
                <w:w w:val="105"/>
                <w:sz w:val="23"/>
              </w:rPr>
              <w:t xml:space="preserve"> </w:t>
            </w:r>
            <w:r>
              <w:rPr>
                <w:w w:val="105"/>
                <w:sz w:val="23"/>
              </w:rPr>
              <w:t>response</w:t>
            </w:r>
            <w:r>
              <w:rPr>
                <w:spacing w:val="32"/>
                <w:w w:val="105"/>
                <w:sz w:val="23"/>
              </w:rPr>
              <w:t xml:space="preserve"> </w:t>
            </w:r>
            <w:r>
              <w:rPr>
                <w:w w:val="105"/>
                <w:sz w:val="23"/>
              </w:rPr>
              <w:t>to</w:t>
            </w:r>
            <w:r>
              <w:rPr>
                <w:spacing w:val="40"/>
                <w:w w:val="105"/>
                <w:sz w:val="23"/>
              </w:rPr>
              <w:t xml:space="preserve"> </w:t>
            </w:r>
            <w:r>
              <w:rPr>
                <w:w w:val="105"/>
                <w:sz w:val="23"/>
              </w:rPr>
              <w:t>changes</w:t>
            </w:r>
            <w:r>
              <w:rPr>
                <w:spacing w:val="30"/>
                <w:w w:val="105"/>
                <w:sz w:val="23"/>
              </w:rPr>
              <w:t xml:space="preserve"> </w:t>
            </w:r>
            <w:r>
              <w:rPr>
                <w:spacing w:val="-5"/>
                <w:w w:val="105"/>
                <w:sz w:val="23"/>
              </w:rPr>
              <w:t>in</w:t>
            </w:r>
          </w:p>
          <w:p w:rsidR="00487D64" w:rsidRDefault="006F0D93">
            <w:pPr>
              <w:pStyle w:val="TableParagraph"/>
              <w:spacing w:before="4" w:line="251" w:lineRule="exact"/>
              <w:ind w:left="109"/>
              <w:rPr>
                <w:sz w:val="23"/>
              </w:rPr>
            </w:pPr>
            <w:r>
              <w:rPr>
                <w:sz w:val="23"/>
              </w:rPr>
              <w:t>economic</w:t>
            </w:r>
            <w:r>
              <w:rPr>
                <w:spacing w:val="34"/>
                <w:sz w:val="23"/>
              </w:rPr>
              <w:t xml:space="preserve"> </w:t>
            </w:r>
            <w:r>
              <w:rPr>
                <w:spacing w:val="-2"/>
                <w:sz w:val="23"/>
              </w:rPr>
              <w:t>conditions</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825"/>
        </w:trPr>
        <w:tc>
          <w:tcPr>
            <w:tcW w:w="757" w:type="dxa"/>
          </w:tcPr>
          <w:p w:rsidR="00487D64" w:rsidRDefault="006F0D93">
            <w:pPr>
              <w:pStyle w:val="TableParagraph"/>
              <w:ind w:left="110"/>
              <w:rPr>
                <w:sz w:val="23"/>
              </w:rPr>
            </w:pPr>
            <w:r>
              <w:rPr>
                <w:spacing w:val="-5"/>
                <w:w w:val="105"/>
                <w:sz w:val="23"/>
              </w:rPr>
              <w:t>26</w:t>
            </w:r>
          </w:p>
        </w:tc>
        <w:tc>
          <w:tcPr>
            <w:tcW w:w="4813" w:type="dxa"/>
          </w:tcPr>
          <w:p w:rsidR="00487D64" w:rsidRDefault="006F0D93">
            <w:pPr>
              <w:pStyle w:val="TableParagraph"/>
              <w:ind w:left="109"/>
              <w:rPr>
                <w:sz w:val="23"/>
              </w:rPr>
            </w:pPr>
            <w:r>
              <w:rPr>
                <w:w w:val="105"/>
                <w:sz w:val="23"/>
              </w:rPr>
              <w:t>To</w:t>
            </w:r>
            <w:r>
              <w:rPr>
                <w:spacing w:val="34"/>
                <w:w w:val="105"/>
                <w:sz w:val="23"/>
              </w:rPr>
              <w:t xml:space="preserve"> </w:t>
            </w:r>
            <w:r>
              <w:rPr>
                <w:w w:val="105"/>
                <w:sz w:val="23"/>
              </w:rPr>
              <w:t>what</w:t>
            </w:r>
            <w:r>
              <w:rPr>
                <w:spacing w:val="42"/>
                <w:w w:val="105"/>
                <w:sz w:val="23"/>
              </w:rPr>
              <w:t xml:space="preserve"> </w:t>
            </w:r>
            <w:r>
              <w:rPr>
                <w:w w:val="105"/>
                <w:sz w:val="23"/>
              </w:rPr>
              <w:t>extent</w:t>
            </w:r>
            <w:r>
              <w:rPr>
                <w:spacing w:val="43"/>
                <w:w w:val="105"/>
                <w:sz w:val="23"/>
              </w:rPr>
              <w:t xml:space="preserve"> </w:t>
            </w:r>
            <w:r>
              <w:rPr>
                <w:w w:val="105"/>
                <w:sz w:val="23"/>
              </w:rPr>
              <w:t>does</w:t>
            </w:r>
            <w:r>
              <w:rPr>
                <w:spacing w:val="39"/>
                <w:w w:val="105"/>
                <w:sz w:val="23"/>
              </w:rPr>
              <w:t xml:space="preserve"> </w:t>
            </w:r>
            <w:r>
              <w:rPr>
                <w:w w:val="105"/>
                <w:sz w:val="23"/>
              </w:rPr>
              <w:t>your</w:t>
            </w:r>
            <w:r>
              <w:rPr>
                <w:spacing w:val="37"/>
                <w:w w:val="105"/>
                <w:sz w:val="23"/>
              </w:rPr>
              <w:t xml:space="preserve"> </w:t>
            </w:r>
            <w:r>
              <w:rPr>
                <w:w w:val="105"/>
                <w:sz w:val="23"/>
              </w:rPr>
              <w:t>business</w:t>
            </w:r>
            <w:r>
              <w:rPr>
                <w:spacing w:val="32"/>
                <w:w w:val="105"/>
                <w:sz w:val="23"/>
              </w:rPr>
              <w:t xml:space="preserve"> </w:t>
            </w:r>
            <w:r>
              <w:rPr>
                <w:spacing w:val="-2"/>
                <w:w w:val="105"/>
                <w:sz w:val="23"/>
              </w:rPr>
              <w:t>recognize</w:t>
            </w:r>
          </w:p>
          <w:p w:rsidR="00487D64" w:rsidRDefault="006F0D93">
            <w:pPr>
              <w:pStyle w:val="TableParagraph"/>
              <w:spacing w:before="1" w:line="270" w:lineRule="atLeast"/>
              <w:ind w:left="109"/>
              <w:rPr>
                <w:sz w:val="23"/>
              </w:rPr>
            </w:pPr>
            <w:r>
              <w:rPr>
                <w:w w:val="105"/>
                <w:sz w:val="23"/>
              </w:rPr>
              <w:t xml:space="preserve">and capitalize on specific opportunities as they </w:t>
            </w:r>
            <w:r>
              <w:rPr>
                <w:spacing w:val="-4"/>
                <w:w w:val="105"/>
                <w:sz w:val="23"/>
              </w:rPr>
              <w:t>arise</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r w:rsidR="00487D64">
        <w:trPr>
          <w:trHeight w:val="558"/>
        </w:trPr>
        <w:tc>
          <w:tcPr>
            <w:tcW w:w="757" w:type="dxa"/>
          </w:tcPr>
          <w:p w:rsidR="00487D64" w:rsidRDefault="006F0D93">
            <w:pPr>
              <w:pStyle w:val="TableParagraph"/>
              <w:spacing w:before="7"/>
              <w:ind w:left="110"/>
              <w:rPr>
                <w:sz w:val="23"/>
              </w:rPr>
            </w:pPr>
            <w:r>
              <w:rPr>
                <w:spacing w:val="-5"/>
                <w:w w:val="105"/>
                <w:sz w:val="23"/>
              </w:rPr>
              <w:t>27</w:t>
            </w:r>
          </w:p>
        </w:tc>
        <w:tc>
          <w:tcPr>
            <w:tcW w:w="4813" w:type="dxa"/>
          </w:tcPr>
          <w:p w:rsidR="00487D64" w:rsidRDefault="006F0D93">
            <w:pPr>
              <w:pStyle w:val="TableParagraph"/>
              <w:spacing w:line="274" w:lineRule="exact"/>
              <w:ind w:left="109"/>
              <w:rPr>
                <w:sz w:val="23"/>
              </w:rPr>
            </w:pPr>
            <w:r>
              <w:rPr>
                <w:w w:val="105"/>
                <w:sz w:val="23"/>
              </w:rPr>
              <w:t>To what extent does your business</w:t>
            </w:r>
            <w:r>
              <w:rPr>
                <w:spacing w:val="-2"/>
                <w:w w:val="105"/>
                <w:sz w:val="23"/>
              </w:rPr>
              <w:t xml:space="preserve"> </w:t>
            </w:r>
            <w:r>
              <w:rPr>
                <w:w w:val="105"/>
                <w:sz w:val="23"/>
              </w:rPr>
              <w:t>adapt to the market entry of new competition</w:t>
            </w:r>
          </w:p>
        </w:tc>
        <w:tc>
          <w:tcPr>
            <w:tcW w:w="584" w:type="dxa"/>
          </w:tcPr>
          <w:p w:rsidR="00487D64" w:rsidRDefault="00487D64">
            <w:pPr>
              <w:pStyle w:val="TableParagraph"/>
            </w:pPr>
          </w:p>
        </w:tc>
        <w:tc>
          <w:tcPr>
            <w:tcW w:w="591" w:type="dxa"/>
          </w:tcPr>
          <w:p w:rsidR="00487D64" w:rsidRDefault="00487D64">
            <w:pPr>
              <w:pStyle w:val="TableParagraph"/>
            </w:pPr>
          </w:p>
        </w:tc>
        <w:tc>
          <w:tcPr>
            <w:tcW w:w="591" w:type="dxa"/>
          </w:tcPr>
          <w:p w:rsidR="00487D64" w:rsidRDefault="00487D64">
            <w:pPr>
              <w:pStyle w:val="TableParagraph"/>
            </w:pPr>
          </w:p>
        </w:tc>
        <w:tc>
          <w:tcPr>
            <w:tcW w:w="526" w:type="dxa"/>
          </w:tcPr>
          <w:p w:rsidR="00487D64" w:rsidRDefault="00487D64">
            <w:pPr>
              <w:pStyle w:val="TableParagraph"/>
            </w:pPr>
          </w:p>
        </w:tc>
        <w:tc>
          <w:tcPr>
            <w:tcW w:w="583" w:type="dxa"/>
          </w:tcPr>
          <w:p w:rsidR="00487D64" w:rsidRDefault="00487D64">
            <w:pPr>
              <w:pStyle w:val="TableParagraph"/>
            </w:pPr>
          </w:p>
        </w:tc>
      </w:tr>
    </w:tbl>
    <w:p w:rsidR="00487D64" w:rsidRDefault="00487D64">
      <w:pPr>
        <w:pStyle w:val="TableParagraph"/>
        <w:sectPr w:rsidR="00487D64">
          <w:pgSz w:w="11910" w:h="16850"/>
          <w:pgMar w:top="980" w:right="566" w:bottom="280" w:left="850" w:header="725" w:footer="0" w:gutter="0"/>
          <w:cols w:space="720"/>
        </w:sectPr>
      </w:pPr>
    </w:p>
    <w:p w:rsidR="00487D64" w:rsidRDefault="00487D64">
      <w:pPr>
        <w:pStyle w:val="BodyText"/>
        <w:rPr>
          <w:b/>
          <w:i/>
          <w:sz w:val="20"/>
        </w:rPr>
      </w:pPr>
    </w:p>
    <w:p w:rsidR="00487D64" w:rsidRDefault="00487D64">
      <w:pPr>
        <w:pStyle w:val="BodyText"/>
        <w:rPr>
          <w:b/>
          <w:i/>
          <w:sz w:val="20"/>
        </w:rPr>
      </w:pPr>
    </w:p>
    <w:p w:rsidR="00487D64" w:rsidRDefault="00487D64">
      <w:pPr>
        <w:pStyle w:val="BodyText"/>
        <w:rPr>
          <w:b/>
          <w:i/>
          <w:sz w:val="20"/>
        </w:rPr>
      </w:pPr>
    </w:p>
    <w:p w:rsidR="00487D64" w:rsidRDefault="00487D64">
      <w:pPr>
        <w:pStyle w:val="BodyText"/>
        <w:rPr>
          <w:b/>
          <w:i/>
          <w:sz w:val="20"/>
        </w:rPr>
      </w:pPr>
    </w:p>
    <w:p w:rsidR="00487D64" w:rsidRDefault="00487D64">
      <w:pPr>
        <w:pStyle w:val="BodyText"/>
        <w:spacing w:before="131"/>
        <w:rPr>
          <w:b/>
          <w:i/>
          <w:sz w:val="20"/>
        </w:rPr>
      </w:pPr>
    </w:p>
    <w:tbl>
      <w:tblPr>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4805"/>
        <w:gridCol w:w="590"/>
        <w:gridCol w:w="590"/>
        <w:gridCol w:w="597"/>
        <w:gridCol w:w="525"/>
        <w:gridCol w:w="582"/>
      </w:tblGrid>
      <w:tr w:rsidR="00487D64">
        <w:trPr>
          <w:trHeight w:val="825"/>
        </w:trPr>
        <w:tc>
          <w:tcPr>
            <w:tcW w:w="749" w:type="dxa"/>
          </w:tcPr>
          <w:p w:rsidR="00487D64" w:rsidRDefault="006F0D93">
            <w:pPr>
              <w:pStyle w:val="TableParagraph"/>
              <w:ind w:left="110"/>
              <w:rPr>
                <w:sz w:val="23"/>
              </w:rPr>
            </w:pPr>
            <w:r>
              <w:rPr>
                <w:spacing w:val="-5"/>
                <w:w w:val="105"/>
                <w:sz w:val="23"/>
              </w:rPr>
              <w:t>28</w:t>
            </w:r>
          </w:p>
        </w:tc>
        <w:tc>
          <w:tcPr>
            <w:tcW w:w="4805" w:type="dxa"/>
          </w:tcPr>
          <w:p w:rsidR="00487D64" w:rsidRDefault="006F0D93">
            <w:pPr>
              <w:pStyle w:val="TableParagraph"/>
              <w:ind w:left="117"/>
              <w:rPr>
                <w:sz w:val="23"/>
              </w:rPr>
            </w:pPr>
            <w:r>
              <w:rPr>
                <w:w w:val="105"/>
                <w:sz w:val="23"/>
              </w:rPr>
              <w:t>To</w:t>
            </w:r>
            <w:r>
              <w:rPr>
                <w:spacing w:val="50"/>
                <w:w w:val="105"/>
                <w:sz w:val="23"/>
              </w:rPr>
              <w:t xml:space="preserve"> </w:t>
            </w:r>
            <w:r>
              <w:rPr>
                <w:w w:val="105"/>
                <w:sz w:val="23"/>
              </w:rPr>
              <w:t>what</w:t>
            </w:r>
            <w:r>
              <w:rPr>
                <w:spacing w:val="60"/>
                <w:w w:val="105"/>
                <w:sz w:val="23"/>
              </w:rPr>
              <w:t xml:space="preserve"> </w:t>
            </w:r>
            <w:r>
              <w:rPr>
                <w:w w:val="105"/>
                <w:sz w:val="23"/>
              </w:rPr>
              <w:t>extent</w:t>
            </w:r>
            <w:r>
              <w:rPr>
                <w:spacing w:val="60"/>
                <w:w w:val="105"/>
                <w:sz w:val="23"/>
              </w:rPr>
              <w:t xml:space="preserve"> </w:t>
            </w:r>
            <w:r>
              <w:rPr>
                <w:w w:val="105"/>
                <w:sz w:val="23"/>
              </w:rPr>
              <w:t>does</w:t>
            </w:r>
            <w:r>
              <w:rPr>
                <w:spacing w:val="55"/>
                <w:w w:val="105"/>
                <w:sz w:val="23"/>
              </w:rPr>
              <w:t xml:space="preserve"> </w:t>
            </w:r>
            <w:r>
              <w:rPr>
                <w:w w:val="105"/>
                <w:sz w:val="23"/>
              </w:rPr>
              <w:t>your</w:t>
            </w:r>
            <w:r>
              <w:rPr>
                <w:spacing w:val="61"/>
                <w:w w:val="105"/>
                <w:sz w:val="23"/>
              </w:rPr>
              <w:t xml:space="preserve"> </w:t>
            </w:r>
            <w:r>
              <w:rPr>
                <w:w w:val="105"/>
                <w:sz w:val="23"/>
              </w:rPr>
              <w:t>business</w:t>
            </w:r>
            <w:r>
              <w:rPr>
                <w:spacing w:val="48"/>
                <w:w w:val="105"/>
                <w:sz w:val="23"/>
              </w:rPr>
              <w:t xml:space="preserve"> </w:t>
            </w:r>
            <w:r>
              <w:rPr>
                <w:w w:val="105"/>
                <w:sz w:val="23"/>
              </w:rPr>
              <w:t>adapt</w:t>
            </w:r>
            <w:r>
              <w:rPr>
                <w:spacing w:val="53"/>
                <w:w w:val="105"/>
                <w:sz w:val="23"/>
              </w:rPr>
              <w:t xml:space="preserve"> </w:t>
            </w:r>
            <w:r>
              <w:rPr>
                <w:spacing w:val="-5"/>
                <w:w w:val="105"/>
                <w:sz w:val="23"/>
              </w:rPr>
              <w:t>to</w:t>
            </w:r>
          </w:p>
          <w:p w:rsidR="00487D64" w:rsidRDefault="006F0D93">
            <w:pPr>
              <w:pStyle w:val="TableParagraph"/>
              <w:spacing w:before="1" w:line="270" w:lineRule="atLeast"/>
              <w:ind w:left="117"/>
              <w:rPr>
                <w:sz w:val="23"/>
              </w:rPr>
            </w:pPr>
            <w:r>
              <w:rPr>
                <w:w w:val="105"/>
                <w:sz w:val="23"/>
              </w:rPr>
              <w:t>opportunistic</w:t>
            </w:r>
            <w:r>
              <w:rPr>
                <w:spacing w:val="80"/>
                <w:w w:val="105"/>
                <w:sz w:val="23"/>
              </w:rPr>
              <w:t xml:space="preserve"> </w:t>
            </w:r>
            <w:r>
              <w:rPr>
                <w:w w:val="105"/>
                <w:sz w:val="23"/>
              </w:rPr>
              <w:t>shifts</w:t>
            </w:r>
            <w:r>
              <w:rPr>
                <w:spacing w:val="80"/>
                <w:w w:val="105"/>
                <w:sz w:val="23"/>
              </w:rPr>
              <w:t xml:space="preserve"> </w:t>
            </w:r>
            <w:r>
              <w:rPr>
                <w:w w:val="105"/>
                <w:sz w:val="23"/>
              </w:rPr>
              <w:t>in</w:t>
            </w:r>
            <w:r>
              <w:rPr>
                <w:spacing w:val="80"/>
                <w:w w:val="105"/>
                <w:sz w:val="23"/>
              </w:rPr>
              <w:t xml:space="preserve"> </w:t>
            </w:r>
            <w:r>
              <w:rPr>
                <w:w w:val="105"/>
                <w:sz w:val="23"/>
              </w:rPr>
              <w:t>customer</w:t>
            </w:r>
            <w:r>
              <w:rPr>
                <w:spacing w:val="80"/>
                <w:w w:val="105"/>
                <w:sz w:val="23"/>
              </w:rPr>
              <w:t xml:space="preserve"> </w:t>
            </w:r>
            <w:r>
              <w:rPr>
                <w:w w:val="105"/>
                <w:sz w:val="23"/>
              </w:rPr>
              <w:t>needs</w:t>
            </w:r>
            <w:r>
              <w:rPr>
                <w:spacing w:val="80"/>
                <w:w w:val="105"/>
                <w:sz w:val="23"/>
              </w:rPr>
              <w:t xml:space="preserve"> </w:t>
            </w:r>
            <w:r>
              <w:rPr>
                <w:w w:val="105"/>
                <w:sz w:val="23"/>
              </w:rPr>
              <w:t xml:space="preserve">and </w:t>
            </w:r>
            <w:r>
              <w:rPr>
                <w:spacing w:val="-2"/>
                <w:w w:val="105"/>
                <w:sz w:val="23"/>
              </w:rPr>
              <w:t>preferences</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833"/>
        </w:trPr>
        <w:tc>
          <w:tcPr>
            <w:tcW w:w="749" w:type="dxa"/>
          </w:tcPr>
          <w:p w:rsidR="00487D64" w:rsidRDefault="006F0D93">
            <w:pPr>
              <w:pStyle w:val="TableParagraph"/>
              <w:spacing w:before="7"/>
              <w:ind w:left="110"/>
              <w:rPr>
                <w:sz w:val="23"/>
              </w:rPr>
            </w:pPr>
            <w:r>
              <w:rPr>
                <w:spacing w:val="-5"/>
                <w:w w:val="105"/>
                <w:sz w:val="23"/>
              </w:rPr>
              <w:t>29</w:t>
            </w:r>
          </w:p>
        </w:tc>
        <w:tc>
          <w:tcPr>
            <w:tcW w:w="4805" w:type="dxa"/>
          </w:tcPr>
          <w:p w:rsidR="00487D64" w:rsidRDefault="006F0D93">
            <w:pPr>
              <w:pStyle w:val="TableParagraph"/>
              <w:spacing w:line="274" w:lineRule="exact"/>
              <w:ind w:left="117" w:right="84"/>
              <w:jc w:val="both"/>
              <w:rPr>
                <w:sz w:val="23"/>
              </w:rPr>
            </w:pPr>
            <w:r>
              <w:rPr>
                <w:w w:val="105"/>
                <w:sz w:val="23"/>
              </w:rPr>
              <w:t>To what extent does</w:t>
            </w:r>
            <w:r>
              <w:rPr>
                <w:spacing w:val="-1"/>
                <w:w w:val="105"/>
                <w:sz w:val="23"/>
              </w:rPr>
              <w:t xml:space="preserve"> </w:t>
            </w:r>
            <w:r>
              <w:rPr>
                <w:w w:val="105"/>
                <w:sz w:val="23"/>
              </w:rPr>
              <w:t>your business</w:t>
            </w:r>
            <w:r>
              <w:rPr>
                <w:spacing w:val="-1"/>
                <w:w w:val="105"/>
                <w:sz w:val="23"/>
              </w:rPr>
              <w:t xml:space="preserve"> </w:t>
            </w:r>
            <w:r>
              <w:rPr>
                <w:w w:val="105"/>
                <w:sz w:val="23"/>
              </w:rPr>
              <w:t>adapt to the emergence of new</w:t>
            </w:r>
            <w:r>
              <w:rPr>
                <w:w w:val="105"/>
                <w:sz w:val="23"/>
              </w:rPr>
              <w:t xml:space="preserve"> technology that adversely affects existing businesses</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551"/>
        </w:trPr>
        <w:tc>
          <w:tcPr>
            <w:tcW w:w="749" w:type="dxa"/>
          </w:tcPr>
          <w:p w:rsidR="00487D64" w:rsidRDefault="006F0D93">
            <w:pPr>
              <w:pStyle w:val="TableParagraph"/>
              <w:ind w:left="110"/>
              <w:rPr>
                <w:sz w:val="23"/>
              </w:rPr>
            </w:pPr>
            <w:r>
              <w:rPr>
                <w:spacing w:val="-5"/>
                <w:w w:val="105"/>
                <w:sz w:val="23"/>
              </w:rPr>
              <w:t>30</w:t>
            </w:r>
          </w:p>
        </w:tc>
        <w:tc>
          <w:tcPr>
            <w:tcW w:w="4805" w:type="dxa"/>
          </w:tcPr>
          <w:p w:rsidR="00487D64" w:rsidRDefault="006F0D93">
            <w:pPr>
              <w:pStyle w:val="TableParagraph"/>
              <w:ind w:left="117"/>
              <w:rPr>
                <w:sz w:val="23"/>
              </w:rPr>
            </w:pPr>
            <w:r>
              <w:rPr>
                <w:w w:val="105"/>
                <w:sz w:val="23"/>
              </w:rPr>
              <w:t>To</w:t>
            </w:r>
            <w:r>
              <w:rPr>
                <w:spacing w:val="50"/>
                <w:w w:val="105"/>
                <w:sz w:val="23"/>
              </w:rPr>
              <w:t xml:space="preserve"> </w:t>
            </w:r>
            <w:r>
              <w:rPr>
                <w:w w:val="105"/>
                <w:sz w:val="23"/>
              </w:rPr>
              <w:t>what</w:t>
            </w:r>
            <w:r>
              <w:rPr>
                <w:spacing w:val="60"/>
                <w:w w:val="105"/>
                <w:sz w:val="23"/>
              </w:rPr>
              <w:t xml:space="preserve"> </w:t>
            </w:r>
            <w:r>
              <w:rPr>
                <w:w w:val="105"/>
                <w:sz w:val="23"/>
              </w:rPr>
              <w:t>extent</w:t>
            </w:r>
            <w:r>
              <w:rPr>
                <w:spacing w:val="60"/>
                <w:w w:val="105"/>
                <w:sz w:val="23"/>
              </w:rPr>
              <w:t xml:space="preserve"> </w:t>
            </w:r>
            <w:r>
              <w:rPr>
                <w:w w:val="105"/>
                <w:sz w:val="23"/>
              </w:rPr>
              <w:t>does</w:t>
            </w:r>
            <w:r>
              <w:rPr>
                <w:spacing w:val="55"/>
                <w:w w:val="105"/>
                <w:sz w:val="23"/>
              </w:rPr>
              <w:t xml:space="preserve"> </w:t>
            </w:r>
            <w:r>
              <w:rPr>
                <w:w w:val="105"/>
                <w:sz w:val="23"/>
              </w:rPr>
              <w:t>your</w:t>
            </w:r>
            <w:r>
              <w:rPr>
                <w:spacing w:val="61"/>
                <w:w w:val="105"/>
                <w:sz w:val="23"/>
              </w:rPr>
              <w:t xml:space="preserve"> </w:t>
            </w:r>
            <w:r>
              <w:rPr>
                <w:w w:val="105"/>
                <w:sz w:val="23"/>
              </w:rPr>
              <w:t>business</w:t>
            </w:r>
            <w:r>
              <w:rPr>
                <w:spacing w:val="48"/>
                <w:w w:val="105"/>
                <w:sz w:val="23"/>
              </w:rPr>
              <w:t xml:space="preserve"> </w:t>
            </w:r>
            <w:r>
              <w:rPr>
                <w:w w:val="105"/>
                <w:sz w:val="23"/>
              </w:rPr>
              <w:t>adapt</w:t>
            </w:r>
            <w:r>
              <w:rPr>
                <w:spacing w:val="53"/>
                <w:w w:val="105"/>
                <w:sz w:val="23"/>
              </w:rPr>
              <w:t xml:space="preserve"> </w:t>
            </w:r>
            <w:r>
              <w:rPr>
                <w:spacing w:val="-5"/>
                <w:w w:val="105"/>
                <w:sz w:val="23"/>
              </w:rPr>
              <w:t>to</w:t>
            </w:r>
          </w:p>
          <w:p w:rsidR="00487D64" w:rsidRDefault="006F0D93">
            <w:pPr>
              <w:pStyle w:val="TableParagraph"/>
              <w:spacing w:before="9" w:line="258" w:lineRule="exact"/>
              <w:ind w:left="117"/>
              <w:rPr>
                <w:sz w:val="23"/>
              </w:rPr>
            </w:pPr>
            <w:r>
              <w:rPr>
                <w:w w:val="105"/>
                <w:sz w:val="23"/>
              </w:rPr>
              <w:t>adverse</w:t>
            </w:r>
            <w:r>
              <w:rPr>
                <w:spacing w:val="-13"/>
                <w:w w:val="105"/>
                <w:sz w:val="23"/>
              </w:rPr>
              <w:t xml:space="preserve"> </w:t>
            </w:r>
            <w:r>
              <w:rPr>
                <w:w w:val="105"/>
                <w:sz w:val="23"/>
              </w:rPr>
              <w:t>changes</w:t>
            </w:r>
            <w:r>
              <w:rPr>
                <w:spacing w:val="-13"/>
                <w:w w:val="105"/>
                <w:sz w:val="23"/>
              </w:rPr>
              <w:t xml:space="preserve"> </w:t>
            </w:r>
            <w:r>
              <w:rPr>
                <w:w w:val="105"/>
                <w:sz w:val="23"/>
              </w:rPr>
              <w:t>in</w:t>
            </w:r>
            <w:r>
              <w:rPr>
                <w:spacing w:val="-12"/>
                <w:w w:val="105"/>
                <w:sz w:val="23"/>
              </w:rPr>
              <w:t xml:space="preserve"> </w:t>
            </w:r>
            <w:r>
              <w:rPr>
                <w:w w:val="105"/>
                <w:sz w:val="23"/>
              </w:rPr>
              <w:t>government</w:t>
            </w:r>
            <w:r>
              <w:rPr>
                <w:spacing w:val="-9"/>
                <w:w w:val="105"/>
                <w:sz w:val="23"/>
              </w:rPr>
              <w:t xml:space="preserve"> </w:t>
            </w:r>
            <w:r>
              <w:rPr>
                <w:spacing w:val="-2"/>
                <w:w w:val="105"/>
                <w:sz w:val="23"/>
              </w:rPr>
              <w:t>regulations</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1106"/>
        </w:trPr>
        <w:tc>
          <w:tcPr>
            <w:tcW w:w="749" w:type="dxa"/>
          </w:tcPr>
          <w:p w:rsidR="00487D64" w:rsidRDefault="00487D64">
            <w:pPr>
              <w:pStyle w:val="TableParagraph"/>
            </w:pPr>
          </w:p>
        </w:tc>
        <w:tc>
          <w:tcPr>
            <w:tcW w:w="4805" w:type="dxa"/>
          </w:tcPr>
          <w:p w:rsidR="00487D64" w:rsidRDefault="006F0D93">
            <w:pPr>
              <w:pStyle w:val="TableParagraph"/>
              <w:spacing w:before="14"/>
              <w:ind w:left="110"/>
              <w:rPr>
                <w:b/>
                <w:sz w:val="23"/>
              </w:rPr>
            </w:pPr>
            <w:r>
              <w:rPr>
                <w:b/>
                <w:w w:val="105"/>
                <w:sz w:val="23"/>
              </w:rPr>
              <w:t>Your</w:t>
            </w:r>
            <w:r>
              <w:rPr>
                <w:b/>
                <w:spacing w:val="57"/>
                <w:w w:val="105"/>
                <w:sz w:val="23"/>
              </w:rPr>
              <w:t xml:space="preserve"> </w:t>
            </w:r>
            <w:r>
              <w:rPr>
                <w:b/>
                <w:w w:val="105"/>
                <w:sz w:val="23"/>
              </w:rPr>
              <w:t>firm's</w:t>
            </w:r>
            <w:r>
              <w:rPr>
                <w:b/>
                <w:spacing w:val="63"/>
                <w:w w:val="105"/>
                <w:sz w:val="23"/>
              </w:rPr>
              <w:t xml:space="preserve"> </w:t>
            </w:r>
            <w:r>
              <w:rPr>
                <w:b/>
                <w:w w:val="105"/>
                <w:sz w:val="23"/>
              </w:rPr>
              <w:t>Strategic</w:t>
            </w:r>
            <w:r>
              <w:rPr>
                <w:b/>
                <w:spacing w:val="57"/>
                <w:w w:val="105"/>
                <w:sz w:val="23"/>
              </w:rPr>
              <w:t xml:space="preserve"> </w:t>
            </w:r>
            <w:r>
              <w:rPr>
                <w:b/>
                <w:w w:val="105"/>
                <w:sz w:val="23"/>
              </w:rPr>
              <w:t>flexibility</w:t>
            </w:r>
            <w:r>
              <w:rPr>
                <w:b/>
                <w:spacing w:val="52"/>
                <w:w w:val="105"/>
                <w:sz w:val="23"/>
              </w:rPr>
              <w:t xml:space="preserve"> </w:t>
            </w:r>
            <w:r>
              <w:rPr>
                <w:b/>
                <w:spacing w:val="-2"/>
                <w:w w:val="105"/>
                <w:sz w:val="23"/>
              </w:rPr>
              <w:t>(Resource</w:t>
            </w:r>
          </w:p>
          <w:p w:rsidR="00487D64" w:rsidRDefault="00487D64">
            <w:pPr>
              <w:pStyle w:val="TableParagraph"/>
              <w:spacing w:before="26"/>
              <w:rPr>
                <w:b/>
                <w:i/>
                <w:sz w:val="23"/>
              </w:rPr>
            </w:pPr>
          </w:p>
          <w:p w:rsidR="00487D64" w:rsidRDefault="006F0D93">
            <w:pPr>
              <w:pStyle w:val="TableParagraph"/>
              <w:ind w:left="110"/>
              <w:rPr>
                <w:b/>
                <w:sz w:val="23"/>
              </w:rPr>
            </w:pPr>
            <w:r>
              <w:rPr>
                <w:b/>
                <w:spacing w:val="-2"/>
                <w:w w:val="105"/>
                <w:sz w:val="23"/>
              </w:rPr>
              <w:t>Flexibility)</w:t>
            </w:r>
          </w:p>
        </w:tc>
        <w:tc>
          <w:tcPr>
            <w:tcW w:w="590" w:type="dxa"/>
          </w:tcPr>
          <w:p w:rsidR="00487D64" w:rsidRDefault="006F0D93">
            <w:pPr>
              <w:pStyle w:val="TableParagraph"/>
              <w:spacing w:before="14"/>
              <w:ind w:left="110"/>
              <w:rPr>
                <w:b/>
                <w:sz w:val="23"/>
              </w:rPr>
            </w:pPr>
            <w:r>
              <w:rPr>
                <w:b/>
                <w:spacing w:val="-10"/>
                <w:w w:val="105"/>
                <w:sz w:val="23"/>
              </w:rPr>
              <w:t>1</w:t>
            </w:r>
          </w:p>
        </w:tc>
        <w:tc>
          <w:tcPr>
            <w:tcW w:w="590" w:type="dxa"/>
          </w:tcPr>
          <w:p w:rsidR="00487D64" w:rsidRDefault="006F0D93">
            <w:pPr>
              <w:pStyle w:val="TableParagraph"/>
              <w:spacing w:before="14"/>
              <w:ind w:left="111"/>
              <w:rPr>
                <w:b/>
                <w:sz w:val="23"/>
              </w:rPr>
            </w:pPr>
            <w:r>
              <w:rPr>
                <w:b/>
                <w:spacing w:val="-10"/>
                <w:w w:val="105"/>
                <w:sz w:val="23"/>
              </w:rPr>
              <w:t>2</w:t>
            </w:r>
          </w:p>
        </w:tc>
        <w:tc>
          <w:tcPr>
            <w:tcW w:w="597" w:type="dxa"/>
          </w:tcPr>
          <w:p w:rsidR="00487D64" w:rsidRDefault="006F0D93">
            <w:pPr>
              <w:pStyle w:val="TableParagraph"/>
              <w:spacing w:before="14"/>
              <w:ind w:left="112"/>
              <w:rPr>
                <w:b/>
                <w:sz w:val="23"/>
              </w:rPr>
            </w:pPr>
            <w:r>
              <w:rPr>
                <w:b/>
                <w:spacing w:val="-10"/>
                <w:w w:val="105"/>
                <w:sz w:val="23"/>
              </w:rPr>
              <w:t>3</w:t>
            </w:r>
          </w:p>
        </w:tc>
        <w:tc>
          <w:tcPr>
            <w:tcW w:w="525" w:type="dxa"/>
          </w:tcPr>
          <w:p w:rsidR="00487D64" w:rsidRDefault="006F0D93">
            <w:pPr>
              <w:pStyle w:val="TableParagraph"/>
              <w:spacing w:before="14"/>
              <w:ind w:left="106"/>
              <w:rPr>
                <w:b/>
                <w:sz w:val="23"/>
              </w:rPr>
            </w:pPr>
            <w:r>
              <w:rPr>
                <w:b/>
                <w:spacing w:val="-10"/>
                <w:w w:val="105"/>
                <w:sz w:val="23"/>
              </w:rPr>
              <w:t>4</w:t>
            </w:r>
          </w:p>
        </w:tc>
        <w:tc>
          <w:tcPr>
            <w:tcW w:w="582" w:type="dxa"/>
          </w:tcPr>
          <w:p w:rsidR="00487D64" w:rsidRDefault="006F0D93">
            <w:pPr>
              <w:pStyle w:val="TableParagraph"/>
              <w:spacing w:before="14"/>
              <w:ind w:left="114"/>
              <w:rPr>
                <w:b/>
                <w:sz w:val="23"/>
              </w:rPr>
            </w:pPr>
            <w:r>
              <w:rPr>
                <w:b/>
                <w:spacing w:val="-10"/>
                <w:w w:val="105"/>
                <w:sz w:val="23"/>
              </w:rPr>
              <w:t>5</w:t>
            </w:r>
          </w:p>
        </w:tc>
      </w:tr>
      <w:tr w:rsidR="00487D64">
        <w:trPr>
          <w:trHeight w:val="552"/>
        </w:trPr>
        <w:tc>
          <w:tcPr>
            <w:tcW w:w="749" w:type="dxa"/>
          </w:tcPr>
          <w:p w:rsidR="00487D64" w:rsidRDefault="006F0D93">
            <w:pPr>
              <w:pStyle w:val="TableParagraph"/>
              <w:spacing w:before="7"/>
              <w:ind w:left="110"/>
              <w:rPr>
                <w:sz w:val="23"/>
              </w:rPr>
            </w:pPr>
            <w:r>
              <w:rPr>
                <w:spacing w:val="-5"/>
                <w:w w:val="105"/>
                <w:sz w:val="23"/>
              </w:rPr>
              <w:t>31</w:t>
            </w:r>
          </w:p>
        </w:tc>
        <w:tc>
          <w:tcPr>
            <w:tcW w:w="4805" w:type="dxa"/>
          </w:tcPr>
          <w:p w:rsidR="00487D64" w:rsidRDefault="006F0D93">
            <w:pPr>
              <w:pStyle w:val="TableParagraph"/>
              <w:ind w:left="110"/>
              <w:rPr>
                <w:sz w:val="23"/>
              </w:rPr>
            </w:pPr>
            <w:r>
              <w:rPr>
                <w:w w:val="105"/>
                <w:sz w:val="23"/>
              </w:rPr>
              <w:t>There</w:t>
            </w:r>
            <w:r>
              <w:rPr>
                <w:spacing w:val="44"/>
                <w:w w:val="105"/>
                <w:sz w:val="23"/>
              </w:rPr>
              <w:t xml:space="preserve"> </w:t>
            </w:r>
            <w:r>
              <w:rPr>
                <w:w w:val="105"/>
                <w:sz w:val="23"/>
              </w:rPr>
              <w:t>is</w:t>
            </w:r>
            <w:r>
              <w:rPr>
                <w:spacing w:val="51"/>
                <w:w w:val="105"/>
                <w:sz w:val="23"/>
              </w:rPr>
              <w:t xml:space="preserve"> </w:t>
            </w:r>
            <w:r>
              <w:rPr>
                <w:w w:val="105"/>
                <w:sz w:val="23"/>
              </w:rPr>
              <w:t>a</w:t>
            </w:r>
            <w:r>
              <w:rPr>
                <w:spacing w:val="51"/>
                <w:w w:val="105"/>
                <w:sz w:val="23"/>
              </w:rPr>
              <w:t xml:space="preserve"> </w:t>
            </w:r>
            <w:r>
              <w:rPr>
                <w:w w:val="105"/>
                <w:sz w:val="23"/>
              </w:rPr>
              <w:t>large</w:t>
            </w:r>
            <w:r>
              <w:rPr>
                <w:spacing w:val="52"/>
                <w:w w:val="105"/>
                <w:sz w:val="23"/>
              </w:rPr>
              <w:t xml:space="preserve"> </w:t>
            </w:r>
            <w:r>
              <w:rPr>
                <w:w w:val="105"/>
                <w:sz w:val="23"/>
              </w:rPr>
              <w:t>range</w:t>
            </w:r>
            <w:r>
              <w:rPr>
                <w:spacing w:val="45"/>
                <w:w w:val="105"/>
                <w:sz w:val="23"/>
              </w:rPr>
              <w:t xml:space="preserve"> </w:t>
            </w:r>
            <w:r>
              <w:rPr>
                <w:w w:val="105"/>
                <w:sz w:val="23"/>
              </w:rPr>
              <w:t>of</w:t>
            </w:r>
            <w:r>
              <w:rPr>
                <w:spacing w:val="50"/>
                <w:w w:val="105"/>
                <w:sz w:val="23"/>
              </w:rPr>
              <w:t xml:space="preserve"> </w:t>
            </w:r>
            <w:r>
              <w:rPr>
                <w:w w:val="105"/>
                <w:sz w:val="23"/>
              </w:rPr>
              <w:t>alternative</w:t>
            </w:r>
            <w:r>
              <w:rPr>
                <w:spacing w:val="51"/>
                <w:w w:val="105"/>
                <w:sz w:val="23"/>
              </w:rPr>
              <w:t xml:space="preserve"> </w:t>
            </w:r>
            <w:r>
              <w:rPr>
                <w:w w:val="105"/>
                <w:sz w:val="23"/>
              </w:rPr>
              <w:t>uses</w:t>
            </w:r>
            <w:r>
              <w:rPr>
                <w:spacing w:val="51"/>
                <w:w w:val="105"/>
                <w:sz w:val="23"/>
              </w:rPr>
              <w:t xml:space="preserve"> </w:t>
            </w:r>
            <w:r>
              <w:rPr>
                <w:spacing w:val="-5"/>
                <w:w w:val="105"/>
                <w:sz w:val="23"/>
              </w:rPr>
              <w:t>to</w:t>
            </w:r>
          </w:p>
          <w:p w:rsidR="00487D64" w:rsidRDefault="006F0D93">
            <w:pPr>
              <w:pStyle w:val="TableParagraph"/>
              <w:spacing w:before="9" w:line="259" w:lineRule="exact"/>
              <w:ind w:left="110"/>
              <w:rPr>
                <w:sz w:val="23"/>
              </w:rPr>
            </w:pPr>
            <w:r>
              <w:rPr>
                <w:w w:val="105"/>
                <w:sz w:val="23"/>
              </w:rPr>
              <w:t>which</w:t>
            </w:r>
            <w:r>
              <w:rPr>
                <w:spacing w:val="-11"/>
                <w:w w:val="105"/>
                <w:sz w:val="23"/>
              </w:rPr>
              <w:t xml:space="preserve"> </w:t>
            </w:r>
            <w:r>
              <w:rPr>
                <w:w w:val="105"/>
                <w:sz w:val="23"/>
              </w:rPr>
              <w:t>our</w:t>
            </w:r>
            <w:r>
              <w:rPr>
                <w:spacing w:val="-6"/>
                <w:w w:val="105"/>
                <w:sz w:val="23"/>
              </w:rPr>
              <w:t xml:space="preserve"> </w:t>
            </w:r>
            <w:r>
              <w:rPr>
                <w:w w:val="105"/>
                <w:sz w:val="23"/>
              </w:rPr>
              <w:t>major</w:t>
            </w:r>
            <w:r>
              <w:rPr>
                <w:spacing w:val="-6"/>
                <w:w w:val="105"/>
                <w:sz w:val="23"/>
              </w:rPr>
              <w:t xml:space="preserve"> </w:t>
            </w:r>
            <w:r>
              <w:rPr>
                <w:w w:val="105"/>
                <w:sz w:val="23"/>
              </w:rPr>
              <w:t>resources</w:t>
            </w:r>
            <w:r>
              <w:rPr>
                <w:spacing w:val="-5"/>
                <w:w w:val="105"/>
                <w:sz w:val="23"/>
              </w:rPr>
              <w:t xml:space="preserve"> </w:t>
            </w:r>
            <w:r>
              <w:rPr>
                <w:w w:val="105"/>
                <w:sz w:val="23"/>
              </w:rPr>
              <w:t>can</w:t>
            </w:r>
            <w:r>
              <w:rPr>
                <w:spacing w:val="-10"/>
                <w:w w:val="105"/>
                <w:sz w:val="23"/>
              </w:rPr>
              <w:t xml:space="preserve"> </w:t>
            </w:r>
            <w:r>
              <w:rPr>
                <w:w w:val="105"/>
                <w:sz w:val="23"/>
              </w:rPr>
              <w:t>be</w:t>
            </w:r>
            <w:r>
              <w:rPr>
                <w:spacing w:val="-15"/>
                <w:w w:val="105"/>
                <w:sz w:val="23"/>
              </w:rPr>
              <w:t xml:space="preserve"> </w:t>
            </w:r>
            <w:r>
              <w:rPr>
                <w:spacing w:val="-2"/>
                <w:w w:val="105"/>
                <w:sz w:val="23"/>
              </w:rPr>
              <w:t>applied.</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825"/>
        </w:trPr>
        <w:tc>
          <w:tcPr>
            <w:tcW w:w="749" w:type="dxa"/>
          </w:tcPr>
          <w:p w:rsidR="00487D64" w:rsidRDefault="006F0D93">
            <w:pPr>
              <w:pStyle w:val="TableParagraph"/>
              <w:spacing w:before="7"/>
              <w:ind w:left="110"/>
              <w:rPr>
                <w:sz w:val="23"/>
              </w:rPr>
            </w:pPr>
            <w:r>
              <w:rPr>
                <w:spacing w:val="-5"/>
                <w:w w:val="105"/>
                <w:sz w:val="23"/>
              </w:rPr>
              <w:t>32</w:t>
            </w:r>
          </w:p>
        </w:tc>
        <w:tc>
          <w:tcPr>
            <w:tcW w:w="4805" w:type="dxa"/>
          </w:tcPr>
          <w:p w:rsidR="00487D64" w:rsidRDefault="006F0D93">
            <w:pPr>
              <w:pStyle w:val="TableParagraph"/>
              <w:spacing w:line="247" w:lineRule="auto"/>
              <w:ind w:left="110"/>
              <w:rPr>
                <w:sz w:val="23"/>
              </w:rPr>
            </w:pPr>
            <w:r>
              <w:rPr>
                <w:w w:val="105"/>
                <w:sz w:val="23"/>
              </w:rPr>
              <w:t>The</w:t>
            </w:r>
            <w:r>
              <w:rPr>
                <w:spacing w:val="80"/>
                <w:w w:val="105"/>
                <w:sz w:val="23"/>
              </w:rPr>
              <w:t xml:space="preserve"> </w:t>
            </w:r>
            <w:r>
              <w:rPr>
                <w:w w:val="105"/>
                <w:sz w:val="23"/>
              </w:rPr>
              <w:t>major</w:t>
            </w:r>
            <w:r>
              <w:rPr>
                <w:spacing w:val="80"/>
                <w:w w:val="105"/>
                <w:sz w:val="23"/>
              </w:rPr>
              <w:t xml:space="preserve"> </w:t>
            </w:r>
            <w:r>
              <w:rPr>
                <w:w w:val="105"/>
                <w:sz w:val="23"/>
              </w:rPr>
              <w:t>resources</w:t>
            </w:r>
            <w:r>
              <w:rPr>
                <w:spacing w:val="80"/>
                <w:w w:val="105"/>
                <w:sz w:val="23"/>
              </w:rPr>
              <w:t xml:space="preserve"> </w:t>
            </w:r>
            <w:r>
              <w:rPr>
                <w:w w:val="105"/>
                <w:sz w:val="23"/>
              </w:rPr>
              <w:t>can</w:t>
            </w:r>
            <w:r>
              <w:rPr>
                <w:spacing w:val="80"/>
                <w:w w:val="105"/>
                <w:sz w:val="23"/>
              </w:rPr>
              <w:t xml:space="preserve"> </w:t>
            </w:r>
            <w:r>
              <w:rPr>
                <w:w w:val="105"/>
                <w:sz w:val="23"/>
              </w:rPr>
              <w:t>be</w:t>
            </w:r>
            <w:r>
              <w:rPr>
                <w:spacing w:val="80"/>
                <w:w w:val="105"/>
                <w:sz w:val="23"/>
              </w:rPr>
              <w:t xml:space="preserve"> </w:t>
            </w:r>
            <w:r>
              <w:rPr>
                <w:w w:val="105"/>
                <w:sz w:val="23"/>
              </w:rPr>
              <w:t>allocated</w:t>
            </w:r>
            <w:r>
              <w:rPr>
                <w:spacing w:val="80"/>
                <w:w w:val="105"/>
                <w:sz w:val="23"/>
              </w:rPr>
              <w:t xml:space="preserve"> </w:t>
            </w:r>
            <w:r>
              <w:rPr>
                <w:w w:val="105"/>
                <w:sz w:val="23"/>
              </w:rPr>
              <w:t>to</w:t>
            </w:r>
            <w:r>
              <w:rPr>
                <w:spacing w:val="40"/>
                <w:w w:val="105"/>
                <w:sz w:val="23"/>
              </w:rPr>
              <w:t xml:space="preserve"> </w:t>
            </w:r>
            <w:r>
              <w:rPr>
                <w:w w:val="105"/>
                <w:sz w:val="23"/>
              </w:rPr>
              <w:t>develop,</w:t>
            </w:r>
            <w:r>
              <w:rPr>
                <w:spacing w:val="69"/>
                <w:w w:val="105"/>
                <w:sz w:val="23"/>
              </w:rPr>
              <w:t xml:space="preserve"> </w:t>
            </w:r>
            <w:r>
              <w:rPr>
                <w:w w:val="105"/>
                <w:sz w:val="23"/>
              </w:rPr>
              <w:t>manufacture,</w:t>
            </w:r>
            <w:r>
              <w:rPr>
                <w:spacing w:val="71"/>
                <w:w w:val="105"/>
                <w:sz w:val="23"/>
              </w:rPr>
              <w:t xml:space="preserve"> </w:t>
            </w:r>
            <w:r>
              <w:rPr>
                <w:w w:val="105"/>
                <w:sz w:val="23"/>
              </w:rPr>
              <w:t>and</w:t>
            </w:r>
            <w:r>
              <w:rPr>
                <w:spacing w:val="69"/>
                <w:w w:val="105"/>
                <w:sz w:val="23"/>
              </w:rPr>
              <w:t xml:space="preserve"> </w:t>
            </w:r>
            <w:r>
              <w:rPr>
                <w:w w:val="105"/>
                <w:sz w:val="23"/>
              </w:rPr>
              <w:t>deliver</w:t>
            </w:r>
            <w:r>
              <w:rPr>
                <w:spacing w:val="65"/>
                <w:w w:val="105"/>
                <w:sz w:val="23"/>
              </w:rPr>
              <w:t xml:space="preserve"> </w:t>
            </w:r>
            <w:r>
              <w:rPr>
                <w:w w:val="105"/>
                <w:sz w:val="23"/>
              </w:rPr>
              <w:t>a</w:t>
            </w:r>
            <w:r>
              <w:rPr>
                <w:spacing w:val="75"/>
                <w:w w:val="105"/>
                <w:sz w:val="23"/>
              </w:rPr>
              <w:t xml:space="preserve"> </w:t>
            </w:r>
            <w:r>
              <w:rPr>
                <w:spacing w:val="-2"/>
                <w:w w:val="105"/>
                <w:sz w:val="23"/>
              </w:rPr>
              <w:t>diverse</w:t>
            </w:r>
          </w:p>
          <w:p w:rsidR="00487D64" w:rsidRDefault="006F0D93">
            <w:pPr>
              <w:pStyle w:val="TableParagraph"/>
              <w:spacing w:before="9" w:line="251" w:lineRule="exact"/>
              <w:ind w:left="110"/>
              <w:rPr>
                <w:sz w:val="23"/>
              </w:rPr>
            </w:pPr>
            <w:r>
              <w:rPr>
                <w:w w:val="105"/>
                <w:sz w:val="23"/>
              </w:rPr>
              <w:t>line</w:t>
            </w:r>
            <w:r>
              <w:rPr>
                <w:spacing w:val="-6"/>
                <w:w w:val="105"/>
                <w:sz w:val="23"/>
              </w:rPr>
              <w:t xml:space="preserve"> </w:t>
            </w:r>
            <w:r>
              <w:rPr>
                <w:w w:val="105"/>
                <w:sz w:val="23"/>
              </w:rPr>
              <w:t>of</w:t>
            </w:r>
            <w:r>
              <w:rPr>
                <w:spacing w:val="-7"/>
                <w:w w:val="105"/>
                <w:sz w:val="23"/>
              </w:rPr>
              <w:t xml:space="preserve"> </w:t>
            </w:r>
            <w:r>
              <w:rPr>
                <w:spacing w:val="-2"/>
                <w:w w:val="105"/>
                <w:sz w:val="23"/>
              </w:rPr>
              <w:t>products.</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552"/>
        </w:trPr>
        <w:tc>
          <w:tcPr>
            <w:tcW w:w="749" w:type="dxa"/>
          </w:tcPr>
          <w:p w:rsidR="00487D64" w:rsidRDefault="006F0D93">
            <w:pPr>
              <w:pStyle w:val="TableParagraph"/>
              <w:spacing w:before="7"/>
              <w:ind w:left="110"/>
              <w:rPr>
                <w:sz w:val="23"/>
              </w:rPr>
            </w:pPr>
            <w:r>
              <w:rPr>
                <w:spacing w:val="-5"/>
                <w:w w:val="105"/>
                <w:sz w:val="23"/>
              </w:rPr>
              <w:t>33</w:t>
            </w:r>
          </w:p>
        </w:tc>
        <w:tc>
          <w:tcPr>
            <w:tcW w:w="4805" w:type="dxa"/>
          </w:tcPr>
          <w:p w:rsidR="00487D64" w:rsidRDefault="006F0D93">
            <w:pPr>
              <w:pStyle w:val="TableParagraph"/>
              <w:ind w:left="110"/>
              <w:rPr>
                <w:sz w:val="23"/>
              </w:rPr>
            </w:pPr>
            <w:r>
              <w:rPr>
                <w:w w:val="105"/>
                <w:sz w:val="23"/>
              </w:rPr>
              <w:t>The</w:t>
            </w:r>
            <w:r>
              <w:rPr>
                <w:spacing w:val="49"/>
                <w:w w:val="105"/>
                <w:sz w:val="23"/>
              </w:rPr>
              <w:t xml:space="preserve"> </w:t>
            </w:r>
            <w:r>
              <w:rPr>
                <w:w w:val="105"/>
                <w:sz w:val="23"/>
              </w:rPr>
              <w:t>costs</w:t>
            </w:r>
            <w:r>
              <w:rPr>
                <w:spacing w:val="49"/>
                <w:w w:val="105"/>
                <w:sz w:val="23"/>
              </w:rPr>
              <w:t xml:space="preserve"> </w:t>
            </w:r>
            <w:r>
              <w:rPr>
                <w:w w:val="105"/>
                <w:sz w:val="23"/>
              </w:rPr>
              <w:t>of</w:t>
            </w:r>
            <w:r>
              <w:rPr>
                <w:spacing w:val="54"/>
                <w:w w:val="105"/>
                <w:sz w:val="23"/>
              </w:rPr>
              <w:t xml:space="preserve"> </w:t>
            </w:r>
            <w:r>
              <w:rPr>
                <w:w w:val="105"/>
                <w:sz w:val="23"/>
              </w:rPr>
              <w:t>switching</w:t>
            </w:r>
            <w:r>
              <w:rPr>
                <w:spacing w:val="58"/>
                <w:w w:val="105"/>
                <w:sz w:val="23"/>
              </w:rPr>
              <w:t xml:space="preserve"> </w:t>
            </w:r>
            <w:r>
              <w:rPr>
                <w:w w:val="105"/>
                <w:sz w:val="23"/>
              </w:rPr>
              <w:t>from</w:t>
            </w:r>
            <w:r>
              <w:rPr>
                <w:spacing w:val="49"/>
                <w:w w:val="105"/>
                <w:sz w:val="23"/>
              </w:rPr>
              <w:t xml:space="preserve"> </w:t>
            </w:r>
            <w:r>
              <w:rPr>
                <w:w w:val="105"/>
                <w:sz w:val="23"/>
              </w:rPr>
              <w:t>one</w:t>
            </w:r>
            <w:r>
              <w:rPr>
                <w:spacing w:val="50"/>
                <w:w w:val="105"/>
                <w:sz w:val="23"/>
              </w:rPr>
              <w:t xml:space="preserve"> </w:t>
            </w:r>
            <w:r>
              <w:rPr>
                <w:w w:val="105"/>
                <w:sz w:val="23"/>
              </w:rPr>
              <w:t>use</w:t>
            </w:r>
            <w:r>
              <w:rPr>
                <w:spacing w:val="50"/>
                <w:w w:val="105"/>
                <w:sz w:val="23"/>
              </w:rPr>
              <w:t xml:space="preserve"> </w:t>
            </w:r>
            <w:r>
              <w:rPr>
                <w:w w:val="105"/>
                <w:sz w:val="23"/>
              </w:rPr>
              <w:t>of</w:t>
            </w:r>
            <w:r>
              <w:rPr>
                <w:spacing w:val="54"/>
                <w:w w:val="105"/>
                <w:sz w:val="23"/>
              </w:rPr>
              <w:t xml:space="preserve"> </w:t>
            </w:r>
            <w:r>
              <w:rPr>
                <w:spacing w:val="-5"/>
                <w:w w:val="105"/>
                <w:sz w:val="23"/>
              </w:rPr>
              <w:t>our</w:t>
            </w:r>
          </w:p>
          <w:p w:rsidR="00487D64" w:rsidRDefault="006F0D93">
            <w:pPr>
              <w:pStyle w:val="TableParagraph"/>
              <w:spacing w:before="16" w:line="251" w:lineRule="exact"/>
              <w:ind w:left="110"/>
              <w:rPr>
                <w:sz w:val="23"/>
              </w:rPr>
            </w:pPr>
            <w:r>
              <w:rPr>
                <w:w w:val="105"/>
                <w:sz w:val="23"/>
              </w:rPr>
              <w:t>major</w:t>
            </w:r>
            <w:r>
              <w:rPr>
                <w:spacing w:val="-7"/>
                <w:w w:val="105"/>
                <w:sz w:val="23"/>
              </w:rPr>
              <w:t xml:space="preserve"> </w:t>
            </w:r>
            <w:r>
              <w:rPr>
                <w:w w:val="105"/>
                <w:sz w:val="23"/>
              </w:rPr>
              <w:t>resources</w:t>
            </w:r>
            <w:r>
              <w:rPr>
                <w:spacing w:val="-6"/>
                <w:w w:val="105"/>
                <w:sz w:val="23"/>
              </w:rPr>
              <w:t xml:space="preserve"> </w:t>
            </w:r>
            <w:r>
              <w:rPr>
                <w:w w:val="105"/>
                <w:sz w:val="23"/>
              </w:rPr>
              <w:t>to</w:t>
            </w:r>
            <w:r>
              <w:rPr>
                <w:spacing w:val="-4"/>
                <w:w w:val="105"/>
                <w:sz w:val="23"/>
              </w:rPr>
              <w:t xml:space="preserve"> </w:t>
            </w:r>
            <w:r>
              <w:rPr>
                <w:w w:val="105"/>
                <w:sz w:val="23"/>
              </w:rPr>
              <w:t>an</w:t>
            </w:r>
            <w:r>
              <w:rPr>
                <w:spacing w:val="-11"/>
                <w:w w:val="105"/>
                <w:sz w:val="23"/>
              </w:rPr>
              <w:t xml:space="preserve"> </w:t>
            </w:r>
            <w:r>
              <w:rPr>
                <w:w w:val="105"/>
                <w:sz w:val="23"/>
              </w:rPr>
              <w:t>alternative</w:t>
            </w:r>
            <w:r>
              <w:rPr>
                <w:spacing w:val="-12"/>
                <w:w w:val="105"/>
                <w:sz w:val="23"/>
              </w:rPr>
              <w:t xml:space="preserve"> </w:t>
            </w:r>
            <w:r>
              <w:rPr>
                <w:w w:val="105"/>
                <w:sz w:val="23"/>
              </w:rPr>
              <w:t>use</w:t>
            </w:r>
            <w:r>
              <w:rPr>
                <w:spacing w:val="-11"/>
                <w:w w:val="105"/>
                <w:sz w:val="23"/>
              </w:rPr>
              <w:t xml:space="preserve"> </w:t>
            </w:r>
            <w:r>
              <w:rPr>
                <w:w w:val="105"/>
                <w:sz w:val="23"/>
              </w:rPr>
              <w:t>are</w:t>
            </w:r>
            <w:r>
              <w:rPr>
                <w:spacing w:val="-12"/>
                <w:w w:val="105"/>
                <w:sz w:val="23"/>
              </w:rPr>
              <w:t xml:space="preserve"> </w:t>
            </w:r>
            <w:r>
              <w:rPr>
                <w:spacing w:val="-4"/>
                <w:w w:val="105"/>
                <w:sz w:val="23"/>
              </w:rPr>
              <w:t>low.</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551"/>
        </w:trPr>
        <w:tc>
          <w:tcPr>
            <w:tcW w:w="749" w:type="dxa"/>
          </w:tcPr>
          <w:p w:rsidR="00487D64" w:rsidRDefault="006F0D93">
            <w:pPr>
              <w:pStyle w:val="TableParagraph"/>
              <w:spacing w:before="7"/>
              <w:ind w:left="110"/>
              <w:rPr>
                <w:sz w:val="23"/>
              </w:rPr>
            </w:pPr>
            <w:r>
              <w:rPr>
                <w:spacing w:val="-5"/>
                <w:w w:val="105"/>
                <w:sz w:val="23"/>
              </w:rPr>
              <w:t>34</w:t>
            </w:r>
          </w:p>
        </w:tc>
        <w:tc>
          <w:tcPr>
            <w:tcW w:w="4805" w:type="dxa"/>
          </w:tcPr>
          <w:p w:rsidR="00487D64" w:rsidRDefault="006F0D93">
            <w:pPr>
              <w:pStyle w:val="TableParagraph"/>
              <w:ind w:left="110"/>
              <w:rPr>
                <w:sz w:val="23"/>
              </w:rPr>
            </w:pPr>
            <w:r>
              <w:rPr>
                <w:w w:val="105"/>
                <w:sz w:val="23"/>
              </w:rPr>
              <w:t>The</w:t>
            </w:r>
            <w:r>
              <w:rPr>
                <w:spacing w:val="38"/>
                <w:w w:val="105"/>
                <w:sz w:val="23"/>
              </w:rPr>
              <w:t xml:space="preserve"> </w:t>
            </w:r>
            <w:r>
              <w:rPr>
                <w:w w:val="105"/>
                <w:sz w:val="23"/>
              </w:rPr>
              <w:t>time</w:t>
            </w:r>
            <w:r>
              <w:rPr>
                <w:spacing w:val="38"/>
                <w:w w:val="105"/>
                <w:sz w:val="23"/>
              </w:rPr>
              <w:t xml:space="preserve"> </w:t>
            </w:r>
            <w:r>
              <w:rPr>
                <w:w w:val="105"/>
                <w:sz w:val="23"/>
              </w:rPr>
              <w:t>required</w:t>
            </w:r>
            <w:r>
              <w:rPr>
                <w:spacing w:val="39"/>
                <w:w w:val="105"/>
                <w:sz w:val="23"/>
              </w:rPr>
              <w:t xml:space="preserve"> </w:t>
            </w:r>
            <w:r>
              <w:rPr>
                <w:w w:val="105"/>
                <w:sz w:val="23"/>
              </w:rPr>
              <w:t>to</w:t>
            </w:r>
            <w:r>
              <w:rPr>
                <w:spacing w:val="45"/>
                <w:w w:val="105"/>
                <w:sz w:val="23"/>
              </w:rPr>
              <w:t xml:space="preserve"> </w:t>
            </w:r>
            <w:r>
              <w:rPr>
                <w:w w:val="105"/>
                <w:sz w:val="23"/>
              </w:rPr>
              <w:t>switch</w:t>
            </w:r>
            <w:r>
              <w:rPr>
                <w:spacing w:val="39"/>
                <w:w w:val="105"/>
                <w:sz w:val="23"/>
              </w:rPr>
              <w:t xml:space="preserve"> </w:t>
            </w:r>
            <w:r>
              <w:rPr>
                <w:w w:val="105"/>
                <w:sz w:val="23"/>
              </w:rPr>
              <w:t>to</w:t>
            </w:r>
            <w:r>
              <w:rPr>
                <w:spacing w:val="39"/>
                <w:w w:val="105"/>
                <w:sz w:val="23"/>
              </w:rPr>
              <w:t xml:space="preserve"> </w:t>
            </w:r>
            <w:r>
              <w:rPr>
                <w:w w:val="105"/>
                <w:sz w:val="23"/>
              </w:rPr>
              <w:t>an</w:t>
            </w:r>
            <w:r>
              <w:rPr>
                <w:spacing w:val="39"/>
                <w:w w:val="105"/>
                <w:sz w:val="23"/>
              </w:rPr>
              <w:t xml:space="preserve"> </w:t>
            </w:r>
            <w:r>
              <w:rPr>
                <w:spacing w:val="-2"/>
                <w:w w:val="105"/>
                <w:sz w:val="23"/>
              </w:rPr>
              <w:t>alternative</w:t>
            </w:r>
          </w:p>
          <w:p w:rsidR="00487D64" w:rsidRDefault="006F0D93">
            <w:pPr>
              <w:pStyle w:val="TableParagraph"/>
              <w:spacing w:before="16" w:line="251" w:lineRule="exact"/>
              <w:ind w:left="110"/>
              <w:rPr>
                <w:sz w:val="23"/>
              </w:rPr>
            </w:pPr>
            <w:r>
              <w:rPr>
                <w:w w:val="105"/>
                <w:sz w:val="23"/>
              </w:rPr>
              <w:t>resource</w:t>
            </w:r>
            <w:r>
              <w:rPr>
                <w:spacing w:val="-11"/>
                <w:w w:val="105"/>
                <w:sz w:val="23"/>
              </w:rPr>
              <w:t xml:space="preserve"> </w:t>
            </w:r>
            <w:r>
              <w:rPr>
                <w:w w:val="105"/>
                <w:sz w:val="23"/>
              </w:rPr>
              <w:t>use</w:t>
            </w:r>
            <w:r>
              <w:rPr>
                <w:spacing w:val="-10"/>
                <w:w w:val="105"/>
                <w:sz w:val="23"/>
              </w:rPr>
              <w:t xml:space="preserve"> </w:t>
            </w:r>
            <w:r>
              <w:rPr>
                <w:w w:val="105"/>
                <w:sz w:val="23"/>
              </w:rPr>
              <w:t>is</w:t>
            </w:r>
            <w:r>
              <w:rPr>
                <w:spacing w:val="-5"/>
                <w:w w:val="105"/>
                <w:sz w:val="23"/>
              </w:rPr>
              <w:t xml:space="preserve"> </w:t>
            </w:r>
            <w:r>
              <w:rPr>
                <w:spacing w:val="-2"/>
                <w:w w:val="105"/>
                <w:sz w:val="23"/>
              </w:rPr>
              <w:t>short.</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1106"/>
        </w:trPr>
        <w:tc>
          <w:tcPr>
            <w:tcW w:w="749" w:type="dxa"/>
          </w:tcPr>
          <w:p w:rsidR="00487D64" w:rsidRDefault="00487D64">
            <w:pPr>
              <w:pStyle w:val="TableParagraph"/>
            </w:pPr>
          </w:p>
        </w:tc>
        <w:tc>
          <w:tcPr>
            <w:tcW w:w="4805" w:type="dxa"/>
          </w:tcPr>
          <w:p w:rsidR="00487D64" w:rsidRDefault="006F0D93">
            <w:pPr>
              <w:pStyle w:val="TableParagraph"/>
              <w:tabs>
                <w:tab w:val="left" w:pos="1154"/>
                <w:tab w:val="left" w:pos="2285"/>
                <w:tab w:val="left" w:pos="3717"/>
              </w:tabs>
              <w:spacing w:before="14"/>
              <w:ind w:left="110"/>
              <w:rPr>
                <w:b/>
                <w:sz w:val="23"/>
              </w:rPr>
            </w:pPr>
            <w:r>
              <w:rPr>
                <w:b/>
                <w:spacing w:val="-4"/>
                <w:w w:val="105"/>
                <w:sz w:val="23"/>
              </w:rPr>
              <w:t>Your</w:t>
            </w:r>
            <w:r>
              <w:rPr>
                <w:b/>
                <w:sz w:val="23"/>
              </w:rPr>
              <w:tab/>
            </w:r>
            <w:r>
              <w:rPr>
                <w:b/>
                <w:spacing w:val="-2"/>
                <w:w w:val="105"/>
                <w:sz w:val="23"/>
              </w:rPr>
              <w:t>firm's</w:t>
            </w:r>
            <w:r>
              <w:rPr>
                <w:b/>
                <w:sz w:val="23"/>
              </w:rPr>
              <w:tab/>
            </w:r>
            <w:r>
              <w:rPr>
                <w:b/>
                <w:spacing w:val="-2"/>
                <w:w w:val="105"/>
                <w:sz w:val="23"/>
              </w:rPr>
              <w:t>Strategic</w:t>
            </w:r>
            <w:r>
              <w:rPr>
                <w:b/>
                <w:sz w:val="23"/>
              </w:rPr>
              <w:tab/>
            </w:r>
            <w:r>
              <w:rPr>
                <w:b/>
                <w:spacing w:val="-2"/>
                <w:w w:val="105"/>
                <w:sz w:val="23"/>
              </w:rPr>
              <w:t>flexibility</w:t>
            </w:r>
          </w:p>
          <w:p w:rsidR="00487D64" w:rsidRDefault="00487D64">
            <w:pPr>
              <w:pStyle w:val="TableParagraph"/>
              <w:spacing w:before="26"/>
              <w:rPr>
                <w:b/>
                <w:i/>
                <w:sz w:val="23"/>
              </w:rPr>
            </w:pPr>
          </w:p>
          <w:p w:rsidR="00487D64" w:rsidRDefault="006F0D93">
            <w:pPr>
              <w:pStyle w:val="TableParagraph"/>
              <w:ind w:left="110"/>
              <w:rPr>
                <w:b/>
                <w:sz w:val="23"/>
              </w:rPr>
            </w:pPr>
            <w:r>
              <w:rPr>
                <w:b/>
                <w:sz w:val="23"/>
              </w:rPr>
              <w:t>(Coordination</w:t>
            </w:r>
            <w:r>
              <w:rPr>
                <w:b/>
                <w:spacing w:val="50"/>
                <w:sz w:val="23"/>
              </w:rPr>
              <w:t xml:space="preserve"> </w:t>
            </w:r>
            <w:r>
              <w:rPr>
                <w:b/>
                <w:spacing w:val="-2"/>
                <w:sz w:val="23"/>
              </w:rPr>
              <w:t>Flexibility)</w:t>
            </w:r>
          </w:p>
        </w:tc>
        <w:tc>
          <w:tcPr>
            <w:tcW w:w="590" w:type="dxa"/>
          </w:tcPr>
          <w:p w:rsidR="00487D64" w:rsidRDefault="006F0D93">
            <w:pPr>
              <w:pStyle w:val="TableParagraph"/>
              <w:spacing w:before="14"/>
              <w:ind w:left="110"/>
              <w:rPr>
                <w:b/>
                <w:sz w:val="23"/>
              </w:rPr>
            </w:pPr>
            <w:r>
              <w:rPr>
                <w:b/>
                <w:spacing w:val="-10"/>
                <w:w w:val="105"/>
                <w:sz w:val="23"/>
              </w:rPr>
              <w:t>1</w:t>
            </w:r>
          </w:p>
        </w:tc>
        <w:tc>
          <w:tcPr>
            <w:tcW w:w="590" w:type="dxa"/>
          </w:tcPr>
          <w:p w:rsidR="00487D64" w:rsidRDefault="006F0D93">
            <w:pPr>
              <w:pStyle w:val="TableParagraph"/>
              <w:spacing w:before="14"/>
              <w:ind w:left="111"/>
              <w:rPr>
                <w:b/>
                <w:sz w:val="23"/>
              </w:rPr>
            </w:pPr>
            <w:r>
              <w:rPr>
                <w:b/>
                <w:spacing w:val="-10"/>
                <w:w w:val="105"/>
                <w:sz w:val="23"/>
              </w:rPr>
              <w:t>2</w:t>
            </w:r>
          </w:p>
        </w:tc>
        <w:tc>
          <w:tcPr>
            <w:tcW w:w="597" w:type="dxa"/>
          </w:tcPr>
          <w:p w:rsidR="00487D64" w:rsidRDefault="006F0D93">
            <w:pPr>
              <w:pStyle w:val="TableParagraph"/>
              <w:spacing w:before="14"/>
              <w:ind w:left="112"/>
              <w:rPr>
                <w:b/>
                <w:sz w:val="23"/>
              </w:rPr>
            </w:pPr>
            <w:r>
              <w:rPr>
                <w:b/>
                <w:spacing w:val="-10"/>
                <w:w w:val="105"/>
                <w:sz w:val="23"/>
              </w:rPr>
              <w:t>3</w:t>
            </w:r>
          </w:p>
        </w:tc>
        <w:tc>
          <w:tcPr>
            <w:tcW w:w="525" w:type="dxa"/>
          </w:tcPr>
          <w:p w:rsidR="00487D64" w:rsidRDefault="006F0D93">
            <w:pPr>
              <w:pStyle w:val="TableParagraph"/>
              <w:spacing w:before="14"/>
              <w:ind w:left="106"/>
              <w:rPr>
                <w:b/>
                <w:sz w:val="23"/>
              </w:rPr>
            </w:pPr>
            <w:r>
              <w:rPr>
                <w:b/>
                <w:spacing w:val="-10"/>
                <w:w w:val="105"/>
                <w:sz w:val="23"/>
              </w:rPr>
              <w:t>4</w:t>
            </w:r>
          </w:p>
        </w:tc>
        <w:tc>
          <w:tcPr>
            <w:tcW w:w="582" w:type="dxa"/>
          </w:tcPr>
          <w:p w:rsidR="00487D64" w:rsidRDefault="006F0D93">
            <w:pPr>
              <w:pStyle w:val="TableParagraph"/>
              <w:spacing w:before="14"/>
              <w:ind w:left="114"/>
              <w:rPr>
                <w:b/>
                <w:sz w:val="23"/>
              </w:rPr>
            </w:pPr>
            <w:r>
              <w:rPr>
                <w:b/>
                <w:spacing w:val="-10"/>
                <w:w w:val="105"/>
                <w:sz w:val="23"/>
              </w:rPr>
              <w:t>5</w:t>
            </w:r>
          </w:p>
        </w:tc>
      </w:tr>
      <w:tr w:rsidR="00487D64">
        <w:trPr>
          <w:trHeight w:val="825"/>
        </w:trPr>
        <w:tc>
          <w:tcPr>
            <w:tcW w:w="749" w:type="dxa"/>
          </w:tcPr>
          <w:p w:rsidR="00487D64" w:rsidRDefault="006F0D93">
            <w:pPr>
              <w:pStyle w:val="TableParagraph"/>
              <w:spacing w:before="7"/>
              <w:ind w:left="110"/>
              <w:rPr>
                <w:sz w:val="23"/>
              </w:rPr>
            </w:pPr>
            <w:r>
              <w:rPr>
                <w:spacing w:val="-5"/>
                <w:w w:val="105"/>
                <w:sz w:val="23"/>
              </w:rPr>
              <w:t>35</w:t>
            </w:r>
          </w:p>
        </w:tc>
        <w:tc>
          <w:tcPr>
            <w:tcW w:w="4805" w:type="dxa"/>
          </w:tcPr>
          <w:p w:rsidR="00487D64" w:rsidRDefault="006F0D93">
            <w:pPr>
              <w:pStyle w:val="TableParagraph"/>
              <w:tabs>
                <w:tab w:val="left" w:pos="1462"/>
                <w:tab w:val="left" w:pos="1959"/>
                <w:tab w:val="left" w:pos="3102"/>
                <w:tab w:val="left" w:pos="4340"/>
              </w:tabs>
              <w:spacing w:line="249" w:lineRule="auto"/>
              <w:ind w:left="110" w:right="103"/>
              <w:rPr>
                <w:sz w:val="23"/>
              </w:rPr>
            </w:pPr>
            <w:r>
              <w:rPr>
                <w:w w:val="105"/>
                <w:sz w:val="23"/>
              </w:rPr>
              <w:t>Our</w:t>
            </w:r>
            <w:r>
              <w:rPr>
                <w:spacing w:val="40"/>
                <w:w w:val="105"/>
                <w:sz w:val="23"/>
              </w:rPr>
              <w:t xml:space="preserve"> </w:t>
            </w:r>
            <w:r>
              <w:rPr>
                <w:w w:val="105"/>
                <w:sz w:val="23"/>
              </w:rPr>
              <w:t>firm</w:t>
            </w:r>
            <w:r>
              <w:rPr>
                <w:spacing w:val="40"/>
                <w:w w:val="105"/>
                <w:sz w:val="23"/>
              </w:rPr>
              <w:t xml:space="preserve"> </w:t>
            </w:r>
            <w:r>
              <w:rPr>
                <w:w w:val="105"/>
                <w:sz w:val="23"/>
              </w:rPr>
              <w:t>allows</w:t>
            </w:r>
            <w:r>
              <w:rPr>
                <w:spacing w:val="40"/>
                <w:w w:val="105"/>
                <w:sz w:val="23"/>
              </w:rPr>
              <w:t xml:space="preserve"> </w:t>
            </w:r>
            <w:r>
              <w:rPr>
                <w:w w:val="105"/>
                <w:sz w:val="23"/>
              </w:rPr>
              <w:t>each</w:t>
            </w:r>
            <w:r>
              <w:rPr>
                <w:spacing w:val="40"/>
                <w:w w:val="105"/>
                <w:sz w:val="23"/>
              </w:rPr>
              <w:t xml:space="preserve"> </w:t>
            </w:r>
            <w:r>
              <w:rPr>
                <w:w w:val="105"/>
                <w:sz w:val="23"/>
              </w:rPr>
              <w:t>unit</w:t>
            </w:r>
            <w:r>
              <w:rPr>
                <w:spacing w:val="40"/>
                <w:w w:val="105"/>
                <w:sz w:val="23"/>
              </w:rPr>
              <w:t xml:space="preserve"> </w:t>
            </w:r>
            <w:r>
              <w:rPr>
                <w:w w:val="105"/>
                <w:sz w:val="23"/>
              </w:rPr>
              <w:t>to</w:t>
            </w:r>
            <w:r>
              <w:rPr>
                <w:spacing w:val="40"/>
                <w:w w:val="105"/>
                <w:sz w:val="23"/>
              </w:rPr>
              <w:t xml:space="preserve"> </w:t>
            </w:r>
            <w:r>
              <w:rPr>
                <w:w w:val="105"/>
                <w:sz w:val="23"/>
              </w:rPr>
              <w:t>break</w:t>
            </w:r>
            <w:r>
              <w:rPr>
                <w:spacing w:val="40"/>
                <w:w w:val="105"/>
                <w:sz w:val="23"/>
              </w:rPr>
              <w:t xml:space="preserve"> </w:t>
            </w:r>
            <w:r>
              <w:rPr>
                <w:w w:val="105"/>
                <w:sz w:val="23"/>
              </w:rPr>
              <w:t xml:space="preserve">normal </w:t>
            </w:r>
            <w:r>
              <w:rPr>
                <w:spacing w:val="-2"/>
                <w:w w:val="105"/>
                <w:sz w:val="23"/>
              </w:rPr>
              <w:t>procedures</w:t>
            </w:r>
            <w:r>
              <w:rPr>
                <w:sz w:val="23"/>
              </w:rPr>
              <w:tab/>
            </w:r>
            <w:r>
              <w:rPr>
                <w:spacing w:val="-5"/>
                <w:w w:val="105"/>
                <w:sz w:val="23"/>
              </w:rPr>
              <w:t>to</w:t>
            </w:r>
            <w:r>
              <w:rPr>
                <w:sz w:val="23"/>
              </w:rPr>
              <w:tab/>
            </w:r>
            <w:r>
              <w:rPr>
                <w:spacing w:val="-2"/>
                <w:w w:val="105"/>
                <w:sz w:val="23"/>
              </w:rPr>
              <w:t>maintain</w:t>
            </w:r>
            <w:r>
              <w:rPr>
                <w:sz w:val="23"/>
              </w:rPr>
              <w:tab/>
            </w:r>
            <w:r>
              <w:rPr>
                <w:spacing w:val="-2"/>
                <w:w w:val="105"/>
                <w:sz w:val="23"/>
              </w:rPr>
              <w:t>flexibility</w:t>
            </w:r>
            <w:r>
              <w:rPr>
                <w:sz w:val="23"/>
              </w:rPr>
              <w:tab/>
            </w:r>
            <w:r>
              <w:rPr>
                <w:spacing w:val="-5"/>
                <w:w w:val="105"/>
                <w:sz w:val="23"/>
              </w:rPr>
              <w:t>and</w:t>
            </w:r>
          </w:p>
          <w:p w:rsidR="00487D64" w:rsidRDefault="006F0D93">
            <w:pPr>
              <w:pStyle w:val="TableParagraph"/>
              <w:spacing w:before="4" w:line="251" w:lineRule="exact"/>
              <w:ind w:left="110"/>
              <w:rPr>
                <w:sz w:val="23"/>
              </w:rPr>
            </w:pPr>
            <w:r>
              <w:rPr>
                <w:spacing w:val="-2"/>
                <w:w w:val="105"/>
                <w:sz w:val="23"/>
              </w:rPr>
              <w:t>dynamics.</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832"/>
        </w:trPr>
        <w:tc>
          <w:tcPr>
            <w:tcW w:w="749" w:type="dxa"/>
          </w:tcPr>
          <w:p w:rsidR="00487D64" w:rsidRDefault="006F0D93">
            <w:pPr>
              <w:pStyle w:val="TableParagraph"/>
              <w:spacing w:before="14"/>
              <w:ind w:left="110"/>
              <w:rPr>
                <w:sz w:val="23"/>
              </w:rPr>
            </w:pPr>
            <w:r>
              <w:rPr>
                <w:spacing w:val="-5"/>
                <w:w w:val="105"/>
                <w:sz w:val="23"/>
              </w:rPr>
              <w:t>36</w:t>
            </w:r>
          </w:p>
        </w:tc>
        <w:tc>
          <w:tcPr>
            <w:tcW w:w="4805" w:type="dxa"/>
          </w:tcPr>
          <w:p w:rsidR="00487D64" w:rsidRDefault="006F0D93">
            <w:pPr>
              <w:pStyle w:val="TableParagraph"/>
              <w:spacing w:line="274" w:lineRule="exact"/>
              <w:ind w:left="110" w:right="102"/>
              <w:jc w:val="both"/>
              <w:rPr>
                <w:sz w:val="23"/>
              </w:rPr>
            </w:pPr>
            <w:r>
              <w:rPr>
                <w:w w:val="105"/>
                <w:sz w:val="23"/>
              </w:rPr>
              <w:t xml:space="preserve">Our firm’s ways of management can be adapted according to different employees and </w:t>
            </w:r>
            <w:r>
              <w:rPr>
                <w:spacing w:val="-2"/>
                <w:w w:val="105"/>
                <w:sz w:val="23"/>
              </w:rPr>
              <w:t>circumstances.</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551"/>
        </w:trPr>
        <w:tc>
          <w:tcPr>
            <w:tcW w:w="749" w:type="dxa"/>
          </w:tcPr>
          <w:p w:rsidR="00487D64" w:rsidRDefault="006F0D93">
            <w:pPr>
              <w:pStyle w:val="TableParagraph"/>
              <w:spacing w:before="7"/>
              <w:ind w:left="110"/>
              <w:rPr>
                <w:sz w:val="23"/>
              </w:rPr>
            </w:pPr>
            <w:r>
              <w:rPr>
                <w:spacing w:val="-5"/>
                <w:w w:val="105"/>
                <w:sz w:val="23"/>
              </w:rPr>
              <w:t>37</w:t>
            </w:r>
          </w:p>
        </w:tc>
        <w:tc>
          <w:tcPr>
            <w:tcW w:w="4805" w:type="dxa"/>
          </w:tcPr>
          <w:p w:rsidR="00487D64" w:rsidRDefault="006F0D93">
            <w:pPr>
              <w:pStyle w:val="TableParagraph"/>
              <w:tabs>
                <w:tab w:val="left" w:pos="657"/>
                <w:tab w:val="left" w:pos="1318"/>
                <w:tab w:val="left" w:pos="1642"/>
                <w:tab w:val="left" w:pos="2282"/>
                <w:tab w:val="left" w:pos="3202"/>
              </w:tabs>
              <w:ind w:left="110"/>
              <w:rPr>
                <w:sz w:val="23"/>
              </w:rPr>
            </w:pPr>
            <w:r>
              <w:rPr>
                <w:spacing w:val="-5"/>
                <w:w w:val="105"/>
                <w:sz w:val="23"/>
              </w:rPr>
              <w:t>We</w:t>
            </w:r>
            <w:r>
              <w:rPr>
                <w:sz w:val="23"/>
              </w:rPr>
              <w:tab/>
            </w:r>
            <w:r>
              <w:rPr>
                <w:spacing w:val="-4"/>
                <w:w w:val="105"/>
                <w:sz w:val="23"/>
              </w:rPr>
              <w:t>have</w:t>
            </w:r>
            <w:r>
              <w:rPr>
                <w:sz w:val="23"/>
              </w:rPr>
              <w:tab/>
            </w:r>
            <w:r>
              <w:rPr>
                <w:spacing w:val="-10"/>
                <w:w w:val="105"/>
                <w:sz w:val="23"/>
              </w:rPr>
              <w:t>a</w:t>
            </w:r>
            <w:r>
              <w:rPr>
                <w:sz w:val="23"/>
              </w:rPr>
              <w:tab/>
            </w:r>
            <w:r>
              <w:rPr>
                <w:spacing w:val="-4"/>
                <w:w w:val="105"/>
                <w:sz w:val="23"/>
              </w:rPr>
              <w:t>very</w:t>
            </w:r>
            <w:r>
              <w:rPr>
                <w:sz w:val="23"/>
              </w:rPr>
              <w:tab/>
            </w:r>
            <w:r>
              <w:rPr>
                <w:spacing w:val="-2"/>
                <w:w w:val="105"/>
                <w:sz w:val="23"/>
              </w:rPr>
              <w:t>smooth</w:t>
            </w:r>
            <w:r>
              <w:rPr>
                <w:sz w:val="23"/>
              </w:rPr>
              <w:tab/>
            </w:r>
            <w:r>
              <w:rPr>
                <w:spacing w:val="-2"/>
                <w:w w:val="105"/>
                <w:sz w:val="23"/>
              </w:rPr>
              <w:t>communication</w:t>
            </w:r>
          </w:p>
          <w:p w:rsidR="00487D64" w:rsidRDefault="006F0D93">
            <w:pPr>
              <w:pStyle w:val="TableParagraph"/>
              <w:spacing w:before="9" w:line="258" w:lineRule="exact"/>
              <w:ind w:left="110"/>
              <w:rPr>
                <w:sz w:val="23"/>
              </w:rPr>
            </w:pPr>
            <w:r>
              <w:rPr>
                <w:w w:val="105"/>
                <w:sz w:val="23"/>
              </w:rPr>
              <w:t>mechanism</w:t>
            </w:r>
            <w:r>
              <w:rPr>
                <w:spacing w:val="-13"/>
                <w:w w:val="105"/>
                <w:sz w:val="23"/>
              </w:rPr>
              <w:t xml:space="preserve"> </w:t>
            </w:r>
            <w:r>
              <w:rPr>
                <w:w w:val="105"/>
                <w:sz w:val="23"/>
              </w:rPr>
              <w:t>within</w:t>
            </w:r>
            <w:r>
              <w:rPr>
                <w:spacing w:val="-12"/>
                <w:w w:val="105"/>
                <w:sz w:val="23"/>
              </w:rPr>
              <w:t xml:space="preserve"> </w:t>
            </w:r>
            <w:r>
              <w:rPr>
                <w:w w:val="105"/>
                <w:sz w:val="23"/>
              </w:rPr>
              <w:t>our</w:t>
            </w:r>
            <w:r>
              <w:rPr>
                <w:spacing w:val="-9"/>
                <w:w w:val="105"/>
                <w:sz w:val="23"/>
              </w:rPr>
              <w:t xml:space="preserve"> </w:t>
            </w:r>
            <w:r>
              <w:rPr>
                <w:spacing w:val="-4"/>
                <w:w w:val="105"/>
                <w:sz w:val="23"/>
              </w:rPr>
              <w:t>firm.</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r w:rsidR="00487D64">
        <w:trPr>
          <w:trHeight w:val="551"/>
        </w:trPr>
        <w:tc>
          <w:tcPr>
            <w:tcW w:w="749" w:type="dxa"/>
          </w:tcPr>
          <w:p w:rsidR="00487D64" w:rsidRDefault="006F0D93">
            <w:pPr>
              <w:pStyle w:val="TableParagraph"/>
              <w:spacing w:before="7"/>
              <w:ind w:left="110"/>
              <w:rPr>
                <w:sz w:val="23"/>
              </w:rPr>
            </w:pPr>
            <w:r>
              <w:rPr>
                <w:spacing w:val="-5"/>
                <w:w w:val="105"/>
                <w:sz w:val="23"/>
              </w:rPr>
              <w:t>38</w:t>
            </w:r>
          </w:p>
        </w:tc>
        <w:tc>
          <w:tcPr>
            <w:tcW w:w="4805" w:type="dxa"/>
          </w:tcPr>
          <w:p w:rsidR="00487D64" w:rsidRDefault="006F0D93">
            <w:pPr>
              <w:pStyle w:val="TableParagraph"/>
              <w:tabs>
                <w:tab w:val="left" w:pos="685"/>
                <w:tab w:val="left" w:pos="1699"/>
                <w:tab w:val="left" w:pos="2627"/>
                <w:tab w:val="left" w:pos="3196"/>
                <w:tab w:val="left" w:pos="4339"/>
              </w:tabs>
              <w:ind w:left="110"/>
              <w:rPr>
                <w:sz w:val="23"/>
              </w:rPr>
            </w:pPr>
            <w:r>
              <w:rPr>
                <w:spacing w:val="-5"/>
                <w:w w:val="105"/>
                <w:sz w:val="23"/>
              </w:rPr>
              <w:t>We</w:t>
            </w:r>
            <w:r>
              <w:rPr>
                <w:sz w:val="23"/>
              </w:rPr>
              <w:tab/>
            </w:r>
            <w:r>
              <w:rPr>
                <w:spacing w:val="-2"/>
                <w:w w:val="105"/>
                <w:sz w:val="23"/>
              </w:rPr>
              <w:t>actively</w:t>
            </w:r>
            <w:r>
              <w:rPr>
                <w:sz w:val="23"/>
              </w:rPr>
              <w:tab/>
            </w:r>
            <w:r>
              <w:rPr>
                <w:spacing w:val="-2"/>
                <w:w w:val="105"/>
                <w:sz w:val="23"/>
              </w:rPr>
              <w:t>change</w:t>
            </w:r>
            <w:r>
              <w:rPr>
                <w:sz w:val="23"/>
              </w:rPr>
              <w:tab/>
            </w:r>
            <w:r>
              <w:rPr>
                <w:spacing w:val="-5"/>
                <w:w w:val="105"/>
                <w:sz w:val="23"/>
              </w:rPr>
              <w:t>our</w:t>
            </w:r>
            <w:r>
              <w:rPr>
                <w:sz w:val="23"/>
              </w:rPr>
              <w:tab/>
            </w:r>
            <w:r>
              <w:rPr>
                <w:spacing w:val="-2"/>
                <w:w w:val="105"/>
                <w:sz w:val="23"/>
              </w:rPr>
              <w:t>strategies</w:t>
            </w:r>
            <w:r>
              <w:rPr>
                <w:sz w:val="23"/>
              </w:rPr>
              <w:tab/>
            </w:r>
            <w:r>
              <w:rPr>
                <w:spacing w:val="-5"/>
                <w:w w:val="105"/>
                <w:sz w:val="23"/>
              </w:rPr>
              <w:t>and</w:t>
            </w:r>
          </w:p>
          <w:p w:rsidR="00487D64" w:rsidRDefault="006F0D93">
            <w:pPr>
              <w:pStyle w:val="TableParagraph"/>
              <w:spacing w:before="9" w:line="258" w:lineRule="exact"/>
              <w:ind w:left="110"/>
              <w:rPr>
                <w:sz w:val="23"/>
              </w:rPr>
            </w:pPr>
            <w:r>
              <w:rPr>
                <w:w w:val="105"/>
                <w:sz w:val="23"/>
              </w:rPr>
              <w:t>structures</w:t>
            </w:r>
            <w:r>
              <w:rPr>
                <w:spacing w:val="-14"/>
                <w:w w:val="105"/>
                <w:sz w:val="23"/>
              </w:rPr>
              <w:t xml:space="preserve"> </w:t>
            </w:r>
            <w:r>
              <w:rPr>
                <w:w w:val="105"/>
                <w:sz w:val="23"/>
              </w:rPr>
              <w:t>to</w:t>
            </w:r>
            <w:r>
              <w:rPr>
                <w:spacing w:val="-11"/>
                <w:w w:val="105"/>
                <w:sz w:val="23"/>
              </w:rPr>
              <w:t xml:space="preserve"> </w:t>
            </w:r>
            <w:r>
              <w:rPr>
                <w:w w:val="105"/>
                <w:sz w:val="23"/>
              </w:rPr>
              <w:t>respond</w:t>
            </w:r>
            <w:r>
              <w:rPr>
                <w:spacing w:val="-11"/>
                <w:w w:val="105"/>
                <w:sz w:val="23"/>
              </w:rPr>
              <w:t xml:space="preserve"> </w:t>
            </w:r>
            <w:r>
              <w:rPr>
                <w:w w:val="105"/>
                <w:sz w:val="23"/>
              </w:rPr>
              <w:t>to</w:t>
            </w:r>
            <w:r>
              <w:rPr>
                <w:spacing w:val="-5"/>
                <w:w w:val="105"/>
                <w:sz w:val="23"/>
              </w:rPr>
              <w:t xml:space="preserve"> </w:t>
            </w:r>
            <w:r>
              <w:rPr>
                <w:w w:val="105"/>
                <w:sz w:val="23"/>
              </w:rPr>
              <w:t>external</w:t>
            </w:r>
            <w:r>
              <w:rPr>
                <w:spacing w:val="-3"/>
                <w:w w:val="105"/>
                <w:sz w:val="23"/>
              </w:rPr>
              <w:t xml:space="preserve"> </w:t>
            </w:r>
            <w:r>
              <w:rPr>
                <w:spacing w:val="-2"/>
                <w:w w:val="105"/>
                <w:sz w:val="23"/>
              </w:rPr>
              <w:t>environments.</w:t>
            </w:r>
          </w:p>
        </w:tc>
        <w:tc>
          <w:tcPr>
            <w:tcW w:w="590" w:type="dxa"/>
          </w:tcPr>
          <w:p w:rsidR="00487D64" w:rsidRDefault="00487D64">
            <w:pPr>
              <w:pStyle w:val="TableParagraph"/>
            </w:pPr>
          </w:p>
        </w:tc>
        <w:tc>
          <w:tcPr>
            <w:tcW w:w="590" w:type="dxa"/>
          </w:tcPr>
          <w:p w:rsidR="00487D64" w:rsidRDefault="00487D64">
            <w:pPr>
              <w:pStyle w:val="TableParagraph"/>
            </w:pPr>
          </w:p>
        </w:tc>
        <w:tc>
          <w:tcPr>
            <w:tcW w:w="597" w:type="dxa"/>
          </w:tcPr>
          <w:p w:rsidR="00487D64" w:rsidRDefault="00487D64">
            <w:pPr>
              <w:pStyle w:val="TableParagraph"/>
            </w:pPr>
          </w:p>
        </w:tc>
        <w:tc>
          <w:tcPr>
            <w:tcW w:w="525" w:type="dxa"/>
          </w:tcPr>
          <w:p w:rsidR="00487D64" w:rsidRDefault="00487D64">
            <w:pPr>
              <w:pStyle w:val="TableParagraph"/>
            </w:pPr>
          </w:p>
        </w:tc>
        <w:tc>
          <w:tcPr>
            <w:tcW w:w="582" w:type="dxa"/>
          </w:tcPr>
          <w:p w:rsidR="00487D64" w:rsidRDefault="00487D64">
            <w:pPr>
              <w:pStyle w:val="TableParagraph"/>
            </w:pPr>
          </w:p>
        </w:tc>
      </w:tr>
    </w:tbl>
    <w:p w:rsidR="00487D64" w:rsidRDefault="00487D64">
      <w:pPr>
        <w:pStyle w:val="BodyText"/>
        <w:rPr>
          <w:b/>
          <w:i/>
        </w:rPr>
      </w:pPr>
    </w:p>
    <w:p w:rsidR="00487D64" w:rsidRDefault="00487D64">
      <w:pPr>
        <w:pStyle w:val="BodyText"/>
        <w:rPr>
          <w:b/>
          <w:i/>
        </w:rPr>
      </w:pPr>
    </w:p>
    <w:p w:rsidR="00487D64" w:rsidRDefault="00487D64">
      <w:pPr>
        <w:pStyle w:val="BodyText"/>
        <w:rPr>
          <w:b/>
          <w:i/>
        </w:rPr>
      </w:pPr>
    </w:p>
    <w:p w:rsidR="00487D64" w:rsidRDefault="00487D64">
      <w:pPr>
        <w:pStyle w:val="BodyText"/>
        <w:rPr>
          <w:b/>
          <w:i/>
        </w:rPr>
      </w:pPr>
    </w:p>
    <w:p w:rsidR="00487D64" w:rsidRDefault="00487D64">
      <w:pPr>
        <w:pStyle w:val="BodyText"/>
        <w:rPr>
          <w:b/>
          <w:i/>
        </w:rPr>
      </w:pPr>
    </w:p>
    <w:p w:rsidR="00487D64" w:rsidRDefault="00487D64">
      <w:pPr>
        <w:pStyle w:val="BodyText"/>
        <w:spacing w:before="88"/>
        <w:rPr>
          <w:b/>
          <w:i/>
        </w:rPr>
      </w:pPr>
    </w:p>
    <w:p w:rsidR="00487D64" w:rsidRDefault="006F0D93">
      <w:pPr>
        <w:pStyle w:val="Heading2"/>
        <w:spacing w:before="1"/>
        <w:ind w:left="3066" w:right="2502"/>
        <w:jc w:val="center"/>
      </w:pPr>
      <w:r>
        <w:rPr>
          <w:w w:val="105"/>
        </w:rPr>
        <w:t>Thank</w:t>
      </w:r>
      <w:r>
        <w:rPr>
          <w:spacing w:val="-8"/>
          <w:w w:val="105"/>
        </w:rPr>
        <w:t xml:space="preserve"> </w:t>
      </w:r>
      <w:r>
        <w:rPr>
          <w:w w:val="105"/>
        </w:rPr>
        <w:t>you</w:t>
      </w:r>
      <w:r>
        <w:rPr>
          <w:spacing w:val="-6"/>
          <w:w w:val="105"/>
        </w:rPr>
        <w:t xml:space="preserve"> </w:t>
      </w:r>
      <w:r>
        <w:rPr>
          <w:w w:val="105"/>
        </w:rPr>
        <w:t>for</w:t>
      </w:r>
      <w:r>
        <w:rPr>
          <w:spacing w:val="-10"/>
          <w:w w:val="105"/>
        </w:rPr>
        <w:t xml:space="preserve"> </w:t>
      </w:r>
      <w:r>
        <w:rPr>
          <w:spacing w:val="-2"/>
          <w:w w:val="105"/>
        </w:rPr>
        <w:t>participating</w:t>
      </w:r>
    </w:p>
    <w:p w:rsidR="00487D64" w:rsidRDefault="00487D64">
      <w:pPr>
        <w:pStyle w:val="Heading2"/>
        <w:jc w:val="center"/>
        <w:sectPr w:rsidR="00487D64">
          <w:pgSz w:w="11910" w:h="16850"/>
          <w:pgMar w:top="980" w:right="566" w:bottom="280" w:left="850" w:header="725" w:footer="0" w:gutter="0"/>
          <w:cols w:space="720"/>
        </w:sectPr>
      </w:pPr>
    </w:p>
    <w:p w:rsidR="00487D64" w:rsidRDefault="00487D64">
      <w:pPr>
        <w:pStyle w:val="BodyText"/>
        <w:rPr>
          <w:b/>
          <w:i/>
        </w:rPr>
      </w:pPr>
    </w:p>
    <w:p w:rsidR="00487D64" w:rsidRDefault="00487D64">
      <w:pPr>
        <w:pStyle w:val="BodyText"/>
        <w:rPr>
          <w:b/>
          <w:i/>
        </w:rPr>
      </w:pPr>
    </w:p>
    <w:p w:rsidR="00487D64" w:rsidRDefault="00487D64">
      <w:pPr>
        <w:pStyle w:val="BodyText"/>
        <w:rPr>
          <w:b/>
          <w:i/>
        </w:rPr>
      </w:pPr>
    </w:p>
    <w:p w:rsidR="00487D64" w:rsidRDefault="00487D64">
      <w:pPr>
        <w:pStyle w:val="BodyText"/>
        <w:rPr>
          <w:b/>
          <w:i/>
        </w:rPr>
      </w:pPr>
    </w:p>
    <w:p w:rsidR="00487D64" w:rsidRDefault="00487D64">
      <w:pPr>
        <w:pStyle w:val="BodyText"/>
        <w:spacing w:before="212"/>
        <w:rPr>
          <w:b/>
          <w:i/>
        </w:rPr>
      </w:pPr>
    </w:p>
    <w:p w:rsidR="00487D64" w:rsidRDefault="006F0D93">
      <w:pPr>
        <w:ind w:left="1419"/>
        <w:rPr>
          <w:b/>
          <w:sz w:val="23"/>
        </w:rPr>
      </w:pPr>
      <w:r>
        <w:rPr>
          <w:b/>
          <w:w w:val="105"/>
          <w:sz w:val="23"/>
        </w:rPr>
        <w:t>Appendix</w:t>
      </w:r>
      <w:r>
        <w:rPr>
          <w:b/>
          <w:spacing w:val="-14"/>
          <w:w w:val="105"/>
          <w:sz w:val="23"/>
        </w:rPr>
        <w:t xml:space="preserve"> </w:t>
      </w:r>
      <w:r>
        <w:rPr>
          <w:b/>
          <w:w w:val="105"/>
          <w:sz w:val="23"/>
        </w:rPr>
        <w:t>2:</w:t>
      </w:r>
      <w:r>
        <w:rPr>
          <w:b/>
          <w:spacing w:val="51"/>
          <w:w w:val="105"/>
          <w:sz w:val="23"/>
        </w:rPr>
        <w:t xml:space="preserve"> </w:t>
      </w:r>
      <w:r>
        <w:rPr>
          <w:b/>
          <w:w w:val="105"/>
          <w:sz w:val="23"/>
        </w:rPr>
        <w:t>A</w:t>
      </w:r>
      <w:r>
        <w:rPr>
          <w:b/>
          <w:spacing w:val="-15"/>
          <w:w w:val="105"/>
          <w:sz w:val="23"/>
        </w:rPr>
        <w:t xml:space="preserve"> </w:t>
      </w:r>
      <w:r>
        <w:rPr>
          <w:b/>
          <w:w w:val="105"/>
          <w:sz w:val="23"/>
        </w:rPr>
        <w:t>summary</w:t>
      </w:r>
      <w:r>
        <w:rPr>
          <w:b/>
          <w:spacing w:val="-8"/>
          <w:w w:val="105"/>
          <w:sz w:val="23"/>
        </w:rPr>
        <w:t xml:space="preserve"> </w:t>
      </w:r>
      <w:r>
        <w:rPr>
          <w:b/>
          <w:w w:val="105"/>
          <w:sz w:val="23"/>
        </w:rPr>
        <w:t>of</w:t>
      </w:r>
      <w:r>
        <w:rPr>
          <w:b/>
          <w:spacing w:val="-11"/>
          <w:w w:val="105"/>
          <w:sz w:val="23"/>
        </w:rPr>
        <w:t xml:space="preserve"> </w:t>
      </w:r>
      <w:r>
        <w:rPr>
          <w:b/>
          <w:w w:val="105"/>
          <w:sz w:val="23"/>
        </w:rPr>
        <w:t>Empirical</w:t>
      </w:r>
      <w:r>
        <w:rPr>
          <w:b/>
          <w:spacing w:val="-6"/>
          <w:w w:val="105"/>
          <w:sz w:val="23"/>
        </w:rPr>
        <w:t xml:space="preserve"> </w:t>
      </w:r>
      <w:r>
        <w:rPr>
          <w:b/>
          <w:w w:val="105"/>
          <w:sz w:val="23"/>
        </w:rPr>
        <w:t>Literature</w:t>
      </w:r>
      <w:r>
        <w:rPr>
          <w:b/>
          <w:spacing w:val="-10"/>
          <w:w w:val="105"/>
          <w:sz w:val="23"/>
        </w:rPr>
        <w:t xml:space="preserve"> </w:t>
      </w:r>
      <w:r>
        <w:rPr>
          <w:b/>
          <w:spacing w:val="-2"/>
          <w:w w:val="105"/>
          <w:sz w:val="23"/>
        </w:rPr>
        <w:t>Review</w:t>
      </w:r>
    </w:p>
    <w:p w:rsidR="00487D64" w:rsidRDefault="00487D64">
      <w:pPr>
        <w:pStyle w:val="BodyText"/>
        <w:spacing w:before="10"/>
        <w:rPr>
          <w:b/>
          <w:sz w:val="13"/>
        </w:rPr>
      </w:pPr>
    </w:p>
    <w:tbl>
      <w:tblPr>
        <w:tblW w:w="0" w:type="auto"/>
        <w:tblInd w:w="1369" w:type="dxa"/>
        <w:tblLayout w:type="fixed"/>
        <w:tblCellMar>
          <w:left w:w="0" w:type="dxa"/>
          <w:right w:w="0" w:type="dxa"/>
        </w:tblCellMar>
        <w:tblLook w:val="01E0" w:firstRow="1" w:lastRow="1" w:firstColumn="1" w:lastColumn="1" w:noHBand="0" w:noVBand="0"/>
      </w:tblPr>
      <w:tblGrid>
        <w:gridCol w:w="1177"/>
        <w:gridCol w:w="1317"/>
        <w:gridCol w:w="1433"/>
        <w:gridCol w:w="1535"/>
        <w:gridCol w:w="1495"/>
        <w:gridCol w:w="1375"/>
      </w:tblGrid>
      <w:tr w:rsidR="00487D64">
        <w:trPr>
          <w:trHeight w:val="491"/>
        </w:trPr>
        <w:tc>
          <w:tcPr>
            <w:tcW w:w="1177" w:type="dxa"/>
            <w:tcBorders>
              <w:top w:val="double" w:sz="4" w:space="0" w:color="000000"/>
              <w:bottom w:val="single" w:sz="4" w:space="0" w:color="000000"/>
            </w:tcBorders>
          </w:tcPr>
          <w:p w:rsidR="00487D64" w:rsidRDefault="006F0D93">
            <w:pPr>
              <w:pStyle w:val="TableParagraph"/>
              <w:spacing w:before="140"/>
              <w:ind w:left="151"/>
              <w:rPr>
                <w:b/>
                <w:sz w:val="20"/>
              </w:rPr>
            </w:pPr>
            <w:r>
              <w:rPr>
                <w:b/>
                <w:spacing w:val="-2"/>
                <w:sz w:val="20"/>
              </w:rPr>
              <w:t>Hypothesis</w:t>
            </w:r>
          </w:p>
        </w:tc>
        <w:tc>
          <w:tcPr>
            <w:tcW w:w="1317" w:type="dxa"/>
            <w:tcBorders>
              <w:top w:val="double" w:sz="4" w:space="0" w:color="000000"/>
              <w:bottom w:val="single" w:sz="4" w:space="0" w:color="000000"/>
            </w:tcBorders>
          </w:tcPr>
          <w:p w:rsidR="00487D64" w:rsidRDefault="006F0D93">
            <w:pPr>
              <w:pStyle w:val="TableParagraph"/>
              <w:spacing w:before="11" w:line="230" w:lineRule="atLeast"/>
              <w:ind w:left="472" w:hanging="318"/>
              <w:rPr>
                <w:b/>
                <w:sz w:val="20"/>
              </w:rPr>
            </w:pPr>
            <w:r>
              <w:rPr>
                <w:b/>
                <w:sz w:val="20"/>
              </w:rPr>
              <w:t>Author(s)</w:t>
            </w:r>
            <w:r>
              <w:rPr>
                <w:b/>
                <w:spacing w:val="-13"/>
                <w:sz w:val="20"/>
              </w:rPr>
              <w:t xml:space="preserve"> </w:t>
            </w:r>
            <w:r>
              <w:rPr>
                <w:b/>
                <w:sz w:val="20"/>
              </w:rPr>
              <w:t xml:space="preserve">&amp; </w:t>
            </w:r>
            <w:r>
              <w:rPr>
                <w:b/>
                <w:spacing w:val="-4"/>
                <w:sz w:val="20"/>
              </w:rPr>
              <w:t>Year</w:t>
            </w:r>
          </w:p>
        </w:tc>
        <w:tc>
          <w:tcPr>
            <w:tcW w:w="1433" w:type="dxa"/>
            <w:tcBorders>
              <w:top w:val="double" w:sz="4" w:space="0" w:color="000000"/>
              <w:bottom w:val="single" w:sz="4" w:space="0" w:color="000000"/>
            </w:tcBorders>
          </w:tcPr>
          <w:p w:rsidR="00487D64" w:rsidRDefault="006F0D93">
            <w:pPr>
              <w:pStyle w:val="TableParagraph"/>
              <w:spacing w:before="11" w:line="230" w:lineRule="atLeast"/>
              <w:ind w:left="675" w:right="44" w:hanging="606"/>
              <w:rPr>
                <w:b/>
                <w:sz w:val="20"/>
              </w:rPr>
            </w:pPr>
            <w:r>
              <w:rPr>
                <w:b/>
                <w:spacing w:val="-2"/>
                <w:sz w:val="20"/>
              </w:rPr>
              <w:t xml:space="preserve">Objective/Focu </w:t>
            </w:r>
            <w:r>
              <w:rPr>
                <w:b/>
                <w:spacing w:val="-10"/>
                <w:sz w:val="20"/>
              </w:rPr>
              <w:t>s</w:t>
            </w:r>
          </w:p>
        </w:tc>
        <w:tc>
          <w:tcPr>
            <w:tcW w:w="1535" w:type="dxa"/>
            <w:tcBorders>
              <w:top w:val="double" w:sz="4" w:space="0" w:color="000000"/>
              <w:bottom w:val="single" w:sz="4" w:space="0" w:color="000000"/>
            </w:tcBorders>
          </w:tcPr>
          <w:p w:rsidR="00487D64" w:rsidRDefault="006F0D93">
            <w:pPr>
              <w:pStyle w:val="TableParagraph"/>
              <w:spacing w:before="11" w:line="230" w:lineRule="atLeast"/>
              <w:ind w:left="741" w:right="43" w:hanging="678"/>
              <w:rPr>
                <w:b/>
                <w:sz w:val="20"/>
              </w:rPr>
            </w:pPr>
            <w:r>
              <w:rPr>
                <w:b/>
                <w:spacing w:val="-2"/>
                <w:sz w:val="20"/>
              </w:rPr>
              <w:t xml:space="preserve">Location/Contex </w:t>
            </w:r>
            <w:r>
              <w:rPr>
                <w:b/>
                <w:spacing w:val="-10"/>
                <w:sz w:val="20"/>
              </w:rPr>
              <w:t>t</w:t>
            </w:r>
          </w:p>
        </w:tc>
        <w:tc>
          <w:tcPr>
            <w:tcW w:w="1495" w:type="dxa"/>
            <w:tcBorders>
              <w:top w:val="double" w:sz="4" w:space="0" w:color="000000"/>
              <w:bottom w:val="single" w:sz="4" w:space="0" w:color="000000"/>
            </w:tcBorders>
          </w:tcPr>
          <w:p w:rsidR="00487D64" w:rsidRDefault="006F0D93">
            <w:pPr>
              <w:pStyle w:val="TableParagraph"/>
              <w:spacing w:before="11" w:line="230" w:lineRule="atLeast"/>
              <w:ind w:left="719" w:right="38" w:hanging="649"/>
              <w:rPr>
                <w:b/>
                <w:sz w:val="20"/>
              </w:rPr>
            </w:pPr>
            <w:r>
              <w:rPr>
                <w:b/>
                <w:spacing w:val="-2"/>
                <w:sz w:val="20"/>
              </w:rPr>
              <w:t xml:space="preserve">Method/Analysi </w:t>
            </w:r>
            <w:r>
              <w:rPr>
                <w:b/>
                <w:spacing w:val="-10"/>
                <w:sz w:val="20"/>
              </w:rPr>
              <w:t>s</w:t>
            </w:r>
          </w:p>
        </w:tc>
        <w:tc>
          <w:tcPr>
            <w:tcW w:w="1375" w:type="dxa"/>
            <w:tcBorders>
              <w:top w:val="double" w:sz="4" w:space="0" w:color="000000"/>
              <w:bottom w:val="single" w:sz="4" w:space="0" w:color="000000"/>
            </w:tcBorders>
          </w:tcPr>
          <w:p w:rsidR="00487D64" w:rsidRDefault="006F0D93">
            <w:pPr>
              <w:pStyle w:val="TableParagraph"/>
              <w:spacing w:before="140"/>
              <w:ind w:left="117"/>
              <w:rPr>
                <w:b/>
                <w:sz w:val="20"/>
              </w:rPr>
            </w:pPr>
            <w:r>
              <w:rPr>
                <w:b/>
                <w:sz w:val="20"/>
              </w:rPr>
              <w:t>Key</w:t>
            </w:r>
            <w:r>
              <w:rPr>
                <w:b/>
                <w:spacing w:val="-5"/>
                <w:sz w:val="20"/>
              </w:rPr>
              <w:t xml:space="preserve"> </w:t>
            </w:r>
            <w:r>
              <w:rPr>
                <w:b/>
                <w:spacing w:val="-2"/>
                <w:sz w:val="20"/>
              </w:rPr>
              <w:t>Findings</w:t>
            </w:r>
          </w:p>
        </w:tc>
      </w:tr>
      <w:tr w:rsidR="00487D64">
        <w:trPr>
          <w:trHeight w:val="1227"/>
        </w:trPr>
        <w:tc>
          <w:tcPr>
            <w:tcW w:w="1177" w:type="dxa"/>
            <w:tcBorders>
              <w:top w:val="single" w:sz="4" w:space="0" w:color="000000"/>
            </w:tcBorders>
          </w:tcPr>
          <w:p w:rsidR="00487D64" w:rsidRDefault="006F0D93">
            <w:pPr>
              <w:pStyle w:val="TableParagraph"/>
              <w:spacing w:before="164"/>
              <w:ind w:left="57"/>
              <w:rPr>
                <w:b/>
                <w:sz w:val="20"/>
              </w:rPr>
            </w:pPr>
            <w:r>
              <w:rPr>
                <w:b/>
                <w:spacing w:val="-5"/>
                <w:sz w:val="20"/>
              </w:rPr>
              <w:t>H1:</w:t>
            </w:r>
          </w:p>
          <w:p w:rsidR="00487D64" w:rsidRDefault="006F0D93">
            <w:pPr>
              <w:pStyle w:val="TableParagraph"/>
              <w:spacing w:before="1"/>
              <w:ind w:left="57"/>
              <w:rPr>
                <w:b/>
                <w:sz w:val="20"/>
              </w:rPr>
            </w:pPr>
            <w:r>
              <w:rPr>
                <w:b/>
                <w:spacing w:val="-2"/>
                <w:sz w:val="20"/>
              </w:rPr>
              <w:t>Customer Orientation</w:t>
            </w:r>
          </w:p>
          <w:p w:rsidR="00487D64" w:rsidRDefault="006F0D93">
            <w:pPr>
              <w:pStyle w:val="TableParagraph"/>
              <w:spacing w:before="1"/>
              <w:ind w:left="57"/>
              <w:rPr>
                <w:b/>
                <w:sz w:val="20"/>
              </w:rPr>
            </w:pPr>
            <w:r>
              <w:rPr>
                <w:b/>
                <w:sz w:val="20"/>
              </w:rPr>
              <w:t xml:space="preserve">→ </w:t>
            </w:r>
            <w:r>
              <w:rPr>
                <w:b/>
                <w:spacing w:val="-5"/>
                <w:sz w:val="20"/>
              </w:rPr>
              <w:t>SC</w:t>
            </w:r>
          </w:p>
        </w:tc>
        <w:tc>
          <w:tcPr>
            <w:tcW w:w="1317" w:type="dxa"/>
            <w:tcBorders>
              <w:top w:val="single" w:sz="4" w:space="0" w:color="000000"/>
            </w:tcBorders>
          </w:tcPr>
          <w:p w:rsidR="00487D64" w:rsidRDefault="00487D64">
            <w:pPr>
              <w:pStyle w:val="TableParagraph"/>
              <w:spacing w:before="158"/>
              <w:rPr>
                <w:b/>
                <w:sz w:val="20"/>
              </w:rPr>
            </w:pPr>
          </w:p>
          <w:p w:rsidR="00487D64" w:rsidRDefault="006F0D93">
            <w:pPr>
              <w:pStyle w:val="TableParagraph"/>
              <w:ind w:left="76"/>
              <w:rPr>
                <w:sz w:val="20"/>
              </w:rPr>
            </w:pPr>
            <w:r>
              <w:rPr>
                <w:sz w:val="20"/>
              </w:rPr>
              <w:t>Bankole</w:t>
            </w:r>
            <w:r>
              <w:rPr>
                <w:spacing w:val="-13"/>
                <w:sz w:val="20"/>
              </w:rPr>
              <w:t xml:space="preserve"> </w:t>
            </w:r>
            <w:r>
              <w:rPr>
                <w:sz w:val="20"/>
              </w:rPr>
              <w:t>et</w:t>
            </w:r>
            <w:r>
              <w:rPr>
                <w:spacing w:val="-12"/>
                <w:sz w:val="20"/>
              </w:rPr>
              <w:t xml:space="preserve"> </w:t>
            </w:r>
            <w:r>
              <w:rPr>
                <w:sz w:val="20"/>
              </w:rPr>
              <w:t xml:space="preserve">al. </w:t>
            </w:r>
            <w:r>
              <w:rPr>
                <w:spacing w:val="-2"/>
                <w:sz w:val="20"/>
              </w:rPr>
              <w:t>(2022)</w:t>
            </w:r>
          </w:p>
        </w:tc>
        <w:tc>
          <w:tcPr>
            <w:tcW w:w="1433" w:type="dxa"/>
            <w:tcBorders>
              <w:top w:val="single" w:sz="4" w:space="0" w:color="000000"/>
            </w:tcBorders>
          </w:tcPr>
          <w:p w:rsidR="00487D64" w:rsidRDefault="006F0D93">
            <w:pPr>
              <w:pStyle w:val="TableParagraph"/>
              <w:spacing w:before="157"/>
              <w:ind w:left="34"/>
              <w:rPr>
                <w:sz w:val="20"/>
              </w:rPr>
            </w:pPr>
            <w:r>
              <w:rPr>
                <w:sz w:val="20"/>
              </w:rPr>
              <w:t xml:space="preserve">CO → </w:t>
            </w:r>
            <w:r>
              <w:rPr>
                <w:spacing w:val="-2"/>
                <w:sz w:val="20"/>
              </w:rPr>
              <w:t>sustainability</w:t>
            </w:r>
            <w:r>
              <w:rPr>
                <w:spacing w:val="-10"/>
                <w:sz w:val="20"/>
              </w:rPr>
              <w:t xml:space="preserve"> </w:t>
            </w:r>
            <w:r>
              <w:rPr>
                <w:spacing w:val="-2"/>
                <w:sz w:val="20"/>
              </w:rPr>
              <w:t xml:space="preserve">via </w:t>
            </w:r>
            <w:r>
              <w:rPr>
                <w:sz w:val="20"/>
              </w:rPr>
              <w:t>loyalty</w:t>
            </w:r>
            <w:r>
              <w:rPr>
                <w:spacing w:val="-5"/>
                <w:sz w:val="20"/>
              </w:rPr>
              <w:t xml:space="preserve"> </w:t>
            </w:r>
            <w:r>
              <w:rPr>
                <w:sz w:val="20"/>
              </w:rPr>
              <w:t xml:space="preserve">&amp; </w:t>
            </w:r>
            <w:r>
              <w:rPr>
                <w:spacing w:val="-2"/>
                <w:sz w:val="20"/>
              </w:rPr>
              <w:t>differentiation</w:t>
            </w:r>
          </w:p>
        </w:tc>
        <w:tc>
          <w:tcPr>
            <w:tcW w:w="1535" w:type="dxa"/>
            <w:tcBorders>
              <w:top w:val="single" w:sz="4" w:space="0" w:color="000000"/>
            </w:tcBorders>
          </w:tcPr>
          <w:p w:rsidR="00487D64" w:rsidRDefault="00487D64">
            <w:pPr>
              <w:pStyle w:val="TableParagraph"/>
              <w:spacing w:before="158"/>
              <w:rPr>
                <w:b/>
                <w:sz w:val="20"/>
              </w:rPr>
            </w:pPr>
          </w:p>
          <w:p w:rsidR="00487D64" w:rsidRDefault="006F0D93">
            <w:pPr>
              <w:pStyle w:val="TableParagraph"/>
              <w:ind w:left="35" w:right="254"/>
              <w:rPr>
                <w:sz w:val="20"/>
              </w:rPr>
            </w:pPr>
            <w:r>
              <w:rPr>
                <w:sz w:val="20"/>
              </w:rPr>
              <w:t>Nigerian</w:t>
            </w:r>
            <w:r>
              <w:rPr>
                <w:spacing w:val="-13"/>
                <w:sz w:val="20"/>
              </w:rPr>
              <w:t xml:space="preserve"> </w:t>
            </w:r>
            <w:r>
              <w:rPr>
                <w:sz w:val="20"/>
              </w:rPr>
              <w:t xml:space="preserve">SMEs </w:t>
            </w:r>
            <w:r>
              <w:rPr>
                <w:spacing w:val="-2"/>
                <w:sz w:val="20"/>
              </w:rPr>
              <w:t>(278)</w:t>
            </w:r>
          </w:p>
        </w:tc>
        <w:tc>
          <w:tcPr>
            <w:tcW w:w="1495" w:type="dxa"/>
            <w:tcBorders>
              <w:top w:val="single" w:sz="4" w:space="0" w:color="000000"/>
            </w:tcBorders>
          </w:tcPr>
          <w:p w:rsidR="00487D64" w:rsidRDefault="00487D64">
            <w:pPr>
              <w:pStyle w:val="TableParagraph"/>
              <w:rPr>
                <w:b/>
                <w:sz w:val="20"/>
              </w:rPr>
            </w:pPr>
          </w:p>
          <w:p w:rsidR="00487D64" w:rsidRDefault="00487D64">
            <w:pPr>
              <w:pStyle w:val="TableParagraph"/>
              <w:spacing w:before="43"/>
              <w:rPr>
                <w:b/>
                <w:sz w:val="20"/>
              </w:rPr>
            </w:pPr>
          </w:p>
          <w:p w:rsidR="00487D64" w:rsidRDefault="006F0D93">
            <w:pPr>
              <w:pStyle w:val="TableParagraph"/>
              <w:ind w:left="42"/>
              <w:rPr>
                <w:sz w:val="20"/>
              </w:rPr>
            </w:pPr>
            <w:r>
              <w:rPr>
                <w:sz w:val="20"/>
              </w:rPr>
              <w:t>Survey</w:t>
            </w:r>
            <w:r>
              <w:rPr>
                <w:spacing w:val="-12"/>
                <w:sz w:val="20"/>
              </w:rPr>
              <w:t xml:space="preserve"> </w:t>
            </w:r>
            <w:r>
              <w:rPr>
                <w:sz w:val="20"/>
              </w:rPr>
              <w:t>+</w:t>
            </w:r>
            <w:r>
              <w:rPr>
                <w:spacing w:val="-2"/>
                <w:sz w:val="20"/>
              </w:rPr>
              <w:t xml:space="preserve"> </w:t>
            </w:r>
            <w:r>
              <w:rPr>
                <w:spacing w:val="-5"/>
                <w:sz w:val="20"/>
              </w:rPr>
              <w:t>SEM</w:t>
            </w:r>
          </w:p>
        </w:tc>
        <w:tc>
          <w:tcPr>
            <w:tcW w:w="1375" w:type="dxa"/>
            <w:tcBorders>
              <w:top w:val="single" w:sz="4" w:space="0" w:color="000000"/>
            </w:tcBorders>
          </w:tcPr>
          <w:p w:rsidR="00487D64" w:rsidRDefault="006F0D93">
            <w:pPr>
              <w:pStyle w:val="TableParagraph"/>
              <w:spacing w:before="42"/>
              <w:ind w:left="45"/>
              <w:rPr>
                <w:sz w:val="20"/>
              </w:rPr>
            </w:pPr>
            <w:r>
              <w:rPr>
                <w:spacing w:val="-5"/>
                <w:sz w:val="20"/>
              </w:rPr>
              <w:t>CO</w:t>
            </w:r>
          </w:p>
          <w:p w:rsidR="00487D64" w:rsidRDefault="006F0D93">
            <w:pPr>
              <w:pStyle w:val="TableParagraph"/>
              <w:spacing w:before="1"/>
              <w:ind w:left="45" w:right="106"/>
              <w:rPr>
                <w:sz w:val="20"/>
              </w:rPr>
            </w:pPr>
            <w:r>
              <w:rPr>
                <w:spacing w:val="-2"/>
                <w:sz w:val="20"/>
              </w:rPr>
              <w:t xml:space="preserve">significantly </w:t>
            </w:r>
            <w:r>
              <w:rPr>
                <w:sz w:val="20"/>
              </w:rPr>
              <w:t>improves</w:t>
            </w:r>
            <w:r>
              <w:rPr>
                <w:spacing w:val="-13"/>
                <w:sz w:val="20"/>
              </w:rPr>
              <w:t xml:space="preserve"> </w:t>
            </w:r>
            <w:r>
              <w:rPr>
                <w:sz w:val="20"/>
              </w:rPr>
              <w:t xml:space="preserve">long- </w:t>
            </w:r>
            <w:r>
              <w:rPr>
                <w:spacing w:val="-4"/>
                <w:sz w:val="20"/>
              </w:rPr>
              <w:t xml:space="preserve">term </w:t>
            </w:r>
            <w:r>
              <w:rPr>
                <w:spacing w:val="-2"/>
                <w:sz w:val="20"/>
              </w:rPr>
              <w:t>sustainability</w:t>
            </w:r>
          </w:p>
        </w:tc>
      </w:tr>
      <w:tr w:rsidR="00487D64">
        <w:trPr>
          <w:trHeight w:val="983"/>
        </w:trPr>
        <w:tc>
          <w:tcPr>
            <w:tcW w:w="1177" w:type="dxa"/>
          </w:tcPr>
          <w:p w:rsidR="00487D64" w:rsidRDefault="00487D64">
            <w:pPr>
              <w:pStyle w:val="TableParagraph"/>
              <w:rPr>
                <w:sz w:val="20"/>
              </w:rPr>
            </w:pPr>
          </w:p>
        </w:tc>
        <w:tc>
          <w:tcPr>
            <w:tcW w:w="1317" w:type="dxa"/>
          </w:tcPr>
          <w:p w:rsidR="00487D64" w:rsidRDefault="00487D64">
            <w:pPr>
              <w:pStyle w:val="TableParagraph"/>
              <w:spacing w:before="26"/>
              <w:rPr>
                <w:b/>
                <w:sz w:val="20"/>
              </w:rPr>
            </w:pPr>
          </w:p>
          <w:p w:rsidR="00487D64" w:rsidRDefault="006F0D93">
            <w:pPr>
              <w:pStyle w:val="TableParagraph"/>
              <w:ind w:left="76"/>
              <w:rPr>
                <w:sz w:val="20"/>
              </w:rPr>
            </w:pPr>
            <w:r>
              <w:rPr>
                <w:sz w:val="20"/>
              </w:rPr>
              <w:t>Tseng</w:t>
            </w:r>
            <w:r>
              <w:rPr>
                <w:spacing w:val="-13"/>
                <w:sz w:val="20"/>
              </w:rPr>
              <w:t xml:space="preserve"> </w:t>
            </w:r>
            <w:r>
              <w:rPr>
                <w:sz w:val="20"/>
              </w:rPr>
              <w:t>et</w:t>
            </w:r>
            <w:r>
              <w:rPr>
                <w:spacing w:val="-12"/>
                <w:sz w:val="20"/>
              </w:rPr>
              <w:t xml:space="preserve"> </w:t>
            </w:r>
            <w:r>
              <w:rPr>
                <w:sz w:val="20"/>
              </w:rPr>
              <w:t xml:space="preserve">al. </w:t>
            </w:r>
            <w:r>
              <w:rPr>
                <w:spacing w:val="-2"/>
                <w:sz w:val="20"/>
              </w:rPr>
              <w:t>(2018)</w:t>
            </w:r>
          </w:p>
        </w:tc>
        <w:tc>
          <w:tcPr>
            <w:tcW w:w="1433" w:type="dxa"/>
          </w:tcPr>
          <w:p w:rsidR="00487D64" w:rsidRDefault="00487D64">
            <w:pPr>
              <w:pStyle w:val="TableParagraph"/>
              <w:spacing w:before="26"/>
              <w:rPr>
                <w:b/>
                <w:sz w:val="20"/>
              </w:rPr>
            </w:pPr>
          </w:p>
          <w:p w:rsidR="00487D64" w:rsidRDefault="006F0D93">
            <w:pPr>
              <w:pStyle w:val="TableParagraph"/>
              <w:ind w:left="34" w:right="44"/>
              <w:rPr>
                <w:sz w:val="20"/>
              </w:rPr>
            </w:pPr>
            <w:r>
              <w:rPr>
                <w:sz w:val="20"/>
              </w:rPr>
              <w:t>CO</w:t>
            </w:r>
            <w:r>
              <w:rPr>
                <w:spacing w:val="-13"/>
                <w:sz w:val="20"/>
              </w:rPr>
              <w:t xml:space="preserve"> </w:t>
            </w:r>
            <w:r>
              <w:rPr>
                <w:sz w:val="20"/>
              </w:rPr>
              <w:t>→</w:t>
            </w:r>
            <w:r>
              <w:rPr>
                <w:spacing w:val="-12"/>
                <w:sz w:val="20"/>
              </w:rPr>
              <w:t xml:space="preserve"> </w:t>
            </w:r>
            <w:r>
              <w:rPr>
                <w:sz w:val="20"/>
              </w:rPr>
              <w:t xml:space="preserve">market </w:t>
            </w:r>
            <w:r>
              <w:rPr>
                <w:spacing w:val="-2"/>
                <w:sz w:val="20"/>
              </w:rPr>
              <w:t>performance</w:t>
            </w:r>
          </w:p>
        </w:tc>
        <w:tc>
          <w:tcPr>
            <w:tcW w:w="1535" w:type="dxa"/>
          </w:tcPr>
          <w:p w:rsidR="00487D64" w:rsidRDefault="00487D64">
            <w:pPr>
              <w:pStyle w:val="TableParagraph"/>
              <w:spacing w:before="141"/>
              <w:rPr>
                <w:b/>
                <w:sz w:val="20"/>
              </w:rPr>
            </w:pPr>
          </w:p>
          <w:p w:rsidR="00487D64" w:rsidRDefault="006F0D93">
            <w:pPr>
              <w:pStyle w:val="TableParagraph"/>
              <w:ind w:left="35"/>
              <w:rPr>
                <w:sz w:val="20"/>
              </w:rPr>
            </w:pPr>
            <w:r>
              <w:rPr>
                <w:spacing w:val="-2"/>
                <w:sz w:val="20"/>
              </w:rPr>
              <w:t>Taiwanese</w:t>
            </w:r>
            <w:r>
              <w:rPr>
                <w:sz w:val="20"/>
              </w:rPr>
              <w:t xml:space="preserve"> </w:t>
            </w:r>
            <w:r>
              <w:rPr>
                <w:spacing w:val="-4"/>
                <w:sz w:val="20"/>
              </w:rPr>
              <w:t>SMEs</w:t>
            </w:r>
          </w:p>
        </w:tc>
        <w:tc>
          <w:tcPr>
            <w:tcW w:w="1495" w:type="dxa"/>
          </w:tcPr>
          <w:p w:rsidR="00487D64" w:rsidRDefault="00487D64">
            <w:pPr>
              <w:pStyle w:val="TableParagraph"/>
              <w:spacing w:before="141"/>
              <w:rPr>
                <w:b/>
                <w:sz w:val="20"/>
              </w:rPr>
            </w:pPr>
          </w:p>
          <w:p w:rsidR="00487D64" w:rsidRDefault="006F0D93">
            <w:pPr>
              <w:pStyle w:val="TableParagraph"/>
              <w:ind w:left="42"/>
              <w:rPr>
                <w:sz w:val="20"/>
              </w:rPr>
            </w:pPr>
            <w:r>
              <w:rPr>
                <w:spacing w:val="-2"/>
                <w:sz w:val="20"/>
              </w:rPr>
              <w:t>PLS-</w:t>
            </w:r>
            <w:r>
              <w:rPr>
                <w:spacing w:val="-5"/>
                <w:sz w:val="20"/>
              </w:rPr>
              <w:t>SEM</w:t>
            </w:r>
          </w:p>
        </w:tc>
        <w:tc>
          <w:tcPr>
            <w:tcW w:w="1375" w:type="dxa"/>
          </w:tcPr>
          <w:p w:rsidR="00487D64" w:rsidRDefault="006F0D93">
            <w:pPr>
              <w:pStyle w:val="TableParagraph"/>
              <w:spacing w:before="25"/>
              <w:ind w:left="45"/>
              <w:rPr>
                <w:sz w:val="20"/>
              </w:rPr>
            </w:pPr>
            <w:r>
              <w:rPr>
                <w:sz w:val="20"/>
              </w:rPr>
              <w:t xml:space="preserve">CO boosts satisfaction &amp; </w:t>
            </w:r>
            <w:r>
              <w:rPr>
                <w:spacing w:val="-2"/>
                <w:sz w:val="20"/>
              </w:rPr>
              <w:t>innovation responsiveness</w:t>
            </w:r>
          </w:p>
        </w:tc>
      </w:tr>
      <w:tr w:rsidR="00487D64">
        <w:trPr>
          <w:trHeight w:val="1210"/>
        </w:trPr>
        <w:tc>
          <w:tcPr>
            <w:tcW w:w="1177" w:type="dxa"/>
          </w:tcPr>
          <w:p w:rsidR="00487D64" w:rsidRDefault="00487D64">
            <w:pPr>
              <w:pStyle w:val="TableParagraph"/>
              <w:rPr>
                <w:sz w:val="20"/>
              </w:rPr>
            </w:pPr>
          </w:p>
        </w:tc>
        <w:tc>
          <w:tcPr>
            <w:tcW w:w="1317" w:type="dxa"/>
          </w:tcPr>
          <w:p w:rsidR="00487D64" w:rsidRDefault="00487D64">
            <w:pPr>
              <w:pStyle w:val="TableParagraph"/>
              <w:rPr>
                <w:b/>
                <w:sz w:val="20"/>
              </w:rPr>
            </w:pPr>
          </w:p>
          <w:p w:rsidR="00487D64" w:rsidRDefault="00487D64">
            <w:pPr>
              <w:pStyle w:val="TableParagraph"/>
              <w:spacing w:before="22"/>
              <w:rPr>
                <w:b/>
                <w:sz w:val="20"/>
              </w:rPr>
            </w:pPr>
          </w:p>
          <w:p w:rsidR="00487D64" w:rsidRDefault="006F0D93">
            <w:pPr>
              <w:pStyle w:val="TableParagraph"/>
              <w:spacing w:before="1"/>
              <w:ind w:left="76"/>
              <w:rPr>
                <w:sz w:val="20"/>
              </w:rPr>
            </w:pPr>
            <w:r>
              <w:rPr>
                <w:sz w:val="20"/>
              </w:rPr>
              <w:t>Tunc</w:t>
            </w:r>
            <w:r>
              <w:rPr>
                <w:spacing w:val="-12"/>
                <w:sz w:val="20"/>
              </w:rPr>
              <w:t xml:space="preserve"> </w:t>
            </w:r>
            <w:r>
              <w:rPr>
                <w:spacing w:val="-2"/>
                <w:sz w:val="20"/>
              </w:rPr>
              <w:t>(2020)</w:t>
            </w:r>
          </w:p>
        </w:tc>
        <w:tc>
          <w:tcPr>
            <w:tcW w:w="1433" w:type="dxa"/>
          </w:tcPr>
          <w:p w:rsidR="00487D64" w:rsidRDefault="00487D64">
            <w:pPr>
              <w:pStyle w:val="TableParagraph"/>
              <w:spacing w:before="22"/>
              <w:rPr>
                <w:b/>
                <w:sz w:val="20"/>
              </w:rPr>
            </w:pPr>
          </w:p>
          <w:p w:rsidR="00487D64" w:rsidRDefault="006F0D93">
            <w:pPr>
              <w:pStyle w:val="TableParagraph"/>
              <w:ind w:left="34" w:right="44"/>
              <w:rPr>
                <w:sz w:val="20"/>
              </w:rPr>
            </w:pPr>
            <w:r>
              <w:rPr>
                <w:sz w:val="20"/>
              </w:rPr>
              <w:t xml:space="preserve">CO → </w:t>
            </w:r>
            <w:r>
              <w:rPr>
                <w:spacing w:val="-2"/>
                <w:sz w:val="20"/>
              </w:rPr>
              <w:t>procurement success</w:t>
            </w:r>
          </w:p>
        </w:tc>
        <w:tc>
          <w:tcPr>
            <w:tcW w:w="1535" w:type="dxa"/>
          </w:tcPr>
          <w:p w:rsidR="00487D64" w:rsidRDefault="00487D64">
            <w:pPr>
              <w:pStyle w:val="TableParagraph"/>
              <w:rPr>
                <w:b/>
                <w:sz w:val="20"/>
              </w:rPr>
            </w:pPr>
          </w:p>
          <w:p w:rsidR="00487D64" w:rsidRDefault="00487D64">
            <w:pPr>
              <w:pStyle w:val="TableParagraph"/>
              <w:spacing w:before="22"/>
              <w:rPr>
                <w:b/>
                <w:sz w:val="20"/>
              </w:rPr>
            </w:pPr>
          </w:p>
          <w:p w:rsidR="00487D64" w:rsidRDefault="006F0D93">
            <w:pPr>
              <w:pStyle w:val="TableParagraph"/>
              <w:spacing w:before="1"/>
              <w:ind w:left="35"/>
              <w:rPr>
                <w:sz w:val="20"/>
              </w:rPr>
            </w:pPr>
            <w:r>
              <w:rPr>
                <w:sz w:val="20"/>
              </w:rPr>
              <w:t>Turkish</w:t>
            </w:r>
            <w:r>
              <w:rPr>
                <w:spacing w:val="-13"/>
                <w:sz w:val="20"/>
              </w:rPr>
              <w:t xml:space="preserve"> </w:t>
            </w:r>
            <w:r>
              <w:rPr>
                <w:spacing w:val="-4"/>
                <w:sz w:val="20"/>
              </w:rPr>
              <w:t>SMEs</w:t>
            </w:r>
          </w:p>
        </w:tc>
        <w:tc>
          <w:tcPr>
            <w:tcW w:w="1495" w:type="dxa"/>
          </w:tcPr>
          <w:p w:rsidR="00487D64" w:rsidRDefault="00487D64">
            <w:pPr>
              <w:pStyle w:val="TableParagraph"/>
              <w:rPr>
                <w:b/>
                <w:sz w:val="20"/>
              </w:rPr>
            </w:pPr>
          </w:p>
          <w:p w:rsidR="00487D64" w:rsidRDefault="00487D64">
            <w:pPr>
              <w:pStyle w:val="TableParagraph"/>
              <w:spacing w:before="22"/>
              <w:rPr>
                <w:b/>
                <w:sz w:val="20"/>
              </w:rPr>
            </w:pPr>
          </w:p>
          <w:p w:rsidR="00487D64" w:rsidRDefault="006F0D93">
            <w:pPr>
              <w:pStyle w:val="TableParagraph"/>
              <w:spacing w:before="1"/>
              <w:ind w:left="42"/>
              <w:rPr>
                <w:sz w:val="20"/>
              </w:rPr>
            </w:pPr>
            <w:r>
              <w:rPr>
                <w:sz w:val="20"/>
              </w:rPr>
              <w:t>Case</w:t>
            </w:r>
            <w:r>
              <w:rPr>
                <w:spacing w:val="-5"/>
                <w:sz w:val="20"/>
              </w:rPr>
              <w:t xml:space="preserve"> </w:t>
            </w:r>
            <w:r>
              <w:rPr>
                <w:spacing w:val="-2"/>
                <w:sz w:val="20"/>
              </w:rPr>
              <w:t>study</w:t>
            </w:r>
          </w:p>
        </w:tc>
        <w:tc>
          <w:tcPr>
            <w:tcW w:w="1375" w:type="dxa"/>
          </w:tcPr>
          <w:p w:rsidR="00487D64" w:rsidRDefault="006F0D93">
            <w:pPr>
              <w:pStyle w:val="TableParagraph"/>
              <w:spacing w:before="30" w:line="237" w:lineRule="auto"/>
              <w:ind w:left="45" w:right="106"/>
              <w:rPr>
                <w:sz w:val="20"/>
              </w:rPr>
            </w:pPr>
            <w:r>
              <w:rPr>
                <w:spacing w:val="-2"/>
                <w:sz w:val="20"/>
              </w:rPr>
              <w:t xml:space="preserve">Customer customization improves </w:t>
            </w:r>
            <w:r>
              <w:rPr>
                <w:sz w:val="20"/>
              </w:rPr>
              <w:t>bidding</w:t>
            </w:r>
            <w:r>
              <w:rPr>
                <w:spacing w:val="-5"/>
                <w:sz w:val="20"/>
              </w:rPr>
              <w:t xml:space="preserve"> </w:t>
            </w:r>
            <w:r>
              <w:rPr>
                <w:sz w:val="20"/>
              </w:rPr>
              <w:t xml:space="preserve">&amp; </w:t>
            </w:r>
            <w:r>
              <w:rPr>
                <w:spacing w:val="-2"/>
                <w:sz w:val="20"/>
              </w:rPr>
              <w:t>renewals</w:t>
            </w:r>
          </w:p>
        </w:tc>
      </w:tr>
      <w:tr w:rsidR="00487D64">
        <w:trPr>
          <w:trHeight w:val="979"/>
        </w:trPr>
        <w:tc>
          <w:tcPr>
            <w:tcW w:w="1177" w:type="dxa"/>
          </w:tcPr>
          <w:p w:rsidR="00487D64" w:rsidRDefault="00487D64">
            <w:pPr>
              <w:pStyle w:val="TableParagraph"/>
              <w:rPr>
                <w:sz w:val="20"/>
              </w:rPr>
            </w:pPr>
          </w:p>
        </w:tc>
        <w:tc>
          <w:tcPr>
            <w:tcW w:w="1317" w:type="dxa"/>
          </w:tcPr>
          <w:p w:rsidR="00487D64" w:rsidRDefault="00487D64">
            <w:pPr>
              <w:pStyle w:val="TableParagraph"/>
              <w:spacing w:before="35"/>
              <w:rPr>
                <w:b/>
                <w:sz w:val="20"/>
              </w:rPr>
            </w:pPr>
          </w:p>
          <w:p w:rsidR="00487D64" w:rsidRDefault="006F0D93">
            <w:pPr>
              <w:pStyle w:val="TableParagraph"/>
              <w:spacing w:line="232" w:lineRule="auto"/>
              <w:ind w:left="76"/>
              <w:rPr>
                <w:sz w:val="20"/>
              </w:rPr>
            </w:pPr>
            <w:r>
              <w:rPr>
                <w:sz w:val="20"/>
              </w:rPr>
              <w:t xml:space="preserve">Wahyuni &amp; </w:t>
            </w:r>
            <w:r>
              <w:rPr>
                <w:spacing w:val="-2"/>
                <w:sz w:val="20"/>
              </w:rPr>
              <w:t>Astawa</w:t>
            </w:r>
            <w:r>
              <w:rPr>
                <w:spacing w:val="-11"/>
                <w:sz w:val="20"/>
              </w:rPr>
              <w:t xml:space="preserve"> </w:t>
            </w:r>
            <w:r>
              <w:rPr>
                <w:spacing w:val="-2"/>
                <w:sz w:val="20"/>
              </w:rPr>
              <w:t>(2020)</w:t>
            </w:r>
          </w:p>
        </w:tc>
        <w:tc>
          <w:tcPr>
            <w:tcW w:w="1433" w:type="dxa"/>
          </w:tcPr>
          <w:p w:rsidR="00487D64" w:rsidRDefault="006F0D93">
            <w:pPr>
              <w:pStyle w:val="TableParagraph"/>
              <w:spacing w:before="146" w:line="237" w:lineRule="auto"/>
              <w:ind w:left="34" w:right="330"/>
              <w:rPr>
                <w:sz w:val="20"/>
              </w:rPr>
            </w:pPr>
            <w:r>
              <w:rPr>
                <w:sz w:val="20"/>
              </w:rPr>
              <w:t>CO → innovation</w:t>
            </w:r>
            <w:r>
              <w:rPr>
                <w:spacing w:val="-13"/>
                <w:sz w:val="20"/>
              </w:rPr>
              <w:t xml:space="preserve"> </w:t>
            </w:r>
            <w:r>
              <w:rPr>
                <w:sz w:val="20"/>
              </w:rPr>
              <w:t xml:space="preserve">&amp; </w:t>
            </w:r>
            <w:r>
              <w:rPr>
                <w:spacing w:val="-2"/>
                <w:sz w:val="20"/>
              </w:rPr>
              <w:t>standards</w:t>
            </w:r>
          </w:p>
        </w:tc>
        <w:tc>
          <w:tcPr>
            <w:tcW w:w="1535" w:type="dxa"/>
          </w:tcPr>
          <w:p w:rsidR="00487D64" w:rsidRDefault="00487D64">
            <w:pPr>
              <w:pStyle w:val="TableParagraph"/>
              <w:spacing w:before="145"/>
              <w:rPr>
                <w:b/>
                <w:sz w:val="20"/>
              </w:rPr>
            </w:pPr>
          </w:p>
          <w:p w:rsidR="00487D64" w:rsidRDefault="006F0D93">
            <w:pPr>
              <w:pStyle w:val="TableParagraph"/>
              <w:ind w:left="35"/>
              <w:rPr>
                <w:sz w:val="20"/>
              </w:rPr>
            </w:pPr>
            <w:r>
              <w:rPr>
                <w:spacing w:val="-2"/>
                <w:sz w:val="20"/>
              </w:rPr>
              <w:t>Indonesian</w:t>
            </w:r>
            <w:r>
              <w:rPr>
                <w:spacing w:val="3"/>
                <w:sz w:val="20"/>
              </w:rPr>
              <w:t xml:space="preserve"> </w:t>
            </w:r>
            <w:r>
              <w:rPr>
                <w:spacing w:val="-4"/>
                <w:sz w:val="20"/>
              </w:rPr>
              <w:t>SMEs</w:t>
            </w:r>
          </w:p>
        </w:tc>
        <w:tc>
          <w:tcPr>
            <w:tcW w:w="1495" w:type="dxa"/>
          </w:tcPr>
          <w:p w:rsidR="00487D64" w:rsidRDefault="00487D64">
            <w:pPr>
              <w:pStyle w:val="TableParagraph"/>
              <w:spacing w:before="35"/>
              <w:rPr>
                <w:b/>
                <w:sz w:val="20"/>
              </w:rPr>
            </w:pPr>
          </w:p>
          <w:p w:rsidR="00487D64" w:rsidRDefault="006F0D93">
            <w:pPr>
              <w:pStyle w:val="TableParagraph"/>
              <w:spacing w:line="232" w:lineRule="auto"/>
              <w:ind w:left="42" w:right="38"/>
              <w:rPr>
                <w:sz w:val="20"/>
              </w:rPr>
            </w:pPr>
            <w:r>
              <w:rPr>
                <w:spacing w:val="-2"/>
                <w:sz w:val="20"/>
              </w:rPr>
              <w:t>Descriptive</w:t>
            </w:r>
            <w:r>
              <w:rPr>
                <w:spacing w:val="-11"/>
                <w:sz w:val="20"/>
              </w:rPr>
              <w:t xml:space="preserve"> </w:t>
            </w:r>
            <w:r>
              <w:rPr>
                <w:spacing w:val="-2"/>
                <w:sz w:val="20"/>
              </w:rPr>
              <w:t>+ inferential</w:t>
            </w:r>
          </w:p>
        </w:tc>
        <w:tc>
          <w:tcPr>
            <w:tcW w:w="1375" w:type="dxa"/>
          </w:tcPr>
          <w:p w:rsidR="00487D64" w:rsidRDefault="006F0D93">
            <w:pPr>
              <w:pStyle w:val="TableParagraph"/>
              <w:spacing w:before="30" w:line="237" w:lineRule="auto"/>
              <w:ind w:left="45" w:right="261"/>
              <w:rPr>
                <w:sz w:val="20"/>
              </w:rPr>
            </w:pPr>
            <w:r>
              <w:rPr>
                <w:sz w:val="20"/>
              </w:rPr>
              <w:t>Strong</w:t>
            </w:r>
            <w:r>
              <w:rPr>
                <w:spacing w:val="-5"/>
                <w:sz w:val="20"/>
              </w:rPr>
              <w:t xml:space="preserve"> </w:t>
            </w:r>
            <w:r>
              <w:rPr>
                <w:sz w:val="20"/>
              </w:rPr>
              <w:t xml:space="preserve">CO </w:t>
            </w:r>
            <w:r>
              <w:rPr>
                <w:spacing w:val="-2"/>
                <w:sz w:val="20"/>
              </w:rPr>
              <w:t xml:space="preserve">enhances </w:t>
            </w:r>
            <w:r>
              <w:rPr>
                <w:sz w:val="20"/>
              </w:rPr>
              <w:t>innovation</w:t>
            </w:r>
            <w:r>
              <w:rPr>
                <w:spacing w:val="-13"/>
                <w:sz w:val="20"/>
              </w:rPr>
              <w:t xml:space="preserve"> </w:t>
            </w:r>
            <w:r>
              <w:rPr>
                <w:sz w:val="20"/>
              </w:rPr>
              <w:t xml:space="preserve">&amp; </w:t>
            </w:r>
            <w:r>
              <w:rPr>
                <w:spacing w:val="-2"/>
                <w:sz w:val="20"/>
              </w:rPr>
              <w:t>compliance</w:t>
            </w:r>
          </w:p>
        </w:tc>
      </w:tr>
      <w:tr w:rsidR="00487D64">
        <w:trPr>
          <w:trHeight w:val="983"/>
        </w:trPr>
        <w:tc>
          <w:tcPr>
            <w:tcW w:w="1177" w:type="dxa"/>
          </w:tcPr>
          <w:p w:rsidR="00487D64" w:rsidRDefault="00487D64">
            <w:pPr>
              <w:pStyle w:val="TableParagraph"/>
              <w:rPr>
                <w:sz w:val="20"/>
              </w:rPr>
            </w:pPr>
          </w:p>
        </w:tc>
        <w:tc>
          <w:tcPr>
            <w:tcW w:w="1317" w:type="dxa"/>
          </w:tcPr>
          <w:p w:rsidR="00487D64" w:rsidRDefault="006F0D93">
            <w:pPr>
              <w:pStyle w:val="TableParagraph"/>
              <w:spacing w:before="144"/>
              <w:ind w:left="76" w:right="101"/>
              <w:rPr>
                <w:sz w:val="20"/>
              </w:rPr>
            </w:pPr>
            <w:r>
              <w:rPr>
                <w:sz w:val="20"/>
              </w:rPr>
              <w:t>Liu et al. (2020);</w:t>
            </w:r>
            <w:r>
              <w:rPr>
                <w:spacing w:val="-13"/>
                <w:sz w:val="20"/>
              </w:rPr>
              <w:t xml:space="preserve"> </w:t>
            </w:r>
            <w:r>
              <w:rPr>
                <w:sz w:val="20"/>
              </w:rPr>
              <w:t>Lee</w:t>
            </w:r>
            <w:r>
              <w:rPr>
                <w:spacing w:val="-12"/>
                <w:sz w:val="20"/>
              </w:rPr>
              <w:t xml:space="preserve"> </w:t>
            </w:r>
            <w:r>
              <w:rPr>
                <w:sz w:val="20"/>
              </w:rPr>
              <w:t>&amp;</w:t>
            </w:r>
          </w:p>
          <w:p w:rsidR="00487D64" w:rsidRDefault="006F0D93">
            <w:pPr>
              <w:pStyle w:val="TableParagraph"/>
              <w:spacing w:before="1"/>
              <w:ind w:left="76"/>
              <w:rPr>
                <w:sz w:val="20"/>
              </w:rPr>
            </w:pPr>
            <w:r>
              <w:rPr>
                <w:sz w:val="20"/>
              </w:rPr>
              <w:t>Wei</w:t>
            </w:r>
            <w:r>
              <w:rPr>
                <w:spacing w:val="-7"/>
                <w:sz w:val="20"/>
              </w:rPr>
              <w:t xml:space="preserve"> </w:t>
            </w:r>
            <w:r>
              <w:rPr>
                <w:spacing w:val="-2"/>
                <w:sz w:val="20"/>
              </w:rPr>
              <w:t>(2023)</w:t>
            </w:r>
          </w:p>
        </w:tc>
        <w:tc>
          <w:tcPr>
            <w:tcW w:w="1433" w:type="dxa"/>
          </w:tcPr>
          <w:p w:rsidR="00487D64" w:rsidRDefault="006F0D93">
            <w:pPr>
              <w:pStyle w:val="TableParagraph"/>
              <w:spacing w:before="29"/>
              <w:ind w:left="34" w:right="44"/>
              <w:rPr>
                <w:sz w:val="20"/>
              </w:rPr>
            </w:pPr>
            <w:r>
              <w:rPr>
                <w:sz w:val="20"/>
              </w:rPr>
              <w:t xml:space="preserve">CO → </w:t>
            </w:r>
            <w:r>
              <w:rPr>
                <w:spacing w:val="-2"/>
                <w:sz w:val="20"/>
              </w:rPr>
              <w:t>innovation, adaptability, satisfaction</w:t>
            </w:r>
          </w:p>
        </w:tc>
        <w:tc>
          <w:tcPr>
            <w:tcW w:w="1535" w:type="dxa"/>
          </w:tcPr>
          <w:p w:rsidR="00487D64" w:rsidRDefault="00487D64">
            <w:pPr>
              <w:pStyle w:val="TableParagraph"/>
              <w:spacing w:before="144"/>
              <w:rPr>
                <w:b/>
                <w:sz w:val="20"/>
              </w:rPr>
            </w:pPr>
          </w:p>
          <w:p w:rsidR="00487D64" w:rsidRDefault="006F0D93">
            <w:pPr>
              <w:pStyle w:val="TableParagraph"/>
              <w:spacing w:before="1"/>
              <w:ind w:left="35"/>
              <w:rPr>
                <w:sz w:val="20"/>
              </w:rPr>
            </w:pPr>
            <w:r>
              <w:rPr>
                <w:sz w:val="20"/>
              </w:rPr>
              <w:t>Asian</w:t>
            </w:r>
            <w:r>
              <w:rPr>
                <w:spacing w:val="-14"/>
                <w:sz w:val="20"/>
              </w:rPr>
              <w:t xml:space="preserve"> </w:t>
            </w:r>
            <w:r>
              <w:rPr>
                <w:spacing w:val="-4"/>
                <w:sz w:val="20"/>
              </w:rPr>
              <w:t>SMEs</w:t>
            </w:r>
          </w:p>
        </w:tc>
        <w:tc>
          <w:tcPr>
            <w:tcW w:w="1495" w:type="dxa"/>
          </w:tcPr>
          <w:p w:rsidR="00487D64" w:rsidRDefault="00487D64">
            <w:pPr>
              <w:pStyle w:val="TableParagraph"/>
              <w:spacing w:before="144"/>
              <w:rPr>
                <w:b/>
                <w:sz w:val="20"/>
              </w:rPr>
            </w:pPr>
          </w:p>
          <w:p w:rsidR="00487D64" w:rsidRDefault="006F0D93">
            <w:pPr>
              <w:pStyle w:val="TableParagraph"/>
              <w:spacing w:before="1"/>
              <w:ind w:left="42"/>
              <w:rPr>
                <w:sz w:val="20"/>
              </w:rPr>
            </w:pPr>
            <w:r>
              <w:rPr>
                <w:spacing w:val="-2"/>
                <w:sz w:val="20"/>
              </w:rPr>
              <w:t>Survey</w:t>
            </w:r>
          </w:p>
        </w:tc>
        <w:tc>
          <w:tcPr>
            <w:tcW w:w="1375" w:type="dxa"/>
          </w:tcPr>
          <w:p w:rsidR="00487D64" w:rsidRDefault="006F0D93">
            <w:pPr>
              <w:pStyle w:val="TableParagraph"/>
              <w:spacing w:before="29"/>
              <w:ind w:left="45" w:right="84"/>
              <w:rPr>
                <w:sz w:val="20"/>
              </w:rPr>
            </w:pPr>
            <w:r>
              <w:rPr>
                <w:sz w:val="20"/>
              </w:rPr>
              <w:t>CO</w:t>
            </w:r>
            <w:r>
              <w:rPr>
                <w:spacing w:val="-13"/>
                <w:sz w:val="20"/>
              </w:rPr>
              <w:t xml:space="preserve"> </w:t>
            </w:r>
            <w:r>
              <w:rPr>
                <w:sz w:val="20"/>
              </w:rPr>
              <w:t xml:space="preserve">strengthens </w:t>
            </w:r>
            <w:r>
              <w:rPr>
                <w:spacing w:val="-2"/>
                <w:sz w:val="20"/>
              </w:rPr>
              <w:t xml:space="preserve">innovation, </w:t>
            </w:r>
            <w:r>
              <w:rPr>
                <w:sz w:val="20"/>
              </w:rPr>
              <w:t>adaptability</w:t>
            </w:r>
            <w:r>
              <w:rPr>
                <w:spacing w:val="-5"/>
                <w:sz w:val="20"/>
              </w:rPr>
              <w:t xml:space="preserve"> </w:t>
            </w:r>
            <w:r>
              <w:rPr>
                <w:sz w:val="20"/>
              </w:rPr>
              <w:t xml:space="preserve">&amp; </w:t>
            </w:r>
            <w:r>
              <w:rPr>
                <w:spacing w:val="-2"/>
                <w:sz w:val="20"/>
              </w:rPr>
              <w:t>resilience</w:t>
            </w:r>
          </w:p>
        </w:tc>
      </w:tr>
      <w:tr w:rsidR="00487D64">
        <w:trPr>
          <w:trHeight w:val="979"/>
        </w:trPr>
        <w:tc>
          <w:tcPr>
            <w:tcW w:w="1177" w:type="dxa"/>
          </w:tcPr>
          <w:p w:rsidR="00487D64" w:rsidRDefault="00487D64">
            <w:pPr>
              <w:pStyle w:val="TableParagraph"/>
              <w:rPr>
                <w:sz w:val="20"/>
              </w:rPr>
            </w:pPr>
          </w:p>
        </w:tc>
        <w:tc>
          <w:tcPr>
            <w:tcW w:w="1317" w:type="dxa"/>
          </w:tcPr>
          <w:p w:rsidR="00487D64" w:rsidRDefault="00487D64">
            <w:pPr>
              <w:pStyle w:val="TableParagraph"/>
              <w:spacing w:before="25"/>
              <w:rPr>
                <w:b/>
                <w:sz w:val="20"/>
              </w:rPr>
            </w:pPr>
          </w:p>
          <w:p w:rsidR="00487D64" w:rsidRDefault="006F0D93">
            <w:pPr>
              <w:pStyle w:val="TableParagraph"/>
              <w:ind w:left="76"/>
              <w:rPr>
                <w:sz w:val="20"/>
              </w:rPr>
            </w:pPr>
            <w:r>
              <w:rPr>
                <w:sz w:val="20"/>
              </w:rPr>
              <w:t>Islam</w:t>
            </w:r>
            <w:r>
              <w:rPr>
                <w:spacing w:val="-13"/>
                <w:sz w:val="20"/>
              </w:rPr>
              <w:t xml:space="preserve"> </w:t>
            </w:r>
            <w:r>
              <w:rPr>
                <w:sz w:val="20"/>
              </w:rPr>
              <w:t>&amp;</w:t>
            </w:r>
            <w:r>
              <w:rPr>
                <w:spacing w:val="-12"/>
                <w:sz w:val="20"/>
              </w:rPr>
              <w:t xml:space="preserve"> </w:t>
            </w:r>
            <w:r>
              <w:rPr>
                <w:sz w:val="20"/>
              </w:rPr>
              <w:t xml:space="preserve">Zhe </w:t>
            </w:r>
            <w:r>
              <w:rPr>
                <w:spacing w:val="-2"/>
                <w:sz w:val="20"/>
              </w:rPr>
              <w:t>(2022)</w:t>
            </w:r>
          </w:p>
        </w:tc>
        <w:tc>
          <w:tcPr>
            <w:tcW w:w="1433" w:type="dxa"/>
          </w:tcPr>
          <w:p w:rsidR="00487D64" w:rsidRDefault="006F0D93">
            <w:pPr>
              <w:pStyle w:val="TableParagraph"/>
              <w:spacing w:before="25"/>
              <w:ind w:left="34"/>
              <w:rPr>
                <w:sz w:val="20"/>
              </w:rPr>
            </w:pPr>
            <w:r>
              <w:rPr>
                <w:sz w:val="20"/>
              </w:rPr>
              <w:t xml:space="preserve">Advanced CO </w:t>
            </w:r>
            <w:r>
              <w:rPr>
                <w:spacing w:val="-2"/>
                <w:sz w:val="20"/>
              </w:rPr>
              <w:t>mechanisms</w:t>
            </w:r>
            <w:r>
              <w:rPr>
                <w:spacing w:val="-11"/>
                <w:sz w:val="20"/>
              </w:rPr>
              <w:t xml:space="preserve"> </w:t>
            </w:r>
            <w:r>
              <w:rPr>
                <w:spacing w:val="-2"/>
                <w:sz w:val="20"/>
              </w:rPr>
              <w:t xml:space="preserve">(AI, </w:t>
            </w:r>
            <w:r>
              <w:rPr>
                <w:sz w:val="20"/>
              </w:rPr>
              <w:t xml:space="preserve">networks, co- </w:t>
            </w:r>
            <w:r>
              <w:rPr>
                <w:spacing w:val="-2"/>
                <w:sz w:val="20"/>
              </w:rPr>
              <w:t>creation)</w:t>
            </w:r>
          </w:p>
        </w:tc>
        <w:tc>
          <w:tcPr>
            <w:tcW w:w="1535" w:type="dxa"/>
          </w:tcPr>
          <w:p w:rsidR="00487D64" w:rsidRDefault="00487D64">
            <w:pPr>
              <w:pStyle w:val="TableParagraph"/>
              <w:spacing w:before="140"/>
              <w:rPr>
                <w:b/>
                <w:sz w:val="20"/>
              </w:rPr>
            </w:pPr>
          </w:p>
          <w:p w:rsidR="00487D64" w:rsidRDefault="006F0D93">
            <w:pPr>
              <w:pStyle w:val="TableParagraph"/>
              <w:spacing w:before="1"/>
              <w:ind w:left="35"/>
              <w:rPr>
                <w:sz w:val="20"/>
              </w:rPr>
            </w:pPr>
            <w:r>
              <w:rPr>
                <w:sz w:val="20"/>
              </w:rPr>
              <w:t>Asian</w:t>
            </w:r>
            <w:r>
              <w:rPr>
                <w:spacing w:val="-14"/>
                <w:sz w:val="20"/>
              </w:rPr>
              <w:t xml:space="preserve"> </w:t>
            </w:r>
            <w:r>
              <w:rPr>
                <w:spacing w:val="-4"/>
                <w:sz w:val="20"/>
              </w:rPr>
              <w:t>SMEs</w:t>
            </w:r>
          </w:p>
        </w:tc>
        <w:tc>
          <w:tcPr>
            <w:tcW w:w="1495" w:type="dxa"/>
          </w:tcPr>
          <w:p w:rsidR="00487D64" w:rsidRDefault="00487D64">
            <w:pPr>
              <w:pStyle w:val="TableParagraph"/>
              <w:spacing w:before="140"/>
              <w:rPr>
                <w:b/>
                <w:sz w:val="20"/>
              </w:rPr>
            </w:pPr>
          </w:p>
          <w:p w:rsidR="00487D64" w:rsidRDefault="006F0D93">
            <w:pPr>
              <w:pStyle w:val="TableParagraph"/>
              <w:spacing w:before="1"/>
              <w:ind w:left="42"/>
              <w:rPr>
                <w:sz w:val="20"/>
              </w:rPr>
            </w:pPr>
            <w:r>
              <w:rPr>
                <w:sz w:val="20"/>
              </w:rPr>
              <w:t>Mixed</w:t>
            </w:r>
            <w:r>
              <w:rPr>
                <w:spacing w:val="-5"/>
                <w:sz w:val="20"/>
              </w:rPr>
              <w:t xml:space="preserve"> </w:t>
            </w:r>
            <w:r>
              <w:rPr>
                <w:spacing w:val="-2"/>
                <w:sz w:val="20"/>
              </w:rPr>
              <w:t>methods</w:t>
            </w:r>
          </w:p>
        </w:tc>
        <w:tc>
          <w:tcPr>
            <w:tcW w:w="1375" w:type="dxa"/>
          </w:tcPr>
          <w:p w:rsidR="00487D64" w:rsidRDefault="006F0D93">
            <w:pPr>
              <w:pStyle w:val="TableParagraph"/>
              <w:spacing w:before="25"/>
              <w:ind w:left="45" w:right="323"/>
              <w:rPr>
                <w:sz w:val="20"/>
              </w:rPr>
            </w:pPr>
            <w:r>
              <w:rPr>
                <w:sz w:val="20"/>
              </w:rPr>
              <w:t xml:space="preserve">CO sustains </w:t>
            </w:r>
            <w:r>
              <w:rPr>
                <w:spacing w:val="-2"/>
                <w:sz w:val="20"/>
              </w:rPr>
              <w:t>long-term financial performance</w:t>
            </w:r>
          </w:p>
        </w:tc>
      </w:tr>
      <w:tr w:rsidR="00487D64">
        <w:trPr>
          <w:trHeight w:val="1210"/>
        </w:trPr>
        <w:tc>
          <w:tcPr>
            <w:tcW w:w="1177" w:type="dxa"/>
          </w:tcPr>
          <w:p w:rsidR="00487D64" w:rsidRDefault="00487D64">
            <w:pPr>
              <w:pStyle w:val="TableParagraph"/>
              <w:rPr>
                <w:sz w:val="20"/>
              </w:rPr>
            </w:pPr>
          </w:p>
        </w:tc>
        <w:tc>
          <w:tcPr>
            <w:tcW w:w="1317" w:type="dxa"/>
          </w:tcPr>
          <w:p w:rsidR="00487D64" w:rsidRDefault="006F0D93">
            <w:pPr>
              <w:pStyle w:val="TableParagraph"/>
              <w:spacing w:before="25"/>
              <w:ind w:left="76" w:right="101"/>
              <w:rPr>
                <w:sz w:val="20"/>
              </w:rPr>
            </w:pPr>
            <w:r>
              <w:rPr>
                <w:sz w:val="20"/>
              </w:rPr>
              <w:t xml:space="preserve">Flight &amp; </w:t>
            </w:r>
            <w:r>
              <w:rPr>
                <w:spacing w:val="-2"/>
                <w:sz w:val="20"/>
              </w:rPr>
              <w:t xml:space="preserve">Mudiyanselag </w:t>
            </w:r>
            <w:r>
              <w:rPr>
                <w:sz w:val="20"/>
              </w:rPr>
              <w:t>e (2021);</w:t>
            </w:r>
          </w:p>
          <w:p w:rsidR="00487D64" w:rsidRDefault="006F0D93">
            <w:pPr>
              <w:pStyle w:val="TableParagraph"/>
              <w:spacing w:before="2"/>
              <w:ind w:left="76"/>
              <w:rPr>
                <w:sz w:val="20"/>
              </w:rPr>
            </w:pPr>
            <w:r>
              <w:rPr>
                <w:sz w:val="20"/>
              </w:rPr>
              <w:t>Kaburu</w:t>
            </w:r>
            <w:r>
              <w:rPr>
                <w:spacing w:val="-13"/>
                <w:sz w:val="20"/>
              </w:rPr>
              <w:t xml:space="preserve"> </w:t>
            </w:r>
            <w:r>
              <w:rPr>
                <w:sz w:val="20"/>
              </w:rPr>
              <w:t>et</w:t>
            </w:r>
            <w:r>
              <w:rPr>
                <w:spacing w:val="-12"/>
                <w:sz w:val="20"/>
              </w:rPr>
              <w:t xml:space="preserve"> </w:t>
            </w:r>
            <w:r>
              <w:rPr>
                <w:sz w:val="20"/>
              </w:rPr>
              <w:t xml:space="preserve">al. </w:t>
            </w:r>
            <w:r>
              <w:rPr>
                <w:spacing w:val="-2"/>
                <w:sz w:val="20"/>
              </w:rPr>
              <w:t>(2021)</w:t>
            </w:r>
          </w:p>
        </w:tc>
        <w:tc>
          <w:tcPr>
            <w:tcW w:w="1433" w:type="dxa"/>
          </w:tcPr>
          <w:p w:rsidR="00487D64" w:rsidRDefault="00487D64">
            <w:pPr>
              <w:pStyle w:val="TableParagraph"/>
              <w:spacing w:before="140"/>
              <w:rPr>
                <w:b/>
                <w:sz w:val="20"/>
              </w:rPr>
            </w:pPr>
          </w:p>
          <w:p w:rsidR="00487D64" w:rsidRDefault="006F0D93">
            <w:pPr>
              <w:pStyle w:val="TableParagraph"/>
              <w:spacing w:before="1"/>
              <w:ind w:left="34" w:right="44"/>
              <w:rPr>
                <w:sz w:val="20"/>
              </w:rPr>
            </w:pPr>
            <w:r>
              <w:rPr>
                <w:sz w:val="20"/>
              </w:rPr>
              <w:t>CO</w:t>
            </w:r>
            <w:r>
              <w:rPr>
                <w:spacing w:val="-13"/>
                <w:sz w:val="20"/>
              </w:rPr>
              <w:t xml:space="preserve"> </w:t>
            </w:r>
            <w:r>
              <w:rPr>
                <w:sz w:val="20"/>
              </w:rPr>
              <w:t>→</w:t>
            </w:r>
            <w:r>
              <w:rPr>
                <w:spacing w:val="-12"/>
                <w:sz w:val="20"/>
              </w:rPr>
              <w:t xml:space="preserve"> </w:t>
            </w:r>
            <w:r>
              <w:rPr>
                <w:sz w:val="20"/>
              </w:rPr>
              <w:t>loyalty</w:t>
            </w:r>
            <w:r>
              <w:rPr>
                <w:spacing w:val="-13"/>
                <w:sz w:val="20"/>
              </w:rPr>
              <w:t xml:space="preserve"> </w:t>
            </w:r>
            <w:r>
              <w:rPr>
                <w:sz w:val="20"/>
              </w:rPr>
              <w:t xml:space="preserve">&amp; </w:t>
            </w:r>
            <w:r>
              <w:rPr>
                <w:spacing w:val="-2"/>
                <w:sz w:val="20"/>
              </w:rPr>
              <w:t>efficiency</w:t>
            </w:r>
          </w:p>
        </w:tc>
        <w:tc>
          <w:tcPr>
            <w:tcW w:w="1535"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35"/>
              <w:rPr>
                <w:sz w:val="20"/>
              </w:rPr>
            </w:pPr>
            <w:r>
              <w:rPr>
                <w:sz w:val="20"/>
              </w:rPr>
              <w:t>Global</w:t>
            </w:r>
            <w:r>
              <w:rPr>
                <w:spacing w:val="-13"/>
                <w:sz w:val="20"/>
              </w:rPr>
              <w:t xml:space="preserve"> </w:t>
            </w:r>
            <w:r>
              <w:rPr>
                <w:spacing w:val="-4"/>
                <w:sz w:val="20"/>
              </w:rPr>
              <w:t>SMEs</w:t>
            </w:r>
          </w:p>
        </w:tc>
        <w:tc>
          <w:tcPr>
            <w:tcW w:w="1495" w:type="dxa"/>
          </w:tcPr>
          <w:p w:rsidR="00487D64" w:rsidRDefault="00487D64">
            <w:pPr>
              <w:pStyle w:val="TableParagraph"/>
              <w:spacing w:before="140"/>
              <w:rPr>
                <w:b/>
                <w:sz w:val="20"/>
              </w:rPr>
            </w:pPr>
          </w:p>
          <w:p w:rsidR="00487D64" w:rsidRDefault="006F0D93">
            <w:pPr>
              <w:pStyle w:val="TableParagraph"/>
              <w:spacing w:before="1"/>
              <w:ind w:left="42" w:right="662"/>
              <w:rPr>
                <w:sz w:val="20"/>
              </w:rPr>
            </w:pPr>
            <w:r>
              <w:rPr>
                <w:spacing w:val="-2"/>
                <w:sz w:val="20"/>
              </w:rPr>
              <w:t>Empirical surveys</w:t>
            </w:r>
          </w:p>
        </w:tc>
        <w:tc>
          <w:tcPr>
            <w:tcW w:w="1375" w:type="dxa"/>
          </w:tcPr>
          <w:p w:rsidR="00487D64" w:rsidRDefault="006F0D93">
            <w:pPr>
              <w:pStyle w:val="TableParagraph"/>
              <w:spacing w:before="140"/>
              <w:ind w:left="45"/>
              <w:rPr>
                <w:sz w:val="20"/>
              </w:rPr>
            </w:pPr>
            <w:r>
              <w:rPr>
                <w:sz w:val="20"/>
              </w:rPr>
              <w:t xml:space="preserve">CO drives </w:t>
            </w:r>
            <w:r>
              <w:rPr>
                <w:spacing w:val="-2"/>
                <w:sz w:val="20"/>
              </w:rPr>
              <w:t>loyalty,</w:t>
            </w:r>
            <w:r>
              <w:rPr>
                <w:spacing w:val="-11"/>
                <w:sz w:val="20"/>
              </w:rPr>
              <w:t xml:space="preserve"> </w:t>
            </w:r>
            <w:r>
              <w:rPr>
                <w:spacing w:val="-2"/>
                <w:sz w:val="20"/>
              </w:rPr>
              <w:t xml:space="preserve">repeat </w:t>
            </w:r>
            <w:r>
              <w:rPr>
                <w:sz w:val="20"/>
              </w:rPr>
              <w:t xml:space="preserve">business &amp; </w:t>
            </w:r>
            <w:r>
              <w:rPr>
                <w:spacing w:val="-2"/>
                <w:sz w:val="20"/>
              </w:rPr>
              <w:t>efficiency</w:t>
            </w:r>
          </w:p>
        </w:tc>
      </w:tr>
      <w:tr w:rsidR="00487D64">
        <w:trPr>
          <w:trHeight w:val="979"/>
        </w:trPr>
        <w:tc>
          <w:tcPr>
            <w:tcW w:w="1177" w:type="dxa"/>
          </w:tcPr>
          <w:p w:rsidR="00487D64" w:rsidRDefault="00487D64">
            <w:pPr>
              <w:pStyle w:val="TableParagraph"/>
              <w:rPr>
                <w:sz w:val="20"/>
              </w:rPr>
            </w:pPr>
          </w:p>
        </w:tc>
        <w:tc>
          <w:tcPr>
            <w:tcW w:w="1317" w:type="dxa"/>
          </w:tcPr>
          <w:p w:rsidR="00487D64" w:rsidRDefault="00487D64">
            <w:pPr>
              <w:pStyle w:val="TableParagraph"/>
              <w:spacing w:before="25"/>
              <w:rPr>
                <w:b/>
                <w:sz w:val="20"/>
              </w:rPr>
            </w:pPr>
          </w:p>
          <w:p w:rsidR="00487D64" w:rsidRDefault="006F0D93">
            <w:pPr>
              <w:pStyle w:val="TableParagraph"/>
              <w:ind w:left="76" w:right="129"/>
              <w:rPr>
                <w:sz w:val="20"/>
              </w:rPr>
            </w:pPr>
            <w:r>
              <w:rPr>
                <w:sz w:val="20"/>
              </w:rPr>
              <w:t>Templer</w:t>
            </w:r>
            <w:r>
              <w:rPr>
                <w:spacing w:val="-13"/>
                <w:sz w:val="20"/>
              </w:rPr>
              <w:t xml:space="preserve"> </w:t>
            </w:r>
            <w:r>
              <w:rPr>
                <w:sz w:val="20"/>
              </w:rPr>
              <w:t>et</w:t>
            </w:r>
            <w:r>
              <w:rPr>
                <w:spacing w:val="-12"/>
                <w:sz w:val="20"/>
              </w:rPr>
              <w:t xml:space="preserve"> </w:t>
            </w:r>
            <w:r>
              <w:rPr>
                <w:sz w:val="20"/>
              </w:rPr>
              <w:t xml:space="preserve">al. </w:t>
            </w:r>
            <w:r>
              <w:rPr>
                <w:spacing w:val="-2"/>
                <w:sz w:val="20"/>
              </w:rPr>
              <w:t>(2020)</w:t>
            </w:r>
          </w:p>
        </w:tc>
        <w:tc>
          <w:tcPr>
            <w:tcW w:w="1433" w:type="dxa"/>
          </w:tcPr>
          <w:p w:rsidR="00487D64" w:rsidRDefault="006F0D93">
            <w:pPr>
              <w:pStyle w:val="TableParagraph"/>
              <w:spacing w:before="140"/>
              <w:ind w:left="34" w:right="44"/>
              <w:rPr>
                <w:sz w:val="20"/>
              </w:rPr>
            </w:pPr>
            <w:r>
              <w:rPr>
                <w:sz w:val="20"/>
              </w:rPr>
              <w:t xml:space="preserve">CO → </w:t>
            </w:r>
            <w:r>
              <w:rPr>
                <w:spacing w:val="-2"/>
                <w:sz w:val="20"/>
              </w:rPr>
              <w:t>operational efficiency</w:t>
            </w:r>
          </w:p>
        </w:tc>
        <w:tc>
          <w:tcPr>
            <w:tcW w:w="1535" w:type="dxa"/>
          </w:tcPr>
          <w:p w:rsidR="00487D64" w:rsidRDefault="00487D64">
            <w:pPr>
              <w:pStyle w:val="TableParagraph"/>
              <w:spacing w:before="140"/>
              <w:rPr>
                <w:b/>
                <w:sz w:val="20"/>
              </w:rPr>
            </w:pPr>
          </w:p>
          <w:p w:rsidR="00487D64" w:rsidRDefault="006F0D93">
            <w:pPr>
              <w:pStyle w:val="TableParagraph"/>
              <w:spacing w:before="1"/>
              <w:ind w:left="35"/>
              <w:rPr>
                <w:sz w:val="20"/>
              </w:rPr>
            </w:pPr>
            <w:r>
              <w:rPr>
                <w:spacing w:val="-4"/>
                <w:sz w:val="20"/>
              </w:rPr>
              <w:t>SMEs</w:t>
            </w:r>
          </w:p>
        </w:tc>
        <w:tc>
          <w:tcPr>
            <w:tcW w:w="1495" w:type="dxa"/>
          </w:tcPr>
          <w:p w:rsidR="00487D64" w:rsidRDefault="00487D64">
            <w:pPr>
              <w:pStyle w:val="TableParagraph"/>
              <w:spacing w:before="25"/>
              <w:rPr>
                <w:b/>
                <w:sz w:val="20"/>
              </w:rPr>
            </w:pPr>
          </w:p>
          <w:p w:rsidR="00487D64" w:rsidRDefault="006F0D93">
            <w:pPr>
              <w:pStyle w:val="TableParagraph"/>
              <w:ind w:left="42" w:right="38"/>
              <w:rPr>
                <w:sz w:val="20"/>
              </w:rPr>
            </w:pPr>
            <w:r>
              <w:rPr>
                <w:sz w:val="20"/>
              </w:rPr>
              <w:t>Conceptual</w:t>
            </w:r>
            <w:r>
              <w:rPr>
                <w:spacing w:val="-13"/>
                <w:sz w:val="20"/>
              </w:rPr>
              <w:t xml:space="preserve"> </w:t>
            </w:r>
            <w:r>
              <w:rPr>
                <w:sz w:val="20"/>
              </w:rPr>
              <w:t xml:space="preserve">+ </w:t>
            </w:r>
            <w:r>
              <w:rPr>
                <w:spacing w:val="-2"/>
                <w:sz w:val="20"/>
              </w:rPr>
              <w:t>empirical</w:t>
            </w:r>
          </w:p>
        </w:tc>
        <w:tc>
          <w:tcPr>
            <w:tcW w:w="1375" w:type="dxa"/>
          </w:tcPr>
          <w:p w:rsidR="00487D64" w:rsidRDefault="006F0D93">
            <w:pPr>
              <w:pStyle w:val="TableParagraph"/>
              <w:spacing w:before="25"/>
              <w:ind w:left="45" w:right="84"/>
              <w:rPr>
                <w:sz w:val="20"/>
              </w:rPr>
            </w:pPr>
            <w:r>
              <w:rPr>
                <w:sz w:val="20"/>
              </w:rPr>
              <w:t>CO</w:t>
            </w:r>
            <w:r>
              <w:rPr>
                <w:spacing w:val="-13"/>
                <w:sz w:val="20"/>
              </w:rPr>
              <w:t xml:space="preserve"> </w:t>
            </w:r>
            <w:r>
              <w:rPr>
                <w:sz w:val="20"/>
              </w:rPr>
              <w:t xml:space="preserve">streamlines processes &amp; </w:t>
            </w:r>
            <w:r>
              <w:rPr>
                <w:spacing w:val="-2"/>
                <w:sz w:val="20"/>
              </w:rPr>
              <w:t>improves compliance</w:t>
            </w:r>
          </w:p>
        </w:tc>
      </w:tr>
      <w:tr w:rsidR="00487D64">
        <w:trPr>
          <w:trHeight w:val="1210"/>
        </w:trPr>
        <w:tc>
          <w:tcPr>
            <w:tcW w:w="1177" w:type="dxa"/>
          </w:tcPr>
          <w:p w:rsidR="00487D64" w:rsidRDefault="006F0D93">
            <w:pPr>
              <w:pStyle w:val="TableParagraph"/>
              <w:spacing w:before="147"/>
              <w:ind w:left="57"/>
              <w:rPr>
                <w:b/>
                <w:sz w:val="20"/>
              </w:rPr>
            </w:pPr>
            <w:r>
              <w:rPr>
                <w:b/>
                <w:spacing w:val="-5"/>
                <w:sz w:val="20"/>
              </w:rPr>
              <w:t>H2:</w:t>
            </w:r>
          </w:p>
          <w:p w:rsidR="00487D64" w:rsidRDefault="006F0D93">
            <w:pPr>
              <w:pStyle w:val="TableParagraph"/>
              <w:spacing w:before="1"/>
              <w:ind w:left="57"/>
              <w:rPr>
                <w:b/>
                <w:sz w:val="20"/>
              </w:rPr>
            </w:pPr>
            <w:r>
              <w:rPr>
                <w:b/>
                <w:spacing w:val="-2"/>
                <w:sz w:val="20"/>
              </w:rPr>
              <w:t>Competitor Orientation</w:t>
            </w:r>
          </w:p>
          <w:p w:rsidR="00487D64" w:rsidRDefault="006F0D93">
            <w:pPr>
              <w:pStyle w:val="TableParagraph"/>
              <w:spacing w:before="1"/>
              <w:ind w:left="57"/>
              <w:rPr>
                <w:b/>
                <w:sz w:val="20"/>
              </w:rPr>
            </w:pPr>
            <w:r>
              <w:rPr>
                <w:b/>
                <w:sz w:val="20"/>
              </w:rPr>
              <w:t xml:space="preserve">→ </w:t>
            </w:r>
            <w:r>
              <w:rPr>
                <w:b/>
                <w:spacing w:val="-5"/>
                <w:sz w:val="20"/>
              </w:rPr>
              <w:t>SC</w:t>
            </w:r>
          </w:p>
        </w:tc>
        <w:tc>
          <w:tcPr>
            <w:tcW w:w="1317"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76"/>
              <w:rPr>
                <w:sz w:val="20"/>
              </w:rPr>
            </w:pPr>
            <w:r>
              <w:rPr>
                <w:sz w:val="20"/>
              </w:rPr>
              <w:t>Crick</w:t>
            </w:r>
            <w:r>
              <w:rPr>
                <w:spacing w:val="-4"/>
                <w:sz w:val="20"/>
              </w:rPr>
              <w:t xml:space="preserve"> </w:t>
            </w:r>
            <w:r>
              <w:rPr>
                <w:spacing w:val="-2"/>
                <w:sz w:val="20"/>
              </w:rPr>
              <w:t>(2021)</w:t>
            </w:r>
          </w:p>
        </w:tc>
        <w:tc>
          <w:tcPr>
            <w:tcW w:w="1433" w:type="dxa"/>
          </w:tcPr>
          <w:p w:rsidR="00487D64" w:rsidRDefault="00487D64">
            <w:pPr>
              <w:pStyle w:val="TableParagraph"/>
              <w:spacing w:before="25"/>
              <w:rPr>
                <w:b/>
                <w:sz w:val="20"/>
              </w:rPr>
            </w:pPr>
          </w:p>
          <w:p w:rsidR="00487D64" w:rsidRDefault="006F0D93">
            <w:pPr>
              <w:pStyle w:val="TableParagraph"/>
              <w:ind w:left="34" w:right="44"/>
              <w:rPr>
                <w:sz w:val="20"/>
              </w:rPr>
            </w:pPr>
            <w:r>
              <w:rPr>
                <w:sz w:val="20"/>
              </w:rPr>
              <w:t xml:space="preserve">CO → </w:t>
            </w:r>
            <w:r>
              <w:rPr>
                <w:spacing w:val="-2"/>
                <w:sz w:val="20"/>
              </w:rPr>
              <w:t>procurement success</w:t>
            </w:r>
          </w:p>
        </w:tc>
        <w:tc>
          <w:tcPr>
            <w:tcW w:w="1535" w:type="dxa"/>
          </w:tcPr>
          <w:p w:rsidR="00487D64" w:rsidRDefault="00487D64">
            <w:pPr>
              <w:pStyle w:val="TableParagraph"/>
              <w:spacing w:before="140"/>
              <w:rPr>
                <w:b/>
                <w:sz w:val="20"/>
              </w:rPr>
            </w:pPr>
          </w:p>
          <w:p w:rsidR="00487D64" w:rsidRDefault="006F0D93">
            <w:pPr>
              <w:pStyle w:val="TableParagraph"/>
              <w:spacing w:before="1"/>
              <w:ind w:left="35"/>
              <w:rPr>
                <w:sz w:val="20"/>
              </w:rPr>
            </w:pPr>
            <w:r>
              <w:rPr>
                <w:sz w:val="20"/>
              </w:rPr>
              <w:t>UK</w:t>
            </w:r>
            <w:r>
              <w:rPr>
                <w:spacing w:val="-10"/>
                <w:sz w:val="20"/>
              </w:rPr>
              <w:t xml:space="preserve"> </w:t>
            </w:r>
            <w:r>
              <w:rPr>
                <w:sz w:val="20"/>
              </w:rPr>
              <w:t>SMEs</w:t>
            </w:r>
            <w:r>
              <w:rPr>
                <w:spacing w:val="1"/>
                <w:sz w:val="20"/>
              </w:rPr>
              <w:t xml:space="preserve"> </w:t>
            </w:r>
            <w:r>
              <w:rPr>
                <w:spacing w:val="-5"/>
                <w:sz w:val="20"/>
              </w:rPr>
              <w:t>(24</w:t>
            </w:r>
          </w:p>
          <w:p w:rsidR="00487D64" w:rsidRDefault="006F0D93">
            <w:pPr>
              <w:pStyle w:val="TableParagraph"/>
              <w:ind w:left="35"/>
              <w:rPr>
                <w:sz w:val="20"/>
              </w:rPr>
            </w:pPr>
            <w:r>
              <w:rPr>
                <w:spacing w:val="-2"/>
                <w:sz w:val="20"/>
              </w:rPr>
              <w:t>months)</w:t>
            </w:r>
          </w:p>
        </w:tc>
        <w:tc>
          <w:tcPr>
            <w:tcW w:w="1495" w:type="dxa"/>
          </w:tcPr>
          <w:p w:rsidR="00487D64" w:rsidRDefault="00487D64">
            <w:pPr>
              <w:pStyle w:val="TableParagraph"/>
              <w:spacing w:before="140"/>
              <w:rPr>
                <w:b/>
                <w:sz w:val="20"/>
              </w:rPr>
            </w:pPr>
          </w:p>
          <w:p w:rsidR="00487D64" w:rsidRDefault="006F0D93">
            <w:pPr>
              <w:pStyle w:val="TableParagraph"/>
              <w:spacing w:before="1"/>
              <w:ind w:left="42" w:right="38"/>
              <w:rPr>
                <w:sz w:val="20"/>
              </w:rPr>
            </w:pPr>
            <w:r>
              <w:rPr>
                <w:spacing w:val="-2"/>
                <w:sz w:val="20"/>
              </w:rPr>
              <w:t>Longitudinal mixed</w:t>
            </w:r>
            <w:r>
              <w:rPr>
                <w:spacing w:val="-11"/>
                <w:sz w:val="20"/>
              </w:rPr>
              <w:t xml:space="preserve"> </w:t>
            </w:r>
            <w:r>
              <w:rPr>
                <w:spacing w:val="-2"/>
                <w:sz w:val="20"/>
              </w:rPr>
              <w:t>methods</w:t>
            </w:r>
          </w:p>
        </w:tc>
        <w:tc>
          <w:tcPr>
            <w:tcW w:w="1375" w:type="dxa"/>
          </w:tcPr>
          <w:p w:rsidR="00487D64" w:rsidRDefault="006F0D93">
            <w:pPr>
              <w:pStyle w:val="TableParagraph"/>
              <w:spacing w:before="25"/>
              <w:ind w:left="45" w:right="84"/>
              <w:rPr>
                <w:sz w:val="20"/>
              </w:rPr>
            </w:pPr>
            <w:r>
              <w:rPr>
                <w:spacing w:val="-2"/>
                <w:sz w:val="20"/>
              </w:rPr>
              <w:t xml:space="preserve">Competitor- </w:t>
            </w:r>
            <w:r>
              <w:rPr>
                <w:sz w:val="20"/>
              </w:rPr>
              <w:t>oriented SMEs more adaptive &amp;</w:t>
            </w:r>
            <w:r>
              <w:rPr>
                <w:spacing w:val="-13"/>
                <w:sz w:val="20"/>
              </w:rPr>
              <w:t xml:space="preserve"> </w:t>
            </w:r>
            <w:r>
              <w:rPr>
                <w:sz w:val="20"/>
              </w:rPr>
              <w:t>successful</w:t>
            </w:r>
            <w:r>
              <w:rPr>
                <w:spacing w:val="-12"/>
                <w:sz w:val="20"/>
              </w:rPr>
              <w:t xml:space="preserve"> </w:t>
            </w:r>
            <w:r>
              <w:rPr>
                <w:sz w:val="20"/>
              </w:rPr>
              <w:t xml:space="preserve">in </w:t>
            </w:r>
            <w:r>
              <w:rPr>
                <w:spacing w:val="-2"/>
                <w:sz w:val="20"/>
              </w:rPr>
              <w:t>contracts</w:t>
            </w:r>
          </w:p>
        </w:tc>
      </w:tr>
      <w:tr w:rsidR="00487D64">
        <w:trPr>
          <w:trHeight w:val="1210"/>
        </w:trPr>
        <w:tc>
          <w:tcPr>
            <w:tcW w:w="1177" w:type="dxa"/>
          </w:tcPr>
          <w:p w:rsidR="00487D64" w:rsidRDefault="00487D64">
            <w:pPr>
              <w:pStyle w:val="TableParagraph"/>
              <w:rPr>
                <w:sz w:val="20"/>
              </w:rPr>
            </w:pPr>
          </w:p>
        </w:tc>
        <w:tc>
          <w:tcPr>
            <w:tcW w:w="1317"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76"/>
              <w:rPr>
                <w:sz w:val="20"/>
              </w:rPr>
            </w:pPr>
            <w:r>
              <w:rPr>
                <w:sz w:val="20"/>
              </w:rPr>
              <w:t>Asikhia</w:t>
            </w:r>
            <w:r>
              <w:rPr>
                <w:spacing w:val="-10"/>
                <w:sz w:val="20"/>
              </w:rPr>
              <w:t xml:space="preserve"> </w:t>
            </w:r>
            <w:r>
              <w:rPr>
                <w:spacing w:val="-2"/>
                <w:sz w:val="20"/>
              </w:rPr>
              <w:t>(2009)</w:t>
            </w:r>
          </w:p>
        </w:tc>
        <w:tc>
          <w:tcPr>
            <w:tcW w:w="1433" w:type="dxa"/>
          </w:tcPr>
          <w:p w:rsidR="00487D64" w:rsidRDefault="00487D64">
            <w:pPr>
              <w:pStyle w:val="TableParagraph"/>
              <w:spacing w:before="25"/>
              <w:rPr>
                <w:b/>
                <w:sz w:val="20"/>
              </w:rPr>
            </w:pPr>
          </w:p>
          <w:p w:rsidR="00487D64" w:rsidRDefault="006F0D93">
            <w:pPr>
              <w:pStyle w:val="TableParagraph"/>
              <w:ind w:left="34" w:right="44"/>
              <w:rPr>
                <w:sz w:val="20"/>
              </w:rPr>
            </w:pPr>
            <w:r>
              <w:rPr>
                <w:sz w:val="20"/>
              </w:rPr>
              <w:t xml:space="preserve">CO → sales </w:t>
            </w:r>
            <w:r>
              <w:rPr>
                <w:spacing w:val="-2"/>
                <w:sz w:val="20"/>
              </w:rPr>
              <w:t>growth,</w:t>
            </w:r>
            <w:r>
              <w:rPr>
                <w:spacing w:val="-11"/>
                <w:sz w:val="20"/>
              </w:rPr>
              <w:t xml:space="preserve"> </w:t>
            </w:r>
            <w:r>
              <w:rPr>
                <w:spacing w:val="-2"/>
                <w:sz w:val="20"/>
              </w:rPr>
              <w:t>market share</w:t>
            </w:r>
          </w:p>
        </w:tc>
        <w:tc>
          <w:tcPr>
            <w:tcW w:w="1535"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35"/>
              <w:rPr>
                <w:sz w:val="20"/>
              </w:rPr>
            </w:pPr>
            <w:r>
              <w:rPr>
                <w:spacing w:val="-2"/>
                <w:sz w:val="20"/>
              </w:rPr>
              <w:t>Nigerian</w:t>
            </w:r>
            <w:r>
              <w:rPr>
                <w:spacing w:val="-5"/>
                <w:sz w:val="20"/>
              </w:rPr>
              <w:t xml:space="preserve"> </w:t>
            </w:r>
            <w:r>
              <w:rPr>
                <w:spacing w:val="-4"/>
                <w:sz w:val="20"/>
              </w:rPr>
              <w:t>SMEs</w:t>
            </w:r>
          </w:p>
        </w:tc>
        <w:tc>
          <w:tcPr>
            <w:tcW w:w="1495" w:type="dxa"/>
          </w:tcPr>
          <w:p w:rsidR="00487D64" w:rsidRDefault="00487D64">
            <w:pPr>
              <w:pStyle w:val="TableParagraph"/>
              <w:spacing w:before="140"/>
              <w:rPr>
                <w:b/>
                <w:sz w:val="20"/>
              </w:rPr>
            </w:pPr>
          </w:p>
          <w:p w:rsidR="00487D64" w:rsidRDefault="006F0D93">
            <w:pPr>
              <w:pStyle w:val="TableParagraph"/>
              <w:spacing w:before="1"/>
              <w:ind w:left="42" w:right="564"/>
              <w:rPr>
                <w:sz w:val="20"/>
              </w:rPr>
            </w:pPr>
            <w:r>
              <w:rPr>
                <w:sz w:val="20"/>
              </w:rPr>
              <w:t>Survey</w:t>
            </w:r>
            <w:r>
              <w:rPr>
                <w:spacing w:val="-5"/>
                <w:sz w:val="20"/>
              </w:rPr>
              <w:t xml:space="preserve"> </w:t>
            </w:r>
            <w:r>
              <w:rPr>
                <w:sz w:val="20"/>
              </w:rPr>
              <w:t xml:space="preserve">+ </w:t>
            </w:r>
            <w:r>
              <w:rPr>
                <w:spacing w:val="-2"/>
                <w:sz w:val="20"/>
              </w:rPr>
              <w:t>Regression</w:t>
            </w:r>
          </w:p>
        </w:tc>
        <w:tc>
          <w:tcPr>
            <w:tcW w:w="1375" w:type="dxa"/>
          </w:tcPr>
          <w:p w:rsidR="00487D64" w:rsidRDefault="006F0D93">
            <w:pPr>
              <w:pStyle w:val="TableParagraph"/>
              <w:spacing w:before="25"/>
              <w:ind w:left="45"/>
              <w:rPr>
                <w:sz w:val="20"/>
              </w:rPr>
            </w:pPr>
            <w:r>
              <w:rPr>
                <w:sz w:val="20"/>
              </w:rPr>
              <w:t xml:space="preserve">Positive link </w:t>
            </w:r>
            <w:r>
              <w:rPr>
                <w:spacing w:val="-2"/>
                <w:sz w:val="20"/>
              </w:rPr>
              <w:t xml:space="preserve">between competitor </w:t>
            </w:r>
            <w:r>
              <w:rPr>
                <w:sz w:val="20"/>
              </w:rPr>
              <w:t>orientation</w:t>
            </w:r>
            <w:r>
              <w:rPr>
                <w:spacing w:val="-13"/>
                <w:sz w:val="20"/>
              </w:rPr>
              <w:t xml:space="preserve"> </w:t>
            </w:r>
            <w:r>
              <w:rPr>
                <w:sz w:val="20"/>
              </w:rPr>
              <w:t xml:space="preserve">&amp; </w:t>
            </w:r>
            <w:r>
              <w:rPr>
                <w:spacing w:val="-2"/>
                <w:sz w:val="20"/>
              </w:rPr>
              <w:t>performance</w:t>
            </w:r>
          </w:p>
        </w:tc>
      </w:tr>
      <w:tr w:rsidR="00487D64">
        <w:trPr>
          <w:trHeight w:val="758"/>
        </w:trPr>
        <w:tc>
          <w:tcPr>
            <w:tcW w:w="1177" w:type="dxa"/>
            <w:tcBorders>
              <w:bottom w:val="single" w:sz="4" w:space="0" w:color="000000"/>
            </w:tcBorders>
          </w:tcPr>
          <w:p w:rsidR="00487D64" w:rsidRDefault="00487D64">
            <w:pPr>
              <w:pStyle w:val="TableParagraph"/>
              <w:rPr>
                <w:sz w:val="20"/>
              </w:rPr>
            </w:pPr>
          </w:p>
        </w:tc>
        <w:tc>
          <w:tcPr>
            <w:tcW w:w="1317" w:type="dxa"/>
            <w:tcBorders>
              <w:bottom w:val="single" w:sz="4" w:space="0" w:color="000000"/>
            </w:tcBorders>
          </w:tcPr>
          <w:p w:rsidR="00487D64" w:rsidRDefault="006F0D93">
            <w:pPr>
              <w:pStyle w:val="TableParagraph"/>
              <w:spacing w:before="140"/>
              <w:ind w:left="76"/>
              <w:rPr>
                <w:sz w:val="20"/>
              </w:rPr>
            </w:pPr>
            <w:r>
              <w:rPr>
                <w:sz w:val="20"/>
              </w:rPr>
              <w:t>Kim</w:t>
            </w:r>
            <w:r>
              <w:rPr>
                <w:spacing w:val="-13"/>
                <w:sz w:val="20"/>
              </w:rPr>
              <w:t xml:space="preserve"> </w:t>
            </w:r>
            <w:r>
              <w:rPr>
                <w:sz w:val="20"/>
              </w:rPr>
              <w:t>et</w:t>
            </w:r>
            <w:r>
              <w:rPr>
                <w:spacing w:val="-12"/>
                <w:sz w:val="20"/>
              </w:rPr>
              <w:t xml:space="preserve"> </w:t>
            </w:r>
            <w:r>
              <w:rPr>
                <w:sz w:val="20"/>
              </w:rPr>
              <w:t xml:space="preserve">al. </w:t>
            </w:r>
            <w:r>
              <w:rPr>
                <w:spacing w:val="-2"/>
                <w:sz w:val="20"/>
              </w:rPr>
              <w:t>(2022)</w:t>
            </w:r>
          </w:p>
        </w:tc>
        <w:tc>
          <w:tcPr>
            <w:tcW w:w="1433" w:type="dxa"/>
            <w:tcBorders>
              <w:bottom w:val="single" w:sz="4" w:space="0" w:color="000000"/>
            </w:tcBorders>
          </w:tcPr>
          <w:p w:rsidR="00487D64" w:rsidRDefault="006F0D93">
            <w:pPr>
              <w:pStyle w:val="TableParagraph"/>
              <w:spacing w:before="25"/>
              <w:ind w:left="34"/>
              <w:rPr>
                <w:sz w:val="20"/>
              </w:rPr>
            </w:pPr>
            <w:r>
              <w:rPr>
                <w:sz w:val="20"/>
              </w:rPr>
              <w:t>CO</w:t>
            </w:r>
            <w:r>
              <w:rPr>
                <w:spacing w:val="-4"/>
                <w:sz w:val="20"/>
              </w:rPr>
              <w:t xml:space="preserve"> </w:t>
            </w:r>
            <w:r>
              <w:rPr>
                <w:sz w:val="20"/>
              </w:rPr>
              <w:t>+</w:t>
            </w:r>
            <w:r>
              <w:rPr>
                <w:spacing w:val="3"/>
                <w:sz w:val="20"/>
              </w:rPr>
              <w:t xml:space="preserve"> </w:t>
            </w:r>
            <w:r>
              <w:rPr>
                <w:spacing w:val="-2"/>
                <w:sz w:val="20"/>
              </w:rPr>
              <w:t>analytics</w:t>
            </w:r>
          </w:p>
          <w:p w:rsidR="00487D64" w:rsidRDefault="006F0D93">
            <w:pPr>
              <w:pStyle w:val="TableParagraph"/>
              <w:ind w:left="34" w:right="464"/>
              <w:rPr>
                <w:sz w:val="20"/>
              </w:rPr>
            </w:pPr>
            <w:r>
              <w:rPr>
                <w:sz w:val="20"/>
              </w:rPr>
              <w:t>→</w:t>
            </w:r>
            <w:r>
              <w:rPr>
                <w:spacing w:val="-13"/>
                <w:sz w:val="20"/>
              </w:rPr>
              <w:t xml:space="preserve"> </w:t>
            </w:r>
            <w:r>
              <w:rPr>
                <w:sz w:val="20"/>
              </w:rPr>
              <w:t xml:space="preserve">adaptive </w:t>
            </w:r>
            <w:r>
              <w:rPr>
                <w:spacing w:val="-2"/>
                <w:sz w:val="20"/>
              </w:rPr>
              <w:t>capabilities</w:t>
            </w:r>
          </w:p>
        </w:tc>
        <w:tc>
          <w:tcPr>
            <w:tcW w:w="1535" w:type="dxa"/>
            <w:tcBorders>
              <w:bottom w:val="single" w:sz="4" w:space="0" w:color="000000"/>
            </w:tcBorders>
          </w:tcPr>
          <w:p w:rsidR="00487D64" w:rsidRDefault="006F0D93">
            <w:pPr>
              <w:pStyle w:val="TableParagraph"/>
              <w:spacing w:before="140"/>
              <w:ind w:left="35" w:right="365"/>
              <w:rPr>
                <w:sz w:val="20"/>
              </w:rPr>
            </w:pPr>
            <w:r>
              <w:rPr>
                <w:sz w:val="20"/>
              </w:rPr>
              <w:t>Korean</w:t>
            </w:r>
            <w:r>
              <w:rPr>
                <w:spacing w:val="-13"/>
                <w:sz w:val="20"/>
              </w:rPr>
              <w:t xml:space="preserve"> </w:t>
            </w:r>
            <w:r>
              <w:rPr>
                <w:sz w:val="20"/>
              </w:rPr>
              <w:t xml:space="preserve">SMEs </w:t>
            </w:r>
            <w:r>
              <w:rPr>
                <w:spacing w:val="-2"/>
                <w:sz w:val="20"/>
              </w:rPr>
              <w:t>(324)</w:t>
            </w:r>
          </w:p>
        </w:tc>
        <w:tc>
          <w:tcPr>
            <w:tcW w:w="1495" w:type="dxa"/>
            <w:tcBorders>
              <w:bottom w:val="single" w:sz="4" w:space="0" w:color="000000"/>
            </w:tcBorders>
          </w:tcPr>
          <w:p w:rsidR="00487D64" w:rsidRDefault="00487D64">
            <w:pPr>
              <w:pStyle w:val="TableParagraph"/>
              <w:spacing w:before="25"/>
              <w:rPr>
                <w:b/>
                <w:sz w:val="20"/>
              </w:rPr>
            </w:pPr>
          </w:p>
          <w:p w:rsidR="00487D64" w:rsidRDefault="006F0D93">
            <w:pPr>
              <w:pStyle w:val="TableParagraph"/>
              <w:ind w:left="42"/>
              <w:rPr>
                <w:sz w:val="20"/>
              </w:rPr>
            </w:pPr>
            <w:r>
              <w:rPr>
                <w:spacing w:val="-5"/>
                <w:sz w:val="20"/>
              </w:rPr>
              <w:t>SEM</w:t>
            </w:r>
          </w:p>
        </w:tc>
        <w:tc>
          <w:tcPr>
            <w:tcW w:w="1375" w:type="dxa"/>
            <w:tcBorders>
              <w:bottom w:val="single" w:sz="4" w:space="0" w:color="000000"/>
            </w:tcBorders>
          </w:tcPr>
          <w:p w:rsidR="00487D64" w:rsidRDefault="006F0D93">
            <w:pPr>
              <w:pStyle w:val="TableParagraph"/>
              <w:spacing w:before="25"/>
              <w:ind w:left="45" w:right="418"/>
              <w:jc w:val="both"/>
              <w:rPr>
                <w:sz w:val="20"/>
              </w:rPr>
            </w:pPr>
            <w:r>
              <w:rPr>
                <w:spacing w:val="-2"/>
                <w:sz w:val="20"/>
              </w:rPr>
              <w:t>Competitor orientation improves</w:t>
            </w:r>
          </w:p>
        </w:tc>
      </w:tr>
    </w:tbl>
    <w:p w:rsidR="00487D64" w:rsidRDefault="00487D64">
      <w:pPr>
        <w:pStyle w:val="TableParagraph"/>
        <w:jc w:val="both"/>
        <w:rPr>
          <w:sz w:val="20"/>
        </w:rPr>
        <w:sectPr w:rsidR="00487D64">
          <w:pgSz w:w="11910" w:h="16850"/>
          <w:pgMar w:top="980" w:right="566" w:bottom="280" w:left="850" w:header="725" w:footer="0" w:gutter="0"/>
          <w:cols w:space="720"/>
        </w:sect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spacing w:before="152" w:after="1"/>
        <w:rPr>
          <w:b/>
          <w:sz w:val="20"/>
        </w:rPr>
      </w:pPr>
    </w:p>
    <w:tbl>
      <w:tblPr>
        <w:tblW w:w="0" w:type="auto"/>
        <w:tblInd w:w="1369" w:type="dxa"/>
        <w:tblLayout w:type="fixed"/>
        <w:tblCellMar>
          <w:left w:w="0" w:type="dxa"/>
          <w:right w:w="0" w:type="dxa"/>
        </w:tblCellMar>
        <w:tblLook w:val="01E0" w:firstRow="1" w:lastRow="1" w:firstColumn="1" w:lastColumn="1" w:noHBand="0" w:noVBand="0"/>
      </w:tblPr>
      <w:tblGrid>
        <w:gridCol w:w="1177"/>
        <w:gridCol w:w="1315"/>
        <w:gridCol w:w="1434"/>
        <w:gridCol w:w="1533"/>
        <w:gridCol w:w="1493"/>
        <w:gridCol w:w="1373"/>
      </w:tblGrid>
      <w:tr w:rsidR="00487D64">
        <w:trPr>
          <w:trHeight w:val="491"/>
        </w:trPr>
        <w:tc>
          <w:tcPr>
            <w:tcW w:w="1177" w:type="dxa"/>
            <w:tcBorders>
              <w:top w:val="double" w:sz="4" w:space="0" w:color="000000"/>
              <w:bottom w:val="single" w:sz="4" w:space="0" w:color="000000"/>
            </w:tcBorders>
          </w:tcPr>
          <w:p w:rsidR="00487D64" w:rsidRDefault="006F0D93">
            <w:pPr>
              <w:pStyle w:val="TableParagraph"/>
              <w:spacing w:before="140"/>
              <w:ind w:left="151"/>
              <w:rPr>
                <w:b/>
                <w:sz w:val="20"/>
              </w:rPr>
            </w:pPr>
            <w:r>
              <w:rPr>
                <w:b/>
                <w:spacing w:val="-2"/>
                <w:sz w:val="20"/>
              </w:rPr>
              <w:t>Hypothesis</w:t>
            </w:r>
          </w:p>
        </w:tc>
        <w:tc>
          <w:tcPr>
            <w:tcW w:w="1315" w:type="dxa"/>
            <w:tcBorders>
              <w:top w:val="double" w:sz="4" w:space="0" w:color="000000"/>
              <w:bottom w:val="single" w:sz="4" w:space="0" w:color="000000"/>
            </w:tcBorders>
          </w:tcPr>
          <w:p w:rsidR="00487D64" w:rsidRDefault="006F0D93">
            <w:pPr>
              <w:pStyle w:val="TableParagraph"/>
              <w:spacing w:before="11" w:line="230" w:lineRule="atLeast"/>
              <w:ind w:left="472" w:right="104" w:hanging="318"/>
              <w:rPr>
                <w:b/>
                <w:sz w:val="20"/>
              </w:rPr>
            </w:pPr>
            <w:r>
              <w:rPr>
                <w:b/>
                <w:sz w:val="20"/>
              </w:rPr>
              <w:t>Author(s)</w:t>
            </w:r>
            <w:r>
              <w:rPr>
                <w:b/>
                <w:spacing w:val="-13"/>
                <w:sz w:val="20"/>
              </w:rPr>
              <w:t xml:space="preserve"> </w:t>
            </w:r>
            <w:r>
              <w:rPr>
                <w:b/>
                <w:sz w:val="20"/>
              </w:rPr>
              <w:t xml:space="preserve">&amp; </w:t>
            </w:r>
            <w:r>
              <w:rPr>
                <w:b/>
                <w:spacing w:val="-4"/>
                <w:sz w:val="20"/>
              </w:rPr>
              <w:t>Year</w:t>
            </w:r>
          </w:p>
        </w:tc>
        <w:tc>
          <w:tcPr>
            <w:tcW w:w="1434" w:type="dxa"/>
            <w:tcBorders>
              <w:top w:val="double" w:sz="4" w:space="0" w:color="000000"/>
              <w:bottom w:val="single" w:sz="4" w:space="0" w:color="000000"/>
            </w:tcBorders>
          </w:tcPr>
          <w:p w:rsidR="00487D64" w:rsidRDefault="006F0D93">
            <w:pPr>
              <w:pStyle w:val="TableParagraph"/>
              <w:spacing w:before="11" w:line="230" w:lineRule="atLeast"/>
              <w:ind w:left="677" w:right="43" w:hanging="606"/>
              <w:rPr>
                <w:b/>
                <w:sz w:val="20"/>
              </w:rPr>
            </w:pPr>
            <w:r>
              <w:rPr>
                <w:b/>
                <w:spacing w:val="-2"/>
                <w:sz w:val="20"/>
              </w:rPr>
              <w:t xml:space="preserve">Objective/Focu </w:t>
            </w:r>
            <w:r>
              <w:rPr>
                <w:b/>
                <w:spacing w:val="-10"/>
                <w:sz w:val="20"/>
              </w:rPr>
              <w:t>s</w:t>
            </w:r>
          </w:p>
        </w:tc>
        <w:tc>
          <w:tcPr>
            <w:tcW w:w="1533" w:type="dxa"/>
            <w:tcBorders>
              <w:top w:val="double" w:sz="4" w:space="0" w:color="000000"/>
              <w:bottom w:val="single" w:sz="4" w:space="0" w:color="000000"/>
            </w:tcBorders>
          </w:tcPr>
          <w:p w:rsidR="00487D64" w:rsidRDefault="006F0D93">
            <w:pPr>
              <w:pStyle w:val="TableParagraph"/>
              <w:spacing w:before="11" w:line="230" w:lineRule="atLeast"/>
              <w:ind w:left="742" w:right="40" w:hanging="678"/>
              <w:rPr>
                <w:b/>
                <w:sz w:val="20"/>
              </w:rPr>
            </w:pPr>
            <w:r>
              <w:rPr>
                <w:b/>
                <w:spacing w:val="-2"/>
                <w:sz w:val="20"/>
              </w:rPr>
              <w:t xml:space="preserve">Location/Contex </w:t>
            </w:r>
            <w:r>
              <w:rPr>
                <w:b/>
                <w:spacing w:val="-10"/>
                <w:sz w:val="20"/>
              </w:rPr>
              <w:t>t</w:t>
            </w:r>
          </w:p>
        </w:tc>
        <w:tc>
          <w:tcPr>
            <w:tcW w:w="1493" w:type="dxa"/>
            <w:tcBorders>
              <w:top w:val="double" w:sz="4" w:space="0" w:color="000000"/>
              <w:bottom w:val="single" w:sz="4" w:space="0" w:color="000000"/>
            </w:tcBorders>
          </w:tcPr>
          <w:p w:rsidR="00487D64" w:rsidRDefault="006F0D93">
            <w:pPr>
              <w:pStyle w:val="TableParagraph"/>
              <w:spacing w:before="11" w:line="230" w:lineRule="atLeast"/>
              <w:ind w:left="722" w:right="33" w:hanging="649"/>
              <w:rPr>
                <w:b/>
                <w:sz w:val="20"/>
              </w:rPr>
            </w:pPr>
            <w:r>
              <w:rPr>
                <w:b/>
                <w:spacing w:val="-2"/>
                <w:sz w:val="20"/>
              </w:rPr>
              <w:t xml:space="preserve">Method/Analysi </w:t>
            </w:r>
            <w:r>
              <w:rPr>
                <w:b/>
                <w:spacing w:val="-10"/>
                <w:sz w:val="20"/>
              </w:rPr>
              <w:t>s</w:t>
            </w:r>
          </w:p>
        </w:tc>
        <w:tc>
          <w:tcPr>
            <w:tcW w:w="1373" w:type="dxa"/>
            <w:tcBorders>
              <w:top w:val="double" w:sz="4" w:space="0" w:color="000000"/>
              <w:bottom w:val="single" w:sz="4" w:space="0" w:color="000000"/>
            </w:tcBorders>
          </w:tcPr>
          <w:p w:rsidR="00487D64" w:rsidRDefault="006F0D93">
            <w:pPr>
              <w:pStyle w:val="TableParagraph"/>
              <w:spacing w:before="140"/>
              <w:ind w:left="122"/>
              <w:rPr>
                <w:b/>
                <w:sz w:val="20"/>
              </w:rPr>
            </w:pPr>
            <w:r>
              <w:rPr>
                <w:b/>
                <w:sz w:val="20"/>
              </w:rPr>
              <w:t>Key</w:t>
            </w:r>
            <w:r>
              <w:rPr>
                <w:b/>
                <w:spacing w:val="-5"/>
                <w:sz w:val="20"/>
              </w:rPr>
              <w:t xml:space="preserve"> </w:t>
            </w:r>
            <w:r>
              <w:rPr>
                <w:b/>
                <w:spacing w:val="-2"/>
                <w:sz w:val="20"/>
              </w:rPr>
              <w:t>Findings</w:t>
            </w:r>
          </w:p>
        </w:tc>
      </w:tr>
      <w:tr w:rsidR="00487D64">
        <w:trPr>
          <w:trHeight w:val="542"/>
        </w:trPr>
        <w:tc>
          <w:tcPr>
            <w:tcW w:w="1177" w:type="dxa"/>
            <w:tcBorders>
              <w:top w:val="single" w:sz="4" w:space="0" w:color="000000"/>
            </w:tcBorders>
          </w:tcPr>
          <w:p w:rsidR="00487D64" w:rsidRDefault="00487D64">
            <w:pPr>
              <w:pStyle w:val="TableParagraph"/>
              <w:rPr>
                <w:sz w:val="20"/>
              </w:rPr>
            </w:pPr>
          </w:p>
        </w:tc>
        <w:tc>
          <w:tcPr>
            <w:tcW w:w="1315" w:type="dxa"/>
            <w:tcBorders>
              <w:top w:val="single" w:sz="4" w:space="0" w:color="000000"/>
            </w:tcBorders>
          </w:tcPr>
          <w:p w:rsidR="00487D64" w:rsidRDefault="00487D64">
            <w:pPr>
              <w:pStyle w:val="TableParagraph"/>
              <w:rPr>
                <w:sz w:val="20"/>
              </w:rPr>
            </w:pPr>
          </w:p>
        </w:tc>
        <w:tc>
          <w:tcPr>
            <w:tcW w:w="1434" w:type="dxa"/>
            <w:tcBorders>
              <w:top w:val="single" w:sz="4" w:space="0" w:color="000000"/>
            </w:tcBorders>
          </w:tcPr>
          <w:p w:rsidR="00487D64" w:rsidRDefault="00487D64">
            <w:pPr>
              <w:pStyle w:val="TableParagraph"/>
              <w:rPr>
                <w:sz w:val="20"/>
              </w:rPr>
            </w:pPr>
          </w:p>
        </w:tc>
        <w:tc>
          <w:tcPr>
            <w:tcW w:w="1533" w:type="dxa"/>
            <w:tcBorders>
              <w:top w:val="single" w:sz="4" w:space="0" w:color="000000"/>
            </w:tcBorders>
          </w:tcPr>
          <w:p w:rsidR="00487D64" w:rsidRDefault="00487D64">
            <w:pPr>
              <w:pStyle w:val="TableParagraph"/>
              <w:rPr>
                <w:sz w:val="20"/>
              </w:rPr>
            </w:pPr>
          </w:p>
        </w:tc>
        <w:tc>
          <w:tcPr>
            <w:tcW w:w="1493" w:type="dxa"/>
            <w:tcBorders>
              <w:top w:val="single" w:sz="4" w:space="0" w:color="000000"/>
            </w:tcBorders>
          </w:tcPr>
          <w:p w:rsidR="00487D64" w:rsidRDefault="00487D64">
            <w:pPr>
              <w:pStyle w:val="TableParagraph"/>
              <w:rPr>
                <w:sz w:val="20"/>
              </w:rPr>
            </w:pPr>
          </w:p>
        </w:tc>
        <w:tc>
          <w:tcPr>
            <w:tcW w:w="1373" w:type="dxa"/>
            <w:tcBorders>
              <w:top w:val="single" w:sz="4" w:space="0" w:color="000000"/>
            </w:tcBorders>
          </w:tcPr>
          <w:p w:rsidR="00487D64" w:rsidRDefault="006F0D93">
            <w:pPr>
              <w:pStyle w:val="TableParagraph"/>
              <w:spacing w:before="49"/>
              <w:ind w:left="50"/>
              <w:rPr>
                <w:sz w:val="20"/>
              </w:rPr>
            </w:pPr>
            <w:r>
              <w:rPr>
                <w:sz w:val="20"/>
              </w:rPr>
              <w:t>adaptability</w:t>
            </w:r>
            <w:r>
              <w:rPr>
                <w:spacing w:val="-13"/>
                <w:sz w:val="20"/>
              </w:rPr>
              <w:t xml:space="preserve"> </w:t>
            </w:r>
            <w:r>
              <w:rPr>
                <w:sz w:val="20"/>
              </w:rPr>
              <w:t>&amp; risk</w:t>
            </w:r>
            <w:r>
              <w:rPr>
                <w:spacing w:val="-4"/>
                <w:sz w:val="20"/>
              </w:rPr>
              <w:t xml:space="preserve"> </w:t>
            </w:r>
            <w:r>
              <w:rPr>
                <w:spacing w:val="-2"/>
                <w:sz w:val="20"/>
              </w:rPr>
              <w:t>mitigation</w:t>
            </w:r>
          </w:p>
        </w:tc>
      </w:tr>
      <w:tr w:rsidR="00487D64">
        <w:trPr>
          <w:trHeight w:val="979"/>
        </w:trPr>
        <w:tc>
          <w:tcPr>
            <w:tcW w:w="1177" w:type="dxa"/>
          </w:tcPr>
          <w:p w:rsidR="00487D64" w:rsidRDefault="00487D64">
            <w:pPr>
              <w:pStyle w:val="TableParagraph"/>
              <w:rPr>
                <w:sz w:val="20"/>
              </w:rPr>
            </w:pPr>
          </w:p>
        </w:tc>
        <w:tc>
          <w:tcPr>
            <w:tcW w:w="1315" w:type="dxa"/>
          </w:tcPr>
          <w:p w:rsidR="00487D64" w:rsidRDefault="00487D64">
            <w:pPr>
              <w:pStyle w:val="TableParagraph"/>
              <w:spacing w:before="25"/>
              <w:rPr>
                <w:b/>
                <w:sz w:val="20"/>
              </w:rPr>
            </w:pPr>
          </w:p>
          <w:p w:rsidR="00487D64" w:rsidRDefault="006F0D93">
            <w:pPr>
              <w:pStyle w:val="TableParagraph"/>
              <w:ind w:left="76" w:right="33"/>
              <w:rPr>
                <w:sz w:val="20"/>
              </w:rPr>
            </w:pPr>
            <w:r>
              <w:rPr>
                <w:sz w:val="20"/>
              </w:rPr>
              <w:t>Lee</w:t>
            </w:r>
            <w:r>
              <w:rPr>
                <w:spacing w:val="-13"/>
                <w:sz w:val="20"/>
              </w:rPr>
              <w:t xml:space="preserve"> </w:t>
            </w:r>
            <w:r>
              <w:rPr>
                <w:sz w:val="20"/>
              </w:rPr>
              <w:t>&amp;</w:t>
            </w:r>
            <w:r>
              <w:rPr>
                <w:spacing w:val="-12"/>
                <w:sz w:val="20"/>
              </w:rPr>
              <w:t xml:space="preserve"> </w:t>
            </w:r>
            <w:r>
              <w:rPr>
                <w:sz w:val="20"/>
              </w:rPr>
              <w:t xml:space="preserve">Wang </w:t>
            </w:r>
            <w:r>
              <w:rPr>
                <w:spacing w:val="-2"/>
                <w:sz w:val="20"/>
              </w:rPr>
              <w:t>(2023)</w:t>
            </w:r>
          </w:p>
        </w:tc>
        <w:tc>
          <w:tcPr>
            <w:tcW w:w="1434" w:type="dxa"/>
          </w:tcPr>
          <w:p w:rsidR="00487D64" w:rsidRDefault="00487D64">
            <w:pPr>
              <w:pStyle w:val="TableParagraph"/>
              <w:spacing w:before="25"/>
              <w:rPr>
                <w:b/>
                <w:sz w:val="20"/>
              </w:rPr>
            </w:pPr>
          </w:p>
          <w:p w:rsidR="00487D64" w:rsidRDefault="006F0D93">
            <w:pPr>
              <w:pStyle w:val="TableParagraph"/>
              <w:ind w:left="36" w:right="43"/>
              <w:rPr>
                <w:sz w:val="20"/>
              </w:rPr>
            </w:pPr>
            <w:r>
              <w:rPr>
                <w:sz w:val="20"/>
              </w:rPr>
              <w:t>CO</w:t>
            </w:r>
            <w:r>
              <w:rPr>
                <w:spacing w:val="-13"/>
                <w:sz w:val="20"/>
              </w:rPr>
              <w:t xml:space="preserve"> </w:t>
            </w:r>
            <w:r>
              <w:rPr>
                <w:sz w:val="20"/>
              </w:rPr>
              <w:t>→</w:t>
            </w:r>
            <w:r>
              <w:rPr>
                <w:spacing w:val="-12"/>
                <w:sz w:val="20"/>
              </w:rPr>
              <w:t xml:space="preserve"> </w:t>
            </w:r>
            <w:r>
              <w:rPr>
                <w:sz w:val="20"/>
              </w:rPr>
              <w:t>tendering &amp; innovation</w:t>
            </w:r>
          </w:p>
        </w:tc>
        <w:tc>
          <w:tcPr>
            <w:tcW w:w="1533" w:type="dxa"/>
          </w:tcPr>
          <w:p w:rsidR="00487D64" w:rsidRDefault="00487D64">
            <w:pPr>
              <w:pStyle w:val="TableParagraph"/>
              <w:spacing w:before="25"/>
              <w:rPr>
                <w:b/>
                <w:sz w:val="20"/>
              </w:rPr>
            </w:pPr>
          </w:p>
          <w:p w:rsidR="00487D64" w:rsidRDefault="006F0D93">
            <w:pPr>
              <w:pStyle w:val="TableParagraph"/>
              <w:ind w:left="36" w:right="195"/>
              <w:rPr>
                <w:sz w:val="20"/>
              </w:rPr>
            </w:pPr>
            <w:r>
              <w:rPr>
                <w:sz w:val="20"/>
              </w:rPr>
              <w:t>Southeast</w:t>
            </w:r>
            <w:r>
              <w:rPr>
                <w:spacing w:val="-13"/>
                <w:sz w:val="20"/>
              </w:rPr>
              <w:t xml:space="preserve"> </w:t>
            </w:r>
            <w:r>
              <w:rPr>
                <w:sz w:val="20"/>
              </w:rPr>
              <w:t>Asian SMEs (247)</w:t>
            </w:r>
          </w:p>
        </w:tc>
        <w:tc>
          <w:tcPr>
            <w:tcW w:w="1493" w:type="dxa"/>
          </w:tcPr>
          <w:p w:rsidR="00487D64" w:rsidRDefault="00487D64">
            <w:pPr>
              <w:pStyle w:val="TableParagraph"/>
              <w:spacing w:before="141"/>
              <w:rPr>
                <w:b/>
                <w:sz w:val="20"/>
              </w:rPr>
            </w:pPr>
          </w:p>
          <w:p w:rsidR="00487D64" w:rsidRDefault="006F0D93">
            <w:pPr>
              <w:pStyle w:val="TableParagraph"/>
              <w:ind w:left="45"/>
              <w:rPr>
                <w:sz w:val="20"/>
              </w:rPr>
            </w:pPr>
            <w:r>
              <w:rPr>
                <w:sz w:val="20"/>
              </w:rPr>
              <w:t>Path</w:t>
            </w:r>
            <w:r>
              <w:rPr>
                <w:spacing w:val="-1"/>
                <w:sz w:val="20"/>
              </w:rPr>
              <w:t xml:space="preserve"> </w:t>
            </w:r>
            <w:r>
              <w:rPr>
                <w:spacing w:val="-2"/>
                <w:sz w:val="20"/>
              </w:rPr>
              <w:t>analysis</w:t>
            </w:r>
          </w:p>
        </w:tc>
        <w:tc>
          <w:tcPr>
            <w:tcW w:w="1373" w:type="dxa"/>
          </w:tcPr>
          <w:p w:rsidR="00487D64" w:rsidRDefault="006F0D93">
            <w:pPr>
              <w:pStyle w:val="TableParagraph"/>
              <w:spacing w:before="25"/>
              <w:ind w:left="50"/>
              <w:rPr>
                <w:sz w:val="20"/>
              </w:rPr>
            </w:pPr>
            <w:r>
              <w:rPr>
                <w:sz w:val="20"/>
              </w:rPr>
              <w:t>CO improves tendering</w:t>
            </w:r>
            <w:r>
              <w:rPr>
                <w:spacing w:val="-5"/>
                <w:sz w:val="20"/>
              </w:rPr>
              <w:t xml:space="preserve"> </w:t>
            </w:r>
            <w:r>
              <w:rPr>
                <w:sz w:val="20"/>
              </w:rPr>
              <w:t xml:space="preserve">&amp; </w:t>
            </w:r>
            <w:r>
              <w:rPr>
                <w:spacing w:val="-2"/>
                <w:sz w:val="20"/>
              </w:rPr>
              <w:t>service differentiation</w:t>
            </w:r>
          </w:p>
        </w:tc>
      </w:tr>
      <w:tr w:rsidR="00487D64">
        <w:trPr>
          <w:trHeight w:val="1210"/>
        </w:trPr>
        <w:tc>
          <w:tcPr>
            <w:tcW w:w="1177" w:type="dxa"/>
          </w:tcPr>
          <w:p w:rsidR="00487D64" w:rsidRDefault="00487D64">
            <w:pPr>
              <w:pStyle w:val="TableParagraph"/>
              <w:rPr>
                <w:sz w:val="20"/>
              </w:rPr>
            </w:pPr>
          </w:p>
        </w:tc>
        <w:tc>
          <w:tcPr>
            <w:tcW w:w="1315" w:type="dxa"/>
          </w:tcPr>
          <w:p w:rsidR="00487D64" w:rsidRDefault="00487D64">
            <w:pPr>
              <w:pStyle w:val="TableParagraph"/>
              <w:spacing w:before="140"/>
              <w:rPr>
                <w:b/>
                <w:sz w:val="20"/>
              </w:rPr>
            </w:pPr>
          </w:p>
          <w:p w:rsidR="00487D64" w:rsidRDefault="006F0D93">
            <w:pPr>
              <w:pStyle w:val="TableParagraph"/>
              <w:spacing w:before="1"/>
              <w:ind w:left="76" w:right="33"/>
              <w:rPr>
                <w:sz w:val="20"/>
              </w:rPr>
            </w:pPr>
            <w:r>
              <w:rPr>
                <w:sz w:val="20"/>
              </w:rPr>
              <w:t>Bekata</w:t>
            </w:r>
            <w:r>
              <w:rPr>
                <w:spacing w:val="-13"/>
                <w:sz w:val="20"/>
              </w:rPr>
              <w:t xml:space="preserve"> </w:t>
            </w:r>
            <w:r>
              <w:rPr>
                <w:sz w:val="20"/>
              </w:rPr>
              <w:t>&amp;</w:t>
            </w:r>
            <w:r>
              <w:rPr>
                <w:spacing w:val="-12"/>
                <w:sz w:val="20"/>
              </w:rPr>
              <w:t xml:space="preserve"> </w:t>
            </w:r>
            <w:r>
              <w:rPr>
                <w:sz w:val="20"/>
              </w:rPr>
              <w:t xml:space="preserve">Kero </w:t>
            </w:r>
            <w:r>
              <w:rPr>
                <w:spacing w:val="-2"/>
                <w:sz w:val="20"/>
              </w:rPr>
              <w:t>(2025)</w:t>
            </w:r>
          </w:p>
        </w:tc>
        <w:tc>
          <w:tcPr>
            <w:tcW w:w="1434" w:type="dxa"/>
          </w:tcPr>
          <w:p w:rsidR="00487D64" w:rsidRDefault="00487D64">
            <w:pPr>
              <w:pStyle w:val="TableParagraph"/>
              <w:spacing w:before="140"/>
              <w:rPr>
                <w:b/>
                <w:sz w:val="20"/>
              </w:rPr>
            </w:pPr>
          </w:p>
          <w:p w:rsidR="00487D64" w:rsidRDefault="006F0D93">
            <w:pPr>
              <w:pStyle w:val="TableParagraph"/>
              <w:spacing w:before="1"/>
              <w:ind w:left="36"/>
              <w:rPr>
                <w:sz w:val="20"/>
              </w:rPr>
            </w:pPr>
            <w:r>
              <w:rPr>
                <w:sz w:val="20"/>
              </w:rPr>
              <w:t>Tested</w:t>
            </w:r>
            <w:r>
              <w:rPr>
                <w:spacing w:val="-13"/>
                <w:sz w:val="20"/>
              </w:rPr>
              <w:t xml:space="preserve"> </w:t>
            </w:r>
            <w:r>
              <w:rPr>
                <w:sz w:val="20"/>
              </w:rPr>
              <w:t>direct</w:t>
            </w:r>
            <w:r>
              <w:rPr>
                <w:spacing w:val="-12"/>
                <w:sz w:val="20"/>
              </w:rPr>
              <w:t xml:space="preserve"> </w:t>
            </w:r>
            <w:r>
              <w:rPr>
                <w:sz w:val="20"/>
              </w:rPr>
              <w:t xml:space="preserve">CO </w:t>
            </w:r>
            <w:r>
              <w:rPr>
                <w:spacing w:val="-2"/>
                <w:sz w:val="20"/>
              </w:rPr>
              <w:t>effect</w:t>
            </w:r>
          </w:p>
        </w:tc>
        <w:tc>
          <w:tcPr>
            <w:tcW w:w="1533"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36"/>
              <w:rPr>
                <w:sz w:val="20"/>
              </w:rPr>
            </w:pPr>
            <w:r>
              <w:rPr>
                <w:sz w:val="20"/>
              </w:rPr>
              <w:t>Ethiopian</w:t>
            </w:r>
            <w:r>
              <w:rPr>
                <w:spacing w:val="-10"/>
                <w:sz w:val="20"/>
              </w:rPr>
              <w:t xml:space="preserve"> </w:t>
            </w:r>
            <w:r>
              <w:rPr>
                <w:spacing w:val="-4"/>
                <w:sz w:val="20"/>
              </w:rPr>
              <w:t>SMEs</w:t>
            </w:r>
          </w:p>
        </w:tc>
        <w:tc>
          <w:tcPr>
            <w:tcW w:w="1493"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45"/>
              <w:rPr>
                <w:sz w:val="20"/>
              </w:rPr>
            </w:pPr>
            <w:r>
              <w:rPr>
                <w:spacing w:val="-5"/>
                <w:sz w:val="20"/>
              </w:rPr>
              <w:t>SEM</w:t>
            </w:r>
          </w:p>
        </w:tc>
        <w:tc>
          <w:tcPr>
            <w:tcW w:w="1373" w:type="dxa"/>
          </w:tcPr>
          <w:p w:rsidR="00487D64" w:rsidRDefault="006F0D93">
            <w:pPr>
              <w:pStyle w:val="TableParagraph"/>
              <w:spacing w:before="25"/>
              <w:ind w:left="50" w:right="177"/>
              <w:rPr>
                <w:sz w:val="20"/>
              </w:rPr>
            </w:pPr>
            <w:r>
              <w:rPr>
                <w:sz w:val="20"/>
              </w:rPr>
              <w:t>No</w:t>
            </w:r>
            <w:r>
              <w:rPr>
                <w:spacing w:val="-13"/>
                <w:sz w:val="20"/>
              </w:rPr>
              <w:t xml:space="preserve"> </w:t>
            </w:r>
            <w:r>
              <w:rPr>
                <w:sz w:val="20"/>
              </w:rPr>
              <w:t xml:space="preserve">significant direct effect under weak </w:t>
            </w:r>
            <w:r>
              <w:rPr>
                <w:spacing w:val="-2"/>
                <w:sz w:val="20"/>
              </w:rPr>
              <w:t>intelligence systems</w:t>
            </w:r>
          </w:p>
        </w:tc>
      </w:tr>
      <w:tr w:rsidR="00487D64">
        <w:trPr>
          <w:trHeight w:val="1209"/>
        </w:trPr>
        <w:tc>
          <w:tcPr>
            <w:tcW w:w="1177" w:type="dxa"/>
          </w:tcPr>
          <w:p w:rsidR="00487D64" w:rsidRDefault="00487D64">
            <w:pPr>
              <w:pStyle w:val="TableParagraph"/>
              <w:rPr>
                <w:sz w:val="20"/>
              </w:rPr>
            </w:pPr>
          </w:p>
        </w:tc>
        <w:tc>
          <w:tcPr>
            <w:tcW w:w="1315" w:type="dxa"/>
          </w:tcPr>
          <w:p w:rsidR="00487D64" w:rsidRDefault="00487D64">
            <w:pPr>
              <w:pStyle w:val="TableParagraph"/>
              <w:spacing w:before="140"/>
              <w:rPr>
                <w:b/>
                <w:sz w:val="20"/>
              </w:rPr>
            </w:pPr>
          </w:p>
          <w:p w:rsidR="00487D64" w:rsidRDefault="006F0D93">
            <w:pPr>
              <w:pStyle w:val="TableParagraph"/>
              <w:spacing w:before="1"/>
              <w:ind w:left="76" w:right="33"/>
              <w:rPr>
                <w:sz w:val="20"/>
              </w:rPr>
            </w:pPr>
            <w:r>
              <w:rPr>
                <w:sz w:val="20"/>
              </w:rPr>
              <w:t>Tseng</w:t>
            </w:r>
            <w:r>
              <w:rPr>
                <w:spacing w:val="-13"/>
                <w:sz w:val="20"/>
              </w:rPr>
              <w:t xml:space="preserve"> </w:t>
            </w:r>
            <w:r>
              <w:rPr>
                <w:sz w:val="20"/>
              </w:rPr>
              <w:t>et</w:t>
            </w:r>
            <w:r>
              <w:rPr>
                <w:spacing w:val="-12"/>
                <w:sz w:val="20"/>
              </w:rPr>
              <w:t xml:space="preserve"> </w:t>
            </w:r>
            <w:r>
              <w:rPr>
                <w:sz w:val="20"/>
              </w:rPr>
              <w:t xml:space="preserve">al. </w:t>
            </w:r>
            <w:r>
              <w:rPr>
                <w:spacing w:val="-2"/>
                <w:sz w:val="20"/>
              </w:rPr>
              <w:t>(2019)</w:t>
            </w:r>
          </w:p>
        </w:tc>
        <w:tc>
          <w:tcPr>
            <w:tcW w:w="1434" w:type="dxa"/>
          </w:tcPr>
          <w:p w:rsidR="00487D64" w:rsidRDefault="006F0D93">
            <w:pPr>
              <w:pStyle w:val="TableParagraph"/>
              <w:spacing w:before="140"/>
              <w:ind w:left="36" w:right="43"/>
              <w:rPr>
                <w:sz w:val="20"/>
              </w:rPr>
            </w:pPr>
            <w:r>
              <w:rPr>
                <w:sz w:val="20"/>
              </w:rPr>
              <w:t xml:space="preserve">CO → </w:t>
            </w:r>
            <w:r>
              <w:rPr>
                <w:spacing w:val="-2"/>
                <w:sz w:val="20"/>
              </w:rPr>
              <w:t>environmental innovation capability</w:t>
            </w:r>
          </w:p>
        </w:tc>
        <w:tc>
          <w:tcPr>
            <w:tcW w:w="1533"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36"/>
              <w:rPr>
                <w:sz w:val="20"/>
              </w:rPr>
            </w:pPr>
            <w:r>
              <w:rPr>
                <w:sz w:val="20"/>
              </w:rPr>
              <w:t>Asian</w:t>
            </w:r>
            <w:r>
              <w:rPr>
                <w:spacing w:val="-11"/>
                <w:sz w:val="20"/>
              </w:rPr>
              <w:t xml:space="preserve"> </w:t>
            </w:r>
            <w:r>
              <w:rPr>
                <w:sz w:val="20"/>
              </w:rPr>
              <w:t>firms</w:t>
            </w:r>
            <w:r>
              <w:rPr>
                <w:spacing w:val="-4"/>
                <w:sz w:val="20"/>
              </w:rPr>
              <w:t xml:space="preserve"> </w:t>
            </w:r>
            <w:r>
              <w:rPr>
                <w:spacing w:val="-2"/>
                <w:sz w:val="20"/>
              </w:rPr>
              <w:t>(280)</w:t>
            </w:r>
          </w:p>
        </w:tc>
        <w:tc>
          <w:tcPr>
            <w:tcW w:w="1493"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45"/>
              <w:rPr>
                <w:sz w:val="20"/>
              </w:rPr>
            </w:pPr>
            <w:r>
              <w:rPr>
                <w:spacing w:val="-2"/>
                <w:sz w:val="20"/>
              </w:rPr>
              <w:t>PLS-</w:t>
            </w:r>
            <w:r>
              <w:rPr>
                <w:spacing w:val="-5"/>
                <w:sz w:val="20"/>
              </w:rPr>
              <w:t>SEM</w:t>
            </w:r>
          </w:p>
        </w:tc>
        <w:tc>
          <w:tcPr>
            <w:tcW w:w="1373" w:type="dxa"/>
          </w:tcPr>
          <w:p w:rsidR="00487D64" w:rsidRDefault="006F0D93">
            <w:pPr>
              <w:pStyle w:val="TableParagraph"/>
              <w:spacing w:before="25"/>
              <w:ind w:left="50" w:right="77"/>
              <w:rPr>
                <w:sz w:val="20"/>
              </w:rPr>
            </w:pPr>
            <w:r>
              <w:rPr>
                <w:sz w:val="20"/>
              </w:rPr>
              <w:t>CO</w:t>
            </w:r>
            <w:r>
              <w:rPr>
                <w:spacing w:val="-13"/>
                <w:sz w:val="20"/>
              </w:rPr>
              <w:t xml:space="preserve"> </w:t>
            </w:r>
            <w:r>
              <w:rPr>
                <w:sz w:val="20"/>
              </w:rPr>
              <w:t xml:space="preserve">strengthens EIC under innovation &amp; </w:t>
            </w:r>
            <w:r>
              <w:rPr>
                <w:spacing w:val="-2"/>
                <w:sz w:val="20"/>
              </w:rPr>
              <w:t>external pressures</w:t>
            </w:r>
          </w:p>
        </w:tc>
      </w:tr>
      <w:tr w:rsidR="00487D64">
        <w:trPr>
          <w:trHeight w:val="979"/>
        </w:trPr>
        <w:tc>
          <w:tcPr>
            <w:tcW w:w="1177" w:type="dxa"/>
          </w:tcPr>
          <w:p w:rsidR="00487D64" w:rsidRDefault="00487D64">
            <w:pPr>
              <w:pStyle w:val="TableParagraph"/>
              <w:rPr>
                <w:sz w:val="20"/>
              </w:rPr>
            </w:pPr>
          </w:p>
        </w:tc>
        <w:tc>
          <w:tcPr>
            <w:tcW w:w="1315" w:type="dxa"/>
          </w:tcPr>
          <w:p w:rsidR="00487D64" w:rsidRDefault="00487D64">
            <w:pPr>
              <w:pStyle w:val="TableParagraph"/>
              <w:spacing w:before="25"/>
              <w:rPr>
                <w:b/>
                <w:sz w:val="20"/>
              </w:rPr>
            </w:pPr>
          </w:p>
          <w:p w:rsidR="00487D64" w:rsidRDefault="006F0D93">
            <w:pPr>
              <w:pStyle w:val="TableParagraph"/>
              <w:ind w:left="76" w:right="33"/>
              <w:rPr>
                <w:sz w:val="20"/>
              </w:rPr>
            </w:pPr>
            <w:r>
              <w:rPr>
                <w:sz w:val="20"/>
              </w:rPr>
              <w:t>Sondhi</w:t>
            </w:r>
            <w:r>
              <w:rPr>
                <w:spacing w:val="-13"/>
                <w:sz w:val="20"/>
              </w:rPr>
              <w:t xml:space="preserve"> </w:t>
            </w:r>
            <w:r>
              <w:rPr>
                <w:sz w:val="20"/>
              </w:rPr>
              <w:t>et</w:t>
            </w:r>
            <w:r>
              <w:rPr>
                <w:spacing w:val="-12"/>
                <w:sz w:val="20"/>
              </w:rPr>
              <w:t xml:space="preserve"> </w:t>
            </w:r>
            <w:r>
              <w:rPr>
                <w:sz w:val="20"/>
              </w:rPr>
              <w:t xml:space="preserve">al. </w:t>
            </w:r>
            <w:r>
              <w:rPr>
                <w:spacing w:val="-2"/>
                <w:sz w:val="20"/>
              </w:rPr>
              <w:t>(2024)</w:t>
            </w:r>
          </w:p>
        </w:tc>
        <w:tc>
          <w:tcPr>
            <w:tcW w:w="1434" w:type="dxa"/>
          </w:tcPr>
          <w:p w:rsidR="00487D64" w:rsidRDefault="00487D64">
            <w:pPr>
              <w:pStyle w:val="TableParagraph"/>
              <w:spacing w:before="25"/>
              <w:rPr>
                <w:b/>
                <w:sz w:val="20"/>
              </w:rPr>
            </w:pPr>
          </w:p>
          <w:p w:rsidR="00487D64" w:rsidRDefault="006F0D93">
            <w:pPr>
              <w:pStyle w:val="TableParagraph"/>
              <w:ind w:left="36" w:right="43"/>
              <w:rPr>
                <w:sz w:val="20"/>
              </w:rPr>
            </w:pPr>
            <w:r>
              <w:rPr>
                <w:sz w:val="20"/>
              </w:rPr>
              <w:t>CO</w:t>
            </w:r>
            <w:r>
              <w:rPr>
                <w:spacing w:val="-13"/>
                <w:sz w:val="20"/>
              </w:rPr>
              <w:t xml:space="preserve"> </w:t>
            </w:r>
            <w:r>
              <w:rPr>
                <w:sz w:val="20"/>
              </w:rPr>
              <w:t>→</w:t>
            </w:r>
            <w:r>
              <w:rPr>
                <w:spacing w:val="-12"/>
                <w:sz w:val="20"/>
              </w:rPr>
              <w:t xml:space="preserve"> </w:t>
            </w:r>
            <w:r>
              <w:rPr>
                <w:sz w:val="20"/>
              </w:rPr>
              <w:t>resilience in turbulence</w:t>
            </w:r>
          </w:p>
        </w:tc>
        <w:tc>
          <w:tcPr>
            <w:tcW w:w="1533" w:type="dxa"/>
          </w:tcPr>
          <w:p w:rsidR="00487D64" w:rsidRDefault="00487D64">
            <w:pPr>
              <w:pStyle w:val="TableParagraph"/>
              <w:spacing w:before="25"/>
              <w:rPr>
                <w:b/>
                <w:sz w:val="20"/>
              </w:rPr>
            </w:pPr>
          </w:p>
          <w:p w:rsidR="00487D64" w:rsidRDefault="006F0D93">
            <w:pPr>
              <w:pStyle w:val="TableParagraph"/>
              <w:ind w:left="36" w:right="40"/>
              <w:rPr>
                <w:sz w:val="20"/>
              </w:rPr>
            </w:pPr>
            <w:r>
              <w:rPr>
                <w:spacing w:val="-2"/>
                <w:sz w:val="20"/>
              </w:rPr>
              <w:t>Emerging</w:t>
            </w:r>
            <w:r>
              <w:rPr>
                <w:spacing w:val="-11"/>
                <w:sz w:val="20"/>
              </w:rPr>
              <w:t xml:space="preserve"> </w:t>
            </w:r>
            <w:r>
              <w:rPr>
                <w:spacing w:val="-2"/>
                <w:sz w:val="20"/>
              </w:rPr>
              <w:t xml:space="preserve">market </w:t>
            </w:r>
            <w:r>
              <w:rPr>
                <w:sz w:val="20"/>
              </w:rPr>
              <w:t>SMEs (310)</w:t>
            </w:r>
          </w:p>
        </w:tc>
        <w:tc>
          <w:tcPr>
            <w:tcW w:w="1493" w:type="dxa"/>
          </w:tcPr>
          <w:p w:rsidR="00487D64" w:rsidRDefault="00487D64">
            <w:pPr>
              <w:pStyle w:val="TableParagraph"/>
              <w:spacing w:before="141"/>
              <w:rPr>
                <w:b/>
                <w:sz w:val="20"/>
              </w:rPr>
            </w:pPr>
          </w:p>
          <w:p w:rsidR="00487D64" w:rsidRDefault="006F0D93">
            <w:pPr>
              <w:pStyle w:val="TableParagraph"/>
              <w:ind w:left="45"/>
              <w:rPr>
                <w:sz w:val="20"/>
              </w:rPr>
            </w:pPr>
            <w:r>
              <w:rPr>
                <w:sz w:val="20"/>
              </w:rPr>
              <w:t>Mixed</w:t>
            </w:r>
            <w:r>
              <w:rPr>
                <w:spacing w:val="-5"/>
                <w:sz w:val="20"/>
              </w:rPr>
              <w:t xml:space="preserve"> </w:t>
            </w:r>
            <w:r>
              <w:rPr>
                <w:spacing w:val="-2"/>
                <w:sz w:val="20"/>
              </w:rPr>
              <w:t>methods</w:t>
            </w:r>
          </w:p>
        </w:tc>
        <w:tc>
          <w:tcPr>
            <w:tcW w:w="1373" w:type="dxa"/>
          </w:tcPr>
          <w:p w:rsidR="00487D64" w:rsidRDefault="006F0D93">
            <w:pPr>
              <w:pStyle w:val="TableParagraph"/>
              <w:spacing w:before="25"/>
              <w:ind w:left="50"/>
              <w:rPr>
                <w:sz w:val="20"/>
              </w:rPr>
            </w:pPr>
            <w:r>
              <w:rPr>
                <w:sz w:val="20"/>
              </w:rPr>
              <w:t xml:space="preserve">CO fosters </w:t>
            </w:r>
            <w:r>
              <w:rPr>
                <w:spacing w:val="-2"/>
                <w:sz w:val="20"/>
              </w:rPr>
              <w:t xml:space="preserve">proactive </w:t>
            </w:r>
            <w:r>
              <w:rPr>
                <w:sz w:val="20"/>
              </w:rPr>
              <w:t xml:space="preserve">strategies &amp; </w:t>
            </w:r>
            <w:r>
              <w:rPr>
                <w:spacing w:val="-2"/>
                <w:sz w:val="20"/>
              </w:rPr>
              <w:t>sustainability</w:t>
            </w:r>
          </w:p>
        </w:tc>
      </w:tr>
      <w:tr w:rsidR="00487D64">
        <w:trPr>
          <w:trHeight w:val="1210"/>
        </w:trPr>
        <w:tc>
          <w:tcPr>
            <w:tcW w:w="1177" w:type="dxa"/>
          </w:tcPr>
          <w:p w:rsidR="00487D64" w:rsidRDefault="006F0D93">
            <w:pPr>
              <w:pStyle w:val="TableParagraph"/>
              <w:spacing w:before="147"/>
              <w:ind w:left="57"/>
              <w:rPr>
                <w:b/>
                <w:sz w:val="20"/>
              </w:rPr>
            </w:pPr>
            <w:r>
              <w:rPr>
                <w:b/>
                <w:spacing w:val="-5"/>
                <w:sz w:val="20"/>
              </w:rPr>
              <w:t>H3:</w:t>
            </w:r>
          </w:p>
          <w:p w:rsidR="00487D64" w:rsidRDefault="006F0D93">
            <w:pPr>
              <w:pStyle w:val="TableParagraph"/>
              <w:spacing w:before="1"/>
              <w:ind w:left="57" w:right="17"/>
              <w:rPr>
                <w:b/>
                <w:sz w:val="20"/>
              </w:rPr>
            </w:pPr>
            <w:r>
              <w:rPr>
                <w:b/>
                <w:spacing w:val="-2"/>
                <w:sz w:val="20"/>
              </w:rPr>
              <w:t xml:space="preserve">Functional Coordinatio </w:t>
            </w:r>
            <w:r>
              <w:rPr>
                <w:b/>
                <w:sz w:val="20"/>
              </w:rPr>
              <w:t>n → SC</w:t>
            </w:r>
          </w:p>
        </w:tc>
        <w:tc>
          <w:tcPr>
            <w:tcW w:w="1315" w:type="dxa"/>
          </w:tcPr>
          <w:p w:rsidR="00487D64" w:rsidRDefault="00487D64">
            <w:pPr>
              <w:pStyle w:val="TableParagraph"/>
              <w:spacing w:before="140"/>
              <w:rPr>
                <w:b/>
                <w:sz w:val="20"/>
              </w:rPr>
            </w:pPr>
          </w:p>
          <w:p w:rsidR="00487D64" w:rsidRDefault="006F0D93">
            <w:pPr>
              <w:pStyle w:val="TableParagraph"/>
              <w:spacing w:before="1"/>
              <w:ind w:left="76" w:right="33"/>
              <w:rPr>
                <w:sz w:val="20"/>
              </w:rPr>
            </w:pPr>
            <w:r>
              <w:rPr>
                <w:sz w:val="20"/>
              </w:rPr>
              <w:t>Mukhtar</w:t>
            </w:r>
            <w:r>
              <w:rPr>
                <w:spacing w:val="-13"/>
                <w:sz w:val="20"/>
              </w:rPr>
              <w:t xml:space="preserve"> </w:t>
            </w:r>
            <w:r>
              <w:rPr>
                <w:sz w:val="20"/>
              </w:rPr>
              <w:t>et</w:t>
            </w:r>
            <w:r>
              <w:rPr>
                <w:spacing w:val="-12"/>
                <w:sz w:val="20"/>
              </w:rPr>
              <w:t xml:space="preserve"> </w:t>
            </w:r>
            <w:r>
              <w:rPr>
                <w:sz w:val="20"/>
              </w:rPr>
              <w:t xml:space="preserve">al. </w:t>
            </w:r>
            <w:r>
              <w:rPr>
                <w:spacing w:val="-2"/>
                <w:sz w:val="20"/>
              </w:rPr>
              <w:t>(2020)</w:t>
            </w:r>
          </w:p>
        </w:tc>
        <w:tc>
          <w:tcPr>
            <w:tcW w:w="1434" w:type="dxa"/>
          </w:tcPr>
          <w:p w:rsidR="00487D64" w:rsidRDefault="00487D64">
            <w:pPr>
              <w:pStyle w:val="TableParagraph"/>
              <w:spacing w:before="25"/>
              <w:rPr>
                <w:b/>
                <w:sz w:val="20"/>
              </w:rPr>
            </w:pPr>
          </w:p>
          <w:p w:rsidR="00487D64" w:rsidRDefault="006F0D93">
            <w:pPr>
              <w:pStyle w:val="TableParagraph"/>
              <w:ind w:left="36" w:right="455"/>
              <w:rPr>
                <w:sz w:val="20"/>
              </w:rPr>
            </w:pPr>
            <w:r>
              <w:rPr>
                <w:sz w:val="20"/>
              </w:rPr>
              <w:t xml:space="preserve">FC → </w:t>
            </w:r>
            <w:r>
              <w:rPr>
                <w:spacing w:val="-2"/>
                <w:sz w:val="20"/>
              </w:rPr>
              <w:t>competitive advantage</w:t>
            </w:r>
          </w:p>
        </w:tc>
        <w:tc>
          <w:tcPr>
            <w:tcW w:w="1533" w:type="dxa"/>
          </w:tcPr>
          <w:p w:rsidR="00487D64" w:rsidRDefault="00487D64">
            <w:pPr>
              <w:pStyle w:val="TableParagraph"/>
              <w:spacing w:before="140"/>
              <w:rPr>
                <w:b/>
                <w:sz w:val="20"/>
              </w:rPr>
            </w:pPr>
          </w:p>
          <w:p w:rsidR="00487D64" w:rsidRDefault="006F0D93">
            <w:pPr>
              <w:pStyle w:val="TableParagraph"/>
              <w:spacing w:before="1"/>
              <w:ind w:left="36" w:right="117"/>
              <w:rPr>
                <w:sz w:val="20"/>
              </w:rPr>
            </w:pPr>
            <w:r>
              <w:rPr>
                <w:sz w:val="20"/>
              </w:rPr>
              <w:t>Malaysian</w:t>
            </w:r>
            <w:r>
              <w:rPr>
                <w:spacing w:val="-13"/>
                <w:sz w:val="20"/>
              </w:rPr>
              <w:t xml:space="preserve"> </w:t>
            </w:r>
            <w:r>
              <w:rPr>
                <w:sz w:val="20"/>
              </w:rPr>
              <w:t xml:space="preserve">SMEs </w:t>
            </w:r>
            <w:r>
              <w:rPr>
                <w:spacing w:val="-2"/>
                <w:sz w:val="20"/>
              </w:rPr>
              <w:t>(320)</w:t>
            </w:r>
          </w:p>
        </w:tc>
        <w:tc>
          <w:tcPr>
            <w:tcW w:w="1493"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45"/>
              <w:rPr>
                <w:sz w:val="20"/>
              </w:rPr>
            </w:pPr>
            <w:r>
              <w:rPr>
                <w:sz w:val="20"/>
              </w:rPr>
              <w:t>Survey</w:t>
            </w:r>
            <w:r>
              <w:rPr>
                <w:spacing w:val="-12"/>
                <w:sz w:val="20"/>
              </w:rPr>
              <w:t xml:space="preserve"> </w:t>
            </w:r>
            <w:r>
              <w:rPr>
                <w:sz w:val="20"/>
              </w:rPr>
              <w:t>+</w:t>
            </w:r>
            <w:r>
              <w:rPr>
                <w:spacing w:val="-2"/>
                <w:sz w:val="20"/>
              </w:rPr>
              <w:t xml:space="preserve"> </w:t>
            </w:r>
            <w:r>
              <w:rPr>
                <w:spacing w:val="-5"/>
                <w:sz w:val="20"/>
              </w:rPr>
              <w:t>SEM</w:t>
            </w:r>
          </w:p>
        </w:tc>
        <w:tc>
          <w:tcPr>
            <w:tcW w:w="1373" w:type="dxa"/>
          </w:tcPr>
          <w:p w:rsidR="00487D64" w:rsidRDefault="006F0D93">
            <w:pPr>
              <w:pStyle w:val="TableParagraph"/>
              <w:spacing w:before="25"/>
              <w:ind w:left="50" w:right="92"/>
              <w:rPr>
                <w:sz w:val="20"/>
              </w:rPr>
            </w:pPr>
            <w:r>
              <w:rPr>
                <w:sz w:val="20"/>
              </w:rPr>
              <w:t xml:space="preserve">FC improves info flow, alignment &amp; </w:t>
            </w:r>
            <w:r>
              <w:rPr>
                <w:spacing w:val="-2"/>
                <w:sz w:val="20"/>
              </w:rPr>
              <w:t xml:space="preserve">competitivenes </w:t>
            </w:r>
            <w:r>
              <w:rPr>
                <w:spacing w:val="-10"/>
                <w:sz w:val="20"/>
              </w:rPr>
              <w:t>s</w:t>
            </w:r>
          </w:p>
        </w:tc>
      </w:tr>
      <w:tr w:rsidR="00487D64">
        <w:trPr>
          <w:trHeight w:val="979"/>
        </w:trPr>
        <w:tc>
          <w:tcPr>
            <w:tcW w:w="1177" w:type="dxa"/>
          </w:tcPr>
          <w:p w:rsidR="00487D64" w:rsidRDefault="00487D64">
            <w:pPr>
              <w:pStyle w:val="TableParagraph"/>
              <w:rPr>
                <w:sz w:val="20"/>
              </w:rPr>
            </w:pPr>
          </w:p>
        </w:tc>
        <w:tc>
          <w:tcPr>
            <w:tcW w:w="1315" w:type="dxa"/>
          </w:tcPr>
          <w:p w:rsidR="00487D64" w:rsidRDefault="00487D64">
            <w:pPr>
              <w:pStyle w:val="TableParagraph"/>
              <w:spacing w:before="25"/>
              <w:rPr>
                <w:b/>
                <w:sz w:val="20"/>
              </w:rPr>
            </w:pPr>
          </w:p>
          <w:p w:rsidR="00487D64" w:rsidRDefault="006F0D93">
            <w:pPr>
              <w:pStyle w:val="TableParagraph"/>
              <w:ind w:left="76" w:right="149"/>
              <w:rPr>
                <w:sz w:val="20"/>
              </w:rPr>
            </w:pPr>
            <w:r>
              <w:rPr>
                <w:sz w:val="20"/>
              </w:rPr>
              <w:t>Hubnerova</w:t>
            </w:r>
            <w:r>
              <w:rPr>
                <w:spacing w:val="-13"/>
                <w:sz w:val="20"/>
              </w:rPr>
              <w:t xml:space="preserve"> </w:t>
            </w:r>
            <w:r>
              <w:rPr>
                <w:sz w:val="20"/>
              </w:rPr>
              <w:t>et al. (2020)</w:t>
            </w:r>
          </w:p>
        </w:tc>
        <w:tc>
          <w:tcPr>
            <w:tcW w:w="1434" w:type="dxa"/>
          </w:tcPr>
          <w:p w:rsidR="00487D64" w:rsidRDefault="006F0D93">
            <w:pPr>
              <w:pStyle w:val="TableParagraph"/>
              <w:spacing w:before="140"/>
              <w:ind w:left="36" w:right="319"/>
              <w:rPr>
                <w:sz w:val="20"/>
              </w:rPr>
            </w:pPr>
            <w:r>
              <w:rPr>
                <w:sz w:val="20"/>
              </w:rPr>
              <w:t>FC → integration</w:t>
            </w:r>
            <w:r>
              <w:rPr>
                <w:spacing w:val="-13"/>
                <w:sz w:val="20"/>
              </w:rPr>
              <w:t xml:space="preserve"> </w:t>
            </w:r>
            <w:r>
              <w:rPr>
                <w:sz w:val="20"/>
              </w:rPr>
              <w:t xml:space="preserve">&amp; </w:t>
            </w:r>
            <w:r>
              <w:rPr>
                <w:spacing w:val="-2"/>
                <w:sz w:val="20"/>
              </w:rPr>
              <w:t>efficiency</w:t>
            </w:r>
          </w:p>
        </w:tc>
        <w:tc>
          <w:tcPr>
            <w:tcW w:w="1533" w:type="dxa"/>
          </w:tcPr>
          <w:p w:rsidR="00487D64" w:rsidRDefault="00487D64">
            <w:pPr>
              <w:pStyle w:val="TableParagraph"/>
              <w:spacing w:before="25"/>
              <w:rPr>
                <w:b/>
                <w:sz w:val="20"/>
              </w:rPr>
            </w:pPr>
          </w:p>
          <w:p w:rsidR="00487D64" w:rsidRDefault="006F0D93">
            <w:pPr>
              <w:pStyle w:val="TableParagraph"/>
              <w:ind w:left="36" w:right="85"/>
              <w:rPr>
                <w:sz w:val="20"/>
              </w:rPr>
            </w:pPr>
            <w:r>
              <w:rPr>
                <w:sz w:val="20"/>
              </w:rPr>
              <w:t>Central</w:t>
            </w:r>
            <w:r>
              <w:rPr>
                <w:spacing w:val="-13"/>
                <w:sz w:val="20"/>
              </w:rPr>
              <w:t xml:space="preserve"> </w:t>
            </w:r>
            <w:r>
              <w:rPr>
                <w:sz w:val="20"/>
              </w:rPr>
              <w:t>European SMEs (210)</w:t>
            </w:r>
          </w:p>
        </w:tc>
        <w:tc>
          <w:tcPr>
            <w:tcW w:w="1493" w:type="dxa"/>
          </w:tcPr>
          <w:p w:rsidR="00487D64" w:rsidRDefault="00487D64">
            <w:pPr>
              <w:pStyle w:val="TableParagraph"/>
              <w:spacing w:before="25"/>
              <w:rPr>
                <w:b/>
                <w:sz w:val="20"/>
              </w:rPr>
            </w:pPr>
          </w:p>
          <w:p w:rsidR="00487D64" w:rsidRDefault="006F0D93">
            <w:pPr>
              <w:pStyle w:val="TableParagraph"/>
              <w:ind w:left="45" w:right="559"/>
              <w:rPr>
                <w:sz w:val="20"/>
              </w:rPr>
            </w:pPr>
            <w:r>
              <w:rPr>
                <w:sz w:val="20"/>
              </w:rPr>
              <w:t>Survey</w:t>
            </w:r>
            <w:r>
              <w:rPr>
                <w:spacing w:val="-5"/>
                <w:sz w:val="20"/>
              </w:rPr>
              <w:t xml:space="preserve"> </w:t>
            </w:r>
            <w:r>
              <w:rPr>
                <w:sz w:val="20"/>
              </w:rPr>
              <w:t xml:space="preserve">+ </w:t>
            </w:r>
            <w:r>
              <w:rPr>
                <w:spacing w:val="-2"/>
                <w:sz w:val="20"/>
              </w:rPr>
              <w:t>Regression</w:t>
            </w:r>
          </w:p>
        </w:tc>
        <w:tc>
          <w:tcPr>
            <w:tcW w:w="1373" w:type="dxa"/>
          </w:tcPr>
          <w:p w:rsidR="00487D64" w:rsidRDefault="006F0D93">
            <w:pPr>
              <w:pStyle w:val="TableParagraph"/>
              <w:spacing w:before="25"/>
              <w:ind w:left="50" w:right="288"/>
              <w:rPr>
                <w:sz w:val="20"/>
              </w:rPr>
            </w:pPr>
            <w:r>
              <w:rPr>
                <w:sz w:val="20"/>
              </w:rPr>
              <w:t>FC</w:t>
            </w:r>
            <w:r>
              <w:rPr>
                <w:spacing w:val="-13"/>
                <w:sz w:val="20"/>
              </w:rPr>
              <w:t xml:space="preserve"> </w:t>
            </w:r>
            <w:r>
              <w:rPr>
                <w:sz w:val="20"/>
              </w:rPr>
              <w:t>enhances efficiency</w:t>
            </w:r>
            <w:r>
              <w:rPr>
                <w:spacing w:val="-13"/>
                <w:sz w:val="20"/>
              </w:rPr>
              <w:t xml:space="preserve"> </w:t>
            </w:r>
            <w:r>
              <w:rPr>
                <w:sz w:val="20"/>
              </w:rPr>
              <w:t xml:space="preserve">&amp; </w:t>
            </w:r>
            <w:r>
              <w:rPr>
                <w:spacing w:val="-2"/>
                <w:sz w:val="20"/>
              </w:rPr>
              <w:t>market positioning</w:t>
            </w:r>
          </w:p>
        </w:tc>
      </w:tr>
      <w:tr w:rsidR="00487D64">
        <w:trPr>
          <w:trHeight w:val="1440"/>
        </w:trPr>
        <w:tc>
          <w:tcPr>
            <w:tcW w:w="1177" w:type="dxa"/>
          </w:tcPr>
          <w:p w:rsidR="00487D64" w:rsidRDefault="00487D64">
            <w:pPr>
              <w:pStyle w:val="TableParagraph"/>
              <w:rPr>
                <w:sz w:val="20"/>
              </w:rPr>
            </w:pPr>
          </w:p>
        </w:tc>
        <w:tc>
          <w:tcPr>
            <w:tcW w:w="1315"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76" w:right="33"/>
              <w:rPr>
                <w:sz w:val="20"/>
              </w:rPr>
            </w:pPr>
            <w:r>
              <w:rPr>
                <w:sz w:val="20"/>
              </w:rPr>
              <w:t>Mogaka</w:t>
            </w:r>
            <w:r>
              <w:rPr>
                <w:spacing w:val="-13"/>
                <w:sz w:val="20"/>
              </w:rPr>
              <w:t xml:space="preserve"> </w:t>
            </w:r>
            <w:r>
              <w:rPr>
                <w:sz w:val="20"/>
              </w:rPr>
              <w:t>et</w:t>
            </w:r>
            <w:r>
              <w:rPr>
                <w:spacing w:val="-12"/>
                <w:sz w:val="20"/>
              </w:rPr>
              <w:t xml:space="preserve"> </w:t>
            </w:r>
            <w:r>
              <w:rPr>
                <w:sz w:val="20"/>
              </w:rPr>
              <w:t xml:space="preserve">al. </w:t>
            </w:r>
            <w:r>
              <w:rPr>
                <w:spacing w:val="-2"/>
                <w:sz w:val="20"/>
              </w:rPr>
              <w:t>(2022)</w:t>
            </w:r>
          </w:p>
        </w:tc>
        <w:tc>
          <w:tcPr>
            <w:tcW w:w="1434" w:type="dxa"/>
          </w:tcPr>
          <w:p w:rsidR="00487D64" w:rsidRDefault="00487D64">
            <w:pPr>
              <w:pStyle w:val="TableParagraph"/>
              <w:spacing w:before="140"/>
              <w:rPr>
                <w:b/>
                <w:sz w:val="20"/>
              </w:rPr>
            </w:pPr>
          </w:p>
          <w:p w:rsidR="00487D64" w:rsidRDefault="006F0D93">
            <w:pPr>
              <w:pStyle w:val="TableParagraph"/>
              <w:spacing w:before="1"/>
              <w:ind w:left="36" w:right="43"/>
              <w:rPr>
                <w:sz w:val="20"/>
              </w:rPr>
            </w:pPr>
            <w:r>
              <w:rPr>
                <w:sz w:val="20"/>
              </w:rPr>
              <w:t xml:space="preserve">FC → </w:t>
            </w:r>
            <w:r>
              <w:rPr>
                <w:spacing w:val="-2"/>
                <w:sz w:val="20"/>
              </w:rPr>
              <w:t xml:space="preserve">responsiveness, </w:t>
            </w:r>
            <w:r>
              <w:rPr>
                <w:sz w:val="20"/>
              </w:rPr>
              <w:t>cost efficiency</w:t>
            </w:r>
          </w:p>
        </w:tc>
        <w:tc>
          <w:tcPr>
            <w:tcW w:w="1533" w:type="dxa"/>
          </w:tcPr>
          <w:p w:rsidR="00487D64" w:rsidRDefault="00487D64">
            <w:pPr>
              <w:pStyle w:val="TableParagraph"/>
              <w:spacing w:before="140"/>
              <w:rPr>
                <w:b/>
                <w:sz w:val="20"/>
              </w:rPr>
            </w:pPr>
          </w:p>
          <w:p w:rsidR="00487D64" w:rsidRDefault="006F0D93">
            <w:pPr>
              <w:pStyle w:val="TableParagraph"/>
              <w:spacing w:before="1"/>
              <w:ind w:left="36" w:right="195"/>
              <w:rPr>
                <w:sz w:val="20"/>
              </w:rPr>
            </w:pPr>
            <w:r>
              <w:rPr>
                <w:spacing w:val="-2"/>
                <w:sz w:val="20"/>
              </w:rPr>
              <w:t xml:space="preserve">Kenyan manufacturing </w:t>
            </w:r>
            <w:r>
              <w:rPr>
                <w:sz w:val="20"/>
              </w:rPr>
              <w:t>(73 firms)</w:t>
            </w:r>
          </w:p>
        </w:tc>
        <w:tc>
          <w:tcPr>
            <w:tcW w:w="1493" w:type="dxa"/>
          </w:tcPr>
          <w:p w:rsidR="00487D64" w:rsidRDefault="00487D64">
            <w:pPr>
              <w:pStyle w:val="TableParagraph"/>
              <w:rPr>
                <w:b/>
                <w:sz w:val="20"/>
              </w:rPr>
            </w:pPr>
          </w:p>
          <w:p w:rsidR="00487D64" w:rsidRDefault="00487D64">
            <w:pPr>
              <w:pStyle w:val="TableParagraph"/>
              <w:spacing w:before="141"/>
              <w:rPr>
                <w:b/>
                <w:sz w:val="20"/>
              </w:rPr>
            </w:pPr>
          </w:p>
          <w:p w:rsidR="00487D64" w:rsidRDefault="006F0D93">
            <w:pPr>
              <w:pStyle w:val="TableParagraph"/>
              <w:ind w:left="45"/>
              <w:rPr>
                <w:sz w:val="20"/>
              </w:rPr>
            </w:pPr>
            <w:r>
              <w:rPr>
                <w:sz w:val="20"/>
              </w:rPr>
              <w:t>OLS</w:t>
            </w:r>
            <w:r>
              <w:rPr>
                <w:spacing w:val="-10"/>
                <w:sz w:val="20"/>
              </w:rPr>
              <w:t xml:space="preserve"> </w:t>
            </w:r>
            <w:r>
              <w:rPr>
                <w:spacing w:val="-2"/>
                <w:sz w:val="20"/>
              </w:rPr>
              <w:t>regression</w:t>
            </w:r>
          </w:p>
        </w:tc>
        <w:tc>
          <w:tcPr>
            <w:tcW w:w="1373" w:type="dxa"/>
          </w:tcPr>
          <w:p w:rsidR="00487D64" w:rsidRDefault="006F0D93">
            <w:pPr>
              <w:pStyle w:val="TableParagraph"/>
              <w:spacing w:before="25"/>
              <w:ind w:left="50" w:right="365"/>
              <w:rPr>
                <w:sz w:val="20"/>
              </w:rPr>
            </w:pPr>
            <w:r>
              <w:rPr>
                <w:sz w:val="20"/>
              </w:rPr>
              <w:t>FC</w:t>
            </w:r>
            <w:r>
              <w:rPr>
                <w:spacing w:val="-13"/>
                <w:sz w:val="20"/>
              </w:rPr>
              <w:t xml:space="preserve"> </w:t>
            </w:r>
            <w:r>
              <w:rPr>
                <w:sz w:val="20"/>
              </w:rPr>
              <w:t xml:space="preserve">strongly linked to </w:t>
            </w:r>
            <w:r>
              <w:rPr>
                <w:spacing w:val="-2"/>
                <w:sz w:val="20"/>
              </w:rPr>
              <w:t>competitive advantage (β=0.617, p&lt;0.01)</w:t>
            </w:r>
          </w:p>
        </w:tc>
      </w:tr>
      <w:tr w:rsidR="00487D64">
        <w:trPr>
          <w:trHeight w:val="1210"/>
        </w:trPr>
        <w:tc>
          <w:tcPr>
            <w:tcW w:w="1177" w:type="dxa"/>
          </w:tcPr>
          <w:p w:rsidR="00487D64" w:rsidRDefault="00487D64">
            <w:pPr>
              <w:pStyle w:val="TableParagraph"/>
              <w:rPr>
                <w:sz w:val="20"/>
              </w:rPr>
            </w:pPr>
          </w:p>
        </w:tc>
        <w:tc>
          <w:tcPr>
            <w:tcW w:w="1315" w:type="dxa"/>
          </w:tcPr>
          <w:p w:rsidR="00487D64" w:rsidRDefault="00487D64">
            <w:pPr>
              <w:pStyle w:val="TableParagraph"/>
              <w:spacing w:before="141"/>
              <w:rPr>
                <w:b/>
                <w:sz w:val="20"/>
              </w:rPr>
            </w:pPr>
          </w:p>
          <w:p w:rsidR="00487D64" w:rsidRDefault="006F0D93">
            <w:pPr>
              <w:pStyle w:val="TableParagraph"/>
              <w:ind w:left="76" w:right="470"/>
              <w:rPr>
                <w:sz w:val="20"/>
              </w:rPr>
            </w:pPr>
            <w:r>
              <w:rPr>
                <w:spacing w:val="-2"/>
                <w:sz w:val="20"/>
              </w:rPr>
              <w:t>Szalavetz (2018)</w:t>
            </w:r>
          </w:p>
        </w:tc>
        <w:tc>
          <w:tcPr>
            <w:tcW w:w="1434" w:type="dxa"/>
          </w:tcPr>
          <w:p w:rsidR="00487D64" w:rsidRDefault="00487D64">
            <w:pPr>
              <w:pStyle w:val="TableParagraph"/>
              <w:spacing w:before="26"/>
              <w:rPr>
                <w:b/>
                <w:sz w:val="20"/>
              </w:rPr>
            </w:pPr>
          </w:p>
          <w:p w:rsidR="00487D64" w:rsidRDefault="006F0D93">
            <w:pPr>
              <w:pStyle w:val="TableParagraph"/>
              <w:ind w:left="36" w:right="323"/>
              <w:rPr>
                <w:sz w:val="20"/>
              </w:rPr>
            </w:pPr>
            <w:r>
              <w:rPr>
                <w:sz w:val="20"/>
              </w:rPr>
              <w:t xml:space="preserve">FC → </w:t>
            </w:r>
            <w:r>
              <w:rPr>
                <w:spacing w:val="-2"/>
                <w:sz w:val="20"/>
              </w:rPr>
              <w:t>sustainability trade-offs</w:t>
            </w:r>
          </w:p>
        </w:tc>
        <w:tc>
          <w:tcPr>
            <w:tcW w:w="1533"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36"/>
              <w:rPr>
                <w:sz w:val="20"/>
              </w:rPr>
            </w:pPr>
            <w:r>
              <w:rPr>
                <w:sz w:val="20"/>
              </w:rPr>
              <w:t>European</w:t>
            </w:r>
            <w:r>
              <w:rPr>
                <w:spacing w:val="-14"/>
                <w:sz w:val="20"/>
              </w:rPr>
              <w:t xml:space="preserve"> </w:t>
            </w:r>
            <w:r>
              <w:rPr>
                <w:spacing w:val="-4"/>
                <w:sz w:val="20"/>
              </w:rPr>
              <w:t>SMEs</w:t>
            </w:r>
          </w:p>
        </w:tc>
        <w:tc>
          <w:tcPr>
            <w:tcW w:w="1493"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45"/>
              <w:rPr>
                <w:sz w:val="20"/>
              </w:rPr>
            </w:pPr>
            <w:r>
              <w:rPr>
                <w:sz w:val="20"/>
              </w:rPr>
              <w:t>Case</w:t>
            </w:r>
            <w:r>
              <w:rPr>
                <w:spacing w:val="-7"/>
                <w:sz w:val="20"/>
              </w:rPr>
              <w:t xml:space="preserve"> </w:t>
            </w:r>
            <w:r>
              <w:rPr>
                <w:spacing w:val="-2"/>
                <w:sz w:val="20"/>
              </w:rPr>
              <w:t>analysis</w:t>
            </w:r>
          </w:p>
        </w:tc>
        <w:tc>
          <w:tcPr>
            <w:tcW w:w="1373" w:type="dxa"/>
          </w:tcPr>
          <w:p w:rsidR="00487D64" w:rsidRDefault="006F0D93">
            <w:pPr>
              <w:pStyle w:val="TableParagraph"/>
              <w:spacing w:before="25"/>
              <w:ind w:left="50"/>
              <w:rPr>
                <w:sz w:val="20"/>
              </w:rPr>
            </w:pPr>
            <w:r>
              <w:rPr>
                <w:sz w:val="20"/>
              </w:rPr>
              <w:t xml:space="preserve">FC integrates </w:t>
            </w:r>
            <w:r>
              <w:rPr>
                <w:spacing w:val="-2"/>
                <w:sz w:val="20"/>
              </w:rPr>
              <w:t xml:space="preserve">sustainability </w:t>
            </w:r>
            <w:r>
              <w:rPr>
                <w:sz w:val="20"/>
              </w:rPr>
              <w:t xml:space="preserve">goals via </w:t>
            </w:r>
            <w:r>
              <w:rPr>
                <w:spacing w:val="-2"/>
                <w:sz w:val="20"/>
              </w:rPr>
              <w:t>knowledge recombination</w:t>
            </w:r>
          </w:p>
        </w:tc>
      </w:tr>
      <w:tr w:rsidR="00487D64">
        <w:trPr>
          <w:trHeight w:val="1440"/>
        </w:trPr>
        <w:tc>
          <w:tcPr>
            <w:tcW w:w="1177" w:type="dxa"/>
          </w:tcPr>
          <w:p w:rsidR="00487D64" w:rsidRDefault="00487D64">
            <w:pPr>
              <w:pStyle w:val="TableParagraph"/>
              <w:rPr>
                <w:sz w:val="20"/>
              </w:rPr>
            </w:pPr>
          </w:p>
        </w:tc>
        <w:tc>
          <w:tcPr>
            <w:tcW w:w="1315"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76" w:right="33"/>
              <w:rPr>
                <w:sz w:val="20"/>
              </w:rPr>
            </w:pPr>
            <w:r>
              <w:rPr>
                <w:sz w:val="20"/>
              </w:rPr>
              <w:t>Waruiru</w:t>
            </w:r>
            <w:r>
              <w:rPr>
                <w:spacing w:val="-13"/>
                <w:sz w:val="20"/>
              </w:rPr>
              <w:t xml:space="preserve"> </w:t>
            </w:r>
            <w:r>
              <w:rPr>
                <w:sz w:val="20"/>
              </w:rPr>
              <w:t>et</w:t>
            </w:r>
            <w:r>
              <w:rPr>
                <w:spacing w:val="-12"/>
                <w:sz w:val="20"/>
              </w:rPr>
              <w:t xml:space="preserve"> </w:t>
            </w:r>
            <w:r>
              <w:rPr>
                <w:sz w:val="20"/>
              </w:rPr>
              <w:t xml:space="preserve">al. </w:t>
            </w:r>
            <w:r>
              <w:rPr>
                <w:spacing w:val="-2"/>
                <w:sz w:val="20"/>
              </w:rPr>
              <w:t>(2018)</w:t>
            </w:r>
          </w:p>
        </w:tc>
        <w:tc>
          <w:tcPr>
            <w:tcW w:w="1434" w:type="dxa"/>
          </w:tcPr>
          <w:p w:rsidR="00487D64" w:rsidRDefault="00487D64">
            <w:pPr>
              <w:pStyle w:val="TableParagraph"/>
              <w:spacing w:before="26"/>
              <w:rPr>
                <w:b/>
                <w:sz w:val="20"/>
              </w:rPr>
            </w:pPr>
          </w:p>
          <w:p w:rsidR="00487D64" w:rsidRDefault="006F0D93">
            <w:pPr>
              <w:pStyle w:val="TableParagraph"/>
              <w:ind w:left="36" w:right="41"/>
              <w:rPr>
                <w:sz w:val="20"/>
              </w:rPr>
            </w:pPr>
            <w:r>
              <w:rPr>
                <w:sz w:val="20"/>
              </w:rPr>
              <w:t xml:space="preserve">FC &amp; </w:t>
            </w:r>
            <w:r>
              <w:rPr>
                <w:spacing w:val="-2"/>
                <w:sz w:val="20"/>
              </w:rPr>
              <w:t xml:space="preserve">sustainability </w:t>
            </w:r>
            <w:r>
              <w:rPr>
                <w:sz w:val="20"/>
              </w:rPr>
              <w:t>under</w:t>
            </w:r>
            <w:r>
              <w:rPr>
                <w:spacing w:val="-13"/>
                <w:sz w:val="20"/>
              </w:rPr>
              <w:t xml:space="preserve"> </w:t>
            </w:r>
            <w:r>
              <w:rPr>
                <w:sz w:val="20"/>
              </w:rPr>
              <w:t xml:space="preserve">competing </w:t>
            </w:r>
            <w:r>
              <w:rPr>
                <w:spacing w:val="-2"/>
                <w:sz w:val="20"/>
              </w:rPr>
              <w:t>priorities</w:t>
            </w:r>
          </w:p>
        </w:tc>
        <w:tc>
          <w:tcPr>
            <w:tcW w:w="1533" w:type="dxa"/>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36" w:right="328"/>
              <w:rPr>
                <w:sz w:val="20"/>
              </w:rPr>
            </w:pPr>
            <w:r>
              <w:rPr>
                <w:sz w:val="20"/>
              </w:rPr>
              <w:t>Kenyan</w:t>
            </w:r>
            <w:r>
              <w:rPr>
                <w:spacing w:val="-13"/>
                <w:sz w:val="20"/>
              </w:rPr>
              <w:t xml:space="preserve"> </w:t>
            </w:r>
            <w:r>
              <w:rPr>
                <w:sz w:val="20"/>
              </w:rPr>
              <w:t xml:space="preserve">SMEs </w:t>
            </w:r>
            <w:r>
              <w:rPr>
                <w:spacing w:val="-2"/>
                <w:sz w:val="20"/>
              </w:rPr>
              <w:t>(186)</w:t>
            </w:r>
          </w:p>
        </w:tc>
        <w:tc>
          <w:tcPr>
            <w:tcW w:w="1493" w:type="dxa"/>
          </w:tcPr>
          <w:p w:rsidR="00487D64" w:rsidRDefault="00487D64">
            <w:pPr>
              <w:pStyle w:val="TableParagraph"/>
              <w:spacing w:before="141"/>
              <w:rPr>
                <w:b/>
                <w:sz w:val="20"/>
              </w:rPr>
            </w:pPr>
          </w:p>
          <w:p w:rsidR="00487D64" w:rsidRDefault="006F0D93">
            <w:pPr>
              <w:pStyle w:val="TableParagraph"/>
              <w:ind w:left="45" w:right="33"/>
              <w:rPr>
                <w:sz w:val="20"/>
              </w:rPr>
            </w:pPr>
            <w:r>
              <w:rPr>
                <w:sz w:val="20"/>
              </w:rPr>
              <w:t>Survey</w:t>
            </w:r>
            <w:r>
              <w:rPr>
                <w:spacing w:val="-5"/>
                <w:sz w:val="20"/>
              </w:rPr>
              <w:t xml:space="preserve"> </w:t>
            </w:r>
            <w:r>
              <w:rPr>
                <w:sz w:val="20"/>
              </w:rPr>
              <w:t xml:space="preserve">+ </w:t>
            </w:r>
            <w:r>
              <w:rPr>
                <w:spacing w:val="-2"/>
                <w:sz w:val="20"/>
              </w:rPr>
              <w:t>Hierarchical regression</w:t>
            </w:r>
          </w:p>
        </w:tc>
        <w:tc>
          <w:tcPr>
            <w:tcW w:w="1373" w:type="dxa"/>
          </w:tcPr>
          <w:p w:rsidR="00487D64" w:rsidRDefault="006F0D93">
            <w:pPr>
              <w:pStyle w:val="TableParagraph"/>
              <w:spacing w:before="25"/>
              <w:ind w:left="50" w:right="122"/>
              <w:rPr>
                <w:sz w:val="20"/>
              </w:rPr>
            </w:pPr>
            <w:r>
              <w:rPr>
                <w:sz w:val="20"/>
              </w:rPr>
              <w:t>FC improves efficiency,</w:t>
            </w:r>
            <w:r>
              <w:rPr>
                <w:spacing w:val="-3"/>
                <w:sz w:val="20"/>
              </w:rPr>
              <w:t xml:space="preserve"> </w:t>
            </w:r>
            <w:r>
              <w:rPr>
                <w:sz w:val="20"/>
              </w:rPr>
              <w:t>but weakens</w:t>
            </w:r>
            <w:r>
              <w:rPr>
                <w:spacing w:val="-13"/>
                <w:sz w:val="20"/>
              </w:rPr>
              <w:t xml:space="preserve"> </w:t>
            </w:r>
            <w:r>
              <w:rPr>
                <w:sz w:val="20"/>
              </w:rPr>
              <w:t xml:space="preserve">under </w:t>
            </w:r>
            <w:r>
              <w:rPr>
                <w:spacing w:val="-2"/>
                <w:sz w:val="20"/>
              </w:rPr>
              <w:t>competing sustainability demands</w:t>
            </w:r>
          </w:p>
        </w:tc>
      </w:tr>
      <w:tr w:rsidR="00487D64">
        <w:trPr>
          <w:trHeight w:val="1219"/>
        </w:trPr>
        <w:tc>
          <w:tcPr>
            <w:tcW w:w="1177" w:type="dxa"/>
            <w:tcBorders>
              <w:bottom w:val="single" w:sz="4" w:space="0" w:color="000000"/>
            </w:tcBorders>
          </w:tcPr>
          <w:p w:rsidR="00487D64" w:rsidRDefault="00487D64">
            <w:pPr>
              <w:pStyle w:val="TableParagraph"/>
              <w:rPr>
                <w:sz w:val="20"/>
              </w:rPr>
            </w:pPr>
          </w:p>
        </w:tc>
        <w:tc>
          <w:tcPr>
            <w:tcW w:w="1315" w:type="dxa"/>
            <w:tcBorders>
              <w:bottom w:val="single" w:sz="4" w:space="0" w:color="000000"/>
            </w:tcBorders>
          </w:tcPr>
          <w:p w:rsidR="00487D64" w:rsidRDefault="00487D64">
            <w:pPr>
              <w:pStyle w:val="TableParagraph"/>
              <w:spacing w:before="141"/>
              <w:rPr>
                <w:b/>
                <w:sz w:val="20"/>
              </w:rPr>
            </w:pPr>
          </w:p>
          <w:p w:rsidR="00487D64" w:rsidRDefault="006F0D93">
            <w:pPr>
              <w:pStyle w:val="TableParagraph"/>
              <w:ind w:left="76" w:right="154"/>
              <w:rPr>
                <w:sz w:val="20"/>
              </w:rPr>
            </w:pPr>
            <w:r>
              <w:rPr>
                <w:spacing w:val="-2"/>
                <w:sz w:val="20"/>
              </w:rPr>
              <w:t xml:space="preserve">Lopez-Torres </w:t>
            </w:r>
            <w:r>
              <w:rPr>
                <w:sz w:val="20"/>
              </w:rPr>
              <w:t>et al. (2021)</w:t>
            </w:r>
          </w:p>
        </w:tc>
        <w:tc>
          <w:tcPr>
            <w:tcW w:w="1434" w:type="dxa"/>
            <w:tcBorders>
              <w:bottom w:val="single" w:sz="4" w:space="0" w:color="000000"/>
            </w:tcBorders>
          </w:tcPr>
          <w:p w:rsidR="00487D64" w:rsidRDefault="00487D64">
            <w:pPr>
              <w:pStyle w:val="TableParagraph"/>
              <w:spacing w:before="141"/>
              <w:rPr>
                <w:b/>
                <w:sz w:val="20"/>
              </w:rPr>
            </w:pPr>
          </w:p>
          <w:p w:rsidR="00487D64" w:rsidRDefault="006F0D93">
            <w:pPr>
              <w:pStyle w:val="TableParagraph"/>
              <w:ind w:left="36" w:right="43"/>
              <w:rPr>
                <w:sz w:val="20"/>
              </w:rPr>
            </w:pPr>
            <w:r>
              <w:rPr>
                <w:sz w:val="20"/>
              </w:rPr>
              <w:t>FC</w:t>
            </w:r>
            <w:r>
              <w:rPr>
                <w:spacing w:val="-13"/>
                <w:sz w:val="20"/>
              </w:rPr>
              <w:t xml:space="preserve"> </w:t>
            </w:r>
            <w:r>
              <w:rPr>
                <w:sz w:val="20"/>
              </w:rPr>
              <w:t>under</w:t>
            </w:r>
            <w:r>
              <w:rPr>
                <w:spacing w:val="-12"/>
                <w:sz w:val="20"/>
              </w:rPr>
              <w:t xml:space="preserve"> </w:t>
            </w:r>
            <w:r>
              <w:rPr>
                <w:sz w:val="20"/>
              </w:rPr>
              <w:t xml:space="preserve">cost </w:t>
            </w:r>
            <w:r>
              <w:rPr>
                <w:spacing w:val="-2"/>
                <w:sz w:val="20"/>
              </w:rPr>
              <w:t>pressures</w:t>
            </w:r>
          </w:p>
        </w:tc>
        <w:tc>
          <w:tcPr>
            <w:tcW w:w="1533" w:type="dxa"/>
            <w:tcBorders>
              <w:bottom w:val="single" w:sz="4" w:space="0" w:color="000000"/>
            </w:tcBorders>
          </w:tcPr>
          <w:p w:rsidR="00487D64" w:rsidRDefault="00487D64">
            <w:pPr>
              <w:pStyle w:val="TableParagraph"/>
              <w:spacing w:before="25"/>
              <w:rPr>
                <w:b/>
                <w:sz w:val="20"/>
              </w:rPr>
            </w:pPr>
          </w:p>
          <w:p w:rsidR="00487D64" w:rsidRDefault="006F0D93">
            <w:pPr>
              <w:pStyle w:val="TableParagraph"/>
              <w:spacing w:before="1"/>
              <w:ind w:left="36" w:right="184"/>
              <w:rPr>
                <w:sz w:val="20"/>
              </w:rPr>
            </w:pPr>
            <w:r>
              <w:rPr>
                <w:sz w:val="20"/>
              </w:rPr>
              <w:t>European</w:t>
            </w:r>
            <w:r>
              <w:rPr>
                <w:spacing w:val="-13"/>
                <w:sz w:val="20"/>
              </w:rPr>
              <w:t xml:space="preserve"> </w:t>
            </w:r>
            <w:r>
              <w:rPr>
                <w:sz w:val="20"/>
              </w:rPr>
              <w:t>SMEs (250 + 15</w:t>
            </w:r>
          </w:p>
          <w:p w:rsidR="00487D64" w:rsidRDefault="006F0D93">
            <w:pPr>
              <w:pStyle w:val="TableParagraph"/>
              <w:spacing w:before="1"/>
              <w:ind w:left="36"/>
              <w:rPr>
                <w:sz w:val="20"/>
              </w:rPr>
            </w:pPr>
            <w:r>
              <w:rPr>
                <w:spacing w:val="-2"/>
                <w:sz w:val="20"/>
              </w:rPr>
              <w:t>managers)</w:t>
            </w:r>
          </w:p>
        </w:tc>
        <w:tc>
          <w:tcPr>
            <w:tcW w:w="1493" w:type="dxa"/>
            <w:tcBorders>
              <w:bottom w:val="single" w:sz="4" w:space="0" w:color="000000"/>
            </w:tcBorders>
          </w:tcPr>
          <w:p w:rsidR="00487D64" w:rsidRDefault="00487D64">
            <w:pPr>
              <w:pStyle w:val="TableParagraph"/>
              <w:rPr>
                <w:b/>
                <w:sz w:val="20"/>
              </w:rPr>
            </w:pPr>
          </w:p>
          <w:p w:rsidR="00487D64" w:rsidRDefault="00487D64">
            <w:pPr>
              <w:pStyle w:val="TableParagraph"/>
              <w:spacing w:before="26"/>
              <w:rPr>
                <w:b/>
                <w:sz w:val="20"/>
              </w:rPr>
            </w:pPr>
          </w:p>
          <w:p w:rsidR="00487D64" w:rsidRDefault="006F0D93">
            <w:pPr>
              <w:pStyle w:val="TableParagraph"/>
              <w:ind w:left="45"/>
              <w:rPr>
                <w:sz w:val="20"/>
              </w:rPr>
            </w:pPr>
            <w:r>
              <w:rPr>
                <w:sz w:val="20"/>
              </w:rPr>
              <w:t>Mixed</w:t>
            </w:r>
            <w:r>
              <w:rPr>
                <w:spacing w:val="-5"/>
                <w:sz w:val="20"/>
              </w:rPr>
              <w:t xml:space="preserve"> </w:t>
            </w:r>
            <w:r>
              <w:rPr>
                <w:spacing w:val="-2"/>
                <w:sz w:val="20"/>
              </w:rPr>
              <w:t>methods</w:t>
            </w:r>
          </w:p>
        </w:tc>
        <w:tc>
          <w:tcPr>
            <w:tcW w:w="1373" w:type="dxa"/>
            <w:tcBorders>
              <w:bottom w:val="single" w:sz="4" w:space="0" w:color="000000"/>
            </w:tcBorders>
          </w:tcPr>
          <w:p w:rsidR="00487D64" w:rsidRDefault="006F0D93">
            <w:pPr>
              <w:pStyle w:val="TableParagraph"/>
              <w:spacing w:before="25"/>
              <w:ind w:left="50"/>
              <w:rPr>
                <w:sz w:val="20"/>
              </w:rPr>
            </w:pPr>
            <w:r>
              <w:rPr>
                <w:sz w:val="20"/>
              </w:rPr>
              <w:t>FC supports operations,</w:t>
            </w:r>
            <w:r>
              <w:rPr>
                <w:spacing w:val="-13"/>
                <w:sz w:val="20"/>
              </w:rPr>
              <w:t xml:space="preserve"> </w:t>
            </w:r>
            <w:r>
              <w:rPr>
                <w:sz w:val="20"/>
              </w:rPr>
              <w:t xml:space="preserve">but limited for </w:t>
            </w:r>
            <w:r>
              <w:rPr>
                <w:spacing w:val="-2"/>
                <w:sz w:val="20"/>
              </w:rPr>
              <w:t>strategic sustainability</w:t>
            </w:r>
          </w:p>
        </w:tc>
      </w:tr>
    </w:tbl>
    <w:p w:rsidR="00487D64" w:rsidRDefault="00487D64">
      <w:pPr>
        <w:pStyle w:val="TableParagraph"/>
        <w:rPr>
          <w:sz w:val="20"/>
        </w:rPr>
        <w:sectPr w:rsidR="00487D64">
          <w:pgSz w:w="11910" w:h="16850"/>
          <w:pgMar w:top="980" w:right="566" w:bottom="280" w:left="850" w:header="725" w:footer="0" w:gutter="0"/>
          <w:cols w:space="720"/>
        </w:sect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spacing w:before="152" w:after="1"/>
        <w:rPr>
          <w:b/>
          <w:sz w:val="20"/>
        </w:rPr>
      </w:pPr>
    </w:p>
    <w:tbl>
      <w:tblPr>
        <w:tblW w:w="0" w:type="auto"/>
        <w:tblInd w:w="1369" w:type="dxa"/>
        <w:tblLayout w:type="fixed"/>
        <w:tblCellMar>
          <w:left w:w="0" w:type="dxa"/>
          <w:right w:w="0" w:type="dxa"/>
        </w:tblCellMar>
        <w:tblLook w:val="01E0" w:firstRow="1" w:lastRow="1" w:firstColumn="1" w:lastColumn="1" w:noHBand="0" w:noVBand="0"/>
      </w:tblPr>
      <w:tblGrid>
        <w:gridCol w:w="1216"/>
        <w:gridCol w:w="1259"/>
        <w:gridCol w:w="1438"/>
        <w:gridCol w:w="1547"/>
        <w:gridCol w:w="1494"/>
        <w:gridCol w:w="1374"/>
      </w:tblGrid>
      <w:tr w:rsidR="00487D64">
        <w:trPr>
          <w:trHeight w:val="491"/>
        </w:trPr>
        <w:tc>
          <w:tcPr>
            <w:tcW w:w="1216" w:type="dxa"/>
            <w:tcBorders>
              <w:top w:val="double" w:sz="4" w:space="0" w:color="000000"/>
              <w:bottom w:val="single" w:sz="4" w:space="0" w:color="000000"/>
            </w:tcBorders>
          </w:tcPr>
          <w:p w:rsidR="00487D64" w:rsidRDefault="006F0D93">
            <w:pPr>
              <w:pStyle w:val="TableParagraph"/>
              <w:spacing w:before="140"/>
              <w:ind w:left="151"/>
              <w:rPr>
                <w:b/>
                <w:sz w:val="20"/>
              </w:rPr>
            </w:pPr>
            <w:r>
              <w:rPr>
                <w:b/>
                <w:spacing w:val="-2"/>
                <w:sz w:val="20"/>
              </w:rPr>
              <w:t>Hypothesis</w:t>
            </w:r>
          </w:p>
        </w:tc>
        <w:tc>
          <w:tcPr>
            <w:tcW w:w="1259" w:type="dxa"/>
            <w:tcBorders>
              <w:top w:val="double" w:sz="4" w:space="0" w:color="000000"/>
              <w:bottom w:val="single" w:sz="4" w:space="0" w:color="000000"/>
            </w:tcBorders>
          </w:tcPr>
          <w:p w:rsidR="00487D64" w:rsidRDefault="006F0D93">
            <w:pPr>
              <w:pStyle w:val="TableParagraph"/>
              <w:spacing w:before="11" w:line="230" w:lineRule="atLeast"/>
              <w:ind w:left="433" w:right="87" w:hanging="318"/>
              <w:rPr>
                <w:b/>
                <w:sz w:val="20"/>
              </w:rPr>
            </w:pPr>
            <w:r>
              <w:rPr>
                <w:b/>
                <w:sz w:val="20"/>
              </w:rPr>
              <w:t>Author(s)</w:t>
            </w:r>
            <w:r>
              <w:rPr>
                <w:b/>
                <w:spacing w:val="-13"/>
                <w:sz w:val="20"/>
              </w:rPr>
              <w:t xml:space="preserve"> </w:t>
            </w:r>
            <w:r>
              <w:rPr>
                <w:b/>
                <w:sz w:val="20"/>
              </w:rPr>
              <w:t xml:space="preserve">&amp; </w:t>
            </w:r>
            <w:r>
              <w:rPr>
                <w:b/>
                <w:spacing w:val="-4"/>
                <w:sz w:val="20"/>
              </w:rPr>
              <w:t>Year</w:t>
            </w:r>
          </w:p>
        </w:tc>
        <w:tc>
          <w:tcPr>
            <w:tcW w:w="1438" w:type="dxa"/>
            <w:tcBorders>
              <w:top w:val="double" w:sz="4" w:space="0" w:color="000000"/>
              <w:bottom w:val="single" w:sz="4" w:space="0" w:color="000000"/>
            </w:tcBorders>
          </w:tcPr>
          <w:p w:rsidR="00487D64" w:rsidRDefault="006F0D93">
            <w:pPr>
              <w:pStyle w:val="TableParagraph"/>
              <w:spacing w:before="11" w:line="230" w:lineRule="atLeast"/>
              <w:ind w:left="695" w:right="29" w:hanging="606"/>
              <w:rPr>
                <w:b/>
                <w:sz w:val="20"/>
              </w:rPr>
            </w:pPr>
            <w:r>
              <w:rPr>
                <w:b/>
                <w:spacing w:val="-2"/>
                <w:sz w:val="20"/>
              </w:rPr>
              <w:t xml:space="preserve">Objective/Focu </w:t>
            </w:r>
            <w:r>
              <w:rPr>
                <w:b/>
                <w:spacing w:val="-10"/>
                <w:sz w:val="20"/>
              </w:rPr>
              <w:t>s</w:t>
            </w:r>
          </w:p>
        </w:tc>
        <w:tc>
          <w:tcPr>
            <w:tcW w:w="1547" w:type="dxa"/>
            <w:tcBorders>
              <w:top w:val="double" w:sz="4" w:space="0" w:color="000000"/>
              <w:bottom w:val="single" w:sz="4" w:space="0" w:color="000000"/>
            </w:tcBorders>
          </w:tcPr>
          <w:p w:rsidR="00487D64" w:rsidRDefault="006F0D93">
            <w:pPr>
              <w:pStyle w:val="TableParagraph"/>
              <w:spacing w:before="11" w:line="230" w:lineRule="atLeast"/>
              <w:ind w:left="755" w:right="41" w:hanging="678"/>
              <w:rPr>
                <w:b/>
                <w:sz w:val="20"/>
              </w:rPr>
            </w:pPr>
            <w:r>
              <w:rPr>
                <w:b/>
                <w:spacing w:val="-2"/>
                <w:sz w:val="20"/>
              </w:rPr>
              <w:t xml:space="preserve">Location/Contex </w:t>
            </w:r>
            <w:r>
              <w:rPr>
                <w:b/>
                <w:spacing w:val="-10"/>
                <w:sz w:val="20"/>
              </w:rPr>
              <w:t>t</w:t>
            </w:r>
          </w:p>
        </w:tc>
        <w:tc>
          <w:tcPr>
            <w:tcW w:w="1494" w:type="dxa"/>
            <w:tcBorders>
              <w:top w:val="double" w:sz="4" w:space="0" w:color="000000"/>
              <w:bottom w:val="single" w:sz="4" w:space="0" w:color="000000"/>
            </w:tcBorders>
          </w:tcPr>
          <w:p w:rsidR="00487D64" w:rsidRDefault="006F0D93">
            <w:pPr>
              <w:pStyle w:val="TableParagraph"/>
              <w:spacing w:before="11" w:line="230" w:lineRule="atLeast"/>
              <w:ind w:left="721" w:right="35" w:hanging="649"/>
              <w:rPr>
                <w:b/>
                <w:sz w:val="20"/>
              </w:rPr>
            </w:pPr>
            <w:r>
              <w:rPr>
                <w:b/>
                <w:spacing w:val="-2"/>
                <w:sz w:val="20"/>
              </w:rPr>
              <w:t xml:space="preserve">Method/Analysi </w:t>
            </w:r>
            <w:r>
              <w:rPr>
                <w:b/>
                <w:spacing w:val="-10"/>
                <w:sz w:val="20"/>
              </w:rPr>
              <w:t>s</w:t>
            </w:r>
          </w:p>
        </w:tc>
        <w:tc>
          <w:tcPr>
            <w:tcW w:w="1374" w:type="dxa"/>
            <w:tcBorders>
              <w:top w:val="double" w:sz="4" w:space="0" w:color="000000"/>
              <w:bottom w:val="single" w:sz="4" w:space="0" w:color="000000"/>
            </w:tcBorders>
          </w:tcPr>
          <w:p w:rsidR="00487D64" w:rsidRDefault="006F0D93">
            <w:pPr>
              <w:pStyle w:val="TableParagraph"/>
              <w:spacing w:before="140"/>
              <w:ind w:left="120"/>
              <w:rPr>
                <w:b/>
                <w:sz w:val="20"/>
              </w:rPr>
            </w:pPr>
            <w:r>
              <w:rPr>
                <w:b/>
                <w:sz w:val="20"/>
              </w:rPr>
              <w:t>Key</w:t>
            </w:r>
            <w:r>
              <w:rPr>
                <w:b/>
                <w:spacing w:val="-5"/>
                <w:sz w:val="20"/>
              </w:rPr>
              <w:t xml:space="preserve"> </w:t>
            </w:r>
            <w:r>
              <w:rPr>
                <w:b/>
                <w:spacing w:val="-2"/>
                <w:sz w:val="20"/>
              </w:rPr>
              <w:t>Findings</w:t>
            </w:r>
          </w:p>
        </w:tc>
      </w:tr>
      <w:tr w:rsidR="00487D64">
        <w:trPr>
          <w:trHeight w:val="1000"/>
        </w:trPr>
        <w:tc>
          <w:tcPr>
            <w:tcW w:w="1216" w:type="dxa"/>
            <w:tcBorders>
              <w:top w:val="single" w:sz="4" w:space="0" w:color="000000"/>
            </w:tcBorders>
          </w:tcPr>
          <w:p w:rsidR="00487D64" w:rsidRDefault="00487D64">
            <w:pPr>
              <w:pStyle w:val="TableParagraph"/>
              <w:rPr>
                <w:sz w:val="20"/>
              </w:rPr>
            </w:pPr>
          </w:p>
        </w:tc>
        <w:tc>
          <w:tcPr>
            <w:tcW w:w="1259" w:type="dxa"/>
            <w:tcBorders>
              <w:top w:val="single" w:sz="4" w:space="0" w:color="000000"/>
            </w:tcBorders>
          </w:tcPr>
          <w:p w:rsidR="00487D64" w:rsidRDefault="00487D64">
            <w:pPr>
              <w:pStyle w:val="TableParagraph"/>
              <w:spacing w:before="157"/>
              <w:rPr>
                <w:b/>
                <w:sz w:val="20"/>
              </w:rPr>
            </w:pPr>
          </w:p>
          <w:p w:rsidR="00487D64" w:rsidRDefault="006F0D93">
            <w:pPr>
              <w:pStyle w:val="TableParagraph"/>
              <w:spacing w:before="1"/>
              <w:ind w:left="37"/>
              <w:rPr>
                <w:sz w:val="20"/>
              </w:rPr>
            </w:pPr>
            <w:r>
              <w:rPr>
                <w:spacing w:val="-2"/>
                <w:sz w:val="20"/>
              </w:rPr>
              <w:t>Maurer (2022)</w:t>
            </w:r>
          </w:p>
        </w:tc>
        <w:tc>
          <w:tcPr>
            <w:tcW w:w="1438" w:type="dxa"/>
            <w:tcBorders>
              <w:top w:val="single" w:sz="4" w:space="0" w:color="000000"/>
            </w:tcBorders>
          </w:tcPr>
          <w:p w:rsidR="00487D64" w:rsidRDefault="006F0D93">
            <w:pPr>
              <w:pStyle w:val="TableParagraph"/>
              <w:spacing w:before="166" w:line="237" w:lineRule="auto"/>
              <w:ind w:left="53" w:right="29"/>
              <w:rPr>
                <w:sz w:val="20"/>
              </w:rPr>
            </w:pPr>
            <w:r>
              <w:rPr>
                <w:sz w:val="20"/>
              </w:rPr>
              <w:t xml:space="preserve">FC → </w:t>
            </w:r>
            <w:r>
              <w:rPr>
                <w:spacing w:val="-2"/>
                <w:sz w:val="20"/>
              </w:rPr>
              <w:t>compliance</w:t>
            </w:r>
            <w:r>
              <w:rPr>
                <w:spacing w:val="-11"/>
                <w:sz w:val="20"/>
              </w:rPr>
              <w:t xml:space="preserve"> </w:t>
            </w:r>
            <w:r>
              <w:rPr>
                <w:spacing w:val="-2"/>
                <w:sz w:val="20"/>
              </w:rPr>
              <w:t>vs innovation</w:t>
            </w:r>
          </w:p>
        </w:tc>
        <w:tc>
          <w:tcPr>
            <w:tcW w:w="1547" w:type="dxa"/>
            <w:tcBorders>
              <w:top w:val="single" w:sz="4" w:space="0" w:color="000000"/>
            </w:tcBorders>
          </w:tcPr>
          <w:p w:rsidR="00487D64" w:rsidRDefault="00487D64">
            <w:pPr>
              <w:pStyle w:val="TableParagraph"/>
              <w:spacing w:before="157"/>
              <w:rPr>
                <w:b/>
                <w:sz w:val="20"/>
              </w:rPr>
            </w:pPr>
          </w:p>
          <w:p w:rsidR="00487D64" w:rsidRDefault="006F0D93">
            <w:pPr>
              <w:pStyle w:val="TableParagraph"/>
              <w:spacing w:before="1"/>
              <w:ind w:left="49"/>
              <w:rPr>
                <w:sz w:val="20"/>
              </w:rPr>
            </w:pPr>
            <w:r>
              <w:rPr>
                <w:sz w:val="20"/>
              </w:rPr>
              <w:t>European</w:t>
            </w:r>
            <w:r>
              <w:rPr>
                <w:spacing w:val="-14"/>
                <w:sz w:val="20"/>
              </w:rPr>
              <w:t xml:space="preserve"> </w:t>
            </w:r>
            <w:r>
              <w:rPr>
                <w:spacing w:val="-4"/>
                <w:sz w:val="20"/>
              </w:rPr>
              <w:t>SMEs</w:t>
            </w:r>
          </w:p>
        </w:tc>
        <w:tc>
          <w:tcPr>
            <w:tcW w:w="1494" w:type="dxa"/>
            <w:tcBorders>
              <w:top w:val="single" w:sz="4" w:space="0" w:color="000000"/>
            </w:tcBorders>
          </w:tcPr>
          <w:p w:rsidR="00487D64" w:rsidRDefault="00487D64">
            <w:pPr>
              <w:pStyle w:val="TableParagraph"/>
              <w:spacing w:before="157"/>
              <w:rPr>
                <w:b/>
                <w:sz w:val="20"/>
              </w:rPr>
            </w:pPr>
          </w:p>
          <w:p w:rsidR="00487D64" w:rsidRDefault="006F0D93">
            <w:pPr>
              <w:pStyle w:val="TableParagraph"/>
              <w:spacing w:before="1"/>
              <w:ind w:left="44"/>
              <w:rPr>
                <w:sz w:val="20"/>
              </w:rPr>
            </w:pPr>
            <w:r>
              <w:rPr>
                <w:spacing w:val="-2"/>
                <w:sz w:val="20"/>
              </w:rPr>
              <w:t>Grounded</w:t>
            </w:r>
            <w:r>
              <w:rPr>
                <w:sz w:val="20"/>
              </w:rPr>
              <w:t xml:space="preserve"> </w:t>
            </w:r>
            <w:r>
              <w:rPr>
                <w:spacing w:val="-2"/>
                <w:sz w:val="20"/>
              </w:rPr>
              <w:t>theory</w:t>
            </w:r>
          </w:p>
        </w:tc>
        <w:tc>
          <w:tcPr>
            <w:tcW w:w="1374" w:type="dxa"/>
            <w:tcBorders>
              <w:top w:val="single" w:sz="4" w:space="0" w:color="000000"/>
            </w:tcBorders>
          </w:tcPr>
          <w:p w:rsidR="00487D64" w:rsidRDefault="006F0D93">
            <w:pPr>
              <w:pStyle w:val="TableParagraph"/>
              <w:spacing w:before="51" w:line="237" w:lineRule="auto"/>
              <w:ind w:left="48" w:right="74"/>
              <w:rPr>
                <w:sz w:val="20"/>
              </w:rPr>
            </w:pPr>
            <w:r>
              <w:rPr>
                <w:spacing w:val="-2"/>
                <w:sz w:val="20"/>
              </w:rPr>
              <w:t xml:space="preserve">Compliance- </w:t>
            </w:r>
            <w:r>
              <w:rPr>
                <w:sz w:val="20"/>
              </w:rPr>
              <w:t xml:space="preserve">driven FC </w:t>
            </w:r>
            <w:r>
              <w:rPr>
                <w:spacing w:val="-2"/>
                <w:sz w:val="20"/>
              </w:rPr>
              <w:t>yields</w:t>
            </w:r>
            <w:r>
              <w:rPr>
                <w:spacing w:val="-11"/>
                <w:sz w:val="20"/>
              </w:rPr>
              <w:t xml:space="preserve"> </w:t>
            </w:r>
            <w:r>
              <w:rPr>
                <w:spacing w:val="-2"/>
                <w:sz w:val="20"/>
              </w:rPr>
              <w:t>limited gains</w:t>
            </w:r>
          </w:p>
        </w:tc>
      </w:tr>
      <w:tr w:rsidR="00487D64">
        <w:trPr>
          <w:trHeight w:val="552"/>
        </w:trPr>
        <w:tc>
          <w:tcPr>
            <w:tcW w:w="1216" w:type="dxa"/>
            <w:tcBorders>
              <w:bottom w:val="single" w:sz="4" w:space="0" w:color="000000"/>
            </w:tcBorders>
          </w:tcPr>
          <w:p w:rsidR="00487D64" w:rsidRDefault="00487D64">
            <w:pPr>
              <w:pStyle w:val="TableParagraph"/>
              <w:rPr>
                <w:sz w:val="20"/>
              </w:rPr>
            </w:pPr>
          </w:p>
        </w:tc>
        <w:tc>
          <w:tcPr>
            <w:tcW w:w="1259" w:type="dxa"/>
            <w:tcBorders>
              <w:bottom w:val="single" w:sz="4" w:space="0" w:color="000000"/>
            </w:tcBorders>
          </w:tcPr>
          <w:p w:rsidR="00487D64" w:rsidRDefault="006F0D93">
            <w:pPr>
              <w:pStyle w:val="TableParagraph"/>
              <w:spacing w:before="29"/>
              <w:ind w:left="37" w:right="320"/>
              <w:rPr>
                <w:sz w:val="20"/>
              </w:rPr>
            </w:pPr>
            <w:r>
              <w:rPr>
                <w:spacing w:val="-2"/>
                <w:sz w:val="20"/>
              </w:rPr>
              <w:t>Mavengere (2013)</w:t>
            </w:r>
          </w:p>
        </w:tc>
        <w:tc>
          <w:tcPr>
            <w:tcW w:w="1438" w:type="dxa"/>
            <w:tcBorders>
              <w:bottom w:val="single" w:sz="4" w:space="0" w:color="000000"/>
            </w:tcBorders>
          </w:tcPr>
          <w:p w:rsidR="00487D64" w:rsidRDefault="006F0D93">
            <w:pPr>
              <w:pStyle w:val="TableParagraph"/>
              <w:spacing w:before="29"/>
              <w:ind w:left="53"/>
              <w:rPr>
                <w:sz w:val="20"/>
              </w:rPr>
            </w:pPr>
            <w:r>
              <w:rPr>
                <w:spacing w:val="-2"/>
                <w:sz w:val="20"/>
              </w:rPr>
              <w:t>IT-enabled</w:t>
            </w:r>
            <w:r>
              <w:rPr>
                <w:sz w:val="20"/>
              </w:rPr>
              <w:t xml:space="preserve"> </w:t>
            </w:r>
            <w:r>
              <w:rPr>
                <w:spacing w:val="-5"/>
                <w:sz w:val="20"/>
              </w:rPr>
              <w:t>FC</w:t>
            </w:r>
          </w:p>
          <w:p w:rsidR="00487D64" w:rsidRDefault="006F0D93">
            <w:pPr>
              <w:pStyle w:val="TableParagraph"/>
              <w:ind w:left="53"/>
              <w:rPr>
                <w:sz w:val="20"/>
              </w:rPr>
            </w:pPr>
            <w:r>
              <w:rPr>
                <w:sz w:val="20"/>
              </w:rPr>
              <w:t xml:space="preserve">→ </w:t>
            </w:r>
            <w:r>
              <w:rPr>
                <w:spacing w:val="-2"/>
                <w:sz w:val="20"/>
              </w:rPr>
              <w:t>efficiency</w:t>
            </w:r>
          </w:p>
        </w:tc>
        <w:tc>
          <w:tcPr>
            <w:tcW w:w="1547" w:type="dxa"/>
            <w:tcBorders>
              <w:bottom w:val="single" w:sz="4" w:space="0" w:color="000000"/>
            </w:tcBorders>
          </w:tcPr>
          <w:p w:rsidR="00487D64" w:rsidRDefault="006F0D93">
            <w:pPr>
              <w:pStyle w:val="TableParagraph"/>
              <w:spacing w:before="29"/>
              <w:ind w:left="49" w:right="41"/>
              <w:rPr>
                <w:sz w:val="20"/>
              </w:rPr>
            </w:pPr>
            <w:r>
              <w:rPr>
                <w:spacing w:val="-2"/>
                <w:sz w:val="20"/>
              </w:rPr>
              <w:t>Southern</w:t>
            </w:r>
            <w:r>
              <w:rPr>
                <w:spacing w:val="-11"/>
                <w:sz w:val="20"/>
              </w:rPr>
              <w:t xml:space="preserve"> </w:t>
            </w:r>
            <w:r>
              <w:rPr>
                <w:spacing w:val="-2"/>
                <w:sz w:val="20"/>
              </w:rPr>
              <w:t xml:space="preserve">African </w:t>
            </w:r>
            <w:r>
              <w:rPr>
                <w:spacing w:val="-4"/>
                <w:sz w:val="20"/>
              </w:rPr>
              <w:t>SMEs</w:t>
            </w:r>
          </w:p>
        </w:tc>
        <w:tc>
          <w:tcPr>
            <w:tcW w:w="1494" w:type="dxa"/>
            <w:tcBorders>
              <w:bottom w:val="single" w:sz="4" w:space="0" w:color="000000"/>
            </w:tcBorders>
          </w:tcPr>
          <w:p w:rsidR="00487D64" w:rsidRDefault="006F0D93">
            <w:pPr>
              <w:pStyle w:val="TableParagraph"/>
              <w:spacing w:before="144"/>
              <w:ind w:left="44"/>
              <w:rPr>
                <w:sz w:val="20"/>
              </w:rPr>
            </w:pPr>
            <w:r>
              <w:rPr>
                <w:sz w:val="20"/>
              </w:rPr>
              <w:t>Case</w:t>
            </w:r>
            <w:r>
              <w:rPr>
                <w:spacing w:val="-5"/>
                <w:sz w:val="20"/>
              </w:rPr>
              <w:t xml:space="preserve"> </w:t>
            </w:r>
            <w:r>
              <w:rPr>
                <w:spacing w:val="-2"/>
                <w:sz w:val="20"/>
              </w:rPr>
              <w:t>study</w:t>
            </w:r>
          </w:p>
        </w:tc>
        <w:tc>
          <w:tcPr>
            <w:tcW w:w="1374" w:type="dxa"/>
            <w:tcBorders>
              <w:bottom w:val="single" w:sz="4" w:space="0" w:color="000000"/>
            </w:tcBorders>
          </w:tcPr>
          <w:p w:rsidR="00487D64" w:rsidRDefault="006F0D93">
            <w:pPr>
              <w:pStyle w:val="TableParagraph"/>
              <w:spacing w:before="144"/>
              <w:ind w:left="48"/>
              <w:rPr>
                <w:sz w:val="20"/>
              </w:rPr>
            </w:pPr>
            <w:r>
              <w:rPr>
                <w:spacing w:val="-5"/>
                <w:sz w:val="20"/>
              </w:rPr>
              <w:t>IT</w:t>
            </w:r>
          </w:p>
        </w:tc>
      </w:tr>
    </w:tbl>
    <w:p w:rsidR="00487D64" w:rsidRDefault="006F0D93">
      <w:pPr>
        <w:pStyle w:val="BodyText"/>
        <w:ind w:left="1419"/>
      </w:pPr>
      <w:r>
        <w:t>Source:</w:t>
      </w:r>
      <w:r>
        <w:rPr>
          <w:spacing w:val="21"/>
        </w:rPr>
        <w:t xml:space="preserve"> </w:t>
      </w:r>
      <w:r>
        <w:t>Compiled</w:t>
      </w:r>
      <w:r>
        <w:rPr>
          <w:spacing w:val="28"/>
        </w:rPr>
        <w:t xml:space="preserve"> </w:t>
      </w:r>
      <w:r>
        <w:t>by</w:t>
      </w:r>
      <w:r>
        <w:rPr>
          <w:spacing w:val="29"/>
        </w:rPr>
        <w:t xml:space="preserve"> </w:t>
      </w:r>
      <w:r>
        <w:t>Researcher</w:t>
      </w:r>
      <w:r>
        <w:rPr>
          <w:spacing w:val="34"/>
        </w:rPr>
        <w:t xml:space="preserve"> </w:t>
      </w:r>
      <w:r>
        <w:t>from</w:t>
      </w:r>
      <w:r>
        <w:rPr>
          <w:spacing w:val="17"/>
        </w:rPr>
        <w:t xml:space="preserve"> </w:t>
      </w:r>
      <w:r>
        <w:t>Literature</w:t>
      </w:r>
      <w:r>
        <w:rPr>
          <w:spacing w:val="27"/>
        </w:rPr>
        <w:t xml:space="preserve"> </w:t>
      </w:r>
      <w:r>
        <w:rPr>
          <w:spacing w:val="-2"/>
        </w:rPr>
        <w:t>Review</w:t>
      </w:r>
    </w:p>
    <w:p w:rsidR="00487D64" w:rsidRDefault="00487D64">
      <w:pPr>
        <w:pStyle w:val="BodyText"/>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12"/>
      </w:pPr>
    </w:p>
    <w:p w:rsidR="00487D64" w:rsidRDefault="006F0D93">
      <w:pPr>
        <w:ind w:left="1419"/>
        <w:rPr>
          <w:b/>
          <w:sz w:val="23"/>
        </w:rPr>
      </w:pPr>
      <w:r>
        <w:rPr>
          <w:b/>
          <w:sz w:val="23"/>
        </w:rPr>
        <w:t>Appendix</w:t>
      </w:r>
      <w:r>
        <w:rPr>
          <w:b/>
          <w:spacing w:val="23"/>
          <w:sz w:val="23"/>
        </w:rPr>
        <w:t xml:space="preserve"> </w:t>
      </w:r>
      <w:r>
        <w:rPr>
          <w:b/>
          <w:sz w:val="23"/>
        </w:rPr>
        <w:t>3:</w:t>
      </w:r>
      <w:r>
        <w:rPr>
          <w:b/>
          <w:spacing w:val="27"/>
          <w:sz w:val="23"/>
        </w:rPr>
        <w:t xml:space="preserve"> </w:t>
      </w:r>
      <w:r>
        <w:rPr>
          <w:b/>
          <w:sz w:val="23"/>
        </w:rPr>
        <w:t>Research</w:t>
      </w:r>
      <w:r>
        <w:rPr>
          <w:b/>
          <w:spacing w:val="22"/>
          <w:sz w:val="23"/>
        </w:rPr>
        <w:t xml:space="preserve"> </w:t>
      </w:r>
      <w:r>
        <w:rPr>
          <w:b/>
          <w:spacing w:val="-2"/>
          <w:sz w:val="23"/>
        </w:rPr>
        <w:t>Clearance</w:t>
      </w:r>
    </w:p>
    <w:p w:rsidR="00487D64" w:rsidRDefault="00487D64">
      <w:pPr>
        <w:pStyle w:val="BodyText"/>
        <w:rPr>
          <w:b/>
          <w:sz w:val="20"/>
        </w:rPr>
      </w:pPr>
    </w:p>
    <w:p w:rsidR="00487D64" w:rsidRDefault="006F0D93">
      <w:pPr>
        <w:pStyle w:val="BodyText"/>
        <w:spacing w:before="22"/>
        <w:rPr>
          <w:b/>
          <w:sz w:val="20"/>
        </w:rPr>
      </w:pPr>
      <w:r>
        <w:rPr>
          <w:b/>
          <w:noProof/>
          <w:sz w:val="20"/>
        </w:rPr>
        <w:drawing>
          <wp:anchor distT="0" distB="0" distL="0" distR="0" simplePos="0" relativeHeight="487593472" behindDoc="1" locked="0" layoutInCell="1" allowOverlap="1">
            <wp:simplePos x="0" y="0"/>
            <wp:positionH relativeFrom="page">
              <wp:posOffset>1733814</wp:posOffset>
            </wp:positionH>
            <wp:positionV relativeFrom="paragraph">
              <wp:posOffset>175254</wp:posOffset>
            </wp:positionV>
            <wp:extent cx="4566394" cy="6797802"/>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9" cstate="print"/>
                    <a:stretch>
                      <a:fillRect/>
                    </a:stretch>
                  </pic:blipFill>
                  <pic:spPr>
                    <a:xfrm>
                      <a:off x="0" y="0"/>
                      <a:ext cx="4566394" cy="6797802"/>
                    </a:xfrm>
                    <a:prstGeom prst="rect">
                      <a:avLst/>
                    </a:prstGeom>
                  </pic:spPr>
                </pic:pic>
              </a:graphicData>
            </a:graphic>
          </wp:anchor>
        </w:drawing>
      </w:r>
    </w:p>
    <w:p w:rsidR="00487D64" w:rsidRDefault="00487D64">
      <w:pPr>
        <w:pStyle w:val="BodyText"/>
        <w:rPr>
          <w:b/>
          <w:sz w:val="20"/>
        </w:rPr>
        <w:sectPr w:rsidR="00487D64">
          <w:pgSz w:w="11910" w:h="16850"/>
          <w:pgMar w:top="980" w:right="566" w:bottom="280" w:left="850" w:header="725" w:footer="0" w:gutter="0"/>
          <w:cols w:space="720"/>
        </w:sect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rPr>
          <w:b/>
          <w:sz w:val="20"/>
        </w:rPr>
      </w:pPr>
    </w:p>
    <w:p w:rsidR="00487D64" w:rsidRDefault="00487D64">
      <w:pPr>
        <w:pStyle w:val="BodyText"/>
        <w:spacing w:before="187" w:after="1"/>
        <w:rPr>
          <w:b/>
          <w:sz w:val="20"/>
        </w:rPr>
      </w:pPr>
    </w:p>
    <w:p w:rsidR="00487D64" w:rsidRDefault="006F0D93">
      <w:pPr>
        <w:pStyle w:val="BodyText"/>
        <w:ind w:left="1741"/>
        <w:rPr>
          <w:sz w:val="20"/>
        </w:rPr>
      </w:pPr>
      <w:r>
        <w:rPr>
          <w:noProof/>
          <w:sz w:val="20"/>
        </w:rPr>
        <w:drawing>
          <wp:inline distT="0" distB="0" distL="0" distR="0">
            <wp:extent cx="4654782" cy="4559236"/>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0" cstate="print"/>
                    <a:stretch>
                      <a:fillRect/>
                    </a:stretch>
                  </pic:blipFill>
                  <pic:spPr>
                    <a:xfrm>
                      <a:off x="0" y="0"/>
                      <a:ext cx="4654782" cy="4559236"/>
                    </a:xfrm>
                    <a:prstGeom prst="rect">
                      <a:avLst/>
                    </a:prstGeom>
                  </pic:spPr>
                </pic:pic>
              </a:graphicData>
            </a:graphic>
          </wp:inline>
        </w:drawing>
      </w:r>
    </w:p>
    <w:p w:rsidR="00487D64" w:rsidRDefault="00487D64">
      <w:pPr>
        <w:pStyle w:val="BodyText"/>
        <w:rPr>
          <w:sz w:val="20"/>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53"/>
        <w:rPr>
          <w:b/>
        </w:rPr>
      </w:pPr>
    </w:p>
    <w:p w:rsidR="00487D64" w:rsidRDefault="006F0D93">
      <w:pPr>
        <w:ind w:left="1419"/>
        <w:rPr>
          <w:b/>
          <w:sz w:val="23"/>
        </w:rPr>
      </w:pPr>
      <w:r>
        <w:rPr>
          <w:b/>
          <w:w w:val="105"/>
          <w:sz w:val="23"/>
        </w:rPr>
        <w:t>Appendix</w:t>
      </w:r>
      <w:r>
        <w:rPr>
          <w:b/>
          <w:spacing w:val="-15"/>
          <w:w w:val="105"/>
          <w:sz w:val="23"/>
        </w:rPr>
        <w:t xml:space="preserve"> </w:t>
      </w:r>
      <w:r>
        <w:rPr>
          <w:b/>
          <w:w w:val="105"/>
          <w:sz w:val="23"/>
        </w:rPr>
        <w:t>4:</w:t>
      </w:r>
      <w:r>
        <w:rPr>
          <w:b/>
          <w:spacing w:val="47"/>
          <w:w w:val="105"/>
          <w:sz w:val="23"/>
        </w:rPr>
        <w:t xml:space="preserve"> </w:t>
      </w:r>
      <w:r>
        <w:rPr>
          <w:b/>
          <w:w w:val="105"/>
          <w:sz w:val="23"/>
        </w:rPr>
        <w:t>Acceptance</w:t>
      </w:r>
      <w:r>
        <w:rPr>
          <w:b/>
          <w:spacing w:val="-11"/>
          <w:w w:val="105"/>
          <w:sz w:val="23"/>
        </w:rPr>
        <w:t xml:space="preserve"> </w:t>
      </w:r>
      <w:r>
        <w:rPr>
          <w:b/>
          <w:spacing w:val="-2"/>
          <w:w w:val="105"/>
          <w:sz w:val="23"/>
        </w:rPr>
        <w:t>Letter</w:t>
      </w:r>
    </w:p>
    <w:p w:rsidR="00487D64" w:rsidRDefault="006F0D93">
      <w:pPr>
        <w:pStyle w:val="BodyText"/>
        <w:spacing w:before="9"/>
        <w:rPr>
          <w:b/>
          <w:sz w:val="9"/>
        </w:rPr>
      </w:pPr>
      <w:r>
        <w:rPr>
          <w:b/>
          <w:noProof/>
          <w:sz w:val="9"/>
        </w:rPr>
        <w:drawing>
          <wp:anchor distT="0" distB="0" distL="0" distR="0" simplePos="0" relativeHeight="487593984" behindDoc="1" locked="0" layoutInCell="1" allowOverlap="1">
            <wp:simplePos x="0" y="0"/>
            <wp:positionH relativeFrom="page">
              <wp:posOffset>1440180</wp:posOffset>
            </wp:positionH>
            <wp:positionV relativeFrom="paragraph">
              <wp:posOffset>87210</wp:posOffset>
            </wp:positionV>
            <wp:extent cx="5033314" cy="673227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1" cstate="print"/>
                    <a:stretch>
                      <a:fillRect/>
                    </a:stretch>
                  </pic:blipFill>
                  <pic:spPr>
                    <a:xfrm>
                      <a:off x="0" y="0"/>
                      <a:ext cx="5033314" cy="6732270"/>
                    </a:xfrm>
                    <a:prstGeom prst="rect">
                      <a:avLst/>
                    </a:prstGeom>
                  </pic:spPr>
                </pic:pic>
              </a:graphicData>
            </a:graphic>
          </wp:anchor>
        </w:drawing>
      </w:r>
    </w:p>
    <w:p w:rsidR="00487D64" w:rsidRDefault="00487D64">
      <w:pPr>
        <w:pStyle w:val="BodyText"/>
        <w:rPr>
          <w:b/>
          <w:sz w:val="9"/>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12"/>
        <w:rPr>
          <w:b/>
        </w:rPr>
      </w:pPr>
    </w:p>
    <w:p w:rsidR="00487D64" w:rsidRDefault="006F0D93">
      <w:pPr>
        <w:ind w:left="1419"/>
        <w:rPr>
          <w:b/>
          <w:sz w:val="23"/>
        </w:rPr>
      </w:pPr>
      <w:r>
        <w:rPr>
          <w:b/>
          <w:w w:val="105"/>
          <w:sz w:val="23"/>
        </w:rPr>
        <w:t>Appendix</w:t>
      </w:r>
      <w:r>
        <w:rPr>
          <w:b/>
          <w:spacing w:val="-12"/>
          <w:w w:val="105"/>
          <w:sz w:val="23"/>
        </w:rPr>
        <w:t xml:space="preserve"> </w:t>
      </w:r>
      <w:r>
        <w:rPr>
          <w:b/>
          <w:w w:val="105"/>
          <w:sz w:val="23"/>
        </w:rPr>
        <w:t>5:</w:t>
      </w:r>
      <w:r>
        <w:rPr>
          <w:b/>
          <w:spacing w:val="47"/>
          <w:w w:val="105"/>
          <w:sz w:val="23"/>
        </w:rPr>
        <w:t xml:space="preserve"> </w:t>
      </w:r>
      <w:r>
        <w:rPr>
          <w:b/>
          <w:w w:val="105"/>
          <w:sz w:val="23"/>
        </w:rPr>
        <w:t>Schedule</w:t>
      </w:r>
      <w:r>
        <w:rPr>
          <w:b/>
          <w:spacing w:val="-8"/>
          <w:w w:val="105"/>
          <w:sz w:val="23"/>
        </w:rPr>
        <w:t xml:space="preserve"> </w:t>
      </w:r>
      <w:r>
        <w:rPr>
          <w:b/>
          <w:w w:val="105"/>
          <w:sz w:val="23"/>
        </w:rPr>
        <w:t>for</w:t>
      </w:r>
      <w:r>
        <w:rPr>
          <w:b/>
          <w:spacing w:val="-7"/>
          <w:w w:val="105"/>
          <w:sz w:val="23"/>
        </w:rPr>
        <w:t xml:space="preserve"> </w:t>
      </w:r>
      <w:r>
        <w:rPr>
          <w:b/>
          <w:w w:val="105"/>
          <w:sz w:val="23"/>
        </w:rPr>
        <w:t>PhD</w:t>
      </w:r>
      <w:r>
        <w:rPr>
          <w:b/>
          <w:spacing w:val="-10"/>
          <w:w w:val="105"/>
          <w:sz w:val="23"/>
        </w:rPr>
        <w:t xml:space="preserve"> </w:t>
      </w:r>
      <w:r>
        <w:rPr>
          <w:b/>
          <w:spacing w:val="-2"/>
          <w:w w:val="105"/>
          <w:sz w:val="23"/>
        </w:rPr>
        <w:t>Program</w:t>
      </w:r>
    </w:p>
    <w:p w:rsidR="00487D64" w:rsidRDefault="006F0D93">
      <w:pPr>
        <w:pStyle w:val="BodyText"/>
        <w:spacing w:before="139"/>
        <w:ind w:left="1419"/>
      </w:pPr>
      <w:r>
        <w:rPr>
          <w:w w:val="105"/>
        </w:rPr>
        <w:t>Table</w:t>
      </w:r>
      <w:r>
        <w:rPr>
          <w:spacing w:val="-8"/>
          <w:w w:val="105"/>
        </w:rPr>
        <w:t xml:space="preserve"> </w:t>
      </w:r>
      <w:r>
        <w:rPr>
          <w:w w:val="105"/>
        </w:rPr>
        <w:t>for</w:t>
      </w:r>
      <w:r>
        <w:rPr>
          <w:spacing w:val="-3"/>
          <w:w w:val="105"/>
        </w:rPr>
        <w:t xml:space="preserve"> </w:t>
      </w:r>
      <w:r>
        <w:rPr>
          <w:w w:val="105"/>
        </w:rPr>
        <w:t>Plan</w:t>
      </w:r>
      <w:r>
        <w:rPr>
          <w:spacing w:val="-6"/>
          <w:w w:val="105"/>
        </w:rPr>
        <w:t xml:space="preserve"> </w:t>
      </w:r>
      <w:r>
        <w:rPr>
          <w:w w:val="105"/>
        </w:rPr>
        <w:t>of</w:t>
      </w:r>
      <w:r>
        <w:rPr>
          <w:spacing w:val="-9"/>
          <w:w w:val="105"/>
        </w:rPr>
        <w:t xml:space="preserve"> </w:t>
      </w:r>
      <w:r>
        <w:rPr>
          <w:w w:val="105"/>
        </w:rPr>
        <w:t>Activities</w:t>
      </w:r>
      <w:r>
        <w:rPr>
          <w:spacing w:val="-15"/>
          <w:w w:val="105"/>
        </w:rPr>
        <w:t xml:space="preserve"> </w:t>
      </w:r>
      <w:r>
        <w:rPr>
          <w:w w:val="105"/>
        </w:rPr>
        <w:t>in</w:t>
      </w:r>
      <w:r>
        <w:rPr>
          <w:spacing w:val="-6"/>
          <w:w w:val="105"/>
        </w:rPr>
        <w:t xml:space="preserve"> </w:t>
      </w:r>
      <w:r>
        <w:rPr>
          <w:w w:val="105"/>
        </w:rPr>
        <w:t>PhD</w:t>
      </w:r>
      <w:r>
        <w:rPr>
          <w:spacing w:val="-9"/>
          <w:w w:val="105"/>
        </w:rPr>
        <w:t xml:space="preserve"> </w:t>
      </w:r>
      <w:r>
        <w:rPr>
          <w:spacing w:val="-2"/>
          <w:w w:val="105"/>
        </w:rPr>
        <w:t>Program</w:t>
      </w:r>
    </w:p>
    <w:p w:rsidR="00487D64" w:rsidRDefault="00487D64">
      <w:pPr>
        <w:pStyle w:val="BodyText"/>
        <w:spacing w:before="3"/>
        <w:rPr>
          <w:sz w:val="12"/>
        </w:rPr>
      </w:pPr>
    </w:p>
    <w:tbl>
      <w:tblPr>
        <w:tblW w:w="0" w:type="auto"/>
        <w:tblInd w:w="14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8"/>
        <w:gridCol w:w="1934"/>
        <w:gridCol w:w="153"/>
        <w:gridCol w:w="176"/>
        <w:gridCol w:w="235"/>
        <w:gridCol w:w="211"/>
        <w:gridCol w:w="234"/>
        <w:gridCol w:w="152"/>
        <w:gridCol w:w="152"/>
        <w:gridCol w:w="210"/>
        <w:gridCol w:w="175"/>
        <w:gridCol w:w="210"/>
        <w:gridCol w:w="211"/>
        <w:gridCol w:w="211"/>
        <w:gridCol w:w="152"/>
        <w:gridCol w:w="175"/>
        <w:gridCol w:w="234"/>
        <w:gridCol w:w="210"/>
        <w:gridCol w:w="233"/>
        <w:gridCol w:w="152"/>
        <w:gridCol w:w="151"/>
        <w:gridCol w:w="210"/>
        <w:gridCol w:w="175"/>
        <w:gridCol w:w="210"/>
        <w:gridCol w:w="210"/>
        <w:gridCol w:w="210"/>
        <w:gridCol w:w="151"/>
        <w:gridCol w:w="174"/>
        <w:gridCol w:w="233"/>
        <w:gridCol w:w="209"/>
        <w:gridCol w:w="209"/>
        <w:gridCol w:w="210"/>
        <w:gridCol w:w="209"/>
        <w:gridCol w:w="209"/>
        <w:gridCol w:w="209"/>
        <w:gridCol w:w="210"/>
        <w:gridCol w:w="209"/>
      </w:tblGrid>
      <w:tr w:rsidR="00487D64">
        <w:trPr>
          <w:trHeight w:val="264"/>
        </w:trPr>
        <w:tc>
          <w:tcPr>
            <w:tcW w:w="2092" w:type="dxa"/>
            <w:gridSpan w:val="2"/>
            <w:vMerge w:val="restart"/>
            <w:tcBorders>
              <w:bottom w:val="single" w:sz="12" w:space="0" w:color="000000"/>
              <w:right w:val="single" w:sz="12" w:space="0" w:color="000000"/>
            </w:tcBorders>
            <w:shd w:val="clear" w:color="auto" w:fill="44536A"/>
          </w:tcPr>
          <w:p w:rsidR="00487D64" w:rsidRDefault="00487D64">
            <w:pPr>
              <w:pStyle w:val="TableParagraph"/>
              <w:spacing w:before="137"/>
              <w:rPr>
                <w:sz w:val="17"/>
              </w:rPr>
            </w:pPr>
          </w:p>
          <w:p w:rsidR="00487D64" w:rsidRDefault="006F0D93">
            <w:pPr>
              <w:pStyle w:val="TableParagraph"/>
              <w:ind w:left="678"/>
              <w:rPr>
                <w:b/>
                <w:sz w:val="17"/>
              </w:rPr>
            </w:pPr>
            <w:r>
              <w:rPr>
                <w:b/>
                <w:spacing w:val="-2"/>
                <w:w w:val="105"/>
                <w:sz w:val="17"/>
              </w:rPr>
              <w:t>Activities</w:t>
            </w:r>
          </w:p>
        </w:tc>
        <w:tc>
          <w:tcPr>
            <w:tcW w:w="6884" w:type="dxa"/>
            <w:gridSpan w:val="35"/>
            <w:tcBorders>
              <w:left w:val="single" w:sz="12" w:space="0" w:color="000000"/>
              <w:bottom w:val="single" w:sz="12" w:space="0" w:color="000000"/>
              <w:right w:val="single" w:sz="12" w:space="0" w:color="000000"/>
            </w:tcBorders>
            <w:shd w:val="clear" w:color="auto" w:fill="44536A"/>
          </w:tcPr>
          <w:p w:rsidR="00487D64" w:rsidRDefault="006F0D93">
            <w:pPr>
              <w:pStyle w:val="TableParagraph"/>
              <w:spacing w:before="39"/>
              <w:ind w:left="36"/>
              <w:jc w:val="center"/>
              <w:rPr>
                <w:b/>
                <w:sz w:val="17"/>
              </w:rPr>
            </w:pPr>
            <w:r>
              <w:rPr>
                <w:b/>
                <w:spacing w:val="-4"/>
                <w:w w:val="105"/>
                <w:sz w:val="17"/>
              </w:rPr>
              <w:t>Years</w:t>
            </w:r>
          </w:p>
        </w:tc>
      </w:tr>
      <w:tr w:rsidR="00487D64">
        <w:trPr>
          <w:trHeight w:val="263"/>
        </w:trPr>
        <w:tc>
          <w:tcPr>
            <w:tcW w:w="2092" w:type="dxa"/>
            <w:gridSpan w:val="2"/>
            <w:vMerge/>
            <w:tcBorders>
              <w:top w:val="nil"/>
              <w:bottom w:val="single" w:sz="12" w:space="0" w:color="000000"/>
              <w:right w:val="single" w:sz="12" w:space="0" w:color="000000"/>
            </w:tcBorders>
            <w:shd w:val="clear" w:color="auto" w:fill="44536A"/>
          </w:tcPr>
          <w:p w:rsidR="00487D64" w:rsidRDefault="00487D64">
            <w:pPr>
              <w:rPr>
                <w:sz w:val="2"/>
                <w:szCs w:val="2"/>
              </w:rPr>
            </w:pPr>
          </w:p>
        </w:tc>
        <w:tc>
          <w:tcPr>
            <w:tcW w:w="2330" w:type="dxa"/>
            <w:gridSpan w:val="12"/>
            <w:tcBorders>
              <w:top w:val="single" w:sz="12" w:space="0" w:color="000000"/>
              <w:left w:val="single" w:sz="12" w:space="0" w:color="000000"/>
              <w:bottom w:val="single" w:sz="12" w:space="0" w:color="000000"/>
              <w:right w:val="single" w:sz="12" w:space="0" w:color="000000"/>
            </w:tcBorders>
            <w:shd w:val="clear" w:color="auto" w:fill="44536A"/>
          </w:tcPr>
          <w:p w:rsidR="00487D64" w:rsidRDefault="006F0D93">
            <w:pPr>
              <w:pStyle w:val="TableParagraph"/>
              <w:spacing w:before="37"/>
              <w:ind w:left="757"/>
              <w:rPr>
                <w:b/>
                <w:sz w:val="17"/>
              </w:rPr>
            </w:pPr>
            <w:r>
              <w:rPr>
                <w:b/>
                <w:sz w:val="17"/>
              </w:rPr>
              <w:t>2021-</w:t>
            </w:r>
            <w:r>
              <w:rPr>
                <w:b/>
                <w:spacing w:val="-4"/>
                <w:sz w:val="17"/>
              </w:rPr>
              <w:t>2022</w:t>
            </w:r>
          </w:p>
        </w:tc>
        <w:tc>
          <w:tcPr>
            <w:tcW w:w="2322" w:type="dxa"/>
            <w:gridSpan w:val="12"/>
            <w:tcBorders>
              <w:top w:val="single" w:sz="12" w:space="0" w:color="000000"/>
              <w:left w:val="single" w:sz="12" w:space="0" w:color="000000"/>
              <w:bottom w:val="single" w:sz="12" w:space="0" w:color="000000"/>
              <w:right w:val="single" w:sz="12" w:space="0" w:color="000000"/>
            </w:tcBorders>
            <w:shd w:val="clear" w:color="auto" w:fill="44536A"/>
          </w:tcPr>
          <w:p w:rsidR="00487D64" w:rsidRDefault="006F0D93">
            <w:pPr>
              <w:pStyle w:val="TableParagraph"/>
              <w:spacing w:before="37"/>
              <w:ind w:left="759"/>
              <w:rPr>
                <w:b/>
                <w:sz w:val="17"/>
              </w:rPr>
            </w:pPr>
            <w:r>
              <w:rPr>
                <w:b/>
                <w:sz w:val="17"/>
              </w:rPr>
              <w:t>2023-</w:t>
            </w:r>
            <w:r>
              <w:rPr>
                <w:b/>
                <w:spacing w:val="-4"/>
                <w:sz w:val="17"/>
              </w:rPr>
              <w:t>2024</w:t>
            </w:r>
          </w:p>
        </w:tc>
        <w:tc>
          <w:tcPr>
            <w:tcW w:w="2232" w:type="dxa"/>
            <w:gridSpan w:val="11"/>
            <w:tcBorders>
              <w:top w:val="single" w:sz="12" w:space="0" w:color="000000"/>
              <w:left w:val="single" w:sz="12" w:space="0" w:color="000000"/>
              <w:bottom w:val="single" w:sz="12" w:space="0" w:color="000000"/>
              <w:right w:val="single" w:sz="12" w:space="0" w:color="000000"/>
            </w:tcBorders>
            <w:shd w:val="clear" w:color="auto" w:fill="44536A"/>
          </w:tcPr>
          <w:p w:rsidR="00487D64" w:rsidRDefault="006F0D93">
            <w:pPr>
              <w:pStyle w:val="TableParagraph"/>
              <w:spacing w:before="37"/>
              <w:ind w:left="61"/>
              <w:jc w:val="center"/>
              <w:rPr>
                <w:b/>
                <w:sz w:val="17"/>
              </w:rPr>
            </w:pPr>
            <w:r>
              <w:rPr>
                <w:b/>
                <w:spacing w:val="-4"/>
                <w:w w:val="105"/>
                <w:sz w:val="17"/>
              </w:rPr>
              <w:t>2025</w:t>
            </w:r>
          </w:p>
        </w:tc>
      </w:tr>
      <w:tr w:rsidR="00487D64">
        <w:trPr>
          <w:trHeight w:val="263"/>
        </w:trPr>
        <w:tc>
          <w:tcPr>
            <w:tcW w:w="158" w:type="dxa"/>
            <w:tcBorders>
              <w:top w:val="single" w:sz="12" w:space="0" w:color="000000"/>
              <w:bottom w:val="single" w:sz="12" w:space="0" w:color="000000"/>
              <w:right w:val="single" w:sz="12" w:space="0" w:color="000000"/>
            </w:tcBorders>
          </w:tcPr>
          <w:p w:rsidR="00487D64" w:rsidRDefault="00487D64">
            <w:pPr>
              <w:pStyle w:val="TableParagraph"/>
              <w:rPr>
                <w:sz w:val="18"/>
              </w:rPr>
            </w:pPr>
          </w:p>
        </w:tc>
        <w:tc>
          <w:tcPr>
            <w:tcW w:w="193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3"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1"/>
              <w:rPr>
                <w:b/>
                <w:sz w:val="17"/>
              </w:rPr>
            </w:pPr>
            <w:r>
              <w:rPr>
                <w:b/>
                <w:spacing w:val="-10"/>
                <w:w w:val="105"/>
                <w:sz w:val="17"/>
              </w:rPr>
              <w:t>J</w:t>
            </w:r>
          </w:p>
        </w:tc>
        <w:tc>
          <w:tcPr>
            <w:tcW w:w="176"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0"/>
              <w:rPr>
                <w:b/>
                <w:sz w:val="17"/>
              </w:rPr>
            </w:pPr>
            <w:r>
              <w:rPr>
                <w:b/>
                <w:spacing w:val="-10"/>
                <w:w w:val="105"/>
                <w:sz w:val="17"/>
              </w:rPr>
              <w:t>F</w:t>
            </w:r>
          </w:p>
        </w:tc>
        <w:tc>
          <w:tcPr>
            <w:tcW w:w="235"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0"/>
              <w:rPr>
                <w:b/>
                <w:sz w:val="17"/>
              </w:rPr>
            </w:pPr>
            <w:r>
              <w:rPr>
                <w:b/>
                <w:spacing w:val="-10"/>
                <w:w w:val="105"/>
                <w:sz w:val="17"/>
              </w:rPr>
              <w:t>M</w:t>
            </w:r>
          </w:p>
        </w:tc>
        <w:tc>
          <w:tcPr>
            <w:tcW w:w="211"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29"/>
              <w:rPr>
                <w:b/>
                <w:sz w:val="17"/>
              </w:rPr>
            </w:pPr>
            <w:r>
              <w:rPr>
                <w:b/>
                <w:spacing w:val="-10"/>
                <w:w w:val="105"/>
                <w:sz w:val="17"/>
              </w:rPr>
              <w:t>A</w:t>
            </w:r>
          </w:p>
        </w:tc>
        <w:tc>
          <w:tcPr>
            <w:tcW w:w="234"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29"/>
              <w:rPr>
                <w:b/>
                <w:sz w:val="17"/>
              </w:rPr>
            </w:pPr>
            <w:r>
              <w:rPr>
                <w:b/>
                <w:spacing w:val="-10"/>
                <w:w w:val="105"/>
                <w:sz w:val="17"/>
              </w:rPr>
              <w:t>M</w:t>
            </w:r>
          </w:p>
        </w:tc>
        <w:tc>
          <w:tcPr>
            <w:tcW w:w="152"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29"/>
              <w:rPr>
                <w:b/>
                <w:sz w:val="17"/>
              </w:rPr>
            </w:pPr>
            <w:r>
              <w:rPr>
                <w:b/>
                <w:spacing w:val="-10"/>
                <w:w w:val="105"/>
                <w:sz w:val="17"/>
              </w:rPr>
              <w:t>J</w:t>
            </w:r>
          </w:p>
        </w:tc>
        <w:tc>
          <w:tcPr>
            <w:tcW w:w="152"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0"/>
              <w:rPr>
                <w:b/>
                <w:sz w:val="17"/>
              </w:rPr>
            </w:pPr>
            <w:r>
              <w:rPr>
                <w:b/>
                <w:spacing w:val="-10"/>
                <w:w w:val="105"/>
                <w:sz w:val="17"/>
              </w:rPr>
              <w:t>J</w:t>
            </w:r>
          </w:p>
        </w:tc>
        <w:tc>
          <w:tcPr>
            <w:tcW w:w="210"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0"/>
              <w:rPr>
                <w:b/>
                <w:sz w:val="17"/>
              </w:rPr>
            </w:pPr>
            <w:r>
              <w:rPr>
                <w:b/>
                <w:spacing w:val="-10"/>
                <w:w w:val="105"/>
                <w:sz w:val="17"/>
              </w:rPr>
              <w:t>A</w:t>
            </w:r>
          </w:p>
        </w:tc>
        <w:tc>
          <w:tcPr>
            <w:tcW w:w="175"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1"/>
              <w:rPr>
                <w:b/>
                <w:sz w:val="17"/>
              </w:rPr>
            </w:pPr>
            <w:r>
              <w:rPr>
                <w:b/>
                <w:spacing w:val="-10"/>
                <w:w w:val="105"/>
                <w:sz w:val="17"/>
              </w:rPr>
              <w:t>S</w:t>
            </w:r>
          </w:p>
        </w:tc>
        <w:tc>
          <w:tcPr>
            <w:tcW w:w="210"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2"/>
              <w:rPr>
                <w:b/>
                <w:sz w:val="17"/>
              </w:rPr>
            </w:pPr>
            <w:r>
              <w:rPr>
                <w:b/>
                <w:spacing w:val="-10"/>
                <w:w w:val="105"/>
                <w:sz w:val="17"/>
              </w:rPr>
              <w:t>O</w:t>
            </w:r>
          </w:p>
        </w:tc>
        <w:tc>
          <w:tcPr>
            <w:tcW w:w="211"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3"/>
              <w:rPr>
                <w:b/>
                <w:sz w:val="17"/>
              </w:rPr>
            </w:pPr>
            <w:r>
              <w:rPr>
                <w:b/>
                <w:spacing w:val="-10"/>
                <w:w w:val="105"/>
                <w:sz w:val="17"/>
              </w:rPr>
              <w:t>N</w:t>
            </w:r>
          </w:p>
        </w:tc>
        <w:tc>
          <w:tcPr>
            <w:tcW w:w="211"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2"/>
              <w:rPr>
                <w:b/>
                <w:sz w:val="17"/>
              </w:rPr>
            </w:pPr>
            <w:r>
              <w:rPr>
                <w:b/>
                <w:spacing w:val="-10"/>
                <w:w w:val="105"/>
                <w:sz w:val="17"/>
              </w:rPr>
              <w:t>D</w:t>
            </w:r>
          </w:p>
        </w:tc>
        <w:tc>
          <w:tcPr>
            <w:tcW w:w="152"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3"/>
              <w:rPr>
                <w:b/>
                <w:sz w:val="17"/>
              </w:rPr>
            </w:pPr>
            <w:r>
              <w:rPr>
                <w:b/>
                <w:spacing w:val="-10"/>
                <w:sz w:val="17"/>
              </w:rPr>
              <w:t>J</w:t>
            </w:r>
          </w:p>
        </w:tc>
        <w:tc>
          <w:tcPr>
            <w:tcW w:w="175"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3"/>
              <w:rPr>
                <w:b/>
                <w:sz w:val="17"/>
              </w:rPr>
            </w:pPr>
            <w:r>
              <w:rPr>
                <w:b/>
                <w:spacing w:val="-10"/>
                <w:w w:val="105"/>
                <w:sz w:val="17"/>
              </w:rPr>
              <w:t>F</w:t>
            </w:r>
          </w:p>
        </w:tc>
        <w:tc>
          <w:tcPr>
            <w:tcW w:w="234"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3"/>
              <w:rPr>
                <w:b/>
                <w:sz w:val="17"/>
              </w:rPr>
            </w:pPr>
            <w:r>
              <w:rPr>
                <w:b/>
                <w:spacing w:val="-10"/>
                <w:w w:val="105"/>
                <w:sz w:val="17"/>
              </w:rPr>
              <w:t>M</w:t>
            </w:r>
          </w:p>
        </w:tc>
        <w:tc>
          <w:tcPr>
            <w:tcW w:w="210"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4"/>
              <w:rPr>
                <w:b/>
                <w:sz w:val="17"/>
              </w:rPr>
            </w:pPr>
            <w:r>
              <w:rPr>
                <w:b/>
                <w:spacing w:val="-10"/>
                <w:w w:val="105"/>
                <w:sz w:val="17"/>
              </w:rPr>
              <w:t>A</w:t>
            </w:r>
          </w:p>
        </w:tc>
        <w:tc>
          <w:tcPr>
            <w:tcW w:w="233"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5"/>
              <w:rPr>
                <w:b/>
                <w:sz w:val="17"/>
              </w:rPr>
            </w:pPr>
            <w:r>
              <w:rPr>
                <w:b/>
                <w:spacing w:val="-10"/>
                <w:sz w:val="17"/>
              </w:rPr>
              <w:t>M</w:t>
            </w:r>
          </w:p>
        </w:tc>
        <w:tc>
          <w:tcPr>
            <w:tcW w:w="152"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6" w:right="-15"/>
              <w:rPr>
                <w:b/>
                <w:sz w:val="17"/>
              </w:rPr>
            </w:pPr>
            <w:r>
              <w:rPr>
                <w:b/>
                <w:spacing w:val="-10"/>
                <w:w w:val="105"/>
                <w:sz w:val="17"/>
              </w:rPr>
              <w:t>J</w:t>
            </w:r>
          </w:p>
        </w:tc>
        <w:tc>
          <w:tcPr>
            <w:tcW w:w="151"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7" w:right="-15"/>
              <w:rPr>
                <w:b/>
                <w:sz w:val="17"/>
              </w:rPr>
            </w:pPr>
            <w:r>
              <w:rPr>
                <w:b/>
                <w:spacing w:val="-10"/>
                <w:w w:val="105"/>
                <w:sz w:val="17"/>
              </w:rPr>
              <w:t>J</w:t>
            </w:r>
          </w:p>
        </w:tc>
        <w:tc>
          <w:tcPr>
            <w:tcW w:w="210"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7"/>
              <w:rPr>
                <w:b/>
                <w:sz w:val="17"/>
              </w:rPr>
            </w:pPr>
            <w:r>
              <w:rPr>
                <w:b/>
                <w:spacing w:val="-10"/>
                <w:w w:val="105"/>
                <w:sz w:val="17"/>
              </w:rPr>
              <w:t>A</w:t>
            </w:r>
          </w:p>
        </w:tc>
        <w:tc>
          <w:tcPr>
            <w:tcW w:w="175"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9"/>
              <w:rPr>
                <w:b/>
                <w:sz w:val="17"/>
              </w:rPr>
            </w:pPr>
            <w:r>
              <w:rPr>
                <w:b/>
                <w:spacing w:val="-10"/>
                <w:w w:val="105"/>
                <w:sz w:val="17"/>
              </w:rPr>
              <w:t>S</w:t>
            </w:r>
          </w:p>
        </w:tc>
        <w:tc>
          <w:tcPr>
            <w:tcW w:w="210"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39"/>
              <w:rPr>
                <w:b/>
                <w:sz w:val="17"/>
              </w:rPr>
            </w:pPr>
            <w:r>
              <w:rPr>
                <w:b/>
                <w:spacing w:val="-10"/>
                <w:w w:val="105"/>
                <w:sz w:val="17"/>
              </w:rPr>
              <w:t>O</w:t>
            </w:r>
          </w:p>
        </w:tc>
        <w:tc>
          <w:tcPr>
            <w:tcW w:w="210"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40"/>
              <w:rPr>
                <w:b/>
                <w:sz w:val="17"/>
              </w:rPr>
            </w:pPr>
            <w:r>
              <w:rPr>
                <w:b/>
                <w:spacing w:val="-10"/>
                <w:w w:val="105"/>
                <w:sz w:val="17"/>
              </w:rPr>
              <w:t>N</w:t>
            </w:r>
          </w:p>
        </w:tc>
        <w:tc>
          <w:tcPr>
            <w:tcW w:w="210"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41"/>
              <w:rPr>
                <w:b/>
                <w:sz w:val="17"/>
              </w:rPr>
            </w:pPr>
            <w:r>
              <w:rPr>
                <w:b/>
                <w:spacing w:val="-10"/>
                <w:w w:val="105"/>
                <w:sz w:val="17"/>
              </w:rPr>
              <w:t>D</w:t>
            </w:r>
          </w:p>
        </w:tc>
        <w:tc>
          <w:tcPr>
            <w:tcW w:w="151"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42" w:right="-15"/>
              <w:rPr>
                <w:b/>
                <w:sz w:val="17"/>
              </w:rPr>
            </w:pPr>
            <w:r>
              <w:rPr>
                <w:b/>
                <w:spacing w:val="-10"/>
                <w:w w:val="105"/>
                <w:sz w:val="17"/>
              </w:rPr>
              <w:t>J</w:t>
            </w:r>
          </w:p>
        </w:tc>
        <w:tc>
          <w:tcPr>
            <w:tcW w:w="174"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43" w:right="-15"/>
              <w:rPr>
                <w:b/>
                <w:sz w:val="17"/>
              </w:rPr>
            </w:pPr>
            <w:r>
              <w:rPr>
                <w:b/>
                <w:spacing w:val="-10"/>
                <w:w w:val="105"/>
                <w:sz w:val="17"/>
              </w:rPr>
              <w:t>F</w:t>
            </w:r>
          </w:p>
        </w:tc>
        <w:tc>
          <w:tcPr>
            <w:tcW w:w="233"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45" w:right="-15"/>
              <w:rPr>
                <w:b/>
                <w:sz w:val="17"/>
              </w:rPr>
            </w:pPr>
            <w:r>
              <w:rPr>
                <w:b/>
                <w:spacing w:val="-10"/>
                <w:w w:val="105"/>
                <w:sz w:val="17"/>
              </w:rPr>
              <w:t>M</w:t>
            </w:r>
          </w:p>
        </w:tc>
        <w:tc>
          <w:tcPr>
            <w:tcW w:w="209"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46"/>
              <w:rPr>
                <w:b/>
                <w:sz w:val="17"/>
              </w:rPr>
            </w:pPr>
            <w:r>
              <w:rPr>
                <w:b/>
                <w:spacing w:val="-10"/>
                <w:w w:val="105"/>
                <w:sz w:val="17"/>
              </w:rPr>
              <w:t>A</w:t>
            </w:r>
          </w:p>
        </w:tc>
        <w:tc>
          <w:tcPr>
            <w:tcW w:w="209"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48" w:right="-44"/>
              <w:rPr>
                <w:b/>
                <w:sz w:val="17"/>
              </w:rPr>
            </w:pPr>
            <w:r>
              <w:rPr>
                <w:b/>
                <w:spacing w:val="-10"/>
                <w:w w:val="105"/>
                <w:sz w:val="17"/>
              </w:rPr>
              <w:t>M</w:t>
            </w:r>
          </w:p>
        </w:tc>
        <w:tc>
          <w:tcPr>
            <w:tcW w:w="210"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50"/>
              <w:rPr>
                <w:b/>
                <w:sz w:val="17"/>
              </w:rPr>
            </w:pPr>
            <w:r>
              <w:rPr>
                <w:b/>
                <w:spacing w:val="-10"/>
                <w:w w:val="105"/>
                <w:sz w:val="17"/>
              </w:rPr>
              <w:t>J</w:t>
            </w:r>
          </w:p>
        </w:tc>
        <w:tc>
          <w:tcPr>
            <w:tcW w:w="209"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51"/>
              <w:rPr>
                <w:b/>
                <w:sz w:val="17"/>
              </w:rPr>
            </w:pPr>
            <w:r>
              <w:rPr>
                <w:b/>
                <w:spacing w:val="-10"/>
                <w:w w:val="105"/>
                <w:sz w:val="17"/>
              </w:rPr>
              <w:t>J</w:t>
            </w:r>
          </w:p>
        </w:tc>
        <w:tc>
          <w:tcPr>
            <w:tcW w:w="209"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53" w:right="-15"/>
              <w:rPr>
                <w:b/>
                <w:sz w:val="17"/>
              </w:rPr>
            </w:pPr>
            <w:r>
              <w:rPr>
                <w:b/>
                <w:spacing w:val="-10"/>
                <w:w w:val="105"/>
                <w:sz w:val="17"/>
              </w:rPr>
              <w:t>A</w:t>
            </w:r>
          </w:p>
        </w:tc>
        <w:tc>
          <w:tcPr>
            <w:tcW w:w="209"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55"/>
              <w:rPr>
                <w:b/>
                <w:sz w:val="17"/>
              </w:rPr>
            </w:pPr>
            <w:r>
              <w:rPr>
                <w:b/>
                <w:spacing w:val="-10"/>
                <w:w w:val="105"/>
                <w:sz w:val="17"/>
              </w:rPr>
              <w:t>S</w:t>
            </w:r>
          </w:p>
        </w:tc>
        <w:tc>
          <w:tcPr>
            <w:tcW w:w="210"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56" w:right="-15"/>
              <w:rPr>
                <w:b/>
                <w:sz w:val="17"/>
              </w:rPr>
            </w:pPr>
            <w:r>
              <w:rPr>
                <w:b/>
                <w:spacing w:val="-10"/>
                <w:w w:val="105"/>
                <w:sz w:val="17"/>
              </w:rPr>
              <w:t>O</w:t>
            </w:r>
          </w:p>
        </w:tc>
        <w:tc>
          <w:tcPr>
            <w:tcW w:w="209" w:type="dxa"/>
            <w:tcBorders>
              <w:top w:val="single" w:sz="12" w:space="0" w:color="000000"/>
              <w:left w:val="single" w:sz="12" w:space="0" w:color="000000"/>
              <w:bottom w:val="single" w:sz="12" w:space="0" w:color="000000"/>
              <w:right w:val="single" w:sz="12" w:space="0" w:color="000000"/>
            </w:tcBorders>
            <w:shd w:val="clear" w:color="auto" w:fill="EC7C30"/>
          </w:tcPr>
          <w:p w:rsidR="00487D64" w:rsidRDefault="006F0D93">
            <w:pPr>
              <w:pStyle w:val="TableParagraph"/>
              <w:spacing w:before="49" w:line="194" w:lineRule="exact"/>
              <w:ind w:left="58" w:right="-15"/>
              <w:rPr>
                <w:b/>
                <w:sz w:val="17"/>
              </w:rPr>
            </w:pPr>
            <w:r>
              <w:rPr>
                <w:b/>
                <w:spacing w:val="-10"/>
                <w:w w:val="105"/>
                <w:sz w:val="17"/>
              </w:rPr>
              <w:t>N</w:t>
            </w:r>
          </w:p>
        </w:tc>
      </w:tr>
      <w:tr w:rsidR="00487D64">
        <w:trPr>
          <w:trHeight w:val="686"/>
        </w:trPr>
        <w:tc>
          <w:tcPr>
            <w:tcW w:w="158" w:type="dxa"/>
            <w:tcBorders>
              <w:top w:val="single" w:sz="12" w:space="0" w:color="000000"/>
              <w:bottom w:val="single" w:sz="12" w:space="0" w:color="000000"/>
              <w:right w:val="single" w:sz="12" w:space="0" w:color="000000"/>
            </w:tcBorders>
          </w:tcPr>
          <w:p w:rsidR="00487D64" w:rsidRDefault="00487D64">
            <w:pPr>
              <w:pStyle w:val="TableParagraph"/>
              <w:spacing w:before="53"/>
              <w:rPr>
                <w:sz w:val="17"/>
              </w:rPr>
            </w:pPr>
          </w:p>
          <w:p w:rsidR="00487D64" w:rsidRDefault="006F0D93">
            <w:pPr>
              <w:pStyle w:val="TableParagraph"/>
              <w:ind w:left="56" w:right="-15"/>
              <w:jc w:val="center"/>
              <w:rPr>
                <w:sz w:val="17"/>
              </w:rPr>
            </w:pPr>
            <w:r>
              <w:rPr>
                <w:spacing w:val="-10"/>
                <w:w w:val="105"/>
                <w:sz w:val="17"/>
              </w:rPr>
              <w:t>1</w:t>
            </w:r>
          </w:p>
        </w:tc>
        <w:tc>
          <w:tcPr>
            <w:tcW w:w="1934" w:type="dxa"/>
            <w:tcBorders>
              <w:top w:val="single" w:sz="12" w:space="0" w:color="000000"/>
              <w:left w:val="single" w:sz="12" w:space="0" w:color="000000"/>
              <w:bottom w:val="single" w:sz="12" w:space="0" w:color="000000"/>
              <w:right w:val="single" w:sz="12" w:space="0" w:color="000000"/>
            </w:tcBorders>
          </w:tcPr>
          <w:p w:rsidR="00487D64" w:rsidRDefault="006F0D93">
            <w:pPr>
              <w:pStyle w:val="TableParagraph"/>
              <w:spacing w:before="14" w:line="288" w:lineRule="auto"/>
              <w:ind w:left="32"/>
              <w:rPr>
                <w:sz w:val="17"/>
              </w:rPr>
            </w:pPr>
            <w:r>
              <w:rPr>
                <w:spacing w:val="-4"/>
                <w:w w:val="105"/>
                <w:sz w:val="17"/>
              </w:rPr>
              <w:t>Preparation</w:t>
            </w:r>
            <w:r>
              <w:rPr>
                <w:spacing w:val="-8"/>
                <w:w w:val="105"/>
                <w:sz w:val="17"/>
              </w:rPr>
              <w:t xml:space="preserve"> </w:t>
            </w:r>
            <w:r>
              <w:rPr>
                <w:spacing w:val="-4"/>
                <w:w w:val="105"/>
                <w:sz w:val="17"/>
              </w:rPr>
              <w:t>of</w:t>
            </w:r>
            <w:r>
              <w:rPr>
                <w:sz w:val="17"/>
              </w:rPr>
              <w:t xml:space="preserve"> </w:t>
            </w:r>
            <w:r>
              <w:rPr>
                <w:spacing w:val="-4"/>
                <w:w w:val="105"/>
                <w:sz w:val="17"/>
              </w:rPr>
              <w:t xml:space="preserve">Concept </w:t>
            </w:r>
            <w:r>
              <w:rPr>
                <w:w w:val="105"/>
                <w:sz w:val="17"/>
              </w:rPr>
              <w:t xml:space="preserve">Note </w:t>
            </w:r>
            <w:r>
              <w:rPr>
                <w:w w:val="105"/>
                <w:sz w:val="17"/>
              </w:rPr>
              <w:t>and</w:t>
            </w:r>
            <w:r>
              <w:rPr>
                <w:spacing w:val="-3"/>
                <w:w w:val="105"/>
                <w:sz w:val="17"/>
              </w:rPr>
              <w:t xml:space="preserve"> </w:t>
            </w:r>
            <w:r>
              <w:rPr>
                <w:w w:val="105"/>
                <w:sz w:val="17"/>
              </w:rPr>
              <w:t>Proposal</w:t>
            </w:r>
            <w:r>
              <w:rPr>
                <w:spacing w:val="-11"/>
                <w:w w:val="105"/>
                <w:sz w:val="17"/>
              </w:rPr>
              <w:t xml:space="preserve"> </w:t>
            </w:r>
            <w:r>
              <w:rPr>
                <w:w w:val="105"/>
                <w:sz w:val="17"/>
              </w:rPr>
              <w:t>for</w:t>
            </w:r>
          </w:p>
          <w:p w:rsidR="00487D64" w:rsidRDefault="006F0D93">
            <w:pPr>
              <w:pStyle w:val="TableParagraph"/>
              <w:spacing w:line="183" w:lineRule="exact"/>
              <w:ind w:left="32"/>
              <w:rPr>
                <w:sz w:val="17"/>
              </w:rPr>
            </w:pPr>
            <w:r>
              <w:rPr>
                <w:w w:val="105"/>
                <w:sz w:val="17"/>
              </w:rPr>
              <w:t>PhD</w:t>
            </w:r>
            <w:r>
              <w:rPr>
                <w:spacing w:val="-4"/>
                <w:w w:val="105"/>
                <w:sz w:val="17"/>
              </w:rPr>
              <w:t xml:space="preserve"> </w:t>
            </w:r>
            <w:r>
              <w:rPr>
                <w:spacing w:val="-2"/>
                <w:w w:val="105"/>
                <w:sz w:val="17"/>
              </w:rPr>
              <w:t>Thesis</w:t>
            </w:r>
          </w:p>
        </w:tc>
        <w:tc>
          <w:tcPr>
            <w:tcW w:w="153"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76"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35"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34"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3"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3"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r>
      <w:tr w:rsidR="00487D64">
        <w:trPr>
          <w:trHeight w:val="451"/>
        </w:trPr>
        <w:tc>
          <w:tcPr>
            <w:tcW w:w="158" w:type="dxa"/>
            <w:tcBorders>
              <w:top w:val="single" w:sz="12" w:space="0" w:color="000000"/>
              <w:bottom w:val="single" w:sz="12" w:space="0" w:color="000000"/>
              <w:right w:val="single" w:sz="12" w:space="0" w:color="000000"/>
            </w:tcBorders>
          </w:tcPr>
          <w:p w:rsidR="00487D64" w:rsidRDefault="006F0D93">
            <w:pPr>
              <w:pStyle w:val="TableParagraph"/>
              <w:spacing w:before="131"/>
              <w:ind w:left="56" w:right="-15"/>
              <w:jc w:val="center"/>
              <w:rPr>
                <w:sz w:val="17"/>
              </w:rPr>
            </w:pPr>
            <w:r>
              <w:rPr>
                <w:spacing w:val="-10"/>
                <w:w w:val="105"/>
                <w:sz w:val="17"/>
              </w:rPr>
              <w:t>2</w:t>
            </w:r>
          </w:p>
        </w:tc>
        <w:tc>
          <w:tcPr>
            <w:tcW w:w="1934" w:type="dxa"/>
            <w:tcBorders>
              <w:top w:val="single" w:sz="12" w:space="0" w:color="000000"/>
              <w:left w:val="single" w:sz="12" w:space="0" w:color="000000"/>
              <w:bottom w:val="single" w:sz="12" w:space="0" w:color="000000"/>
              <w:right w:val="single" w:sz="12" w:space="0" w:color="000000"/>
            </w:tcBorders>
          </w:tcPr>
          <w:p w:rsidR="00487D64" w:rsidRDefault="006F0D93">
            <w:pPr>
              <w:pStyle w:val="TableParagraph"/>
              <w:spacing w:before="14"/>
              <w:ind w:left="32"/>
              <w:rPr>
                <w:sz w:val="17"/>
              </w:rPr>
            </w:pPr>
            <w:r>
              <w:rPr>
                <w:w w:val="105"/>
                <w:sz w:val="17"/>
              </w:rPr>
              <w:t>Defence of</w:t>
            </w:r>
            <w:r>
              <w:rPr>
                <w:spacing w:val="62"/>
                <w:w w:val="150"/>
                <w:sz w:val="17"/>
              </w:rPr>
              <w:t xml:space="preserve"> </w:t>
            </w:r>
            <w:r>
              <w:rPr>
                <w:spacing w:val="-5"/>
                <w:w w:val="105"/>
                <w:sz w:val="17"/>
              </w:rPr>
              <w:t>PhD</w:t>
            </w:r>
          </w:p>
          <w:p w:rsidR="00487D64" w:rsidRDefault="006F0D93">
            <w:pPr>
              <w:pStyle w:val="TableParagraph"/>
              <w:spacing w:before="39" w:line="183" w:lineRule="exact"/>
              <w:ind w:left="32"/>
              <w:rPr>
                <w:sz w:val="17"/>
              </w:rPr>
            </w:pPr>
            <w:r>
              <w:rPr>
                <w:spacing w:val="-2"/>
                <w:w w:val="105"/>
                <w:sz w:val="17"/>
              </w:rPr>
              <w:t>Proposal</w:t>
            </w:r>
          </w:p>
        </w:tc>
        <w:tc>
          <w:tcPr>
            <w:tcW w:w="153"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6"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34"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3"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3"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r>
      <w:tr w:rsidR="00487D64">
        <w:trPr>
          <w:trHeight w:val="451"/>
        </w:trPr>
        <w:tc>
          <w:tcPr>
            <w:tcW w:w="158" w:type="dxa"/>
            <w:tcBorders>
              <w:top w:val="single" w:sz="12" w:space="0" w:color="000000"/>
              <w:bottom w:val="single" w:sz="12" w:space="0" w:color="000000"/>
              <w:right w:val="single" w:sz="12" w:space="0" w:color="000000"/>
            </w:tcBorders>
          </w:tcPr>
          <w:p w:rsidR="00487D64" w:rsidRDefault="006F0D93">
            <w:pPr>
              <w:pStyle w:val="TableParagraph"/>
              <w:spacing w:before="131"/>
              <w:ind w:left="56" w:right="-15"/>
              <w:jc w:val="center"/>
              <w:rPr>
                <w:sz w:val="17"/>
              </w:rPr>
            </w:pPr>
            <w:r>
              <w:rPr>
                <w:spacing w:val="-10"/>
                <w:w w:val="105"/>
                <w:sz w:val="17"/>
              </w:rPr>
              <w:t>3</w:t>
            </w:r>
          </w:p>
        </w:tc>
        <w:tc>
          <w:tcPr>
            <w:tcW w:w="1934" w:type="dxa"/>
            <w:tcBorders>
              <w:top w:val="single" w:sz="12" w:space="0" w:color="000000"/>
              <w:left w:val="single" w:sz="12" w:space="0" w:color="000000"/>
              <w:bottom w:val="single" w:sz="12" w:space="0" w:color="000000"/>
              <w:right w:val="single" w:sz="12" w:space="0" w:color="000000"/>
            </w:tcBorders>
          </w:tcPr>
          <w:p w:rsidR="00487D64" w:rsidRDefault="006F0D93">
            <w:pPr>
              <w:pStyle w:val="TableParagraph"/>
              <w:spacing w:before="14"/>
              <w:ind w:left="32"/>
              <w:rPr>
                <w:sz w:val="17"/>
              </w:rPr>
            </w:pPr>
            <w:r>
              <w:rPr>
                <w:sz w:val="17"/>
              </w:rPr>
              <w:t>Data Collection</w:t>
            </w:r>
            <w:r>
              <w:rPr>
                <w:spacing w:val="-9"/>
                <w:sz w:val="17"/>
              </w:rPr>
              <w:t xml:space="preserve"> </w:t>
            </w:r>
            <w:r>
              <w:rPr>
                <w:sz w:val="17"/>
              </w:rPr>
              <w:t>and</w:t>
            </w:r>
            <w:r>
              <w:rPr>
                <w:spacing w:val="-8"/>
                <w:sz w:val="17"/>
              </w:rPr>
              <w:t xml:space="preserve"> </w:t>
            </w:r>
            <w:r>
              <w:rPr>
                <w:spacing w:val="-4"/>
                <w:sz w:val="17"/>
              </w:rPr>
              <w:t>Data</w:t>
            </w:r>
          </w:p>
          <w:p w:rsidR="00487D64" w:rsidRDefault="006F0D93">
            <w:pPr>
              <w:pStyle w:val="TableParagraph"/>
              <w:spacing w:before="39" w:line="182" w:lineRule="exact"/>
              <w:ind w:left="32"/>
              <w:rPr>
                <w:sz w:val="17"/>
              </w:rPr>
            </w:pPr>
            <w:r>
              <w:rPr>
                <w:spacing w:val="-2"/>
                <w:w w:val="105"/>
                <w:sz w:val="17"/>
              </w:rPr>
              <w:t>Analysis</w:t>
            </w:r>
          </w:p>
        </w:tc>
        <w:tc>
          <w:tcPr>
            <w:tcW w:w="153"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6"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33"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51"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3"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r>
      <w:tr w:rsidR="00487D64">
        <w:trPr>
          <w:trHeight w:val="451"/>
        </w:trPr>
        <w:tc>
          <w:tcPr>
            <w:tcW w:w="158" w:type="dxa"/>
            <w:tcBorders>
              <w:top w:val="single" w:sz="12" w:space="0" w:color="000000"/>
              <w:bottom w:val="single" w:sz="12" w:space="0" w:color="000000"/>
              <w:right w:val="single" w:sz="12" w:space="0" w:color="000000"/>
            </w:tcBorders>
          </w:tcPr>
          <w:p w:rsidR="00487D64" w:rsidRDefault="006F0D93">
            <w:pPr>
              <w:pStyle w:val="TableParagraph"/>
              <w:spacing w:before="131"/>
              <w:ind w:left="56" w:right="-15"/>
              <w:jc w:val="center"/>
              <w:rPr>
                <w:sz w:val="17"/>
              </w:rPr>
            </w:pPr>
            <w:r>
              <w:rPr>
                <w:spacing w:val="-10"/>
                <w:w w:val="105"/>
                <w:sz w:val="17"/>
              </w:rPr>
              <w:t>4</w:t>
            </w:r>
          </w:p>
        </w:tc>
        <w:tc>
          <w:tcPr>
            <w:tcW w:w="1934" w:type="dxa"/>
            <w:tcBorders>
              <w:top w:val="single" w:sz="12" w:space="0" w:color="000000"/>
              <w:left w:val="single" w:sz="12" w:space="0" w:color="000000"/>
              <w:bottom w:val="single" w:sz="12" w:space="0" w:color="000000"/>
              <w:right w:val="single" w:sz="12" w:space="0" w:color="000000"/>
            </w:tcBorders>
          </w:tcPr>
          <w:p w:rsidR="00487D64" w:rsidRDefault="006F0D93">
            <w:pPr>
              <w:pStyle w:val="TableParagraph"/>
              <w:spacing w:before="14"/>
              <w:ind w:left="32"/>
              <w:rPr>
                <w:sz w:val="17"/>
              </w:rPr>
            </w:pPr>
            <w:r>
              <w:rPr>
                <w:sz w:val="17"/>
              </w:rPr>
              <w:t>Writing</w:t>
            </w:r>
            <w:r>
              <w:rPr>
                <w:spacing w:val="-4"/>
                <w:sz w:val="17"/>
              </w:rPr>
              <w:t xml:space="preserve"> </w:t>
            </w:r>
            <w:r>
              <w:rPr>
                <w:sz w:val="17"/>
              </w:rPr>
              <w:t>and</w:t>
            </w:r>
            <w:r>
              <w:rPr>
                <w:spacing w:val="-4"/>
                <w:sz w:val="17"/>
              </w:rPr>
              <w:t xml:space="preserve"> </w:t>
            </w:r>
            <w:r>
              <w:rPr>
                <w:sz w:val="17"/>
              </w:rPr>
              <w:t>Defence</w:t>
            </w:r>
            <w:r>
              <w:rPr>
                <w:spacing w:val="7"/>
                <w:sz w:val="17"/>
              </w:rPr>
              <w:t xml:space="preserve"> </w:t>
            </w:r>
            <w:r>
              <w:rPr>
                <w:spacing w:val="-5"/>
                <w:sz w:val="17"/>
              </w:rPr>
              <w:t>for</w:t>
            </w:r>
          </w:p>
          <w:p w:rsidR="00487D64" w:rsidRDefault="006F0D93">
            <w:pPr>
              <w:pStyle w:val="TableParagraph"/>
              <w:spacing w:before="39" w:line="182" w:lineRule="exact"/>
              <w:ind w:left="32"/>
              <w:rPr>
                <w:sz w:val="17"/>
              </w:rPr>
            </w:pPr>
            <w:r>
              <w:rPr>
                <w:w w:val="105"/>
                <w:sz w:val="17"/>
              </w:rPr>
              <w:t>PhD</w:t>
            </w:r>
            <w:r>
              <w:rPr>
                <w:spacing w:val="-4"/>
                <w:w w:val="105"/>
                <w:sz w:val="17"/>
              </w:rPr>
              <w:t xml:space="preserve"> </w:t>
            </w:r>
            <w:r>
              <w:rPr>
                <w:spacing w:val="-2"/>
                <w:w w:val="105"/>
                <w:sz w:val="17"/>
              </w:rPr>
              <w:t>Thesis</w:t>
            </w:r>
          </w:p>
        </w:tc>
        <w:tc>
          <w:tcPr>
            <w:tcW w:w="153"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6"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4"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33"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2"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51"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tcPr>
          <w:p w:rsidR="00487D64" w:rsidRDefault="00487D64">
            <w:pPr>
              <w:pStyle w:val="TableParagraph"/>
              <w:rPr>
                <w:sz w:val="18"/>
              </w:rPr>
            </w:pPr>
          </w:p>
        </w:tc>
        <w:tc>
          <w:tcPr>
            <w:tcW w:w="175"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51"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174"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33"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10"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c>
          <w:tcPr>
            <w:tcW w:w="209" w:type="dxa"/>
            <w:tcBorders>
              <w:top w:val="single" w:sz="12" w:space="0" w:color="000000"/>
              <w:left w:val="single" w:sz="12" w:space="0" w:color="000000"/>
              <w:bottom w:val="single" w:sz="12" w:space="0" w:color="000000"/>
              <w:right w:val="single" w:sz="12" w:space="0" w:color="000000"/>
            </w:tcBorders>
            <w:shd w:val="clear" w:color="auto" w:fill="00AFEF"/>
          </w:tcPr>
          <w:p w:rsidR="00487D64" w:rsidRDefault="00487D64">
            <w:pPr>
              <w:pStyle w:val="TableParagraph"/>
              <w:rPr>
                <w:sz w:val="18"/>
              </w:rPr>
            </w:pPr>
          </w:p>
        </w:tc>
      </w:tr>
    </w:tbl>
    <w:p w:rsidR="00487D64" w:rsidRDefault="00487D64">
      <w:pPr>
        <w:pStyle w:val="TableParagraph"/>
        <w:rPr>
          <w:sz w:val="18"/>
        </w:rPr>
        <w:sectPr w:rsidR="00487D64">
          <w:pgSz w:w="11910" w:h="16850"/>
          <w:pgMar w:top="980" w:right="566" w:bottom="280" w:left="850" w:header="725" w:footer="0" w:gutter="0"/>
          <w:cols w:space="720"/>
        </w:sectPr>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pPr>
    </w:p>
    <w:p w:rsidR="00487D64" w:rsidRDefault="00487D64">
      <w:pPr>
        <w:pStyle w:val="BodyText"/>
        <w:spacing w:before="212"/>
      </w:pPr>
    </w:p>
    <w:p w:rsidR="00487D64" w:rsidRDefault="006F0D93">
      <w:pPr>
        <w:ind w:left="1419"/>
        <w:rPr>
          <w:b/>
          <w:sz w:val="23"/>
        </w:rPr>
      </w:pPr>
      <w:r>
        <w:rPr>
          <w:b/>
          <w:w w:val="105"/>
          <w:sz w:val="23"/>
        </w:rPr>
        <w:t>Appendix</w:t>
      </w:r>
      <w:r>
        <w:rPr>
          <w:b/>
          <w:spacing w:val="-13"/>
          <w:w w:val="105"/>
          <w:sz w:val="23"/>
        </w:rPr>
        <w:t xml:space="preserve"> </w:t>
      </w:r>
      <w:r>
        <w:rPr>
          <w:b/>
          <w:w w:val="105"/>
          <w:sz w:val="23"/>
        </w:rPr>
        <w:t>6:</w:t>
      </w:r>
      <w:r>
        <w:rPr>
          <w:b/>
          <w:spacing w:val="45"/>
          <w:w w:val="105"/>
          <w:sz w:val="23"/>
        </w:rPr>
        <w:t xml:space="preserve"> </w:t>
      </w:r>
      <w:r>
        <w:rPr>
          <w:b/>
          <w:w w:val="105"/>
          <w:sz w:val="23"/>
        </w:rPr>
        <w:t>Research</w:t>
      </w:r>
      <w:r>
        <w:rPr>
          <w:b/>
          <w:spacing w:val="-7"/>
          <w:w w:val="105"/>
          <w:sz w:val="23"/>
        </w:rPr>
        <w:t xml:space="preserve"> </w:t>
      </w:r>
      <w:r>
        <w:rPr>
          <w:b/>
          <w:spacing w:val="-2"/>
          <w:w w:val="105"/>
          <w:sz w:val="23"/>
        </w:rPr>
        <w:t>Budget</w:t>
      </w:r>
    </w:p>
    <w:p w:rsidR="00487D64" w:rsidRDefault="006F0D93">
      <w:pPr>
        <w:spacing w:before="153"/>
        <w:ind w:left="1419"/>
        <w:rPr>
          <w:b/>
          <w:sz w:val="23"/>
        </w:rPr>
      </w:pPr>
      <w:r>
        <w:rPr>
          <w:b/>
          <w:sz w:val="23"/>
        </w:rPr>
        <w:t>Table</w:t>
      </w:r>
      <w:r>
        <w:rPr>
          <w:b/>
          <w:spacing w:val="25"/>
          <w:sz w:val="23"/>
        </w:rPr>
        <w:t xml:space="preserve"> </w:t>
      </w:r>
      <w:r>
        <w:rPr>
          <w:b/>
          <w:sz w:val="23"/>
        </w:rPr>
        <w:t>for</w:t>
      </w:r>
      <w:r>
        <w:rPr>
          <w:b/>
          <w:spacing w:val="26"/>
          <w:sz w:val="23"/>
        </w:rPr>
        <w:t xml:space="preserve"> </w:t>
      </w:r>
      <w:r>
        <w:rPr>
          <w:b/>
          <w:sz w:val="23"/>
        </w:rPr>
        <w:t>Estimated</w:t>
      </w:r>
      <w:r>
        <w:rPr>
          <w:b/>
          <w:spacing w:val="29"/>
          <w:sz w:val="23"/>
        </w:rPr>
        <w:t xml:space="preserve"> </w:t>
      </w:r>
      <w:r>
        <w:rPr>
          <w:b/>
          <w:sz w:val="23"/>
        </w:rPr>
        <w:t>Research</w:t>
      </w:r>
      <w:r>
        <w:rPr>
          <w:b/>
          <w:spacing w:val="18"/>
          <w:sz w:val="23"/>
        </w:rPr>
        <w:t xml:space="preserve"> </w:t>
      </w:r>
      <w:r>
        <w:rPr>
          <w:b/>
          <w:spacing w:val="-2"/>
          <w:sz w:val="23"/>
        </w:rPr>
        <w:t>Budget</w:t>
      </w:r>
    </w:p>
    <w:p w:rsidR="00487D64" w:rsidRDefault="00487D64">
      <w:pPr>
        <w:pStyle w:val="BodyText"/>
        <w:spacing w:before="39"/>
        <w:rPr>
          <w:b/>
          <w:sz w:val="20"/>
        </w:rPr>
      </w:pPr>
    </w:p>
    <w:tbl>
      <w:tblPr>
        <w:tblW w:w="0" w:type="auto"/>
        <w:tblInd w:w="1436"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350"/>
        <w:gridCol w:w="3251"/>
        <w:gridCol w:w="1631"/>
        <w:gridCol w:w="1456"/>
        <w:gridCol w:w="2330"/>
      </w:tblGrid>
      <w:tr w:rsidR="00487D64">
        <w:trPr>
          <w:trHeight w:val="556"/>
        </w:trPr>
        <w:tc>
          <w:tcPr>
            <w:tcW w:w="9018" w:type="dxa"/>
            <w:gridSpan w:val="5"/>
            <w:tcBorders>
              <w:bottom w:val="single" w:sz="6" w:space="0" w:color="000000"/>
              <w:right w:val="single" w:sz="6" w:space="0" w:color="000000"/>
            </w:tcBorders>
          </w:tcPr>
          <w:p w:rsidR="00487D64" w:rsidRDefault="006F0D93">
            <w:pPr>
              <w:pStyle w:val="TableParagraph"/>
              <w:spacing w:before="145"/>
              <w:jc w:val="center"/>
              <w:rPr>
                <w:b/>
                <w:sz w:val="23"/>
              </w:rPr>
            </w:pPr>
            <w:r>
              <w:rPr>
                <w:b/>
                <w:sz w:val="23"/>
              </w:rPr>
              <w:t>Table</w:t>
            </w:r>
            <w:r>
              <w:rPr>
                <w:b/>
                <w:spacing w:val="11"/>
                <w:sz w:val="23"/>
              </w:rPr>
              <w:t xml:space="preserve"> </w:t>
            </w:r>
            <w:r>
              <w:rPr>
                <w:b/>
                <w:sz w:val="23"/>
              </w:rPr>
              <w:t>for</w:t>
            </w:r>
            <w:r>
              <w:rPr>
                <w:b/>
                <w:spacing w:val="-12"/>
                <w:sz w:val="23"/>
              </w:rPr>
              <w:t xml:space="preserve"> </w:t>
            </w:r>
            <w:r>
              <w:rPr>
                <w:b/>
                <w:sz w:val="23"/>
              </w:rPr>
              <w:t>Estimated</w:t>
            </w:r>
            <w:r>
              <w:rPr>
                <w:b/>
                <w:spacing w:val="-14"/>
                <w:sz w:val="23"/>
              </w:rPr>
              <w:t xml:space="preserve"> </w:t>
            </w:r>
            <w:r>
              <w:rPr>
                <w:b/>
                <w:sz w:val="23"/>
              </w:rPr>
              <w:t>Research</w:t>
            </w:r>
            <w:r>
              <w:rPr>
                <w:b/>
                <w:spacing w:val="-14"/>
                <w:sz w:val="23"/>
              </w:rPr>
              <w:t xml:space="preserve"> </w:t>
            </w:r>
            <w:r>
              <w:rPr>
                <w:b/>
                <w:spacing w:val="-2"/>
                <w:sz w:val="23"/>
              </w:rPr>
              <w:t>Budget</w:t>
            </w:r>
          </w:p>
        </w:tc>
      </w:tr>
      <w:tr w:rsidR="00487D64">
        <w:trPr>
          <w:trHeight w:val="288"/>
        </w:trPr>
        <w:tc>
          <w:tcPr>
            <w:tcW w:w="350" w:type="dxa"/>
            <w:vMerge w:val="restart"/>
            <w:tcBorders>
              <w:top w:val="single" w:sz="6" w:space="0" w:color="000000"/>
              <w:left w:val="single" w:sz="6" w:space="0" w:color="000000"/>
              <w:bottom w:val="single" w:sz="6" w:space="0" w:color="000000"/>
              <w:right w:val="single" w:sz="6" w:space="0" w:color="000000"/>
            </w:tcBorders>
          </w:tcPr>
          <w:p w:rsidR="00487D64" w:rsidRDefault="00487D64">
            <w:pPr>
              <w:pStyle w:val="TableParagraph"/>
              <w:spacing w:before="93"/>
              <w:rPr>
                <w:b/>
                <w:sz w:val="21"/>
              </w:rPr>
            </w:pPr>
          </w:p>
          <w:p w:rsidR="00487D64" w:rsidRDefault="006F0D93">
            <w:pPr>
              <w:pStyle w:val="TableParagraph"/>
              <w:spacing w:line="237" w:lineRule="exact"/>
              <w:ind w:left="50"/>
              <w:rPr>
                <w:rFonts w:ascii="Calibri"/>
                <w:b/>
                <w:sz w:val="21"/>
              </w:rPr>
            </w:pPr>
            <w:r>
              <w:rPr>
                <w:rFonts w:ascii="Calibri"/>
                <w:b/>
                <w:spacing w:val="-5"/>
                <w:sz w:val="21"/>
              </w:rPr>
              <w:t>SN</w:t>
            </w:r>
          </w:p>
        </w:tc>
        <w:tc>
          <w:tcPr>
            <w:tcW w:w="3251" w:type="dxa"/>
            <w:vMerge w:val="restart"/>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57"/>
              <w:ind w:left="18"/>
              <w:jc w:val="center"/>
              <w:rPr>
                <w:b/>
                <w:sz w:val="23"/>
              </w:rPr>
            </w:pPr>
            <w:r>
              <w:rPr>
                <w:b/>
                <w:spacing w:val="-4"/>
                <w:sz w:val="23"/>
              </w:rPr>
              <w:t>Item</w:t>
            </w:r>
          </w:p>
        </w:tc>
        <w:tc>
          <w:tcPr>
            <w:tcW w:w="1631" w:type="dxa"/>
            <w:vMerge w:val="restart"/>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57"/>
              <w:ind w:left="376"/>
              <w:rPr>
                <w:b/>
                <w:sz w:val="23"/>
              </w:rPr>
            </w:pPr>
            <w:r>
              <w:rPr>
                <w:b/>
                <w:spacing w:val="-2"/>
                <w:sz w:val="23"/>
              </w:rPr>
              <w:t>Quantity</w:t>
            </w:r>
          </w:p>
        </w:tc>
        <w:tc>
          <w:tcPr>
            <w:tcW w:w="1456"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15" w:right="11"/>
              <w:jc w:val="center"/>
              <w:rPr>
                <w:b/>
                <w:sz w:val="23"/>
              </w:rPr>
            </w:pPr>
            <w:r>
              <w:rPr>
                <w:b/>
                <w:spacing w:val="-2"/>
                <w:sz w:val="23"/>
              </w:rPr>
              <w:t>Unity</w:t>
            </w:r>
            <w:r>
              <w:rPr>
                <w:b/>
                <w:spacing w:val="-9"/>
                <w:sz w:val="23"/>
              </w:rPr>
              <w:t xml:space="preserve"> </w:t>
            </w:r>
            <w:r>
              <w:rPr>
                <w:b/>
                <w:spacing w:val="-4"/>
                <w:sz w:val="23"/>
              </w:rPr>
              <w:t>Cost</w:t>
            </w:r>
          </w:p>
        </w:tc>
        <w:tc>
          <w:tcPr>
            <w:tcW w:w="233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8" w:right="3"/>
              <w:jc w:val="center"/>
              <w:rPr>
                <w:b/>
                <w:sz w:val="23"/>
              </w:rPr>
            </w:pPr>
            <w:r>
              <w:rPr>
                <w:b/>
                <w:sz w:val="23"/>
              </w:rPr>
              <w:t>Total</w:t>
            </w:r>
            <w:r>
              <w:rPr>
                <w:b/>
                <w:spacing w:val="-5"/>
                <w:sz w:val="23"/>
              </w:rPr>
              <w:t xml:space="preserve"> </w:t>
            </w:r>
            <w:r>
              <w:rPr>
                <w:b/>
                <w:spacing w:val="-4"/>
                <w:sz w:val="23"/>
              </w:rPr>
              <w:t>Cost</w:t>
            </w:r>
          </w:p>
        </w:tc>
      </w:tr>
      <w:tr w:rsidR="00487D64">
        <w:trPr>
          <w:trHeight w:val="288"/>
        </w:trPr>
        <w:tc>
          <w:tcPr>
            <w:tcW w:w="350" w:type="dxa"/>
            <w:vMerge/>
            <w:tcBorders>
              <w:top w:val="nil"/>
              <w:left w:val="single" w:sz="6" w:space="0" w:color="000000"/>
              <w:bottom w:val="single" w:sz="6" w:space="0" w:color="000000"/>
              <w:right w:val="single" w:sz="6" w:space="0" w:color="000000"/>
            </w:tcBorders>
          </w:tcPr>
          <w:p w:rsidR="00487D64" w:rsidRDefault="00487D64">
            <w:pPr>
              <w:rPr>
                <w:sz w:val="2"/>
                <w:szCs w:val="2"/>
              </w:rPr>
            </w:pPr>
          </w:p>
        </w:tc>
        <w:tc>
          <w:tcPr>
            <w:tcW w:w="3251" w:type="dxa"/>
            <w:vMerge/>
            <w:tcBorders>
              <w:top w:val="nil"/>
              <w:left w:val="single" w:sz="6" w:space="0" w:color="000000"/>
              <w:bottom w:val="single" w:sz="6" w:space="0" w:color="000000"/>
              <w:right w:val="single" w:sz="6" w:space="0" w:color="000000"/>
            </w:tcBorders>
          </w:tcPr>
          <w:p w:rsidR="00487D64" w:rsidRDefault="00487D64">
            <w:pPr>
              <w:rPr>
                <w:sz w:val="2"/>
                <w:szCs w:val="2"/>
              </w:rPr>
            </w:pPr>
          </w:p>
        </w:tc>
        <w:tc>
          <w:tcPr>
            <w:tcW w:w="1631" w:type="dxa"/>
            <w:vMerge/>
            <w:tcBorders>
              <w:top w:val="nil"/>
              <w:left w:val="single" w:sz="6" w:space="0" w:color="000000"/>
              <w:bottom w:val="single" w:sz="6" w:space="0" w:color="000000"/>
              <w:right w:val="single" w:sz="6" w:space="0" w:color="000000"/>
            </w:tcBorders>
          </w:tcPr>
          <w:p w:rsidR="00487D64" w:rsidRDefault="00487D64">
            <w:pPr>
              <w:rPr>
                <w:sz w:val="2"/>
                <w:szCs w:val="2"/>
              </w:rPr>
            </w:pPr>
          </w:p>
        </w:tc>
        <w:tc>
          <w:tcPr>
            <w:tcW w:w="1456"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2" w:lineRule="exact"/>
              <w:ind w:left="15" w:right="10"/>
              <w:jc w:val="center"/>
              <w:rPr>
                <w:b/>
                <w:sz w:val="23"/>
              </w:rPr>
            </w:pPr>
            <w:r>
              <w:rPr>
                <w:b/>
                <w:spacing w:val="-2"/>
                <w:sz w:val="23"/>
              </w:rPr>
              <w:t>(TZS)</w:t>
            </w:r>
          </w:p>
        </w:tc>
        <w:tc>
          <w:tcPr>
            <w:tcW w:w="233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2" w:lineRule="exact"/>
              <w:ind w:left="5" w:right="8"/>
              <w:jc w:val="center"/>
              <w:rPr>
                <w:b/>
                <w:sz w:val="23"/>
              </w:rPr>
            </w:pPr>
            <w:r>
              <w:rPr>
                <w:b/>
                <w:spacing w:val="-2"/>
                <w:sz w:val="23"/>
              </w:rPr>
              <w:t>(TZS)</w:t>
            </w:r>
          </w:p>
        </w:tc>
      </w:tr>
      <w:tr w:rsidR="00487D64">
        <w:trPr>
          <w:trHeight w:val="288"/>
        </w:trPr>
        <w:tc>
          <w:tcPr>
            <w:tcW w:w="35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31" w:line="237" w:lineRule="exact"/>
              <w:ind w:right="23"/>
              <w:jc w:val="right"/>
              <w:rPr>
                <w:rFonts w:ascii="Calibri"/>
                <w:sz w:val="21"/>
              </w:rPr>
            </w:pPr>
            <w:r>
              <w:rPr>
                <w:rFonts w:ascii="Calibri"/>
                <w:spacing w:val="-10"/>
                <w:sz w:val="21"/>
              </w:rPr>
              <w:t>1</w:t>
            </w:r>
          </w:p>
        </w:tc>
        <w:tc>
          <w:tcPr>
            <w:tcW w:w="325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38"/>
              <w:rPr>
                <w:sz w:val="23"/>
              </w:rPr>
            </w:pPr>
            <w:r>
              <w:rPr>
                <w:sz w:val="23"/>
              </w:rPr>
              <w:t>Meal</w:t>
            </w:r>
            <w:r>
              <w:rPr>
                <w:spacing w:val="-1"/>
                <w:sz w:val="23"/>
              </w:rPr>
              <w:t xml:space="preserve"> </w:t>
            </w:r>
            <w:r>
              <w:rPr>
                <w:spacing w:val="-2"/>
                <w:sz w:val="23"/>
              </w:rPr>
              <w:t>Allowance</w:t>
            </w:r>
          </w:p>
        </w:tc>
        <w:tc>
          <w:tcPr>
            <w:tcW w:w="163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3" w:right="6"/>
              <w:jc w:val="center"/>
              <w:rPr>
                <w:sz w:val="23"/>
              </w:rPr>
            </w:pPr>
            <w:r>
              <w:rPr>
                <w:sz w:val="23"/>
              </w:rPr>
              <w:t>3</w:t>
            </w:r>
            <w:r>
              <w:rPr>
                <w:spacing w:val="1"/>
                <w:sz w:val="23"/>
              </w:rPr>
              <w:t xml:space="preserve"> </w:t>
            </w:r>
            <w:r>
              <w:rPr>
                <w:spacing w:val="-2"/>
                <w:sz w:val="23"/>
              </w:rPr>
              <w:t>Years</w:t>
            </w:r>
          </w:p>
        </w:tc>
        <w:tc>
          <w:tcPr>
            <w:tcW w:w="1456"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15" w:right="6"/>
              <w:jc w:val="center"/>
              <w:rPr>
                <w:sz w:val="23"/>
              </w:rPr>
            </w:pPr>
            <w:r>
              <w:rPr>
                <w:spacing w:val="-2"/>
                <w:sz w:val="23"/>
              </w:rPr>
              <w:t>5,000,000</w:t>
            </w:r>
          </w:p>
        </w:tc>
        <w:tc>
          <w:tcPr>
            <w:tcW w:w="233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5" w:right="6"/>
              <w:jc w:val="center"/>
              <w:rPr>
                <w:sz w:val="23"/>
              </w:rPr>
            </w:pPr>
            <w:r>
              <w:rPr>
                <w:spacing w:val="-2"/>
                <w:sz w:val="23"/>
              </w:rPr>
              <w:t>15,000,000</w:t>
            </w:r>
          </w:p>
        </w:tc>
      </w:tr>
      <w:tr w:rsidR="00487D64">
        <w:trPr>
          <w:trHeight w:val="288"/>
        </w:trPr>
        <w:tc>
          <w:tcPr>
            <w:tcW w:w="35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31" w:line="237" w:lineRule="exact"/>
              <w:ind w:right="23"/>
              <w:jc w:val="right"/>
              <w:rPr>
                <w:rFonts w:ascii="Calibri"/>
                <w:sz w:val="21"/>
              </w:rPr>
            </w:pPr>
            <w:r>
              <w:rPr>
                <w:rFonts w:ascii="Calibri"/>
                <w:spacing w:val="-10"/>
                <w:sz w:val="21"/>
              </w:rPr>
              <w:t>2</w:t>
            </w:r>
          </w:p>
        </w:tc>
        <w:tc>
          <w:tcPr>
            <w:tcW w:w="325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38"/>
              <w:rPr>
                <w:sz w:val="23"/>
              </w:rPr>
            </w:pPr>
            <w:r>
              <w:rPr>
                <w:sz w:val="23"/>
              </w:rPr>
              <w:t>Research</w:t>
            </w:r>
            <w:r>
              <w:rPr>
                <w:spacing w:val="-5"/>
                <w:sz w:val="23"/>
              </w:rPr>
              <w:t xml:space="preserve"> </w:t>
            </w:r>
            <w:r>
              <w:rPr>
                <w:spacing w:val="-2"/>
                <w:sz w:val="23"/>
              </w:rPr>
              <w:t>Allowance</w:t>
            </w:r>
          </w:p>
        </w:tc>
        <w:tc>
          <w:tcPr>
            <w:tcW w:w="163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3" w:right="6"/>
              <w:jc w:val="center"/>
              <w:rPr>
                <w:sz w:val="23"/>
              </w:rPr>
            </w:pPr>
            <w:r>
              <w:rPr>
                <w:sz w:val="23"/>
              </w:rPr>
              <w:t>3</w:t>
            </w:r>
            <w:r>
              <w:rPr>
                <w:spacing w:val="1"/>
                <w:sz w:val="23"/>
              </w:rPr>
              <w:t xml:space="preserve"> </w:t>
            </w:r>
            <w:r>
              <w:rPr>
                <w:spacing w:val="-2"/>
                <w:sz w:val="23"/>
              </w:rPr>
              <w:t>Years</w:t>
            </w:r>
          </w:p>
        </w:tc>
        <w:tc>
          <w:tcPr>
            <w:tcW w:w="1456"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15" w:right="6"/>
              <w:jc w:val="center"/>
              <w:rPr>
                <w:sz w:val="23"/>
              </w:rPr>
            </w:pPr>
            <w:r>
              <w:rPr>
                <w:spacing w:val="-2"/>
                <w:sz w:val="23"/>
              </w:rPr>
              <w:t>3,500,000</w:t>
            </w:r>
          </w:p>
        </w:tc>
        <w:tc>
          <w:tcPr>
            <w:tcW w:w="233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5" w:right="6"/>
              <w:jc w:val="center"/>
              <w:rPr>
                <w:sz w:val="23"/>
              </w:rPr>
            </w:pPr>
            <w:r>
              <w:rPr>
                <w:spacing w:val="-2"/>
                <w:sz w:val="23"/>
              </w:rPr>
              <w:t>10,500,000</w:t>
            </w:r>
          </w:p>
        </w:tc>
      </w:tr>
      <w:tr w:rsidR="00487D64">
        <w:trPr>
          <w:trHeight w:val="288"/>
        </w:trPr>
        <w:tc>
          <w:tcPr>
            <w:tcW w:w="35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31" w:line="236" w:lineRule="exact"/>
              <w:ind w:right="23"/>
              <w:jc w:val="right"/>
              <w:rPr>
                <w:rFonts w:ascii="Calibri"/>
                <w:sz w:val="21"/>
              </w:rPr>
            </w:pPr>
            <w:r>
              <w:rPr>
                <w:rFonts w:ascii="Calibri"/>
                <w:spacing w:val="-10"/>
                <w:sz w:val="21"/>
              </w:rPr>
              <w:t>3</w:t>
            </w:r>
          </w:p>
        </w:tc>
        <w:tc>
          <w:tcPr>
            <w:tcW w:w="325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38"/>
              <w:rPr>
                <w:sz w:val="23"/>
              </w:rPr>
            </w:pPr>
            <w:r>
              <w:rPr>
                <w:spacing w:val="-2"/>
                <w:sz w:val="23"/>
              </w:rPr>
              <w:t>Software</w:t>
            </w:r>
          </w:p>
        </w:tc>
        <w:tc>
          <w:tcPr>
            <w:tcW w:w="163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3" w:right="6"/>
              <w:jc w:val="center"/>
              <w:rPr>
                <w:sz w:val="23"/>
              </w:rPr>
            </w:pPr>
            <w:r>
              <w:rPr>
                <w:sz w:val="23"/>
              </w:rPr>
              <w:t>3</w:t>
            </w:r>
            <w:r>
              <w:rPr>
                <w:spacing w:val="1"/>
                <w:sz w:val="23"/>
              </w:rPr>
              <w:t xml:space="preserve"> </w:t>
            </w:r>
            <w:r>
              <w:rPr>
                <w:spacing w:val="-2"/>
                <w:sz w:val="23"/>
              </w:rPr>
              <w:t>Years</w:t>
            </w:r>
          </w:p>
        </w:tc>
        <w:tc>
          <w:tcPr>
            <w:tcW w:w="1456"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15" w:right="15"/>
              <w:jc w:val="center"/>
              <w:rPr>
                <w:sz w:val="23"/>
              </w:rPr>
            </w:pPr>
            <w:r>
              <w:rPr>
                <w:spacing w:val="-2"/>
                <w:sz w:val="23"/>
              </w:rPr>
              <w:t>500,000</w:t>
            </w:r>
          </w:p>
        </w:tc>
        <w:tc>
          <w:tcPr>
            <w:tcW w:w="233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5" w:right="6"/>
              <w:jc w:val="center"/>
              <w:rPr>
                <w:sz w:val="23"/>
              </w:rPr>
            </w:pPr>
            <w:r>
              <w:rPr>
                <w:spacing w:val="-2"/>
                <w:sz w:val="23"/>
              </w:rPr>
              <w:t>1,500,000</w:t>
            </w:r>
          </w:p>
        </w:tc>
      </w:tr>
      <w:tr w:rsidR="00487D64">
        <w:trPr>
          <w:trHeight w:val="288"/>
        </w:trPr>
        <w:tc>
          <w:tcPr>
            <w:tcW w:w="35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31" w:line="236" w:lineRule="exact"/>
              <w:ind w:right="23"/>
              <w:jc w:val="right"/>
              <w:rPr>
                <w:rFonts w:ascii="Calibri"/>
                <w:sz w:val="21"/>
              </w:rPr>
            </w:pPr>
            <w:r>
              <w:rPr>
                <w:rFonts w:ascii="Calibri"/>
                <w:spacing w:val="-10"/>
                <w:sz w:val="21"/>
              </w:rPr>
              <w:t>4</w:t>
            </w:r>
          </w:p>
        </w:tc>
        <w:tc>
          <w:tcPr>
            <w:tcW w:w="325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38"/>
              <w:rPr>
                <w:sz w:val="23"/>
              </w:rPr>
            </w:pPr>
            <w:r>
              <w:rPr>
                <w:sz w:val="23"/>
              </w:rPr>
              <w:t>Publication</w:t>
            </w:r>
            <w:r>
              <w:rPr>
                <w:spacing w:val="-12"/>
                <w:sz w:val="23"/>
              </w:rPr>
              <w:t xml:space="preserve"> </w:t>
            </w:r>
            <w:r>
              <w:rPr>
                <w:spacing w:val="-5"/>
                <w:sz w:val="23"/>
              </w:rPr>
              <w:t>fee</w:t>
            </w:r>
          </w:p>
        </w:tc>
        <w:tc>
          <w:tcPr>
            <w:tcW w:w="163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3" w:right="7"/>
              <w:jc w:val="center"/>
              <w:rPr>
                <w:sz w:val="23"/>
              </w:rPr>
            </w:pPr>
            <w:r>
              <w:rPr>
                <w:sz w:val="23"/>
              </w:rPr>
              <w:t>1</w:t>
            </w:r>
            <w:r>
              <w:rPr>
                <w:spacing w:val="1"/>
                <w:sz w:val="23"/>
              </w:rPr>
              <w:t xml:space="preserve"> </w:t>
            </w:r>
            <w:r>
              <w:rPr>
                <w:spacing w:val="-4"/>
                <w:sz w:val="23"/>
              </w:rPr>
              <w:t>Year</w:t>
            </w:r>
          </w:p>
        </w:tc>
        <w:tc>
          <w:tcPr>
            <w:tcW w:w="1456"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15" w:right="6"/>
              <w:jc w:val="center"/>
              <w:rPr>
                <w:sz w:val="23"/>
              </w:rPr>
            </w:pPr>
            <w:r>
              <w:rPr>
                <w:spacing w:val="-2"/>
                <w:sz w:val="23"/>
              </w:rPr>
              <w:t>1,000,000</w:t>
            </w:r>
          </w:p>
        </w:tc>
        <w:tc>
          <w:tcPr>
            <w:tcW w:w="233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line="251" w:lineRule="exact"/>
              <w:ind w:left="5" w:right="6"/>
              <w:jc w:val="center"/>
              <w:rPr>
                <w:sz w:val="23"/>
              </w:rPr>
            </w:pPr>
            <w:r>
              <w:rPr>
                <w:spacing w:val="-2"/>
                <w:sz w:val="23"/>
              </w:rPr>
              <w:t>1,000,000</w:t>
            </w:r>
          </w:p>
        </w:tc>
      </w:tr>
      <w:tr w:rsidR="00487D64">
        <w:trPr>
          <w:trHeight w:val="591"/>
        </w:trPr>
        <w:tc>
          <w:tcPr>
            <w:tcW w:w="350" w:type="dxa"/>
            <w:tcBorders>
              <w:top w:val="single" w:sz="6" w:space="0" w:color="000000"/>
              <w:left w:val="single" w:sz="6" w:space="0" w:color="000000"/>
              <w:bottom w:val="single" w:sz="6" w:space="0" w:color="000000"/>
              <w:right w:val="single" w:sz="6" w:space="0" w:color="000000"/>
            </w:tcBorders>
          </w:tcPr>
          <w:p w:rsidR="00487D64" w:rsidRDefault="00487D64">
            <w:pPr>
              <w:pStyle w:val="TableParagraph"/>
              <w:spacing w:before="93"/>
              <w:rPr>
                <w:b/>
                <w:sz w:val="21"/>
              </w:rPr>
            </w:pPr>
          </w:p>
          <w:p w:rsidR="00487D64" w:rsidRDefault="006F0D93">
            <w:pPr>
              <w:pStyle w:val="TableParagraph"/>
              <w:spacing w:line="237" w:lineRule="exact"/>
              <w:ind w:right="23"/>
              <w:jc w:val="right"/>
              <w:rPr>
                <w:rFonts w:ascii="Calibri"/>
                <w:sz w:val="21"/>
              </w:rPr>
            </w:pPr>
            <w:r>
              <w:rPr>
                <w:rFonts w:ascii="Calibri"/>
                <w:spacing w:val="-10"/>
                <w:sz w:val="21"/>
              </w:rPr>
              <w:t>5</w:t>
            </w:r>
          </w:p>
        </w:tc>
        <w:tc>
          <w:tcPr>
            <w:tcW w:w="325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7"/>
              <w:ind w:left="38"/>
              <w:rPr>
                <w:sz w:val="23"/>
              </w:rPr>
            </w:pPr>
            <w:r>
              <w:rPr>
                <w:sz w:val="23"/>
              </w:rPr>
              <w:t>Books/</w:t>
            </w:r>
            <w:r>
              <w:rPr>
                <w:spacing w:val="29"/>
                <w:sz w:val="23"/>
              </w:rPr>
              <w:t xml:space="preserve">  </w:t>
            </w:r>
            <w:r>
              <w:rPr>
                <w:sz w:val="23"/>
              </w:rPr>
              <w:t>Internet</w:t>
            </w:r>
            <w:r>
              <w:rPr>
                <w:spacing w:val="30"/>
                <w:sz w:val="23"/>
              </w:rPr>
              <w:t xml:space="preserve">  </w:t>
            </w:r>
            <w:r>
              <w:rPr>
                <w:sz w:val="23"/>
              </w:rPr>
              <w:t>and</w:t>
            </w:r>
            <w:r>
              <w:rPr>
                <w:spacing w:val="27"/>
                <w:sz w:val="23"/>
              </w:rPr>
              <w:t xml:space="preserve">  </w:t>
            </w:r>
            <w:r>
              <w:rPr>
                <w:spacing w:val="-2"/>
                <w:sz w:val="23"/>
              </w:rPr>
              <w:t>Stationary</w:t>
            </w:r>
          </w:p>
          <w:p w:rsidR="00487D64" w:rsidRDefault="006F0D93">
            <w:pPr>
              <w:pStyle w:val="TableParagraph"/>
              <w:spacing w:before="38" w:line="252" w:lineRule="exact"/>
              <w:ind w:left="38"/>
              <w:rPr>
                <w:sz w:val="23"/>
              </w:rPr>
            </w:pPr>
            <w:r>
              <w:rPr>
                <w:spacing w:val="-2"/>
                <w:sz w:val="23"/>
              </w:rPr>
              <w:t>Allowance</w:t>
            </w:r>
          </w:p>
        </w:tc>
        <w:tc>
          <w:tcPr>
            <w:tcW w:w="163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8"/>
              <w:ind w:left="3" w:right="6"/>
              <w:jc w:val="center"/>
              <w:rPr>
                <w:sz w:val="23"/>
              </w:rPr>
            </w:pPr>
            <w:r>
              <w:rPr>
                <w:sz w:val="23"/>
              </w:rPr>
              <w:t>3</w:t>
            </w:r>
            <w:r>
              <w:rPr>
                <w:spacing w:val="1"/>
                <w:sz w:val="23"/>
              </w:rPr>
              <w:t xml:space="preserve"> </w:t>
            </w:r>
            <w:r>
              <w:rPr>
                <w:spacing w:val="-2"/>
                <w:sz w:val="23"/>
              </w:rPr>
              <w:t>Years</w:t>
            </w:r>
          </w:p>
        </w:tc>
        <w:tc>
          <w:tcPr>
            <w:tcW w:w="1456"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8"/>
              <w:ind w:left="15" w:right="15"/>
              <w:jc w:val="center"/>
              <w:rPr>
                <w:sz w:val="23"/>
              </w:rPr>
            </w:pPr>
            <w:r>
              <w:rPr>
                <w:spacing w:val="-2"/>
                <w:sz w:val="23"/>
              </w:rPr>
              <w:t>500,000</w:t>
            </w:r>
          </w:p>
        </w:tc>
        <w:tc>
          <w:tcPr>
            <w:tcW w:w="233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8"/>
              <w:ind w:left="5" w:right="6"/>
              <w:jc w:val="center"/>
              <w:rPr>
                <w:sz w:val="23"/>
              </w:rPr>
            </w:pPr>
            <w:r>
              <w:rPr>
                <w:spacing w:val="-2"/>
                <w:sz w:val="23"/>
              </w:rPr>
              <w:t>1,500,000</w:t>
            </w:r>
          </w:p>
        </w:tc>
      </w:tr>
      <w:tr w:rsidR="00487D64">
        <w:trPr>
          <w:trHeight w:val="288"/>
        </w:trPr>
        <w:tc>
          <w:tcPr>
            <w:tcW w:w="350" w:type="dxa"/>
            <w:tcBorders>
              <w:top w:val="single" w:sz="6" w:space="0" w:color="000000"/>
              <w:left w:val="single" w:sz="6" w:space="0" w:color="000000"/>
              <w:bottom w:val="single" w:sz="6" w:space="0" w:color="000000"/>
              <w:right w:val="single" w:sz="6" w:space="0" w:color="000000"/>
            </w:tcBorders>
          </w:tcPr>
          <w:p w:rsidR="00487D64" w:rsidRDefault="00487D64">
            <w:pPr>
              <w:pStyle w:val="TableParagraph"/>
              <w:rPr>
                <w:sz w:val="20"/>
              </w:rPr>
            </w:pPr>
          </w:p>
        </w:tc>
        <w:tc>
          <w:tcPr>
            <w:tcW w:w="325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97"/>
              <w:rPr>
                <w:b/>
                <w:sz w:val="23"/>
              </w:rPr>
            </w:pPr>
            <w:r>
              <w:rPr>
                <w:b/>
                <w:spacing w:val="-2"/>
                <w:sz w:val="23"/>
              </w:rPr>
              <w:t>Total</w:t>
            </w:r>
          </w:p>
        </w:tc>
        <w:tc>
          <w:tcPr>
            <w:tcW w:w="1631"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7" w:right="4"/>
              <w:jc w:val="center"/>
              <w:rPr>
                <w:b/>
                <w:sz w:val="23"/>
              </w:rPr>
            </w:pPr>
            <w:r>
              <w:rPr>
                <w:b/>
                <w:spacing w:val="-5"/>
                <w:sz w:val="23"/>
              </w:rPr>
              <w:t>N/A</w:t>
            </w:r>
          </w:p>
        </w:tc>
        <w:tc>
          <w:tcPr>
            <w:tcW w:w="1456"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15"/>
              <w:jc w:val="center"/>
              <w:rPr>
                <w:b/>
                <w:sz w:val="23"/>
              </w:rPr>
            </w:pPr>
            <w:r>
              <w:rPr>
                <w:b/>
                <w:spacing w:val="-5"/>
                <w:sz w:val="23"/>
              </w:rPr>
              <w:t>N/A</w:t>
            </w:r>
          </w:p>
        </w:tc>
        <w:tc>
          <w:tcPr>
            <w:tcW w:w="2330" w:type="dxa"/>
            <w:tcBorders>
              <w:top w:val="single" w:sz="6" w:space="0" w:color="000000"/>
              <w:left w:val="single" w:sz="6" w:space="0" w:color="000000"/>
              <w:bottom w:val="single" w:sz="6" w:space="0" w:color="000000"/>
              <w:right w:val="single" w:sz="6" w:space="0" w:color="000000"/>
            </w:tcBorders>
          </w:tcPr>
          <w:p w:rsidR="00487D64" w:rsidRDefault="006F0D93">
            <w:pPr>
              <w:pStyle w:val="TableParagraph"/>
              <w:spacing w:before="16" w:line="252" w:lineRule="exact"/>
              <w:ind w:left="5" w:right="6"/>
              <w:jc w:val="center"/>
              <w:rPr>
                <w:b/>
                <w:sz w:val="23"/>
              </w:rPr>
            </w:pPr>
            <w:r>
              <w:rPr>
                <w:b/>
                <w:spacing w:val="-2"/>
                <w:sz w:val="23"/>
              </w:rPr>
              <w:t>29,500,000</w:t>
            </w:r>
          </w:p>
        </w:tc>
      </w:tr>
    </w:tbl>
    <w:p w:rsidR="00487D64" w:rsidRDefault="00487D64">
      <w:pPr>
        <w:pStyle w:val="TableParagraph"/>
        <w:spacing w:line="252" w:lineRule="exact"/>
        <w:jc w:val="center"/>
        <w:rPr>
          <w:b/>
          <w:sz w:val="23"/>
        </w:rPr>
        <w:sectPr w:rsidR="00487D64">
          <w:pgSz w:w="11910" w:h="16850"/>
          <w:pgMar w:top="980" w:right="566" w:bottom="280" w:left="850" w:header="725" w:footer="0" w:gutter="0"/>
          <w:cols w:space="720"/>
        </w:sectPr>
      </w:pPr>
    </w:p>
    <w:p w:rsidR="00487D64" w:rsidRDefault="00487D64">
      <w:pPr>
        <w:pStyle w:val="BodyText"/>
        <w:rPr>
          <w:b/>
        </w:rPr>
      </w:pPr>
    </w:p>
    <w:p w:rsidR="00487D64" w:rsidRDefault="00487D64">
      <w:pPr>
        <w:pStyle w:val="BodyText"/>
        <w:rPr>
          <w:b/>
        </w:rPr>
      </w:pPr>
    </w:p>
    <w:p w:rsidR="00487D64" w:rsidRDefault="00487D64">
      <w:pPr>
        <w:pStyle w:val="BodyText"/>
        <w:rPr>
          <w:b/>
        </w:rPr>
      </w:pPr>
    </w:p>
    <w:p w:rsidR="00487D64" w:rsidRDefault="00487D64">
      <w:pPr>
        <w:pStyle w:val="BodyText"/>
        <w:spacing w:before="231"/>
        <w:rPr>
          <w:b/>
        </w:rPr>
      </w:pPr>
    </w:p>
    <w:p w:rsidR="00487D64" w:rsidRDefault="006F0D93">
      <w:pPr>
        <w:ind w:left="1419"/>
        <w:rPr>
          <w:b/>
          <w:sz w:val="23"/>
        </w:rPr>
      </w:pPr>
      <w:r>
        <w:rPr>
          <w:b/>
          <w:sz w:val="23"/>
        </w:rPr>
        <w:t>Appendix</w:t>
      </w:r>
      <w:r>
        <w:rPr>
          <w:b/>
          <w:spacing w:val="19"/>
          <w:sz w:val="23"/>
        </w:rPr>
        <w:t xml:space="preserve"> </w:t>
      </w:r>
      <w:r>
        <w:rPr>
          <w:b/>
          <w:sz w:val="23"/>
        </w:rPr>
        <w:t>7:</w:t>
      </w:r>
      <w:r>
        <w:rPr>
          <w:b/>
          <w:spacing w:val="36"/>
          <w:sz w:val="23"/>
        </w:rPr>
        <w:t xml:space="preserve"> </w:t>
      </w:r>
      <w:r>
        <w:rPr>
          <w:b/>
          <w:sz w:val="23"/>
        </w:rPr>
        <w:t>Acceptance</w:t>
      </w:r>
      <w:r>
        <w:rPr>
          <w:b/>
          <w:spacing w:val="29"/>
          <w:sz w:val="23"/>
        </w:rPr>
        <w:t xml:space="preserve"> </w:t>
      </w:r>
      <w:r>
        <w:rPr>
          <w:b/>
          <w:spacing w:val="-2"/>
          <w:sz w:val="23"/>
        </w:rPr>
        <w:t>letter</w:t>
      </w:r>
    </w:p>
    <w:p w:rsidR="00487D64" w:rsidRDefault="006F0D93">
      <w:pPr>
        <w:pStyle w:val="BodyText"/>
        <w:spacing w:before="9"/>
        <w:rPr>
          <w:b/>
          <w:sz w:val="17"/>
        </w:rPr>
      </w:pPr>
      <w:r>
        <w:rPr>
          <w:b/>
          <w:noProof/>
          <w:sz w:val="17"/>
        </w:rPr>
        <w:drawing>
          <wp:anchor distT="0" distB="0" distL="0" distR="0" simplePos="0" relativeHeight="487594496" behindDoc="1" locked="0" layoutInCell="1" allowOverlap="1">
            <wp:simplePos x="0" y="0"/>
            <wp:positionH relativeFrom="page">
              <wp:posOffset>984250</wp:posOffset>
            </wp:positionH>
            <wp:positionV relativeFrom="paragraph">
              <wp:posOffset>145299</wp:posOffset>
            </wp:positionV>
            <wp:extent cx="5680186" cy="6186297"/>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2" cstate="print"/>
                    <a:stretch>
                      <a:fillRect/>
                    </a:stretch>
                  </pic:blipFill>
                  <pic:spPr>
                    <a:xfrm>
                      <a:off x="0" y="0"/>
                      <a:ext cx="5680186" cy="6186297"/>
                    </a:xfrm>
                    <a:prstGeom prst="rect">
                      <a:avLst/>
                    </a:prstGeom>
                  </pic:spPr>
                </pic:pic>
              </a:graphicData>
            </a:graphic>
          </wp:anchor>
        </w:drawing>
      </w:r>
    </w:p>
    <w:p w:rsidR="00487D64" w:rsidRDefault="00487D64">
      <w:pPr>
        <w:pStyle w:val="BodyText"/>
        <w:rPr>
          <w:b/>
          <w:sz w:val="17"/>
        </w:rPr>
        <w:sectPr w:rsidR="00487D64">
          <w:pgSz w:w="11910" w:h="16850"/>
          <w:pgMar w:top="980" w:right="566" w:bottom="280" w:left="850" w:header="725" w:footer="0" w:gutter="0"/>
          <w:cols w:space="720"/>
        </w:sectPr>
      </w:pPr>
    </w:p>
    <w:p w:rsidR="00487D64" w:rsidRDefault="006F0D93">
      <w:pPr>
        <w:spacing w:before="255" w:line="276" w:lineRule="auto"/>
        <w:ind w:left="88" w:right="370" w:hanging="5"/>
        <w:jc w:val="center"/>
        <w:rPr>
          <w:b/>
          <w:sz w:val="48"/>
        </w:rPr>
      </w:pPr>
      <w:r>
        <w:rPr>
          <w:b/>
          <w:sz w:val="48"/>
        </w:rPr>
        <w:lastRenderedPageBreak/>
        <w:t>Structural Model Showing the Influence of Customer Orientation and Competitor Orientation</w:t>
      </w:r>
      <w:r>
        <w:rPr>
          <w:b/>
          <w:spacing w:val="-10"/>
          <w:sz w:val="48"/>
        </w:rPr>
        <w:t xml:space="preserve"> </w:t>
      </w:r>
      <w:r>
        <w:rPr>
          <w:b/>
          <w:sz w:val="48"/>
        </w:rPr>
        <w:t>on</w:t>
      </w:r>
      <w:r>
        <w:rPr>
          <w:b/>
          <w:spacing w:val="-6"/>
          <w:sz w:val="48"/>
        </w:rPr>
        <w:t xml:space="preserve"> </w:t>
      </w:r>
      <w:r>
        <w:rPr>
          <w:b/>
          <w:sz w:val="48"/>
        </w:rPr>
        <w:t>Sustainable</w:t>
      </w:r>
      <w:r>
        <w:rPr>
          <w:b/>
          <w:spacing w:val="-7"/>
          <w:sz w:val="48"/>
        </w:rPr>
        <w:t xml:space="preserve"> </w:t>
      </w:r>
      <w:r>
        <w:rPr>
          <w:b/>
          <w:sz w:val="48"/>
        </w:rPr>
        <w:t>Competitiveness</w:t>
      </w:r>
      <w:r>
        <w:rPr>
          <w:b/>
          <w:spacing w:val="-6"/>
          <w:sz w:val="48"/>
        </w:rPr>
        <w:t xml:space="preserve"> </w:t>
      </w:r>
      <w:r>
        <w:rPr>
          <w:b/>
          <w:sz w:val="48"/>
        </w:rPr>
        <w:t>with the Moderating Role of Strategic Flexibility</w:t>
      </w:r>
    </w:p>
    <w:p w:rsidR="00487D64" w:rsidRDefault="006F0D93">
      <w:pPr>
        <w:spacing w:before="315"/>
        <w:ind w:left="71" w:right="355"/>
        <w:jc w:val="center"/>
        <w:rPr>
          <w:b/>
          <w:sz w:val="32"/>
        </w:rPr>
      </w:pPr>
      <w:r>
        <w:rPr>
          <w:b/>
          <w:sz w:val="32"/>
        </w:rPr>
        <w:t>Denis</w:t>
      </w:r>
      <w:r>
        <w:rPr>
          <w:b/>
          <w:spacing w:val="-10"/>
          <w:sz w:val="32"/>
        </w:rPr>
        <w:t xml:space="preserve"> </w:t>
      </w:r>
      <w:r>
        <w:rPr>
          <w:b/>
          <w:sz w:val="32"/>
        </w:rPr>
        <w:t>Clement</w:t>
      </w:r>
      <w:r>
        <w:rPr>
          <w:b/>
          <w:spacing w:val="-8"/>
          <w:sz w:val="32"/>
        </w:rPr>
        <w:t xml:space="preserve"> </w:t>
      </w:r>
      <w:r>
        <w:rPr>
          <w:b/>
          <w:sz w:val="32"/>
        </w:rPr>
        <w:t>Kawishe</w:t>
      </w:r>
      <w:r>
        <w:rPr>
          <w:b/>
          <w:sz w:val="32"/>
          <w:vertAlign w:val="superscript"/>
        </w:rPr>
        <w:t>1</w:t>
      </w:r>
      <w:r>
        <w:rPr>
          <w:b/>
          <w:sz w:val="32"/>
        </w:rPr>
        <w:t>,</w:t>
      </w:r>
      <w:r>
        <w:rPr>
          <w:b/>
          <w:spacing w:val="-11"/>
          <w:sz w:val="32"/>
        </w:rPr>
        <w:t xml:space="preserve"> </w:t>
      </w:r>
      <w:r>
        <w:rPr>
          <w:b/>
          <w:sz w:val="32"/>
        </w:rPr>
        <w:t>France</w:t>
      </w:r>
      <w:r>
        <w:rPr>
          <w:b/>
          <w:spacing w:val="-8"/>
          <w:sz w:val="32"/>
        </w:rPr>
        <w:t xml:space="preserve"> </w:t>
      </w:r>
      <w:r>
        <w:rPr>
          <w:b/>
          <w:sz w:val="32"/>
        </w:rPr>
        <w:t>Aloyce</w:t>
      </w:r>
      <w:r>
        <w:rPr>
          <w:b/>
          <w:spacing w:val="-9"/>
          <w:sz w:val="32"/>
        </w:rPr>
        <w:t xml:space="preserve"> </w:t>
      </w:r>
      <w:r>
        <w:rPr>
          <w:b/>
          <w:sz w:val="32"/>
        </w:rPr>
        <w:t>Shayo</w:t>
      </w:r>
      <w:r>
        <w:rPr>
          <w:b/>
          <w:sz w:val="32"/>
          <w:vertAlign w:val="superscript"/>
        </w:rPr>
        <w:t>2</w:t>
      </w:r>
      <w:r>
        <w:rPr>
          <w:b/>
          <w:sz w:val="32"/>
        </w:rPr>
        <w:t>,</w:t>
      </w:r>
      <w:r>
        <w:rPr>
          <w:b/>
          <w:spacing w:val="-11"/>
          <w:sz w:val="32"/>
        </w:rPr>
        <w:t xml:space="preserve"> </w:t>
      </w:r>
      <w:r>
        <w:rPr>
          <w:b/>
          <w:sz w:val="32"/>
        </w:rPr>
        <w:t>Alban</w:t>
      </w:r>
      <w:r>
        <w:rPr>
          <w:b/>
          <w:spacing w:val="-10"/>
          <w:sz w:val="32"/>
        </w:rPr>
        <w:t xml:space="preserve"> </w:t>
      </w:r>
      <w:r>
        <w:rPr>
          <w:b/>
          <w:sz w:val="32"/>
        </w:rPr>
        <w:t>Dismas</w:t>
      </w:r>
      <w:r>
        <w:rPr>
          <w:b/>
          <w:spacing w:val="-9"/>
          <w:sz w:val="32"/>
        </w:rPr>
        <w:t xml:space="preserve"> </w:t>
      </w:r>
      <w:r>
        <w:rPr>
          <w:b/>
          <w:spacing w:val="-2"/>
          <w:sz w:val="32"/>
        </w:rPr>
        <w:t>Mchopa</w:t>
      </w:r>
      <w:r>
        <w:rPr>
          <w:b/>
          <w:spacing w:val="-2"/>
          <w:sz w:val="32"/>
          <w:vertAlign w:val="superscript"/>
        </w:rPr>
        <w:t>3</w:t>
      </w:r>
    </w:p>
    <w:p w:rsidR="00487D64" w:rsidRDefault="00487D64">
      <w:pPr>
        <w:pStyle w:val="BodyText"/>
        <w:spacing w:before="7"/>
        <w:rPr>
          <w:b/>
          <w:sz w:val="32"/>
        </w:rPr>
      </w:pPr>
    </w:p>
    <w:p w:rsidR="00487D64" w:rsidRDefault="006F0D93">
      <w:pPr>
        <w:spacing w:line="276" w:lineRule="auto"/>
        <w:ind w:left="249" w:right="534"/>
        <w:jc w:val="center"/>
        <w:rPr>
          <w:sz w:val="24"/>
        </w:rPr>
      </w:pPr>
      <w:r>
        <w:rPr>
          <w:sz w:val="24"/>
          <w:vertAlign w:val="superscript"/>
        </w:rPr>
        <w:t>1</w:t>
      </w:r>
      <w:r>
        <w:rPr>
          <w:sz w:val="24"/>
        </w:rPr>
        <w:t>Department</w:t>
      </w:r>
      <w:r>
        <w:rPr>
          <w:spacing w:val="-4"/>
          <w:sz w:val="24"/>
        </w:rPr>
        <w:t xml:space="preserve"> </w:t>
      </w:r>
      <w:r>
        <w:rPr>
          <w:sz w:val="24"/>
        </w:rPr>
        <w:t>of</w:t>
      </w:r>
      <w:r>
        <w:rPr>
          <w:spacing w:val="-4"/>
          <w:sz w:val="24"/>
        </w:rPr>
        <w:t xml:space="preserve"> </w:t>
      </w:r>
      <w:r>
        <w:rPr>
          <w:sz w:val="24"/>
        </w:rPr>
        <w:t>Marketing,</w:t>
      </w:r>
      <w:r>
        <w:rPr>
          <w:spacing w:val="-4"/>
          <w:sz w:val="24"/>
        </w:rPr>
        <w:t xml:space="preserve"> </w:t>
      </w:r>
      <w:r>
        <w:rPr>
          <w:sz w:val="24"/>
        </w:rPr>
        <w:t>Entrepreneurship</w:t>
      </w:r>
      <w:r>
        <w:rPr>
          <w:spacing w:val="-4"/>
          <w:sz w:val="24"/>
        </w:rPr>
        <w:t xml:space="preserve"> </w:t>
      </w:r>
      <w:r>
        <w:rPr>
          <w:sz w:val="24"/>
        </w:rPr>
        <w:t>and</w:t>
      </w:r>
      <w:r>
        <w:rPr>
          <w:spacing w:val="-1"/>
          <w:sz w:val="24"/>
        </w:rPr>
        <w:t xml:space="preserve"> </w:t>
      </w:r>
      <w:r>
        <w:rPr>
          <w:sz w:val="24"/>
        </w:rPr>
        <w:t>Management,</w:t>
      </w:r>
      <w:r>
        <w:rPr>
          <w:spacing w:val="-4"/>
          <w:sz w:val="24"/>
        </w:rPr>
        <w:t xml:space="preserve"> </w:t>
      </w:r>
      <w:r>
        <w:rPr>
          <w:sz w:val="24"/>
        </w:rPr>
        <w:t>The</w:t>
      </w:r>
      <w:r>
        <w:rPr>
          <w:spacing w:val="-5"/>
          <w:sz w:val="24"/>
        </w:rPr>
        <w:t xml:space="preserve"> </w:t>
      </w:r>
      <w:r>
        <w:rPr>
          <w:sz w:val="24"/>
        </w:rPr>
        <w:t>Open</w:t>
      </w:r>
      <w:r>
        <w:rPr>
          <w:spacing w:val="-2"/>
          <w:sz w:val="24"/>
        </w:rPr>
        <w:t xml:space="preserve"> </w:t>
      </w:r>
      <w:r>
        <w:rPr>
          <w:sz w:val="24"/>
        </w:rPr>
        <w:t>University</w:t>
      </w:r>
      <w:r>
        <w:rPr>
          <w:spacing w:val="-4"/>
          <w:sz w:val="24"/>
        </w:rPr>
        <w:t xml:space="preserve"> </w:t>
      </w:r>
      <w:r>
        <w:rPr>
          <w:sz w:val="24"/>
        </w:rPr>
        <w:t>of</w:t>
      </w:r>
      <w:r>
        <w:rPr>
          <w:spacing w:val="-4"/>
          <w:sz w:val="24"/>
        </w:rPr>
        <w:t xml:space="preserve"> </w:t>
      </w:r>
      <w:r>
        <w:rPr>
          <w:sz w:val="24"/>
        </w:rPr>
        <w:t>Tanzania, Dar es Salaam, Tanzania</w:t>
      </w:r>
    </w:p>
    <w:p w:rsidR="00487D64" w:rsidRDefault="006F0D93">
      <w:pPr>
        <w:spacing w:line="276" w:lineRule="auto"/>
        <w:ind w:left="68" w:right="355"/>
        <w:jc w:val="center"/>
        <w:rPr>
          <w:sz w:val="24"/>
        </w:rPr>
      </w:pPr>
      <w:r>
        <w:rPr>
          <w:sz w:val="24"/>
          <w:vertAlign w:val="superscript"/>
        </w:rPr>
        <w:t>2</w:t>
      </w:r>
      <w:r>
        <w:rPr>
          <w:sz w:val="24"/>
        </w:rPr>
        <w:t>Department</w:t>
      </w:r>
      <w:r>
        <w:rPr>
          <w:spacing w:val="-4"/>
          <w:sz w:val="24"/>
        </w:rPr>
        <w:t xml:space="preserve"> </w:t>
      </w:r>
      <w:r>
        <w:rPr>
          <w:sz w:val="24"/>
        </w:rPr>
        <w:t>of</w:t>
      </w:r>
      <w:r>
        <w:rPr>
          <w:spacing w:val="-4"/>
          <w:sz w:val="24"/>
        </w:rPr>
        <w:t xml:space="preserve"> </w:t>
      </w:r>
      <w:r>
        <w:rPr>
          <w:sz w:val="24"/>
        </w:rPr>
        <w:t>Planning</w:t>
      </w:r>
      <w:r>
        <w:rPr>
          <w:spacing w:val="-4"/>
          <w:sz w:val="24"/>
        </w:rPr>
        <w:t xml:space="preserve"> </w:t>
      </w:r>
      <w:r>
        <w:rPr>
          <w:sz w:val="24"/>
        </w:rPr>
        <w:t>Finance</w:t>
      </w:r>
      <w:r>
        <w:rPr>
          <w:spacing w:val="-5"/>
          <w:sz w:val="24"/>
        </w:rPr>
        <w:t xml:space="preserve"> </w:t>
      </w:r>
      <w:r>
        <w:rPr>
          <w:sz w:val="24"/>
        </w:rPr>
        <w:t>and</w:t>
      </w:r>
      <w:r>
        <w:rPr>
          <w:spacing w:val="-4"/>
          <w:sz w:val="24"/>
        </w:rPr>
        <w:t xml:space="preserve"> </w:t>
      </w:r>
      <w:r>
        <w:rPr>
          <w:sz w:val="24"/>
        </w:rPr>
        <w:t>Administration,</w:t>
      </w:r>
      <w:r>
        <w:rPr>
          <w:spacing w:val="-4"/>
          <w:sz w:val="24"/>
        </w:rPr>
        <w:t xml:space="preserve"> </w:t>
      </w:r>
      <w:r>
        <w:rPr>
          <w:sz w:val="24"/>
        </w:rPr>
        <w:t>Eastern</w:t>
      </w:r>
      <w:r>
        <w:rPr>
          <w:spacing w:val="-4"/>
          <w:sz w:val="24"/>
        </w:rPr>
        <w:t xml:space="preserve"> </w:t>
      </w:r>
      <w:r>
        <w:rPr>
          <w:sz w:val="24"/>
        </w:rPr>
        <w:t>Africa</w:t>
      </w:r>
      <w:r>
        <w:rPr>
          <w:spacing w:val="-5"/>
          <w:sz w:val="24"/>
        </w:rPr>
        <w:t xml:space="preserve"> </w:t>
      </w:r>
      <w:r>
        <w:rPr>
          <w:sz w:val="24"/>
        </w:rPr>
        <w:t>Statistical</w:t>
      </w:r>
      <w:r>
        <w:rPr>
          <w:spacing w:val="-4"/>
          <w:sz w:val="24"/>
        </w:rPr>
        <w:t xml:space="preserve"> </w:t>
      </w:r>
      <w:r>
        <w:rPr>
          <w:sz w:val="24"/>
        </w:rPr>
        <w:t>Training</w:t>
      </w:r>
      <w:r>
        <w:rPr>
          <w:spacing w:val="-4"/>
          <w:sz w:val="24"/>
        </w:rPr>
        <w:t xml:space="preserve"> </w:t>
      </w:r>
      <w:r>
        <w:rPr>
          <w:sz w:val="24"/>
        </w:rPr>
        <w:t xml:space="preserve">Centre, </w:t>
      </w:r>
      <w:r>
        <w:rPr>
          <w:spacing w:val="-2"/>
          <w:sz w:val="24"/>
        </w:rPr>
        <w:t>Tanzania</w:t>
      </w:r>
    </w:p>
    <w:p w:rsidR="00487D64" w:rsidRDefault="006F0D93">
      <w:pPr>
        <w:spacing w:line="276" w:lineRule="auto"/>
        <w:ind w:left="72" w:right="355"/>
        <w:jc w:val="center"/>
        <w:rPr>
          <w:sz w:val="24"/>
        </w:rPr>
      </w:pPr>
      <w:r>
        <w:rPr>
          <w:sz w:val="24"/>
          <w:vertAlign w:val="superscript"/>
        </w:rPr>
        <w:t>3</w:t>
      </w:r>
      <w:r>
        <w:rPr>
          <w:sz w:val="24"/>
        </w:rPr>
        <w:t>Department</w:t>
      </w:r>
      <w:r>
        <w:rPr>
          <w:spacing w:val="-3"/>
          <w:sz w:val="24"/>
        </w:rPr>
        <w:t xml:space="preserve"> </w:t>
      </w:r>
      <w:r>
        <w:rPr>
          <w:sz w:val="24"/>
        </w:rPr>
        <w:t>of</w:t>
      </w:r>
      <w:r>
        <w:rPr>
          <w:spacing w:val="-3"/>
          <w:sz w:val="24"/>
        </w:rPr>
        <w:t xml:space="preserve"> </w:t>
      </w:r>
      <w:r>
        <w:rPr>
          <w:sz w:val="24"/>
        </w:rPr>
        <w:t>Procurement</w:t>
      </w:r>
      <w:r>
        <w:rPr>
          <w:spacing w:val="-3"/>
          <w:sz w:val="24"/>
        </w:rPr>
        <w:t xml:space="preserve"> </w:t>
      </w:r>
      <w:r>
        <w:rPr>
          <w:sz w:val="24"/>
        </w:rPr>
        <w:t>and</w:t>
      </w:r>
      <w:r>
        <w:rPr>
          <w:spacing w:val="-3"/>
          <w:sz w:val="24"/>
        </w:rPr>
        <w:t xml:space="preserve"> </w:t>
      </w:r>
      <w:r>
        <w:rPr>
          <w:sz w:val="24"/>
        </w:rPr>
        <w:t>Supply</w:t>
      </w:r>
      <w:r>
        <w:rPr>
          <w:spacing w:val="-3"/>
          <w:sz w:val="24"/>
        </w:rPr>
        <w:t xml:space="preserve"> </w:t>
      </w:r>
      <w:r>
        <w:rPr>
          <w:sz w:val="24"/>
        </w:rPr>
        <w:t>Chain</w:t>
      </w:r>
      <w:r>
        <w:rPr>
          <w:spacing w:val="-3"/>
          <w:sz w:val="24"/>
        </w:rPr>
        <w:t xml:space="preserve"> </w:t>
      </w:r>
      <w:r>
        <w:rPr>
          <w:sz w:val="24"/>
        </w:rPr>
        <w:t>Management</w:t>
      </w:r>
      <w:r>
        <w:rPr>
          <w:spacing w:val="-2"/>
          <w:sz w:val="24"/>
        </w:rPr>
        <w:t xml:space="preserve"> </w:t>
      </w:r>
      <w:r>
        <w:rPr>
          <w:sz w:val="24"/>
        </w:rPr>
        <w:t>Moshi</w:t>
      </w:r>
      <w:r>
        <w:rPr>
          <w:spacing w:val="-3"/>
          <w:sz w:val="24"/>
        </w:rPr>
        <w:t xml:space="preserve"> </w:t>
      </w:r>
      <w:r>
        <w:rPr>
          <w:sz w:val="24"/>
        </w:rPr>
        <w:t>Co-operative</w:t>
      </w:r>
      <w:r>
        <w:rPr>
          <w:spacing w:val="-4"/>
          <w:sz w:val="24"/>
        </w:rPr>
        <w:t xml:space="preserve"> </w:t>
      </w:r>
      <w:r>
        <w:rPr>
          <w:sz w:val="24"/>
        </w:rPr>
        <w:t>University,</w:t>
      </w:r>
      <w:r>
        <w:rPr>
          <w:spacing w:val="-3"/>
          <w:sz w:val="24"/>
        </w:rPr>
        <w:t xml:space="preserve"> </w:t>
      </w:r>
      <w:r>
        <w:rPr>
          <w:sz w:val="24"/>
        </w:rPr>
        <w:t xml:space="preserve">Moshi, </w:t>
      </w:r>
      <w:r>
        <w:rPr>
          <w:spacing w:val="-2"/>
          <w:sz w:val="24"/>
        </w:rPr>
        <w:t>Tanzania</w:t>
      </w:r>
    </w:p>
    <w:p w:rsidR="00487D64" w:rsidRDefault="00487D64">
      <w:pPr>
        <w:pStyle w:val="BodyText"/>
        <w:spacing w:before="40"/>
        <w:rPr>
          <w:sz w:val="24"/>
        </w:rPr>
      </w:pPr>
    </w:p>
    <w:p w:rsidR="00487D64" w:rsidRDefault="006F0D93">
      <w:pPr>
        <w:ind w:left="57"/>
        <w:rPr>
          <w:b/>
          <w:sz w:val="24"/>
        </w:rPr>
      </w:pPr>
      <w:r>
        <w:rPr>
          <w:b/>
          <w:spacing w:val="-2"/>
          <w:sz w:val="24"/>
        </w:rPr>
        <w:t>Abstract:</w:t>
      </w:r>
    </w:p>
    <w:p w:rsidR="00487D64" w:rsidRDefault="006F0D93">
      <w:pPr>
        <w:spacing w:before="43" w:line="276" w:lineRule="auto"/>
        <w:ind w:left="57" w:right="338"/>
        <w:jc w:val="both"/>
        <w:rPr>
          <w:sz w:val="24"/>
        </w:rPr>
      </w:pPr>
      <w:r>
        <w:rPr>
          <w:sz w:val="24"/>
        </w:rPr>
        <w:t>This study investigates the influence of Customer Orientation (CU) and Competitor Orientation (CO) on Sustainable Competitiveness (SC</w:t>
      </w:r>
      <w:r>
        <w:rPr>
          <w:b/>
          <w:sz w:val="24"/>
        </w:rPr>
        <w:t xml:space="preserve">) </w:t>
      </w:r>
      <w:r>
        <w:rPr>
          <w:sz w:val="24"/>
        </w:rPr>
        <w:t>among special group SMEs engaged in public procureme</w:t>
      </w:r>
      <w:r>
        <w:rPr>
          <w:sz w:val="24"/>
        </w:rPr>
        <w:t>nt, while examining</w:t>
      </w:r>
      <w:r>
        <w:rPr>
          <w:spacing w:val="-10"/>
          <w:sz w:val="24"/>
        </w:rPr>
        <w:t xml:space="preserve"> </w:t>
      </w:r>
      <w:r>
        <w:rPr>
          <w:sz w:val="24"/>
        </w:rPr>
        <w:t>the</w:t>
      </w:r>
      <w:r>
        <w:rPr>
          <w:spacing w:val="-11"/>
          <w:sz w:val="24"/>
        </w:rPr>
        <w:t xml:space="preserve"> </w:t>
      </w:r>
      <w:r>
        <w:rPr>
          <w:sz w:val="24"/>
        </w:rPr>
        <w:t>moderating</w:t>
      </w:r>
      <w:r>
        <w:rPr>
          <w:spacing w:val="-11"/>
          <w:sz w:val="24"/>
        </w:rPr>
        <w:t xml:space="preserve"> </w:t>
      </w:r>
      <w:r>
        <w:rPr>
          <w:sz w:val="24"/>
        </w:rPr>
        <w:t>role</w:t>
      </w:r>
      <w:r>
        <w:rPr>
          <w:spacing w:val="-12"/>
          <w:sz w:val="24"/>
        </w:rPr>
        <w:t xml:space="preserve"> </w:t>
      </w:r>
      <w:r>
        <w:rPr>
          <w:sz w:val="24"/>
        </w:rPr>
        <w:t>of</w:t>
      </w:r>
      <w:r>
        <w:rPr>
          <w:spacing w:val="-11"/>
          <w:sz w:val="24"/>
        </w:rPr>
        <w:t xml:space="preserve"> </w:t>
      </w:r>
      <w:r>
        <w:rPr>
          <w:sz w:val="24"/>
        </w:rPr>
        <w:t>Strategic</w:t>
      </w:r>
      <w:r>
        <w:rPr>
          <w:spacing w:val="-12"/>
          <w:sz w:val="24"/>
        </w:rPr>
        <w:t xml:space="preserve"> </w:t>
      </w:r>
      <w:r>
        <w:rPr>
          <w:sz w:val="24"/>
        </w:rPr>
        <w:t>Flexibility</w:t>
      </w:r>
      <w:r>
        <w:rPr>
          <w:spacing w:val="-11"/>
          <w:sz w:val="24"/>
        </w:rPr>
        <w:t xml:space="preserve"> </w:t>
      </w:r>
      <w:r>
        <w:rPr>
          <w:sz w:val="24"/>
        </w:rPr>
        <w:t>(SF).</w:t>
      </w:r>
      <w:r>
        <w:rPr>
          <w:spacing w:val="-11"/>
          <w:sz w:val="24"/>
        </w:rPr>
        <w:t xml:space="preserve"> </w:t>
      </w:r>
      <w:r>
        <w:rPr>
          <w:sz w:val="24"/>
        </w:rPr>
        <w:t>Data</w:t>
      </w:r>
      <w:r>
        <w:rPr>
          <w:spacing w:val="-11"/>
          <w:sz w:val="24"/>
        </w:rPr>
        <w:t xml:space="preserve"> </w:t>
      </w:r>
      <w:r>
        <w:rPr>
          <w:sz w:val="24"/>
        </w:rPr>
        <w:t>was</w:t>
      </w:r>
      <w:r>
        <w:rPr>
          <w:spacing w:val="-10"/>
          <w:sz w:val="24"/>
        </w:rPr>
        <w:t xml:space="preserve"> </w:t>
      </w:r>
      <w:r>
        <w:rPr>
          <w:sz w:val="24"/>
        </w:rPr>
        <w:t>collected</w:t>
      </w:r>
      <w:r>
        <w:rPr>
          <w:spacing w:val="-11"/>
          <w:sz w:val="24"/>
        </w:rPr>
        <w:t xml:space="preserve"> </w:t>
      </w:r>
      <w:r>
        <w:rPr>
          <w:sz w:val="24"/>
        </w:rPr>
        <w:t>from</w:t>
      </w:r>
      <w:r>
        <w:rPr>
          <w:spacing w:val="-10"/>
          <w:sz w:val="24"/>
        </w:rPr>
        <w:t xml:space="preserve"> </w:t>
      </w:r>
      <w:r>
        <w:rPr>
          <w:sz w:val="24"/>
        </w:rPr>
        <w:t>393</w:t>
      </w:r>
      <w:r>
        <w:rPr>
          <w:spacing w:val="-11"/>
          <w:sz w:val="24"/>
        </w:rPr>
        <w:t xml:space="preserve"> </w:t>
      </w:r>
      <w:r>
        <w:rPr>
          <w:sz w:val="24"/>
        </w:rPr>
        <w:t>SMEs</w:t>
      </w:r>
      <w:r>
        <w:rPr>
          <w:spacing w:val="-10"/>
          <w:sz w:val="24"/>
        </w:rPr>
        <w:t xml:space="preserve"> </w:t>
      </w:r>
      <w:r>
        <w:rPr>
          <w:sz w:val="24"/>
        </w:rPr>
        <w:t>registered with the Public Procurement Regulatory Authority (PPRA) in Tanzania, using structured questionnaires. Analysis was done through Partial Least</w:t>
      </w:r>
      <w:r>
        <w:rPr>
          <w:sz w:val="24"/>
        </w:rPr>
        <w:t xml:space="preserve"> Squares Structural Equation Modeling (PLS-SEM). Results indicate that both customer orientation and competitor orientation have significant positive effects on sustainable competitiveness. Strategic flexibility negatively moderates the relationship betwee</w:t>
      </w:r>
      <w:r>
        <w:rPr>
          <w:sz w:val="24"/>
        </w:rPr>
        <w:t>n competitor orientation and sustainable competitiveness, while its moderating effect on the customer orientation path was not significant. The model explains 55% of the variance in sustainable competitiveness, highlighting the important role of market ori</w:t>
      </w:r>
      <w:r>
        <w:rPr>
          <w:sz w:val="24"/>
        </w:rPr>
        <w:t>entation strategies in enhancing long-term competitiveness</w:t>
      </w:r>
      <w:r>
        <w:rPr>
          <w:spacing w:val="-4"/>
          <w:sz w:val="24"/>
        </w:rPr>
        <w:t xml:space="preserve"> </w:t>
      </w:r>
      <w:r>
        <w:rPr>
          <w:sz w:val="24"/>
        </w:rPr>
        <w:t>in</w:t>
      </w:r>
      <w:r>
        <w:rPr>
          <w:spacing w:val="-3"/>
          <w:sz w:val="24"/>
        </w:rPr>
        <w:t xml:space="preserve"> </w:t>
      </w:r>
      <w:r>
        <w:rPr>
          <w:sz w:val="24"/>
        </w:rPr>
        <w:t>public</w:t>
      </w:r>
      <w:r>
        <w:rPr>
          <w:spacing w:val="-4"/>
          <w:sz w:val="24"/>
        </w:rPr>
        <w:t xml:space="preserve"> </w:t>
      </w:r>
      <w:r>
        <w:rPr>
          <w:sz w:val="24"/>
        </w:rPr>
        <w:t>procurement</w:t>
      </w:r>
      <w:r>
        <w:rPr>
          <w:spacing w:val="-3"/>
          <w:sz w:val="24"/>
        </w:rPr>
        <w:t xml:space="preserve"> </w:t>
      </w:r>
      <w:r>
        <w:rPr>
          <w:sz w:val="24"/>
        </w:rPr>
        <w:t>contexts.</w:t>
      </w:r>
      <w:r>
        <w:rPr>
          <w:spacing w:val="-3"/>
          <w:sz w:val="24"/>
        </w:rPr>
        <w:t xml:space="preserve"> </w:t>
      </w:r>
      <w:r>
        <w:rPr>
          <w:sz w:val="24"/>
        </w:rPr>
        <w:t>The</w:t>
      </w:r>
      <w:r>
        <w:rPr>
          <w:spacing w:val="-4"/>
          <w:sz w:val="24"/>
        </w:rPr>
        <w:t xml:space="preserve"> </w:t>
      </w:r>
      <w:r>
        <w:rPr>
          <w:sz w:val="24"/>
        </w:rPr>
        <w:t>findings</w:t>
      </w:r>
      <w:r>
        <w:rPr>
          <w:spacing w:val="-4"/>
          <w:sz w:val="24"/>
        </w:rPr>
        <w:t xml:space="preserve"> </w:t>
      </w:r>
      <w:r>
        <w:rPr>
          <w:sz w:val="24"/>
        </w:rPr>
        <w:t>provide</w:t>
      </w:r>
      <w:r>
        <w:rPr>
          <w:spacing w:val="-3"/>
          <w:sz w:val="24"/>
        </w:rPr>
        <w:t xml:space="preserve"> </w:t>
      </w:r>
      <w:r>
        <w:rPr>
          <w:sz w:val="24"/>
        </w:rPr>
        <w:t>valuable</w:t>
      </w:r>
      <w:r>
        <w:rPr>
          <w:spacing w:val="-3"/>
          <w:sz w:val="24"/>
        </w:rPr>
        <w:t xml:space="preserve"> </w:t>
      </w:r>
      <w:r>
        <w:rPr>
          <w:sz w:val="24"/>
        </w:rPr>
        <w:t>insights</w:t>
      </w:r>
      <w:r>
        <w:rPr>
          <w:spacing w:val="-4"/>
          <w:sz w:val="24"/>
        </w:rPr>
        <w:t xml:space="preserve"> </w:t>
      </w:r>
      <w:r>
        <w:rPr>
          <w:sz w:val="24"/>
        </w:rPr>
        <w:t>for</w:t>
      </w:r>
      <w:r>
        <w:rPr>
          <w:spacing w:val="-4"/>
          <w:sz w:val="24"/>
        </w:rPr>
        <w:t xml:space="preserve"> </w:t>
      </w:r>
      <w:r>
        <w:rPr>
          <w:sz w:val="24"/>
        </w:rPr>
        <w:t>policymakers and SME leaders aiming to strengthen the performance of special group enterprises in dynamic procurement environments.</w:t>
      </w:r>
    </w:p>
    <w:p w:rsidR="00487D64" w:rsidRDefault="00487D64">
      <w:pPr>
        <w:pStyle w:val="BodyText"/>
        <w:spacing w:before="41"/>
        <w:rPr>
          <w:sz w:val="24"/>
        </w:rPr>
      </w:pPr>
    </w:p>
    <w:p w:rsidR="00487D64" w:rsidRDefault="006F0D93">
      <w:pPr>
        <w:spacing w:line="276" w:lineRule="auto"/>
        <w:ind w:left="57" w:right="347"/>
        <w:jc w:val="both"/>
        <w:rPr>
          <w:sz w:val="24"/>
        </w:rPr>
      </w:pPr>
      <w:r>
        <w:rPr>
          <w:b/>
          <w:sz w:val="24"/>
        </w:rPr>
        <w:t xml:space="preserve">Keywords: </w:t>
      </w:r>
      <w:r>
        <w:rPr>
          <w:sz w:val="24"/>
        </w:rPr>
        <w:t xml:space="preserve">Customer Orientation, Competitor Orientation, Strategic Flexibility and Sustainable </w:t>
      </w:r>
      <w:r>
        <w:rPr>
          <w:spacing w:val="-2"/>
          <w:sz w:val="24"/>
        </w:rPr>
        <w:t>Competitiveness.</w:t>
      </w:r>
    </w:p>
    <w:p w:rsidR="00487D64" w:rsidRDefault="00487D64">
      <w:pPr>
        <w:pStyle w:val="BodyText"/>
        <w:spacing w:before="42"/>
        <w:rPr>
          <w:sz w:val="24"/>
        </w:rPr>
      </w:pPr>
    </w:p>
    <w:p w:rsidR="00487D64" w:rsidRDefault="006F0D93">
      <w:pPr>
        <w:pStyle w:val="ListParagraph"/>
        <w:numPr>
          <w:ilvl w:val="0"/>
          <w:numId w:val="4"/>
        </w:numPr>
        <w:tabs>
          <w:tab w:val="left" w:pos="270"/>
        </w:tabs>
        <w:spacing w:before="1"/>
        <w:ind w:hanging="213"/>
        <w:rPr>
          <w:b/>
          <w:sz w:val="24"/>
        </w:rPr>
      </w:pPr>
      <w:r>
        <w:rPr>
          <w:b/>
          <w:spacing w:val="-2"/>
          <w:sz w:val="24"/>
        </w:rPr>
        <w:t>INTRODUCTION</w:t>
      </w:r>
    </w:p>
    <w:p w:rsidR="00487D64" w:rsidRDefault="006F0D93">
      <w:pPr>
        <w:spacing w:before="40" w:line="276" w:lineRule="auto"/>
        <w:ind w:left="57" w:right="340"/>
        <w:jc w:val="both"/>
        <w:rPr>
          <w:sz w:val="24"/>
        </w:rPr>
      </w:pPr>
      <w:r>
        <w:rPr>
          <w:sz w:val="24"/>
        </w:rPr>
        <w:t>Sustainable competitiveness (SC) has become a central focus in both academic and policy discussions, driven by the need to align economic performance with environmental and social goals. Rooted in frameworks such as the 2030 Agenda for Sustain</w:t>
      </w:r>
      <w:r>
        <w:rPr>
          <w:sz w:val="24"/>
        </w:rPr>
        <w:t xml:space="preserve">able Development, SC emphasizes strategies that foster </w:t>
      </w:r>
      <w:r>
        <w:rPr>
          <w:spacing w:val="-2"/>
          <w:sz w:val="24"/>
        </w:rPr>
        <w:t>long-term resilience, inclusive participation, and economic</w:t>
      </w:r>
      <w:r>
        <w:rPr>
          <w:spacing w:val="-3"/>
          <w:sz w:val="24"/>
        </w:rPr>
        <w:t xml:space="preserve"> </w:t>
      </w:r>
      <w:r>
        <w:rPr>
          <w:spacing w:val="-2"/>
          <w:sz w:val="24"/>
        </w:rPr>
        <w:t>stability (Agbedahin, 2019). One</w:t>
      </w:r>
      <w:r>
        <w:rPr>
          <w:spacing w:val="-3"/>
          <w:sz w:val="24"/>
        </w:rPr>
        <w:t xml:space="preserve"> </w:t>
      </w:r>
      <w:r>
        <w:rPr>
          <w:spacing w:val="-2"/>
          <w:sz w:val="24"/>
        </w:rPr>
        <w:t xml:space="preserve">specific focus </w:t>
      </w:r>
      <w:r>
        <w:rPr>
          <w:sz w:val="24"/>
        </w:rPr>
        <w:t>of</w:t>
      </w:r>
      <w:r>
        <w:rPr>
          <w:spacing w:val="-15"/>
          <w:sz w:val="24"/>
        </w:rPr>
        <w:t xml:space="preserve"> </w:t>
      </w:r>
      <w:r>
        <w:rPr>
          <w:sz w:val="24"/>
        </w:rPr>
        <w:t>this</w:t>
      </w:r>
      <w:r>
        <w:rPr>
          <w:spacing w:val="-15"/>
          <w:sz w:val="24"/>
        </w:rPr>
        <w:t xml:space="preserve"> </w:t>
      </w:r>
      <w:r>
        <w:rPr>
          <w:sz w:val="24"/>
        </w:rPr>
        <w:t>global</w:t>
      </w:r>
      <w:r>
        <w:rPr>
          <w:spacing w:val="-15"/>
          <w:sz w:val="24"/>
        </w:rPr>
        <w:t xml:space="preserve"> </w:t>
      </w:r>
      <w:r>
        <w:rPr>
          <w:sz w:val="24"/>
        </w:rPr>
        <w:t>agenda</w:t>
      </w:r>
      <w:r>
        <w:rPr>
          <w:spacing w:val="-15"/>
          <w:sz w:val="24"/>
        </w:rPr>
        <w:t xml:space="preserve"> </w:t>
      </w:r>
      <w:r>
        <w:rPr>
          <w:sz w:val="24"/>
        </w:rPr>
        <w:t>is</w:t>
      </w:r>
      <w:r>
        <w:rPr>
          <w:spacing w:val="-15"/>
          <w:sz w:val="24"/>
        </w:rPr>
        <w:t xml:space="preserve"> </w:t>
      </w:r>
      <w:r>
        <w:rPr>
          <w:sz w:val="24"/>
        </w:rPr>
        <w:t>the</w:t>
      </w:r>
      <w:r>
        <w:rPr>
          <w:spacing w:val="-15"/>
          <w:sz w:val="24"/>
        </w:rPr>
        <w:t xml:space="preserve"> </w:t>
      </w:r>
      <w:r>
        <w:rPr>
          <w:sz w:val="24"/>
        </w:rPr>
        <w:t>integration</w:t>
      </w:r>
      <w:r>
        <w:rPr>
          <w:spacing w:val="-15"/>
          <w:sz w:val="24"/>
        </w:rPr>
        <w:t xml:space="preserve"> </w:t>
      </w:r>
      <w:r>
        <w:rPr>
          <w:sz w:val="24"/>
        </w:rPr>
        <w:t>of</w:t>
      </w:r>
      <w:r>
        <w:rPr>
          <w:spacing w:val="-15"/>
          <w:sz w:val="24"/>
        </w:rPr>
        <w:t xml:space="preserve"> </w:t>
      </w:r>
      <w:r>
        <w:rPr>
          <w:sz w:val="24"/>
        </w:rPr>
        <w:t>Special</w:t>
      </w:r>
      <w:r>
        <w:rPr>
          <w:spacing w:val="-15"/>
          <w:sz w:val="24"/>
        </w:rPr>
        <w:t xml:space="preserve"> </w:t>
      </w:r>
      <w:r>
        <w:rPr>
          <w:sz w:val="24"/>
        </w:rPr>
        <w:t>Group</w:t>
      </w:r>
      <w:r>
        <w:rPr>
          <w:spacing w:val="-15"/>
          <w:sz w:val="24"/>
        </w:rPr>
        <w:t xml:space="preserve"> </w:t>
      </w:r>
      <w:r>
        <w:rPr>
          <w:sz w:val="24"/>
        </w:rPr>
        <w:t>SMEs</w:t>
      </w:r>
      <w:r>
        <w:rPr>
          <w:spacing w:val="-15"/>
          <w:sz w:val="24"/>
        </w:rPr>
        <w:t xml:space="preserve"> </w:t>
      </w:r>
      <w:r>
        <w:rPr>
          <w:sz w:val="24"/>
        </w:rPr>
        <w:t>enterprises</w:t>
      </w:r>
      <w:r>
        <w:rPr>
          <w:spacing w:val="-15"/>
          <w:sz w:val="24"/>
        </w:rPr>
        <w:t xml:space="preserve"> </w:t>
      </w:r>
      <w:r>
        <w:rPr>
          <w:sz w:val="24"/>
        </w:rPr>
        <w:t>owned</w:t>
      </w:r>
      <w:r>
        <w:rPr>
          <w:spacing w:val="-15"/>
          <w:sz w:val="24"/>
        </w:rPr>
        <w:t xml:space="preserve"> </w:t>
      </w:r>
      <w:r>
        <w:rPr>
          <w:sz w:val="24"/>
        </w:rPr>
        <w:t>by</w:t>
      </w:r>
      <w:r>
        <w:rPr>
          <w:spacing w:val="-15"/>
          <w:sz w:val="24"/>
        </w:rPr>
        <w:t xml:space="preserve"> </w:t>
      </w:r>
      <w:r>
        <w:rPr>
          <w:sz w:val="24"/>
        </w:rPr>
        <w:t>youth,</w:t>
      </w:r>
      <w:r>
        <w:rPr>
          <w:spacing w:val="-15"/>
          <w:sz w:val="24"/>
        </w:rPr>
        <w:t xml:space="preserve"> </w:t>
      </w:r>
      <w:r>
        <w:rPr>
          <w:sz w:val="24"/>
        </w:rPr>
        <w:t>wo</w:t>
      </w:r>
      <w:r>
        <w:rPr>
          <w:sz w:val="24"/>
        </w:rPr>
        <w:t>men,</w:t>
      </w:r>
      <w:r>
        <w:rPr>
          <w:spacing w:val="-15"/>
          <w:sz w:val="24"/>
        </w:rPr>
        <w:t xml:space="preserve"> </w:t>
      </w:r>
      <w:r>
        <w:rPr>
          <w:sz w:val="24"/>
        </w:rPr>
        <w:t>elders, and</w:t>
      </w:r>
      <w:r>
        <w:rPr>
          <w:spacing w:val="35"/>
          <w:sz w:val="24"/>
        </w:rPr>
        <w:t xml:space="preserve"> </w:t>
      </w:r>
      <w:r>
        <w:rPr>
          <w:sz w:val="24"/>
        </w:rPr>
        <w:t>persons</w:t>
      </w:r>
      <w:r>
        <w:rPr>
          <w:spacing w:val="36"/>
          <w:sz w:val="24"/>
        </w:rPr>
        <w:t xml:space="preserve"> </w:t>
      </w:r>
      <w:r>
        <w:rPr>
          <w:sz w:val="24"/>
        </w:rPr>
        <w:t>with</w:t>
      </w:r>
      <w:r>
        <w:rPr>
          <w:spacing w:val="38"/>
          <w:sz w:val="24"/>
        </w:rPr>
        <w:t xml:space="preserve"> </w:t>
      </w:r>
      <w:r>
        <w:rPr>
          <w:sz w:val="24"/>
        </w:rPr>
        <w:t>disabilities</w:t>
      </w:r>
      <w:r>
        <w:rPr>
          <w:spacing w:val="36"/>
          <w:sz w:val="24"/>
        </w:rPr>
        <w:t xml:space="preserve"> </w:t>
      </w:r>
      <w:r>
        <w:rPr>
          <w:sz w:val="24"/>
        </w:rPr>
        <w:t>into</w:t>
      </w:r>
      <w:r>
        <w:rPr>
          <w:spacing w:val="37"/>
          <w:sz w:val="24"/>
        </w:rPr>
        <w:t xml:space="preserve"> </w:t>
      </w:r>
      <w:r>
        <w:rPr>
          <w:sz w:val="24"/>
        </w:rPr>
        <w:t>public</w:t>
      </w:r>
      <w:r>
        <w:rPr>
          <w:spacing w:val="37"/>
          <w:sz w:val="24"/>
        </w:rPr>
        <w:t xml:space="preserve"> </w:t>
      </w:r>
      <w:r>
        <w:rPr>
          <w:sz w:val="24"/>
        </w:rPr>
        <w:t>procurement</w:t>
      </w:r>
      <w:r>
        <w:rPr>
          <w:spacing w:val="37"/>
          <w:sz w:val="24"/>
        </w:rPr>
        <w:t xml:space="preserve"> </w:t>
      </w:r>
      <w:r>
        <w:rPr>
          <w:sz w:val="24"/>
        </w:rPr>
        <w:t>systems,</w:t>
      </w:r>
      <w:r>
        <w:rPr>
          <w:spacing w:val="37"/>
          <w:sz w:val="24"/>
        </w:rPr>
        <w:t xml:space="preserve"> </w:t>
      </w:r>
      <w:r>
        <w:rPr>
          <w:sz w:val="24"/>
        </w:rPr>
        <w:t>particularly</w:t>
      </w:r>
      <w:r>
        <w:rPr>
          <w:spacing w:val="38"/>
          <w:sz w:val="24"/>
        </w:rPr>
        <w:t xml:space="preserve"> </w:t>
      </w:r>
      <w:r>
        <w:rPr>
          <w:sz w:val="24"/>
        </w:rPr>
        <w:t>in</w:t>
      </w:r>
      <w:r>
        <w:rPr>
          <w:spacing w:val="37"/>
          <w:sz w:val="24"/>
        </w:rPr>
        <w:t xml:space="preserve"> </w:t>
      </w:r>
      <w:r>
        <w:rPr>
          <w:sz w:val="24"/>
        </w:rPr>
        <w:t>developing</w:t>
      </w:r>
      <w:r>
        <w:rPr>
          <w:spacing w:val="40"/>
          <w:sz w:val="24"/>
        </w:rPr>
        <w:t xml:space="preserve"> </w:t>
      </w:r>
      <w:r>
        <w:rPr>
          <w:spacing w:val="-2"/>
          <w:sz w:val="24"/>
        </w:rPr>
        <w:t>economies.</w:t>
      </w:r>
    </w:p>
    <w:p w:rsidR="00487D64" w:rsidRDefault="00487D64">
      <w:pPr>
        <w:spacing w:line="276" w:lineRule="auto"/>
        <w:jc w:val="both"/>
        <w:rPr>
          <w:sz w:val="24"/>
        </w:rPr>
        <w:sectPr w:rsidR="00487D64">
          <w:headerReference w:type="default" r:id="rId43"/>
          <w:footerReference w:type="default" r:id="rId44"/>
          <w:pgSz w:w="11910" w:h="16840"/>
          <w:pgMar w:top="1680" w:right="563" w:bottom="800" w:left="850" w:header="677" w:footer="608" w:gutter="0"/>
          <w:pgNumType w:start="1"/>
          <w:cols w:space="720"/>
        </w:sectPr>
      </w:pPr>
    </w:p>
    <w:p w:rsidR="00487D64" w:rsidRDefault="006F0D93">
      <w:pPr>
        <w:spacing w:before="254" w:line="276" w:lineRule="auto"/>
        <w:ind w:left="57" w:right="341"/>
        <w:jc w:val="both"/>
        <w:rPr>
          <w:sz w:val="24"/>
        </w:rPr>
      </w:pPr>
      <w:r>
        <w:rPr>
          <w:sz w:val="24"/>
        </w:rPr>
        <w:lastRenderedPageBreak/>
        <w:t>These</w:t>
      </w:r>
      <w:r>
        <w:rPr>
          <w:spacing w:val="-15"/>
          <w:sz w:val="24"/>
        </w:rPr>
        <w:t xml:space="preserve"> </w:t>
      </w:r>
      <w:r>
        <w:rPr>
          <w:sz w:val="24"/>
        </w:rPr>
        <w:t>efforts</w:t>
      </w:r>
      <w:r>
        <w:rPr>
          <w:spacing w:val="-15"/>
          <w:sz w:val="24"/>
        </w:rPr>
        <w:t xml:space="preserve"> </w:t>
      </w:r>
      <w:r>
        <w:rPr>
          <w:sz w:val="24"/>
        </w:rPr>
        <w:t>are</w:t>
      </w:r>
      <w:r>
        <w:rPr>
          <w:spacing w:val="-15"/>
          <w:sz w:val="24"/>
        </w:rPr>
        <w:t xml:space="preserve"> </w:t>
      </w:r>
      <w:r>
        <w:rPr>
          <w:sz w:val="24"/>
        </w:rPr>
        <w:t>seen</w:t>
      </w:r>
      <w:r>
        <w:rPr>
          <w:spacing w:val="-14"/>
          <w:sz w:val="24"/>
        </w:rPr>
        <w:t xml:space="preserve"> </w:t>
      </w:r>
      <w:r>
        <w:rPr>
          <w:sz w:val="24"/>
        </w:rPr>
        <w:t>as</w:t>
      </w:r>
      <w:r>
        <w:rPr>
          <w:spacing w:val="-12"/>
          <w:sz w:val="24"/>
        </w:rPr>
        <w:t xml:space="preserve"> </w:t>
      </w:r>
      <w:r>
        <w:rPr>
          <w:sz w:val="24"/>
        </w:rPr>
        <w:t>essential</w:t>
      </w:r>
      <w:r>
        <w:rPr>
          <w:spacing w:val="-15"/>
          <w:sz w:val="24"/>
        </w:rPr>
        <w:t xml:space="preserve"> </w:t>
      </w:r>
      <w:r>
        <w:rPr>
          <w:sz w:val="24"/>
        </w:rPr>
        <w:t>in</w:t>
      </w:r>
      <w:r>
        <w:rPr>
          <w:spacing w:val="-14"/>
          <w:sz w:val="24"/>
        </w:rPr>
        <w:t xml:space="preserve"> </w:t>
      </w:r>
      <w:r>
        <w:rPr>
          <w:sz w:val="24"/>
        </w:rPr>
        <w:t>reducing</w:t>
      </w:r>
      <w:r>
        <w:rPr>
          <w:spacing w:val="-15"/>
          <w:sz w:val="24"/>
        </w:rPr>
        <w:t xml:space="preserve"> </w:t>
      </w:r>
      <w:r>
        <w:rPr>
          <w:sz w:val="24"/>
        </w:rPr>
        <w:t>inequalities</w:t>
      </w:r>
      <w:r>
        <w:rPr>
          <w:spacing w:val="-14"/>
          <w:sz w:val="24"/>
        </w:rPr>
        <w:t xml:space="preserve"> </w:t>
      </w:r>
      <w:r>
        <w:rPr>
          <w:sz w:val="24"/>
        </w:rPr>
        <w:t>and</w:t>
      </w:r>
      <w:r>
        <w:rPr>
          <w:spacing w:val="-15"/>
          <w:sz w:val="24"/>
        </w:rPr>
        <w:t xml:space="preserve"> </w:t>
      </w:r>
      <w:r>
        <w:rPr>
          <w:sz w:val="24"/>
        </w:rPr>
        <w:t>promoting</w:t>
      </w:r>
      <w:r>
        <w:rPr>
          <w:spacing w:val="-14"/>
          <w:sz w:val="24"/>
        </w:rPr>
        <w:t xml:space="preserve"> </w:t>
      </w:r>
      <w:r>
        <w:rPr>
          <w:sz w:val="24"/>
        </w:rPr>
        <w:t>inclusive</w:t>
      </w:r>
      <w:r>
        <w:rPr>
          <w:spacing w:val="-15"/>
          <w:sz w:val="24"/>
        </w:rPr>
        <w:t xml:space="preserve"> </w:t>
      </w:r>
      <w:r>
        <w:rPr>
          <w:sz w:val="24"/>
        </w:rPr>
        <w:t>economic</w:t>
      </w:r>
      <w:r>
        <w:rPr>
          <w:spacing w:val="-15"/>
          <w:sz w:val="24"/>
        </w:rPr>
        <w:t xml:space="preserve"> </w:t>
      </w:r>
      <w:r>
        <w:rPr>
          <w:sz w:val="24"/>
        </w:rPr>
        <w:t>development (Nkunda, Marijani, and Jarbandhan, 2024).</w:t>
      </w:r>
    </w:p>
    <w:p w:rsidR="00487D64" w:rsidRDefault="006F0D93">
      <w:pPr>
        <w:spacing w:line="276" w:lineRule="auto"/>
        <w:ind w:left="57" w:right="339"/>
        <w:jc w:val="both"/>
        <w:rPr>
          <w:sz w:val="24"/>
        </w:rPr>
      </w:pPr>
      <w:r>
        <w:rPr>
          <w:sz w:val="24"/>
        </w:rPr>
        <w:t>In Tanzania,</w:t>
      </w:r>
      <w:r>
        <w:rPr>
          <w:spacing w:val="-2"/>
          <w:sz w:val="24"/>
        </w:rPr>
        <w:t xml:space="preserve"> </w:t>
      </w:r>
      <w:r>
        <w:rPr>
          <w:sz w:val="24"/>
        </w:rPr>
        <w:t>the</w:t>
      </w:r>
      <w:r>
        <w:rPr>
          <w:spacing w:val="-1"/>
          <w:sz w:val="24"/>
        </w:rPr>
        <w:t xml:space="preserve"> </w:t>
      </w:r>
      <w:r>
        <w:rPr>
          <w:sz w:val="24"/>
        </w:rPr>
        <w:t>Public</w:t>
      </w:r>
      <w:r>
        <w:rPr>
          <w:spacing w:val="-3"/>
          <w:sz w:val="24"/>
        </w:rPr>
        <w:t xml:space="preserve"> </w:t>
      </w:r>
      <w:r>
        <w:rPr>
          <w:sz w:val="24"/>
        </w:rPr>
        <w:t>Procurement</w:t>
      </w:r>
      <w:r>
        <w:rPr>
          <w:spacing w:val="-2"/>
          <w:sz w:val="24"/>
        </w:rPr>
        <w:t xml:space="preserve"> </w:t>
      </w:r>
      <w:r>
        <w:rPr>
          <w:sz w:val="24"/>
        </w:rPr>
        <w:t>Regulatory</w:t>
      </w:r>
      <w:r>
        <w:rPr>
          <w:spacing w:val="-2"/>
          <w:sz w:val="24"/>
        </w:rPr>
        <w:t xml:space="preserve"> </w:t>
      </w:r>
      <w:r>
        <w:rPr>
          <w:sz w:val="24"/>
        </w:rPr>
        <w:t>Authority</w:t>
      </w:r>
      <w:r>
        <w:rPr>
          <w:spacing w:val="-2"/>
          <w:sz w:val="24"/>
        </w:rPr>
        <w:t xml:space="preserve"> </w:t>
      </w:r>
      <w:r>
        <w:rPr>
          <w:sz w:val="24"/>
        </w:rPr>
        <w:t>(PPRA)</w:t>
      </w:r>
      <w:r>
        <w:rPr>
          <w:spacing w:val="-4"/>
          <w:sz w:val="24"/>
        </w:rPr>
        <w:t xml:space="preserve"> </w:t>
      </w:r>
      <w:r>
        <w:rPr>
          <w:sz w:val="24"/>
        </w:rPr>
        <w:t>has</w:t>
      </w:r>
      <w:r>
        <w:rPr>
          <w:spacing w:val="-3"/>
          <w:sz w:val="24"/>
        </w:rPr>
        <w:t xml:space="preserve"> </w:t>
      </w:r>
      <w:r>
        <w:rPr>
          <w:sz w:val="24"/>
        </w:rPr>
        <w:t>institutionalized</w:t>
      </w:r>
      <w:r>
        <w:rPr>
          <w:spacing w:val="-2"/>
          <w:sz w:val="24"/>
        </w:rPr>
        <w:t xml:space="preserve"> </w:t>
      </w:r>
      <w:r>
        <w:rPr>
          <w:sz w:val="24"/>
        </w:rPr>
        <w:t>this</w:t>
      </w:r>
      <w:r>
        <w:rPr>
          <w:spacing w:val="-3"/>
          <w:sz w:val="24"/>
        </w:rPr>
        <w:t xml:space="preserve"> </w:t>
      </w:r>
      <w:r>
        <w:rPr>
          <w:sz w:val="24"/>
        </w:rPr>
        <w:t>inclusion</w:t>
      </w:r>
      <w:r>
        <w:rPr>
          <w:spacing w:val="-2"/>
          <w:sz w:val="24"/>
        </w:rPr>
        <w:t xml:space="preserve"> </w:t>
      </w:r>
      <w:r>
        <w:rPr>
          <w:sz w:val="24"/>
        </w:rPr>
        <w:t>by defining and registering special group SMEs for preferential access t</w:t>
      </w:r>
      <w:r>
        <w:rPr>
          <w:sz w:val="24"/>
        </w:rPr>
        <w:t>o government procurement opportunities (PPRA, 2023). While these policies present a strong developmental narrative, actual implementation remains constrained by multiple challenges. Studies by Karani and Moronge (2017) and Adefare et al. (2024) highlight b</w:t>
      </w:r>
      <w:r>
        <w:rPr>
          <w:sz w:val="24"/>
        </w:rPr>
        <w:t>oth opportunities and persistent barriers, including limited capabilities, market access, and institutional inefficiencies. As such, the link between participation in public procurement and achieving sustainable competitiveness remains unstable due to a la</w:t>
      </w:r>
      <w:r>
        <w:rPr>
          <w:sz w:val="24"/>
        </w:rPr>
        <w:t>ck of research.</w:t>
      </w:r>
    </w:p>
    <w:p w:rsidR="00487D64" w:rsidRDefault="006F0D93">
      <w:pPr>
        <w:spacing w:line="276" w:lineRule="auto"/>
        <w:ind w:left="57" w:right="340"/>
        <w:jc w:val="both"/>
        <w:rPr>
          <w:sz w:val="24"/>
        </w:rPr>
      </w:pPr>
      <w:r>
        <w:rPr>
          <w:sz w:val="24"/>
        </w:rPr>
        <w:t>Balancing sustainability and competitiveness poses a challenge for these enterprises. Despite policy support, many firms still prioritize immediate competitiveness over sustainable practices (Bentivoglio et al., 2021). Yet, in dynamic and c</w:t>
      </w:r>
      <w:r>
        <w:rPr>
          <w:sz w:val="24"/>
        </w:rPr>
        <w:t>ompetitive environments, sustainable practices are increasingly viewed as integral to long-term competitive advantage. This is where strategic flexibility (SF) plays a vital role. SF enables firms to adapt to rapid changes, reconfigure resources, and respo</w:t>
      </w:r>
      <w:r>
        <w:rPr>
          <w:sz w:val="24"/>
        </w:rPr>
        <w:t>nd to uncertainty, features critical</w:t>
      </w:r>
      <w:r>
        <w:rPr>
          <w:spacing w:val="-3"/>
          <w:sz w:val="24"/>
        </w:rPr>
        <w:t xml:space="preserve"> </w:t>
      </w:r>
      <w:r>
        <w:rPr>
          <w:sz w:val="24"/>
        </w:rPr>
        <w:t>for</w:t>
      </w:r>
      <w:r>
        <w:rPr>
          <w:spacing w:val="-4"/>
          <w:sz w:val="24"/>
        </w:rPr>
        <w:t xml:space="preserve"> </w:t>
      </w:r>
      <w:r>
        <w:rPr>
          <w:sz w:val="24"/>
        </w:rPr>
        <w:t>SMEs</w:t>
      </w:r>
      <w:r>
        <w:rPr>
          <w:spacing w:val="-4"/>
          <w:sz w:val="24"/>
        </w:rPr>
        <w:t xml:space="preserve"> </w:t>
      </w:r>
      <w:r>
        <w:rPr>
          <w:sz w:val="24"/>
        </w:rPr>
        <w:t>operating</w:t>
      </w:r>
      <w:r>
        <w:rPr>
          <w:spacing w:val="-3"/>
          <w:sz w:val="24"/>
        </w:rPr>
        <w:t xml:space="preserve"> </w:t>
      </w:r>
      <w:r>
        <w:rPr>
          <w:sz w:val="24"/>
        </w:rPr>
        <w:t>in</w:t>
      </w:r>
      <w:r>
        <w:rPr>
          <w:spacing w:val="-3"/>
          <w:sz w:val="24"/>
        </w:rPr>
        <w:t xml:space="preserve"> </w:t>
      </w:r>
      <w:r>
        <w:rPr>
          <w:sz w:val="24"/>
        </w:rPr>
        <w:t>procurement-driven</w:t>
      </w:r>
      <w:r>
        <w:rPr>
          <w:spacing w:val="-2"/>
          <w:sz w:val="24"/>
        </w:rPr>
        <w:t xml:space="preserve"> </w:t>
      </w:r>
      <w:r>
        <w:rPr>
          <w:sz w:val="24"/>
        </w:rPr>
        <w:t>markets</w:t>
      </w:r>
      <w:r>
        <w:rPr>
          <w:spacing w:val="-4"/>
          <w:sz w:val="24"/>
        </w:rPr>
        <w:t xml:space="preserve"> </w:t>
      </w:r>
      <w:r>
        <w:rPr>
          <w:sz w:val="24"/>
        </w:rPr>
        <w:t>(Morgan</w:t>
      </w:r>
      <w:r>
        <w:rPr>
          <w:spacing w:val="-3"/>
          <w:sz w:val="24"/>
        </w:rPr>
        <w:t xml:space="preserve"> </w:t>
      </w:r>
      <w:r>
        <w:rPr>
          <w:sz w:val="24"/>
        </w:rPr>
        <w:t>et</w:t>
      </w:r>
      <w:r>
        <w:rPr>
          <w:spacing w:val="-3"/>
          <w:sz w:val="24"/>
        </w:rPr>
        <w:t xml:space="preserve"> </w:t>
      </w:r>
      <w:r>
        <w:rPr>
          <w:sz w:val="24"/>
        </w:rPr>
        <w:t>al.,</w:t>
      </w:r>
      <w:r>
        <w:rPr>
          <w:spacing w:val="-2"/>
          <w:sz w:val="24"/>
        </w:rPr>
        <w:t xml:space="preserve"> </w:t>
      </w:r>
      <w:r>
        <w:rPr>
          <w:sz w:val="24"/>
        </w:rPr>
        <w:t>2019;</w:t>
      </w:r>
      <w:r>
        <w:rPr>
          <w:spacing w:val="-3"/>
          <w:sz w:val="24"/>
        </w:rPr>
        <w:t xml:space="preserve"> </w:t>
      </w:r>
      <w:r>
        <w:rPr>
          <w:sz w:val="24"/>
        </w:rPr>
        <w:t>Brozovic,</w:t>
      </w:r>
      <w:r>
        <w:rPr>
          <w:spacing w:val="-3"/>
          <w:sz w:val="24"/>
        </w:rPr>
        <w:t xml:space="preserve"> </w:t>
      </w:r>
      <w:r>
        <w:rPr>
          <w:sz w:val="24"/>
        </w:rPr>
        <w:t>2023;</w:t>
      </w:r>
      <w:r>
        <w:rPr>
          <w:spacing w:val="-3"/>
          <w:sz w:val="24"/>
        </w:rPr>
        <w:t xml:space="preserve"> </w:t>
      </w:r>
      <w:r>
        <w:rPr>
          <w:sz w:val="24"/>
        </w:rPr>
        <w:t xml:space="preserve">Bashir, </w:t>
      </w:r>
      <w:r>
        <w:rPr>
          <w:spacing w:val="-2"/>
          <w:sz w:val="24"/>
        </w:rPr>
        <w:t>2023).</w:t>
      </w:r>
    </w:p>
    <w:p w:rsidR="00487D64" w:rsidRDefault="006F0D93">
      <w:pPr>
        <w:spacing w:before="1" w:line="276" w:lineRule="auto"/>
        <w:ind w:left="57" w:right="337"/>
        <w:jc w:val="both"/>
        <w:rPr>
          <w:sz w:val="24"/>
        </w:rPr>
      </w:pPr>
      <w:r>
        <w:rPr>
          <w:sz w:val="24"/>
        </w:rPr>
        <w:t>In</w:t>
      </w:r>
      <w:r>
        <w:rPr>
          <w:spacing w:val="-11"/>
          <w:sz w:val="24"/>
        </w:rPr>
        <w:t xml:space="preserve"> </w:t>
      </w:r>
      <w:r>
        <w:rPr>
          <w:sz w:val="24"/>
        </w:rPr>
        <w:t>this</w:t>
      </w:r>
      <w:r>
        <w:rPr>
          <w:spacing w:val="-10"/>
          <w:sz w:val="24"/>
        </w:rPr>
        <w:t xml:space="preserve"> </w:t>
      </w:r>
      <w:r>
        <w:rPr>
          <w:sz w:val="24"/>
        </w:rPr>
        <w:t>context,</w:t>
      </w:r>
      <w:r>
        <w:rPr>
          <w:spacing w:val="-11"/>
          <w:sz w:val="24"/>
        </w:rPr>
        <w:t xml:space="preserve"> </w:t>
      </w:r>
      <w:r>
        <w:rPr>
          <w:sz w:val="24"/>
        </w:rPr>
        <w:t>market</w:t>
      </w:r>
      <w:r>
        <w:rPr>
          <w:spacing w:val="-10"/>
          <w:sz w:val="24"/>
        </w:rPr>
        <w:t xml:space="preserve"> </w:t>
      </w:r>
      <w:r>
        <w:rPr>
          <w:sz w:val="24"/>
        </w:rPr>
        <w:t>orientation</w:t>
      </w:r>
      <w:r>
        <w:rPr>
          <w:spacing w:val="-10"/>
          <w:sz w:val="24"/>
        </w:rPr>
        <w:t xml:space="preserve"> </w:t>
      </w:r>
      <w:r>
        <w:rPr>
          <w:sz w:val="24"/>
        </w:rPr>
        <w:t>(MO),</w:t>
      </w:r>
      <w:r>
        <w:rPr>
          <w:spacing w:val="-11"/>
          <w:sz w:val="24"/>
        </w:rPr>
        <w:t xml:space="preserve"> </w:t>
      </w:r>
      <w:r>
        <w:rPr>
          <w:sz w:val="24"/>
        </w:rPr>
        <w:t>which</w:t>
      </w:r>
      <w:r>
        <w:rPr>
          <w:spacing w:val="-11"/>
          <w:sz w:val="24"/>
        </w:rPr>
        <w:t xml:space="preserve"> </w:t>
      </w:r>
      <w:r>
        <w:rPr>
          <w:sz w:val="24"/>
        </w:rPr>
        <w:t>focuses</w:t>
      </w:r>
      <w:r>
        <w:rPr>
          <w:spacing w:val="-10"/>
          <w:sz w:val="24"/>
        </w:rPr>
        <w:t xml:space="preserve"> </w:t>
      </w:r>
      <w:r>
        <w:rPr>
          <w:sz w:val="24"/>
        </w:rPr>
        <w:t>on</w:t>
      </w:r>
      <w:r>
        <w:rPr>
          <w:spacing w:val="-11"/>
          <w:sz w:val="24"/>
        </w:rPr>
        <w:t xml:space="preserve"> </w:t>
      </w:r>
      <w:r>
        <w:rPr>
          <w:sz w:val="24"/>
        </w:rPr>
        <w:t>understanding</w:t>
      </w:r>
      <w:r>
        <w:rPr>
          <w:spacing w:val="-10"/>
          <w:sz w:val="24"/>
        </w:rPr>
        <w:t xml:space="preserve"> </w:t>
      </w:r>
      <w:r>
        <w:rPr>
          <w:sz w:val="24"/>
        </w:rPr>
        <w:t>and</w:t>
      </w:r>
      <w:r>
        <w:rPr>
          <w:spacing w:val="-11"/>
          <w:sz w:val="24"/>
        </w:rPr>
        <w:t xml:space="preserve"> </w:t>
      </w:r>
      <w:r>
        <w:rPr>
          <w:sz w:val="24"/>
        </w:rPr>
        <w:t>responding</w:t>
      </w:r>
      <w:r>
        <w:rPr>
          <w:spacing w:val="-11"/>
          <w:sz w:val="24"/>
        </w:rPr>
        <w:t xml:space="preserve"> </w:t>
      </w:r>
      <w:r>
        <w:rPr>
          <w:sz w:val="24"/>
        </w:rPr>
        <w:t>to</w:t>
      </w:r>
      <w:r>
        <w:rPr>
          <w:spacing w:val="-10"/>
          <w:sz w:val="24"/>
        </w:rPr>
        <w:t xml:space="preserve"> </w:t>
      </w:r>
      <w:r>
        <w:rPr>
          <w:sz w:val="24"/>
        </w:rPr>
        <w:t>customer</w:t>
      </w:r>
      <w:r>
        <w:rPr>
          <w:spacing w:val="-11"/>
          <w:sz w:val="24"/>
        </w:rPr>
        <w:t xml:space="preserve"> </w:t>
      </w:r>
      <w:r>
        <w:rPr>
          <w:sz w:val="24"/>
        </w:rPr>
        <w:t>and competitor needs, has been widely recognized as a key strategic approach for firm success (Jaworski &amp; Kohli, 1993; Narver &amp; Slater, 1990). Market-oriented firms are better positioned to anticipate market changes,</w:t>
      </w:r>
      <w:r>
        <w:rPr>
          <w:spacing w:val="-6"/>
          <w:sz w:val="24"/>
        </w:rPr>
        <w:t xml:space="preserve"> </w:t>
      </w:r>
      <w:r>
        <w:rPr>
          <w:sz w:val="24"/>
        </w:rPr>
        <w:t>develop</w:t>
      </w:r>
      <w:r>
        <w:rPr>
          <w:spacing w:val="-5"/>
          <w:sz w:val="24"/>
        </w:rPr>
        <w:t xml:space="preserve"> </w:t>
      </w:r>
      <w:r>
        <w:rPr>
          <w:sz w:val="24"/>
        </w:rPr>
        <w:t>innovative</w:t>
      </w:r>
      <w:r>
        <w:rPr>
          <w:spacing w:val="-6"/>
          <w:sz w:val="24"/>
        </w:rPr>
        <w:t xml:space="preserve"> </w:t>
      </w:r>
      <w:r>
        <w:rPr>
          <w:sz w:val="24"/>
        </w:rPr>
        <w:t>solutions,</w:t>
      </w:r>
      <w:r>
        <w:rPr>
          <w:spacing w:val="-5"/>
          <w:sz w:val="24"/>
        </w:rPr>
        <w:t xml:space="preserve"> </w:t>
      </w:r>
      <w:r>
        <w:rPr>
          <w:sz w:val="24"/>
        </w:rPr>
        <w:t>and</w:t>
      </w:r>
      <w:r>
        <w:rPr>
          <w:spacing w:val="-6"/>
          <w:sz w:val="24"/>
        </w:rPr>
        <w:t xml:space="preserve"> </w:t>
      </w:r>
      <w:r>
        <w:rPr>
          <w:sz w:val="24"/>
        </w:rPr>
        <w:t>achie</w:t>
      </w:r>
      <w:r>
        <w:rPr>
          <w:sz w:val="24"/>
        </w:rPr>
        <w:t>ve</w:t>
      </w:r>
      <w:r>
        <w:rPr>
          <w:spacing w:val="-7"/>
          <w:sz w:val="24"/>
        </w:rPr>
        <w:t xml:space="preserve"> </w:t>
      </w:r>
      <w:r>
        <w:rPr>
          <w:sz w:val="24"/>
        </w:rPr>
        <w:t>both</w:t>
      </w:r>
      <w:r>
        <w:rPr>
          <w:spacing w:val="-5"/>
          <w:sz w:val="24"/>
        </w:rPr>
        <w:t xml:space="preserve"> </w:t>
      </w:r>
      <w:r>
        <w:rPr>
          <w:sz w:val="24"/>
        </w:rPr>
        <w:t>short-term</w:t>
      </w:r>
      <w:r>
        <w:rPr>
          <w:spacing w:val="-5"/>
          <w:sz w:val="24"/>
        </w:rPr>
        <w:t xml:space="preserve"> </w:t>
      </w:r>
      <w:r>
        <w:rPr>
          <w:sz w:val="24"/>
        </w:rPr>
        <w:t>profitability</w:t>
      </w:r>
      <w:r>
        <w:rPr>
          <w:spacing w:val="-6"/>
          <w:sz w:val="24"/>
        </w:rPr>
        <w:t xml:space="preserve"> </w:t>
      </w:r>
      <w:r>
        <w:rPr>
          <w:sz w:val="24"/>
        </w:rPr>
        <w:t>and</w:t>
      </w:r>
      <w:r>
        <w:rPr>
          <w:spacing w:val="-6"/>
          <w:sz w:val="24"/>
        </w:rPr>
        <w:t xml:space="preserve"> </w:t>
      </w:r>
      <w:r>
        <w:rPr>
          <w:sz w:val="24"/>
        </w:rPr>
        <w:t>long-term</w:t>
      </w:r>
      <w:r>
        <w:rPr>
          <w:spacing w:val="-5"/>
          <w:sz w:val="24"/>
        </w:rPr>
        <w:t xml:space="preserve"> </w:t>
      </w:r>
      <w:r>
        <w:rPr>
          <w:sz w:val="24"/>
        </w:rPr>
        <w:t>resilience. Numerous studies affirm MO’s impact on business outcomes such as innovation, learning, profitability, and</w:t>
      </w:r>
      <w:r>
        <w:rPr>
          <w:spacing w:val="-15"/>
          <w:sz w:val="24"/>
        </w:rPr>
        <w:t xml:space="preserve"> </w:t>
      </w:r>
      <w:r>
        <w:rPr>
          <w:sz w:val="24"/>
        </w:rPr>
        <w:t>performance</w:t>
      </w:r>
      <w:r>
        <w:rPr>
          <w:spacing w:val="-15"/>
          <w:sz w:val="24"/>
        </w:rPr>
        <w:t xml:space="preserve"> </w:t>
      </w:r>
      <w:r>
        <w:rPr>
          <w:sz w:val="24"/>
        </w:rPr>
        <w:t>(Rhee</w:t>
      </w:r>
      <w:r>
        <w:rPr>
          <w:spacing w:val="-15"/>
          <w:sz w:val="24"/>
        </w:rPr>
        <w:t xml:space="preserve"> </w:t>
      </w:r>
      <w:r>
        <w:rPr>
          <w:sz w:val="24"/>
        </w:rPr>
        <w:t>et</w:t>
      </w:r>
      <w:r>
        <w:rPr>
          <w:spacing w:val="-15"/>
          <w:sz w:val="24"/>
        </w:rPr>
        <w:t xml:space="preserve"> </w:t>
      </w:r>
      <w:r>
        <w:rPr>
          <w:sz w:val="24"/>
        </w:rPr>
        <w:t>al.,</w:t>
      </w:r>
      <w:r>
        <w:rPr>
          <w:spacing w:val="-15"/>
          <w:sz w:val="24"/>
        </w:rPr>
        <w:t xml:space="preserve"> </w:t>
      </w:r>
      <w:r>
        <w:rPr>
          <w:sz w:val="24"/>
        </w:rPr>
        <w:t>2010;</w:t>
      </w:r>
      <w:r>
        <w:rPr>
          <w:spacing w:val="-15"/>
          <w:sz w:val="24"/>
        </w:rPr>
        <w:t xml:space="preserve"> </w:t>
      </w:r>
      <w:r>
        <w:rPr>
          <w:sz w:val="24"/>
        </w:rPr>
        <w:t>Kumar</w:t>
      </w:r>
      <w:r>
        <w:rPr>
          <w:spacing w:val="-15"/>
          <w:sz w:val="24"/>
        </w:rPr>
        <w:t xml:space="preserve"> </w:t>
      </w:r>
      <w:r>
        <w:rPr>
          <w:sz w:val="24"/>
        </w:rPr>
        <w:t>et</w:t>
      </w:r>
      <w:r>
        <w:rPr>
          <w:spacing w:val="-15"/>
          <w:sz w:val="24"/>
        </w:rPr>
        <w:t xml:space="preserve"> </w:t>
      </w:r>
      <w:r>
        <w:rPr>
          <w:sz w:val="24"/>
        </w:rPr>
        <w:t>al.,</w:t>
      </w:r>
      <w:r>
        <w:rPr>
          <w:spacing w:val="-15"/>
          <w:sz w:val="24"/>
        </w:rPr>
        <w:t xml:space="preserve"> </w:t>
      </w:r>
      <w:r>
        <w:rPr>
          <w:sz w:val="24"/>
        </w:rPr>
        <w:t>2011;</w:t>
      </w:r>
      <w:r>
        <w:rPr>
          <w:spacing w:val="-15"/>
          <w:sz w:val="24"/>
        </w:rPr>
        <w:t xml:space="preserve"> </w:t>
      </w:r>
      <w:r>
        <w:rPr>
          <w:sz w:val="24"/>
        </w:rPr>
        <w:t>Wahyuni</w:t>
      </w:r>
      <w:r>
        <w:rPr>
          <w:spacing w:val="-15"/>
          <w:sz w:val="24"/>
        </w:rPr>
        <w:t xml:space="preserve"> </w:t>
      </w:r>
      <w:r>
        <w:rPr>
          <w:sz w:val="24"/>
        </w:rPr>
        <w:t>&amp;</w:t>
      </w:r>
      <w:r>
        <w:rPr>
          <w:spacing w:val="-15"/>
          <w:sz w:val="24"/>
        </w:rPr>
        <w:t xml:space="preserve"> </w:t>
      </w:r>
      <w:r>
        <w:rPr>
          <w:sz w:val="24"/>
        </w:rPr>
        <w:t>Astawa,</w:t>
      </w:r>
      <w:r>
        <w:rPr>
          <w:spacing w:val="-15"/>
          <w:sz w:val="24"/>
        </w:rPr>
        <w:t xml:space="preserve"> </w:t>
      </w:r>
      <w:r>
        <w:rPr>
          <w:sz w:val="24"/>
        </w:rPr>
        <w:t>2020;</w:t>
      </w:r>
      <w:r>
        <w:rPr>
          <w:spacing w:val="-15"/>
          <w:sz w:val="24"/>
        </w:rPr>
        <w:t xml:space="preserve"> </w:t>
      </w:r>
      <w:r>
        <w:rPr>
          <w:sz w:val="24"/>
        </w:rPr>
        <w:t>Crick,</w:t>
      </w:r>
      <w:r>
        <w:rPr>
          <w:spacing w:val="-15"/>
          <w:sz w:val="24"/>
        </w:rPr>
        <w:t xml:space="preserve"> </w:t>
      </w:r>
      <w:r>
        <w:rPr>
          <w:sz w:val="24"/>
        </w:rPr>
        <w:t>2024).</w:t>
      </w:r>
      <w:r>
        <w:rPr>
          <w:spacing w:val="-15"/>
          <w:sz w:val="24"/>
        </w:rPr>
        <w:t xml:space="preserve"> </w:t>
      </w:r>
      <w:r>
        <w:rPr>
          <w:sz w:val="24"/>
        </w:rPr>
        <w:t>However, there is limited understanding of how MO interacts with internal capabilities like strategic flexibility to enhance sustainable competitiveness, particularly within the public procurement arena, while involving special</w:t>
      </w:r>
      <w:r>
        <w:rPr>
          <w:spacing w:val="-12"/>
          <w:sz w:val="24"/>
        </w:rPr>
        <w:t xml:space="preserve"> </w:t>
      </w:r>
      <w:r>
        <w:rPr>
          <w:sz w:val="24"/>
        </w:rPr>
        <w:t>group</w:t>
      </w:r>
      <w:r>
        <w:rPr>
          <w:spacing w:val="-11"/>
          <w:sz w:val="24"/>
        </w:rPr>
        <w:t xml:space="preserve"> </w:t>
      </w:r>
      <w:r>
        <w:rPr>
          <w:sz w:val="24"/>
        </w:rPr>
        <w:t>SMEs.</w:t>
      </w:r>
      <w:r>
        <w:rPr>
          <w:spacing w:val="-12"/>
          <w:sz w:val="24"/>
        </w:rPr>
        <w:t xml:space="preserve"> </w:t>
      </w:r>
      <w:r>
        <w:rPr>
          <w:sz w:val="24"/>
        </w:rPr>
        <w:t>Therefore,</w:t>
      </w:r>
      <w:r>
        <w:rPr>
          <w:spacing w:val="-12"/>
          <w:sz w:val="24"/>
        </w:rPr>
        <w:t xml:space="preserve"> </w:t>
      </w:r>
      <w:r>
        <w:rPr>
          <w:sz w:val="24"/>
        </w:rPr>
        <w:t>this</w:t>
      </w:r>
      <w:r>
        <w:rPr>
          <w:spacing w:val="-11"/>
          <w:sz w:val="24"/>
        </w:rPr>
        <w:t xml:space="preserve"> </w:t>
      </w:r>
      <w:r>
        <w:rPr>
          <w:sz w:val="24"/>
        </w:rPr>
        <w:t>study</w:t>
      </w:r>
      <w:r>
        <w:rPr>
          <w:spacing w:val="-9"/>
          <w:sz w:val="24"/>
        </w:rPr>
        <w:t xml:space="preserve"> </w:t>
      </w:r>
      <w:r>
        <w:rPr>
          <w:sz w:val="24"/>
        </w:rPr>
        <w:t>applies</w:t>
      </w:r>
      <w:r>
        <w:rPr>
          <w:spacing w:val="-9"/>
          <w:sz w:val="24"/>
        </w:rPr>
        <w:t xml:space="preserve"> </w:t>
      </w:r>
      <w:r>
        <w:rPr>
          <w:sz w:val="24"/>
        </w:rPr>
        <w:t>Market</w:t>
      </w:r>
      <w:r>
        <w:rPr>
          <w:spacing w:val="-12"/>
          <w:sz w:val="24"/>
        </w:rPr>
        <w:t xml:space="preserve"> </w:t>
      </w:r>
      <w:r>
        <w:rPr>
          <w:sz w:val="24"/>
        </w:rPr>
        <w:t>Orientation</w:t>
      </w:r>
      <w:r>
        <w:rPr>
          <w:spacing w:val="-12"/>
          <w:sz w:val="24"/>
        </w:rPr>
        <w:t xml:space="preserve"> </w:t>
      </w:r>
      <w:r>
        <w:rPr>
          <w:sz w:val="24"/>
        </w:rPr>
        <w:t>Theory</w:t>
      </w:r>
      <w:r>
        <w:rPr>
          <w:spacing w:val="-13"/>
          <w:sz w:val="24"/>
        </w:rPr>
        <w:t xml:space="preserve"> </w:t>
      </w:r>
      <w:r>
        <w:rPr>
          <w:sz w:val="24"/>
        </w:rPr>
        <w:t>and</w:t>
      </w:r>
      <w:r>
        <w:rPr>
          <w:spacing w:val="-10"/>
          <w:sz w:val="24"/>
        </w:rPr>
        <w:t xml:space="preserve"> </w:t>
      </w:r>
      <w:r>
        <w:rPr>
          <w:sz w:val="24"/>
        </w:rPr>
        <w:t>the</w:t>
      </w:r>
      <w:r>
        <w:rPr>
          <w:spacing w:val="-13"/>
          <w:sz w:val="24"/>
        </w:rPr>
        <w:t xml:space="preserve"> </w:t>
      </w:r>
      <w:r>
        <w:rPr>
          <w:sz w:val="24"/>
        </w:rPr>
        <w:t>Dynamic</w:t>
      </w:r>
      <w:r>
        <w:rPr>
          <w:spacing w:val="-13"/>
          <w:sz w:val="24"/>
        </w:rPr>
        <w:t xml:space="preserve"> </w:t>
      </w:r>
      <w:r>
        <w:rPr>
          <w:sz w:val="24"/>
        </w:rPr>
        <w:t>Capability Theory (DCT) to examine how customer orientation and competitor orientation impact sustainable competitiveness, and how strategic flexibility moderates these relationships.</w:t>
      </w:r>
    </w:p>
    <w:p w:rsidR="00487D64" w:rsidRDefault="00487D64">
      <w:pPr>
        <w:pStyle w:val="BodyText"/>
        <w:spacing w:before="42"/>
        <w:rPr>
          <w:sz w:val="24"/>
        </w:rPr>
      </w:pPr>
    </w:p>
    <w:p w:rsidR="00487D64" w:rsidRDefault="006F0D93">
      <w:pPr>
        <w:pStyle w:val="ListParagraph"/>
        <w:numPr>
          <w:ilvl w:val="0"/>
          <w:numId w:val="4"/>
        </w:numPr>
        <w:tabs>
          <w:tab w:val="left" w:pos="363"/>
        </w:tabs>
        <w:ind w:left="363" w:hanging="306"/>
        <w:rPr>
          <w:b/>
          <w:sz w:val="24"/>
        </w:rPr>
      </w:pPr>
      <w:r>
        <w:rPr>
          <w:b/>
          <w:sz w:val="24"/>
        </w:rPr>
        <w:t>LITERATURE</w:t>
      </w:r>
      <w:r>
        <w:rPr>
          <w:b/>
          <w:spacing w:val="-4"/>
          <w:sz w:val="24"/>
        </w:rPr>
        <w:t xml:space="preserve"> </w:t>
      </w:r>
      <w:r>
        <w:rPr>
          <w:b/>
          <w:spacing w:val="-2"/>
          <w:sz w:val="24"/>
        </w:rPr>
        <w:t>REVI</w:t>
      </w:r>
      <w:r>
        <w:rPr>
          <w:b/>
          <w:spacing w:val="-2"/>
          <w:sz w:val="24"/>
        </w:rPr>
        <w:t>EW</w:t>
      </w:r>
    </w:p>
    <w:p w:rsidR="00487D64" w:rsidRDefault="006F0D93">
      <w:pPr>
        <w:spacing w:before="41"/>
        <w:ind w:left="57"/>
        <w:jc w:val="both"/>
        <w:rPr>
          <w:b/>
          <w:sz w:val="24"/>
        </w:rPr>
      </w:pPr>
      <w:r>
        <w:rPr>
          <w:b/>
          <w:sz w:val="24"/>
        </w:rPr>
        <w:t>Theoretical</w:t>
      </w:r>
      <w:r>
        <w:rPr>
          <w:b/>
          <w:spacing w:val="-4"/>
          <w:sz w:val="24"/>
        </w:rPr>
        <w:t xml:space="preserve"> </w:t>
      </w:r>
      <w:r>
        <w:rPr>
          <w:b/>
          <w:sz w:val="24"/>
        </w:rPr>
        <w:t>literature</w:t>
      </w:r>
      <w:r>
        <w:rPr>
          <w:b/>
          <w:spacing w:val="-2"/>
          <w:sz w:val="24"/>
        </w:rPr>
        <w:t xml:space="preserve"> review</w:t>
      </w:r>
    </w:p>
    <w:p w:rsidR="00487D64" w:rsidRDefault="006F0D93">
      <w:pPr>
        <w:spacing w:before="40" w:line="276" w:lineRule="auto"/>
        <w:ind w:left="57" w:right="339"/>
        <w:jc w:val="both"/>
        <w:rPr>
          <w:sz w:val="24"/>
        </w:rPr>
      </w:pPr>
      <w:r>
        <w:rPr>
          <w:sz w:val="24"/>
        </w:rPr>
        <w:t>This</w:t>
      </w:r>
      <w:r>
        <w:rPr>
          <w:spacing w:val="-9"/>
          <w:sz w:val="24"/>
        </w:rPr>
        <w:t xml:space="preserve"> </w:t>
      </w:r>
      <w:r>
        <w:rPr>
          <w:sz w:val="24"/>
        </w:rPr>
        <w:t>study</w:t>
      </w:r>
      <w:r>
        <w:rPr>
          <w:spacing w:val="-9"/>
          <w:sz w:val="24"/>
        </w:rPr>
        <w:t xml:space="preserve"> </w:t>
      </w:r>
      <w:r>
        <w:rPr>
          <w:sz w:val="24"/>
        </w:rPr>
        <w:t>integrates</w:t>
      </w:r>
      <w:r>
        <w:rPr>
          <w:spacing w:val="-8"/>
          <w:sz w:val="24"/>
        </w:rPr>
        <w:t xml:space="preserve"> </w:t>
      </w:r>
      <w:r>
        <w:rPr>
          <w:sz w:val="24"/>
        </w:rPr>
        <w:t>Market</w:t>
      </w:r>
      <w:r>
        <w:rPr>
          <w:spacing w:val="-9"/>
          <w:sz w:val="24"/>
        </w:rPr>
        <w:t xml:space="preserve"> </w:t>
      </w:r>
      <w:r>
        <w:rPr>
          <w:sz w:val="24"/>
        </w:rPr>
        <w:t>Orientation</w:t>
      </w:r>
      <w:r>
        <w:rPr>
          <w:spacing w:val="-10"/>
          <w:sz w:val="24"/>
        </w:rPr>
        <w:t xml:space="preserve"> </w:t>
      </w:r>
      <w:r>
        <w:rPr>
          <w:sz w:val="24"/>
        </w:rPr>
        <w:t>Theory</w:t>
      </w:r>
      <w:r>
        <w:rPr>
          <w:spacing w:val="-8"/>
          <w:sz w:val="24"/>
        </w:rPr>
        <w:t xml:space="preserve"> </w:t>
      </w:r>
      <w:r>
        <w:rPr>
          <w:sz w:val="24"/>
        </w:rPr>
        <w:t>(Narver</w:t>
      </w:r>
      <w:r>
        <w:rPr>
          <w:spacing w:val="-10"/>
          <w:sz w:val="24"/>
        </w:rPr>
        <w:t xml:space="preserve"> </w:t>
      </w:r>
      <w:r>
        <w:rPr>
          <w:sz w:val="24"/>
        </w:rPr>
        <w:t>&amp;</w:t>
      </w:r>
      <w:r>
        <w:rPr>
          <w:spacing w:val="-9"/>
          <w:sz w:val="24"/>
        </w:rPr>
        <w:t xml:space="preserve"> </w:t>
      </w:r>
      <w:r>
        <w:rPr>
          <w:sz w:val="24"/>
        </w:rPr>
        <w:t>Slater,</w:t>
      </w:r>
      <w:r>
        <w:rPr>
          <w:spacing w:val="-10"/>
          <w:sz w:val="24"/>
        </w:rPr>
        <w:t xml:space="preserve"> </w:t>
      </w:r>
      <w:r>
        <w:rPr>
          <w:sz w:val="24"/>
        </w:rPr>
        <w:t>1990)</w:t>
      </w:r>
      <w:r>
        <w:rPr>
          <w:spacing w:val="-8"/>
          <w:sz w:val="24"/>
        </w:rPr>
        <w:t xml:space="preserve"> </w:t>
      </w:r>
      <w:r>
        <w:rPr>
          <w:sz w:val="24"/>
        </w:rPr>
        <w:t>and</w:t>
      </w:r>
      <w:r>
        <w:rPr>
          <w:spacing w:val="-10"/>
          <w:sz w:val="24"/>
        </w:rPr>
        <w:t xml:space="preserve"> </w:t>
      </w:r>
      <w:r>
        <w:rPr>
          <w:sz w:val="24"/>
        </w:rPr>
        <w:t>Dynamic</w:t>
      </w:r>
      <w:r>
        <w:rPr>
          <w:spacing w:val="-8"/>
          <w:sz w:val="24"/>
        </w:rPr>
        <w:t xml:space="preserve"> </w:t>
      </w:r>
      <w:r>
        <w:rPr>
          <w:sz w:val="24"/>
        </w:rPr>
        <w:t>Capability</w:t>
      </w:r>
      <w:r>
        <w:rPr>
          <w:spacing w:val="-10"/>
          <w:sz w:val="24"/>
        </w:rPr>
        <w:t xml:space="preserve"> </w:t>
      </w:r>
      <w:r>
        <w:rPr>
          <w:sz w:val="24"/>
        </w:rPr>
        <w:t>Theory (Teece et al., 1997) to explain how SMEs achieve sustainable competitiveness in dynamic settings like public procurement. Market Orientation Theory stresses understanding and responding to customer and competitor</w:t>
      </w:r>
      <w:r>
        <w:rPr>
          <w:spacing w:val="-6"/>
          <w:sz w:val="24"/>
        </w:rPr>
        <w:t xml:space="preserve"> </w:t>
      </w:r>
      <w:r>
        <w:rPr>
          <w:sz w:val="24"/>
        </w:rPr>
        <w:t>needs</w:t>
      </w:r>
      <w:r>
        <w:rPr>
          <w:spacing w:val="-5"/>
          <w:sz w:val="24"/>
        </w:rPr>
        <w:t xml:space="preserve"> </w:t>
      </w:r>
      <w:r>
        <w:rPr>
          <w:sz w:val="24"/>
        </w:rPr>
        <w:t>to</w:t>
      </w:r>
      <w:r>
        <w:rPr>
          <w:spacing w:val="-3"/>
          <w:sz w:val="24"/>
        </w:rPr>
        <w:t xml:space="preserve"> </w:t>
      </w:r>
      <w:r>
        <w:rPr>
          <w:sz w:val="24"/>
        </w:rPr>
        <w:t>enhance</w:t>
      </w:r>
      <w:r>
        <w:rPr>
          <w:spacing w:val="-6"/>
          <w:sz w:val="24"/>
        </w:rPr>
        <w:t xml:space="preserve"> </w:t>
      </w:r>
      <w:r>
        <w:rPr>
          <w:sz w:val="24"/>
        </w:rPr>
        <w:t>agility,</w:t>
      </w:r>
      <w:r>
        <w:rPr>
          <w:spacing w:val="-5"/>
          <w:sz w:val="24"/>
        </w:rPr>
        <w:t xml:space="preserve"> </w:t>
      </w:r>
      <w:r>
        <w:rPr>
          <w:sz w:val="24"/>
        </w:rPr>
        <w:t>innovation</w:t>
      </w:r>
      <w:r>
        <w:rPr>
          <w:sz w:val="24"/>
        </w:rPr>
        <w:t>,</w:t>
      </w:r>
      <w:r>
        <w:rPr>
          <w:spacing w:val="-4"/>
          <w:sz w:val="24"/>
        </w:rPr>
        <w:t xml:space="preserve"> </w:t>
      </w:r>
      <w:r>
        <w:rPr>
          <w:sz w:val="24"/>
        </w:rPr>
        <w:t>and</w:t>
      </w:r>
      <w:r>
        <w:rPr>
          <w:spacing w:val="-5"/>
          <w:sz w:val="24"/>
        </w:rPr>
        <w:t xml:space="preserve"> </w:t>
      </w:r>
      <w:r>
        <w:rPr>
          <w:sz w:val="24"/>
        </w:rPr>
        <w:t>internal</w:t>
      </w:r>
      <w:r>
        <w:rPr>
          <w:spacing w:val="-4"/>
          <w:sz w:val="24"/>
        </w:rPr>
        <w:t xml:space="preserve"> </w:t>
      </w:r>
      <w:r>
        <w:rPr>
          <w:sz w:val="24"/>
        </w:rPr>
        <w:t>collaboration,</w:t>
      </w:r>
      <w:r>
        <w:rPr>
          <w:spacing w:val="-3"/>
          <w:sz w:val="24"/>
        </w:rPr>
        <w:t xml:space="preserve"> </w:t>
      </w:r>
      <w:r>
        <w:rPr>
          <w:sz w:val="24"/>
        </w:rPr>
        <w:t>which</w:t>
      </w:r>
      <w:r>
        <w:rPr>
          <w:spacing w:val="-5"/>
          <w:sz w:val="24"/>
        </w:rPr>
        <w:t xml:space="preserve"> </w:t>
      </w:r>
      <w:r>
        <w:rPr>
          <w:sz w:val="24"/>
        </w:rPr>
        <w:t>are</w:t>
      </w:r>
      <w:r>
        <w:rPr>
          <w:spacing w:val="-4"/>
          <w:sz w:val="24"/>
        </w:rPr>
        <w:t xml:space="preserve"> </w:t>
      </w:r>
      <w:r>
        <w:rPr>
          <w:sz w:val="24"/>
        </w:rPr>
        <w:t>crucial</w:t>
      </w:r>
      <w:r>
        <w:rPr>
          <w:spacing w:val="-5"/>
          <w:sz w:val="24"/>
        </w:rPr>
        <w:t xml:space="preserve"> </w:t>
      </w:r>
      <w:r>
        <w:rPr>
          <w:sz w:val="24"/>
        </w:rPr>
        <w:t>in</w:t>
      </w:r>
      <w:r>
        <w:rPr>
          <w:spacing w:val="-3"/>
          <w:sz w:val="24"/>
        </w:rPr>
        <w:t xml:space="preserve"> </w:t>
      </w:r>
      <w:r>
        <w:rPr>
          <w:sz w:val="24"/>
        </w:rPr>
        <w:t>regulated environments. However, it lacks focus on long-term adaptability. Dynamic Capability Theory addresses this</w:t>
      </w:r>
      <w:r>
        <w:rPr>
          <w:spacing w:val="-5"/>
          <w:sz w:val="24"/>
        </w:rPr>
        <w:t xml:space="preserve"> </w:t>
      </w:r>
      <w:r>
        <w:rPr>
          <w:sz w:val="24"/>
        </w:rPr>
        <w:t>by</w:t>
      </w:r>
      <w:r>
        <w:rPr>
          <w:spacing w:val="-5"/>
          <w:sz w:val="24"/>
        </w:rPr>
        <w:t xml:space="preserve"> </w:t>
      </w:r>
      <w:r>
        <w:rPr>
          <w:sz w:val="24"/>
        </w:rPr>
        <w:t>emphasizing</w:t>
      </w:r>
      <w:r>
        <w:rPr>
          <w:spacing w:val="-5"/>
          <w:sz w:val="24"/>
        </w:rPr>
        <w:t xml:space="preserve"> </w:t>
      </w:r>
      <w:r>
        <w:rPr>
          <w:sz w:val="24"/>
        </w:rPr>
        <w:t>a</w:t>
      </w:r>
      <w:r>
        <w:rPr>
          <w:spacing w:val="-6"/>
          <w:sz w:val="24"/>
        </w:rPr>
        <w:t xml:space="preserve"> </w:t>
      </w:r>
      <w:r>
        <w:rPr>
          <w:sz w:val="24"/>
        </w:rPr>
        <w:t>firm’s</w:t>
      </w:r>
      <w:r>
        <w:rPr>
          <w:spacing w:val="-5"/>
          <w:sz w:val="24"/>
        </w:rPr>
        <w:t xml:space="preserve"> </w:t>
      </w:r>
      <w:r>
        <w:rPr>
          <w:sz w:val="24"/>
        </w:rPr>
        <w:t>ability</w:t>
      </w:r>
      <w:r>
        <w:rPr>
          <w:spacing w:val="-5"/>
          <w:sz w:val="24"/>
        </w:rPr>
        <w:t xml:space="preserve"> </w:t>
      </w:r>
      <w:r>
        <w:rPr>
          <w:sz w:val="24"/>
        </w:rPr>
        <w:t>to</w:t>
      </w:r>
      <w:r>
        <w:rPr>
          <w:spacing w:val="-4"/>
          <w:sz w:val="24"/>
        </w:rPr>
        <w:t xml:space="preserve"> </w:t>
      </w:r>
      <w:r>
        <w:rPr>
          <w:sz w:val="24"/>
        </w:rPr>
        <w:t>sense</w:t>
      </w:r>
      <w:r>
        <w:rPr>
          <w:spacing w:val="-6"/>
          <w:sz w:val="24"/>
        </w:rPr>
        <w:t xml:space="preserve"> </w:t>
      </w:r>
      <w:r>
        <w:rPr>
          <w:sz w:val="24"/>
        </w:rPr>
        <w:t>changes,</w:t>
      </w:r>
      <w:r>
        <w:rPr>
          <w:spacing w:val="-5"/>
          <w:sz w:val="24"/>
        </w:rPr>
        <w:t xml:space="preserve"> </w:t>
      </w:r>
      <w:r>
        <w:rPr>
          <w:sz w:val="24"/>
        </w:rPr>
        <w:t>seize</w:t>
      </w:r>
      <w:r>
        <w:rPr>
          <w:spacing w:val="-6"/>
          <w:sz w:val="24"/>
        </w:rPr>
        <w:t xml:space="preserve"> </w:t>
      </w:r>
      <w:r>
        <w:rPr>
          <w:sz w:val="24"/>
        </w:rPr>
        <w:t>opportunities,</w:t>
      </w:r>
      <w:r>
        <w:rPr>
          <w:spacing w:val="-3"/>
          <w:sz w:val="24"/>
        </w:rPr>
        <w:t xml:space="preserve"> </w:t>
      </w:r>
      <w:r>
        <w:rPr>
          <w:sz w:val="24"/>
        </w:rPr>
        <w:t>and</w:t>
      </w:r>
      <w:r>
        <w:rPr>
          <w:spacing w:val="-5"/>
          <w:sz w:val="24"/>
        </w:rPr>
        <w:t xml:space="preserve"> </w:t>
      </w:r>
      <w:r>
        <w:rPr>
          <w:sz w:val="24"/>
        </w:rPr>
        <w:t>reconfigure</w:t>
      </w:r>
      <w:r>
        <w:rPr>
          <w:spacing w:val="-6"/>
          <w:sz w:val="24"/>
        </w:rPr>
        <w:t xml:space="preserve"> </w:t>
      </w:r>
      <w:r>
        <w:rPr>
          <w:sz w:val="24"/>
        </w:rPr>
        <w:t>re</w:t>
      </w:r>
      <w:r>
        <w:rPr>
          <w:sz w:val="24"/>
        </w:rPr>
        <w:t>sources</w:t>
      </w:r>
      <w:r>
        <w:rPr>
          <w:spacing w:val="-5"/>
          <w:sz w:val="24"/>
        </w:rPr>
        <w:t xml:space="preserve"> </w:t>
      </w:r>
      <w:r>
        <w:rPr>
          <w:sz w:val="24"/>
        </w:rPr>
        <w:t>amid volatility (Teece, 2009). This is vital for SMEs facing shifting policies and competitive pressures, highlighting</w:t>
      </w:r>
      <w:r>
        <w:rPr>
          <w:spacing w:val="-1"/>
          <w:sz w:val="24"/>
        </w:rPr>
        <w:t xml:space="preserve"> </w:t>
      </w:r>
      <w:r>
        <w:rPr>
          <w:sz w:val="24"/>
        </w:rPr>
        <w:t>strategic</w:t>
      </w:r>
      <w:r>
        <w:rPr>
          <w:spacing w:val="-2"/>
          <w:sz w:val="24"/>
        </w:rPr>
        <w:t xml:space="preserve"> </w:t>
      </w:r>
      <w:r>
        <w:rPr>
          <w:sz w:val="24"/>
        </w:rPr>
        <w:t>flexibility</w:t>
      </w:r>
      <w:r>
        <w:rPr>
          <w:spacing w:val="-1"/>
          <w:sz w:val="24"/>
        </w:rPr>
        <w:t xml:space="preserve"> </w:t>
      </w:r>
      <w:r>
        <w:rPr>
          <w:sz w:val="24"/>
        </w:rPr>
        <w:t>as</w:t>
      </w:r>
      <w:r>
        <w:rPr>
          <w:spacing w:val="-1"/>
          <w:sz w:val="24"/>
        </w:rPr>
        <w:t xml:space="preserve"> </w:t>
      </w:r>
      <w:r>
        <w:rPr>
          <w:sz w:val="24"/>
        </w:rPr>
        <w:t>key</w:t>
      </w:r>
      <w:r>
        <w:rPr>
          <w:spacing w:val="-1"/>
          <w:sz w:val="24"/>
        </w:rPr>
        <w:t xml:space="preserve"> </w:t>
      </w:r>
      <w:r>
        <w:rPr>
          <w:sz w:val="24"/>
        </w:rPr>
        <w:t>for</w:t>
      </w:r>
      <w:r>
        <w:rPr>
          <w:spacing w:val="-3"/>
          <w:sz w:val="24"/>
        </w:rPr>
        <w:t xml:space="preserve"> </w:t>
      </w:r>
      <w:r>
        <w:rPr>
          <w:sz w:val="24"/>
        </w:rPr>
        <w:t>sustained</w:t>
      </w:r>
      <w:r>
        <w:rPr>
          <w:spacing w:val="-1"/>
          <w:sz w:val="24"/>
        </w:rPr>
        <w:t xml:space="preserve"> </w:t>
      </w:r>
      <w:r>
        <w:rPr>
          <w:sz w:val="24"/>
        </w:rPr>
        <w:t>competitiveness</w:t>
      </w:r>
      <w:r>
        <w:rPr>
          <w:spacing w:val="-1"/>
          <w:sz w:val="24"/>
        </w:rPr>
        <w:t xml:space="preserve"> </w:t>
      </w:r>
      <w:r>
        <w:rPr>
          <w:sz w:val="24"/>
        </w:rPr>
        <w:t>(Awais</w:t>
      </w:r>
      <w:r>
        <w:rPr>
          <w:spacing w:val="-1"/>
          <w:sz w:val="24"/>
        </w:rPr>
        <w:t xml:space="preserve"> </w:t>
      </w:r>
      <w:r>
        <w:rPr>
          <w:sz w:val="24"/>
        </w:rPr>
        <w:t>et</w:t>
      </w:r>
      <w:r>
        <w:rPr>
          <w:spacing w:val="-1"/>
          <w:sz w:val="24"/>
        </w:rPr>
        <w:t xml:space="preserve"> </w:t>
      </w:r>
      <w:r>
        <w:rPr>
          <w:sz w:val="24"/>
        </w:rPr>
        <w:t>al.,</w:t>
      </w:r>
      <w:r>
        <w:rPr>
          <w:spacing w:val="-1"/>
          <w:sz w:val="24"/>
        </w:rPr>
        <w:t xml:space="preserve"> </w:t>
      </w:r>
      <w:r>
        <w:rPr>
          <w:sz w:val="24"/>
        </w:rPr>
        <w:t>2023).</w:t>
      </w:r>
      <w:r>
        <w:rPr>
          <w:spacing w:val="-1"/>
          <w:sz w:val="24"/>
        </w:rPr>
        <w:t xml:space="preserve"> </w:t>
      </w:r>
      <w:r>
        <w:rPr>
          <w:sz w:val="24"/>
        </w:rPr>
        <w:t>By</w:t>
      </w:r>
      <w:r>
        <w:rPr>
          <w:spacing w:val="-1"/>
          <w:sz w:val="24"/>
        </w:rPr>
        <w:t xml:space="preserve"> </w:t>
      </w:r>
      <w:r>
        <w:rPr>
          <w:sz w:val="24"/>
        </w:rPr>
        <w:t>combining these</w:t>
      </w:r>
      <w:r>
        <w:rPr>
          <w:spacing w:val="-4"/>
          <w:sz w:val="24"/>
        </w:rPr>
        <w:t xml:space="preserve"> </w:t>
      </w:r>
      <w:r>
        <w:rPr>
          <w:sz w:val="24"/>
        </w:rPr>
        <w:t>theories,</w:t>
      </w:r>
      <w:r>
        <w:rPr>
          <w:spacing w:val="-2"/>
          <w:sz w:val="24"/>
        </w:rPr>
        <w:t xml:space="preserve"> </w:t>
      </w:r>
      <w:r>
        <w:rPr>
          <w:sz w:val="24"/>
        </w:rPr>
        <w:t>the</w:t>
      </w:r>
      <w:r>
        <w:rPr>
          <w:spacing w:val="-2"/>
          <w:sz w:val="24"/>
        </w:rPr>
        <w:t xml:space="preserve"> </w:t>
      </w:r>
      <w:r>
        <w:rPr>
          <w:sz w:val="24"/>
        </w:rPr>
        <w:t>study examines</w:t>
      </w:r>
      <w:r>
        <w:rPr>
          <w:spacing w:val="-3"/>
          <w:sz w:val="24"/>
        </w:rPr>
        <w:t xml:space="preserve"> </w:t>
      </w:r>
      <w:r>
        <w:rPr>
          <w:sz w:val="24"/>
        </w:rPr>
        <w:t>how</w:t>
      </w:r>
      <w:r>
        <w:rPr>
          <w:spacing w:val="-1"/>
          <w:sz w:val="24"/>
        </w:rPr>
        <w:t xml:space="preserve"> </w:t>
      </w:r>
      <w:r>
        <w:rPr>
          <w:sz w:val="24"/>
        </w:rPr>
        <w:t>special</w:t>
      </w:r>
      <w:r>
        <w:rPr>
          <w:spacing w:val="-2"/>
          <w:sz w:val="24"/>
        </w:rPr>
        <w:t xml:space="preserve"> </w:t>
      </w:r>
      <w:r>
        <w:rPr>
          <w:sz w:val="24"/>
        </w:rPr>
        <w:t>group</w:t>
      </w:r>
      <w:r>
        <w:rPr>
          <w:spacing w:val="-2"/>
          <w:sz w:val="24"/>
        </w:rPr>
        <w:t xml:space="preserve"> </w:t>
      </w:r>
      <w:r>
        <w:rPr>
          <w:sz w:val="24"/>
        </w:rPr>
        <w:t>SMEs</w:t>
      </w:r>
      <w:r>
        <w:rPr>
          <w:spacing w:val="-3"/>
          <w:sz w:val="24"/>
        </w:rPr>
        <w:t xml:space="preserve"> </w:t>
      </w:r>
      <w:r>
        <w:rPr>
          <w:sz w:val="24"/>
        </w:rPr>
        <w:t>detect market signals</w:t>
      </w:r>
      <w:r>
        <w:rPr>
          <w:spacing w:val="-3"/>
          <w:sz w:val="24"/>
        </w:rPr>
        <w:t xml:space="preserve"> </w:t>
      </w:r>
      <w:r>
        <w:rPr>
          <w:sz w:val="24"/>
        </w:rPr>
        <w:t>and</w:t>
      </w:r>
      <w:r>
        <w:rPr>
          <w:spacing w:val="-2"/>
          <w:sz w:val="24"/>
        </w:rPr>
        <w:t xml:space="preserve"> </w:t>
      </w:r>
      <w:r>
        <w:rPr>
          <w:sz w:val="24"/>
        </w:rPr>
        <w:t>translate</w:t>
      </w:r>
      <w:r>
        <w:rPr>
          <w:spacing w:val="-2"/>
          <w:sz w:val="24"/>
        </w:rPr>
        <w:t xml:space="preserve"> </w:t>
      </w:r>
      <w:r>
        <w:rPr>
          <w:sz w:val="24"/>
        </w:rPr>
        <w:t>them</w:t>
      </w:r>
      <w:r>
        <w:rPr>
          <w:spacing w:val="-2"/>
          <w:sz w:val="24"/>
        </w:rPr>
        <w:t xml:space="preserve"> </w:t>
      </w:r>
      <w:r>
        <w:rPr>
          <w:sz w:val="24"/>
        </w:rPr>
        <w:t>into adaptive</w:t>
      </w:r>
      <w:r>
        <w:rPr>
          <w:spacing w:val="-12"/>
          <w:sz w:val="24"/>
        </w:rPr>
        <w:t xml:space="preserve"> </w:t>
      </w:r>
      <w:r>
        <w:rPr>
          <w:sz w:val="24"/>
        </w:rPr>
        <w:t>actions,</w:t>
      </w:r>
      <w:r>
        <w:rPr>
          <w:spacing w:val="-10"/>
          <w:sz w:val="24"/>
        </w:rPr>
        <w:t xml:space="preserve"> </w:t>
      </w:r>
      <w:r>
        <w:rPr>
          <w:sz w:val="24"/>
        </w:rPr>
        <w:t>promoting</w:t>
      </w:r>
      <w:r>
        <w:rPr>
          <w:spacing w:val="-11"/>
          <w:sz w:val="24"/>
        </w:rPr>
        <w:t xml:space="preserve"> </w:t>
      </w:r>
      <w:r>
        <w:rPr>
          <w:sz w:val="24"/>
        </w:rPr>
        <w:t>resilience</w:t>
      </w:r>
      <w:r>
        <w:rPr>
          <w:spacing w:val="-9"/>
          <w:sz w:val="24"/>
        </w:rPr>
        <w:t xml:space="preserve"> </w:t>
      </w:r>
      <w:r>
        <w:rPr>
          <w:sz w:val="24"/>
        </w:rPr>
        <w:t>and</w:t>
      </w:r>
      <w:r>
        <w:rPr>
          <w:spacing w:val="-11"/>
          <w:sz w:val="24"/>
        </w:rPr>
        <w:t xml:space="preserve"> </w:t>
      </w:r>
      <w:r>
        <w:rPr>
          <w:sz w:val="24"/>
        </w:rPr>
        <w:t>success</w:t>
      </w:r>
      <w:r>
        <w:rPr>
          <w:spacing w:val="-8"/>
          <w:sz w:val="24"/>
        </w:rPr>
        <w:t xml:space="preserve"> </w:t>
      </w:r>
      <w:r>
        <w:rPr>
          <w:sz w:val="24"/>
        </w:rPr>
        <w:t>in</w:t>
      </w:r>
      <w:r>
        <w:rPr>
          <w:spacing w:val="-10"/>
          <w:sz w:val="24"/>
        </w:rPr>
        <w:t xml:space="preserve"> </w:t>
      </w:r>
      <w:r>
        <w:rPr>
          <w:sz w:val="24"/>
        </w:rPr>
        <w:t>the</w:t>
      </w:r>
      <w:r>
        <w:rPr>
          <w:spacing w:val="-11"/>
          <w:sz w:val="24"/>
        </w:rPr>
        <w:t xml:space="preserve"> </w:t>
      </w:r>
      <w:r>
        <w:rPr>
          <w:sz w:val="24"/>
        </w:rPr>
        <w:t>evolving</w:t>
      </w:r>
      <w:r>
        <w:rPr>
          <w:spacing w:val="-11"/>
          <w:sz w:val="24"/>
        </w:rPr>
        <w:t xml:space="preserve"> </w:t>
      </w:r>
      <w:r>
        <w:rPr>
          <w:sz w:val="24"/>
        </w:rPr>
        <w:t>public</w:t>
      </w:r>
      <w:r>
        <w:rPr>
          <w:spacing w:val="-12"/>
          <w:sz w:val="24"/>
        </w:rPr>
        <w:t xml:space="preserve"> </w:t>
      </w:r>
      <w:r>
        <w:rPr>
          <w:sz w:val="24"/>
        </w:rPr>
        <w:t>procurement</w:t>
      </w:r>
      <w:r>
        <w:rPr>
          <w:spacing w:val="-11"/>
          <w:sz w:val="24"/>
        </w:rPr>
        <w:t xml:space="preserve"> </w:t>
      </w:r>
      <w:r>
        <w:rPr>
          <w:sz w:val="24"/>
        </w:rPr>
        <w:t>landscape</w:t>
      </w:r>
      <w:r>
        <w:rPr>
          <w:spacing w:val="-9"/>
          <w:sz w:val="24"/>
        </w:rPr>
        <w:t xml:space="preserve"> </w:t>
      </w:r>
      <w:r>
        <w:rPr>
          <w:sz w:val="24"/>
        </w:rPr>
        <w:t>(Morgan et al., 2020).</w:t>
      </w:r>
    </w:p>
    <w:p w:rsidR="00487D64" w:rsidRDefault="00487D64">
      <w:pPr>
        <w:spacing w:line="276" w:lineRule="auto"/>
        <w:jc w:val="both"/>
        <w:rPr>
          <w:sz w:val="24"/>
        </w:rPr>
        <w:sectPr w:rsidR="00487D64">
          <w:pgSz w:w="11910" w:h="16840"/>
          <w:pgMar w:top="1680" w:right="563" w:bottom="800" w:left="850" w:header="677" w:footer="608" w:gutter="0"/>
          <w:cols w:space="720"/>
        </w:sectPr>
      </w:pPr>
    </w:p>
    <w:p w:rsidR="00487D64" w:rsidRDefault="006F0D93">
      <w:pPr>
        <w:spacing w:before="254"/>
        <w:ind w:left="57"/>
        <w:jc w:val="both"/>
        <w:rPr>
          <w:b/>
          <w:sz w:val="24"/>
        </w:rPr>
      </w:pPr>
      <w:r>
        <w:rPr>
          <w:b/>
          <w:sz w:val="24"/>
        </w:rPr>
        <w:lastRenderedPageBreak/>
        <w:t>Empirical</w:t>
      </w:r>
      <w:r>
        <w:rPr>
          <w:b/>
          <w:spacing w:val="-3"/>
          <w:sz w:val="24"/>
        </w:rPr>
        <w:t xml:space="preserve"> </w:t>
      </w:r>
      <w:r>
        <w:rPr>
          <w:b/>
          <w:sz w:val="24"/>
        </w:rPr>
        <w:t>Literature</w:t>
      </w:r>
      <w:r>
        <w:rPr>
          <w:b/>
          <w:spacing w:val="-4"/>
          <w:sz w:val="24"/>
        </w:rPr>
        <w:t xml:space="preserve"> </w:t>
      </w:r>
      <w:r>
        <w:rPr>
          <w:b/>
          <w:spacing w:val="-2"/>
          <w:sz w:val="24"/>
        </w:rPr>
        <w:t>Review</w:t>
      </w:r>
    </w:p>
    <w:p w:rsidR="00487D64" w:rsidRDefault="006F0D93">
      <w:pPr>
        <w:spacing w:before="40"/>
        <w:ind w:left="57"/>
        <w:jc w:val="both"/>
        <w:rPr>
          <w:b/>
          <w:sz w:val="24"/>
        </w:rPr>
      </w:pPr>
      <w:r>
        <w:rPr>
          <w:b/>
          <w:sz w:val="24"/>
        </w:rPr>
        <w:t>Customer</w:t>
      </w:r>
      <w:r>
        <w:rPr>
          <w:b/>
          <w:spacing w:val="-5"/>
          <w:sz w:val="24"/>
        </w:rPr>
        <w:t xml:space="preserve"> </w:t>
      </w:r>
      <w:r>
        <w:rPr>
          <w:b/>
          <w:sz w:val="24"/>
        </w:rPr>
        <w:t>Orientation</w:t>
      </w:r>
      <w:r>
        <w:rPr>
          <w:b/>
          <w:spacing w:val="-2"/>
          <w:sz w:val="24"/>
        </w:rPr>
        <w:t xml:space="preserve"> </w:t>
      </w:r>
      <w:r>
        <w:rPr>
          <w:b/>
          <w:sz w:val="24"/>
        </w:rPr>
        <w:t>and</w:t>
      </w:r>
      <w:r>
        <w:rPr>
          <w:b/>
          <w:spacing w:val="-3"/>
          <w:sz w:val="24"/>
        </w:rPr>
        <w:t xml:space="preserve"> </w:t>
      </w:r>
      <w:r>
        <w:rPr>
          <w:b/>
          <w:sz w:val="24"/>
        </w:rPr>
        <w:t>Sustainable</w:t>
      </w:r>
      <w:r>
        <w:rPr>
          <w:b/>
          <w:spacing w:val="-3"/>
          <w:sz w:val="24"/>
        </w:rPr>
        <w:t xml:space="preserve"> </w:t>
      </w:r>
      <w:r>
        <w:rPr>
          <w:b/>
          <w:spacing w:val="-2"/>
          <w:sz w:val="24"/>
        </w:rPr>
        <w:t>Competitiveness</w:t>
      </w:r>
    </w:p>
    <w:p w:rsidR="00487D64" w:rsidRDefault="006F0D93">
      <w:pPr>
        <w:spacing w:before="41" w:line="276" w:lineRule="auto"/>
        <w:ind w:left="57" w:right="338"/>
        <w:jc w:val="both"/>
        <w:rPr>
          <w:sz w:val="24"/>
        </w:rPr>
      </w:pPr>
      <w:r>
        <w:rPr>
          <w:sz w:val="24"/>
        </w:rPr>
        <w:t>Customer Customer orientation is a pivotal organizational strategy that prioritizes the understanding and fulfillment of both current and prospective customers' needs and preferences (Narver &amp; Slater, 1990). Within the conte</w:t>
      </w:r>
      <w:r>
        <w:rPr>
          <w:sz w:val="24"/>
        </w:rPr>
        <w:t>xt of public procurement, this approach entails the systematic collection and utilization of customer related information to deliver superior value-added offerings (Karttunen et al. 2024) Organizations exhibiting strong customer orientation ensure that cus</w:t>
      </w:r>
      <w:r>
        <w:rPr>
          <w:sz w:val="24"/>
        </w:rPr>
        <w:t>tomer intelligence is disseminated across all organizational levels, fostering continuous improvement in customer service and satisfaction (Padmanaaban et al., 2024,).</w:t>
      </w:r>
    </w:p>
    <w:p w:rsidR="00487D64" w:rsidRDefault="006F0D93">
      <w:pPr>
        <w:spacing w:before="1" w:line="276" w:lineRule="auto"/>
        <w:ind w:left="57" w:right="341"/>
        <w:jc w:val="both"/>
        <w:rPr>
          <w:sz w:val="24"/>
        </w:rPr>
      </w:pPr>
      <w:r>
        <w:rPr>
          <w:sz w:val="24"/>
        </w:rPr>
        <w:t>Importantly, customer orientation extends beyond addressing present demands; it also inv</w:t>
      </w:r>
      <w:r>
        <w:rPr>
          <w:sz w:val="24"/>
        </w:rPr>
        <w:t>olves anticipating future customer requirements, thereby enabling enhanced value creation and delivery that contribute to sustainable competitiveness (Hilman &amp; Kaliappen, 2013). Empirical evidence indicates a positive influence of customer orientation on f</w:t>
      </w:r>
      <w:r>
        <w:rPr>
          <w:sz w:val="24"/>
        </w:rPr>
        <w:t>irms’ innovation capabilities and overall performance, particularly</w:t>
      </w:r>
      <w:r>
        <w:rPr>
          <w:spacing w:val="-3"/>
          <w:sz w:val="24"/>
        </w:rPr>
        <w:t xml:space="preserve"> </w:t>
      </w:r>
      <w:r>
        <w:rPr>
          <w:sz w:val="24"/>
        </w:rPr>
        <w:t>when</w:t>
      </w:r>
      <w:r>
        <w:rPr>
          <w:spacing w:val="-3"/>
          <w:sz w:val="24"/>
        </w:rPr>
        <w:t xml:space="preserve"> </w:t>
      </w:r>
      <w:r>
        <w:rPr>
          <w:sz w:val="24"/>
        </w:rPr>
        <w:t>organizations</w:t>
      </w:r>
      <w:r>
        <w:rPr>
          <w:spacing w:val="-4"/>
          <w:sz w:val="24"/>
        </w:rPr>
        <w:t xml:space="preserve"> </w:t>
      </w:r>
      <w:r>
        <w:rPr>
          <w:sz w:val="24"/>
        </w:rPr>
        <w:t>actively</w:t>
      </w:r>
      <w:r>
        <w:rPr>
          <w:spacing w:val="-3"/>
          <w:sz w:val="24"/>
        </w:rPr>
        <w:t xml:space="preserve"> </w:t>
      </w:r>
      <w:r>
        <w:rPr>
          <w:sz w:val="24"/>
        </w:rPr>
        <w:t>engage</w:t>
      </w:r>
      <w:r>
        <w:rPr>
          <w:spacing w:val="-2"/>
          <w:sz w:val="24"/>
        </w:rPr>
        <w:t xml:space="preserve"> </w:t>
      </w:r>
      <w:r>
        <w:rPr>
          <w:sz w:val="24"/>
        </w:rPr>
        <w:t>with</w:t>
      </w:r>
      <w:r>
        <w:rPr>
          <w:spacing w:val="-3"/>
          <w:sz w:val="24"/>
        </w:rPr>
        <w:t xml:space="preserve"> </w:t>
      </w:r>
      <w:r>
        <w:rPr>
          <w:sz w:val="24"/>
        </w:rPr>
        <w:t>their</w:t>
      </w:r>
      <w:r>
        <w:rPr>
          <w:spacing w:val="-3"/>
          <w:sz w:val="24"/>
        </w:rPr>
        <w:t xml:space="preserve"> </w:t>
      </w:r>
      <w:r>
        <w:rPr>
          <w:sz w:val="24"/>
        </w:rPr>
        <w:t>target</w:t>
      </w:r>
      <w:r>
        <w:rPr>
          <w:spacing w:val="-3"/>
          <w:sz w:val="24"/>
        </w:rPr>
        <w:t xml:space="preserve"> </w:t>
      </w:r>
      <w:r>
        <w:rPr>
          <w:sz w:val="24"/>
        </w:rPr>
        <w:t>client</w:t>
      </w:r>
      <w:r>
        <w:rPr>
          <w:spacing w:val="-3"/>
          <w:sz w:val="24"/>
        </w:rPr>
        <w:t xml:space="preserve"> </w:t>
      </w:r>
      <w:r>
        <w:rPr>
          <w:sz w:val="24"/>
        </w:rPr>
        <w:t>segments</w:t>
      </w:r>
      <w:r>
        <w:rPr>
          <w:spacing w:val="-4"/>
          <w:sz w:val="24"/>
        </w:rPr>
        <w:t xml:space="preserve"> </w:t>
      </w:r>
      <w:r>
        <w:rPr>
          <w:sz w:val="24"/>
        </w:rPr>
        <w:t>(Woo</w:t>
      </w:r>
      <w:r>
        <w:rPr>
          <w:spacing w:val="-3"/>
          <w:sz w:val="24"/>
        </w:rPr>
        <w:t xml:space="preserve"> </w:t>
      </w:r>
      <w:r>
        <w:rPr>
          <w:sz w:val="24"/>
        </w:rPr>
        <w:t>et</w:t>
      </w:r>
      <w:r>
        <w:rPr>
          <w:spacing w:val="-3"/>
          <w:sz w:val="24"/>
        </w:rPr>
        <w:t xml:space="preserve"> </w:t>
      </w:r>
      <w:r>
        <w:rPr>
          <w:sz w:val="24"/>
        </w:rPr>
        <w:t>al.,</w:t>
      </w:r>
      <w:r>
        <w:rPr>
          <w:spacing w:val="-3"/>
          <w:sz w:val="24"/>
        </w:rPr>
        <w:t xml:space="preserve"> </w:t>
      </w:r>
      <w:r>
        <w:rPr>
          <w:sz w:val="24"/>
        </w:rPr>
        <w:t>2021).</w:t>
      </w:r>
      <w:r>
        <w:rPr>
          <w:spacing w:val="-3"/>
          <w:sz w:val="24"/>
        </w:rPr>
        <w:t xml:space="preserve"> </w:t>
      </w:r>
      <w:r>
        <w:rPr>
          <w:sz w:val="24"/>
        </w:rPr>
        <w:t>This customer-centric focus is widely regarded as a critical driver of competitive advantage and su</w:t>
      </w:r>
      <w:r>
        <w:rPr>
          <w:sz w:val="24"/>
        </w:rPr>
        <w:t>perior business outcomes (Tseng et al., 2018).</w:t>
      </w:r>
    </w:p>
    <w:p w:rsidR="00487D64" w:rsidRDefault="006F0D93">
      <w:pPr>
        <w:spacing w:before="1" w:line="276" w:lineRule="auto"/>
        <w:ind w:left="57" w:right="343"/>
        <w:jc w:val="both"/>
        <w:rPr>
          <w:sz w:val="24"/>
        </w:rPr>
      </w:pPr>
      <w:r>
        <w:rPr>
          <w:sz w:val="24"/>
        </w:rPr>
        <w:t xml:space="preserve">The strategic significance of customer orientation for organizations operating within public procurement frameworks is demonstrated by the consensus that a significant and positive relationship exists between </w:t>
      </w:r>
      <w:r>
        <w:rPr>
          <w:sz w:val="24"/>
        </w:rPr>
        <w:t xml:space="preserve">firm performance and customer orientation, despite the fact that some studies report mixed results (Frambach et al., 2016; Wang, Ling et al., 2021). Based on this evidence, the following hypothesis was </w:t>
      </w:r>
      <w:r>
        <w:rPr>
          <w:spacing w:val="-2"/>
          <w:sz w:val="24"/>
        </w:rPr>
        <w:t>proposed:</w:t>
      </w:r>
    </w:p>
    <w:p w:rsidR="00487D64" w:rsidRDefault="006F0D93">
      <w:pPr>
        <w:spacing w:line="276" w:lineRule="exact"/>
        <w:ind w:left="57"/>
        <w:jc w:val="both"/>
        <w:rPr>
          <w:sz w:val="24"/>
        </w:rPr>
      </w:pPr>
      <w:r>
        <w:rPr>
          <w:b/>
          <w:sz w:val="24"/>
        </w:rPr>
        <w:t>H1:</w:t>
      </w:r>
      <w:r>
        <w:rPr>
          <w:b/>
          <w:spacing w:val="-4"/>
          <w:sz w:val="24"/>
        </w:rPr>
        <w:t xml:space="preserve"> </w:t>
      </w:r>
      <w:r>
        <w:rPr>
          <w:sz w:val="24"/>
        </w:rPr>
        <w:t>Customer</w:t>
      </w:r>
      <w:r>
        <w:rPr>
          <w:spacing w:val="-1"/>
          <w:sz w:val="24"/>
        </w:rPr>
        <w:t xml:space="preserve"> </w:t>
      </w:r>
      <w:r>
        <w:rPr>
          <w:sz w:val="24"/>
        </w:rPr>
        <w:t>orientation</w:t>
      </w:r>
      <w:r>
        <w:rPr>
          <w:spacing w:val="-1"/>
          <w:sz w:val="24"/>
        </w:rPr>
        <w:t xml:space="preserve"> </w:t>
      </w:r>
      <w:r>
        <w:rPr>
          <w:sz w:val="24"/>
        </w:rPr>
        <w:t>positively</w:t>
      </w:r>
      <w:r>
        <w:rPr>
          <w:spacing w:val="-2"/>
          <w:sz w:val="24"/>
        </w:rPr>
        <w:t xml:space="preserve"> </w:t>
      </w:r>
      <w:r>
        <w:rPr>
          <w:sz w:val="24"/>
        </w:rPr>
        <w:t>influenc</w:t>
      </w:r>
      <w:r>
        <w:rPr>
          <w:sz w:val="24"/>
        </w:rPr>
        <w:t>es</w:t>
      </w:r>
      <w:r>
        <w:rPr>
          <w:spacing w:val="-2"/>
          <w:sz w:val="24"/>
        </w:rPr>
        <w:t xml:space="preserve"> </w:t>
      </w:r>
      <w:r>
        <w:rPr>
          <w:sz w:val="24"/>
        </w:rPr>
        <w:t>the</w:t>
      </w:r>
      <w:r>
        <w:rPr>
          <w:spacing w:val="-1"/>
          <w:sz w:val="24"/>
        </w:rPr>
        <w:t xml:space="preserve"> </w:t>
      </w:r>
      <w:r>
        <w:rPr>
          <w:sz w:val="24"/>
        </w:rPr>
        <w:t>sustainable</w:t>
      </w:r>
      <w:r>
        <w:rPr>
          <w:spacing w:val="-2"/>
          <w:sz w:val="24"/>
        </w:rPr>
        <w:t xml:space="preserve"> competitiveness.</w:t>
      </w:r>
    </w:p>
    <w:p w:rsidR="00487D64" w:rsidRDefault="006F0D93">
      <w:pPr>
        <w:spacing w:before="41"/>
        <w:ind w:left="57"/>
        <w:jc w:val="both"/>
        <w:rPr>
          <w:b/>
          <w:sz w:val="24"/>
        </w:rPr>
      </w:pPr>
      <w:r>
        <w:rPr>
          <w:b/>
          <w:sz w:val="24"/>
        </w:rPr>
        <w:t>Competitor</w:t>
      </w:r>
      <w:r>
        <w:rPr>
          <w:b/>
          <w:spacing w:val="-5"/>
          <w:sz w:val="24"/>
        </w:rPr>
        <w:t xml:space="preserve"> </w:t>
      </w:r>
      <w:r>
        <w:rPr>
          <w:b/>
          <w:sz w:val="24"/>
        </w:rPr>
        <w:t>Orientation</w:t>
      </w:r>
      <w:r>
        <w:rPr>
          <w:b/>
          <w:spacing w:val="-3"/>
          <w:sz w:val="24"/>
        </w:rPr>
        <w:t xml:space="preserve"> </w:t>
      </w:r>
      <w:r>
        <w:rPr>
          <w:b/>
          <w:sz w:val="24"/>
        </w:rPr>
        <w:t>and</w:t>
      </w:r>
      <w:r>
        <w:rPr>
          <w:b/>
          <w:spacing w:val="-4"/>
          <w:sz w:val="24"/>
        </w:rPr>
        <w:t xml:space="preserve"> </w:t>
      </w:r>
      <w:r>
        <w:rPr>
          <w:b/>
          <w:sz w:val="24"/>
        </w:rPr>
        <w:t>Sustainable</w:t>
      </w:r>
      <w:r>
        <w:rPr>
          <w:b/>
          <w:spacing w:val="-3"/>
          <w:sz w:val="24"/>
        </w:rPr>
        <w:t xml:space="preserve"> </w:t>
      </w:r>
      <w:r>
        <w:rPr>
          <w:b/>
          <w:spacing w:val="-2"/>
          <w:sz w:val="24"/>
        </w:rPr>
        <w:t>Competitiveness</w:t>
      </w:r>
    </w:p>
    <w:p w:rsidR="00487D64" w:rsidRDefault="006F0D93">
      <w:pPr>
        <w:spacing w:before="42" w:line="276" w:lineRule="auto"/>
        <w:ind w:left="57" w:right="340"/>
        <w:jc w:val="both"/>
        <w:rPr>
          <w:sz w:val="24"/>
        </w:rPr>
      </w:pPr>
      <w:r>
        <w:rPr>
          <w:sz w:val="24"/>
        </w:rPr>
        <w:t>Competitor orientation is one of the key dimensions of market orientation that entails the systematic identification, analysis, and response to the strengths, weakne</w:t>
      </w:r>
      <w:r>
        <w:rPr>
          <w:sz w:val="24"/>
        </w:rPr>
        <w:t>sses, and strategies of current and potential competitors</w:t>
      </w:r>
      <w:r>
        <w:rPr>
          <w:spacing w:val="-10"/>
          <w:sz w:val="24"/>
        </w:rPr>
        <w:t xml:space="preserve"> </w:t>
      </w:r>
      <w:r>
        <w:rPr>
          <w:sz w:val="24"/>
        </w:rPr>
        <w:t>to</w:t>
      </w:r>
      <w:r>
        <w:rPr>
          <w:spacing w:val="-9"/>
          <w:sz w:val="24"/>
        </w:rPr>
        <w:t xml:space="preserve"> </w:t>
      </w:r>
      <w:r>
        <w:rPr>
          <w:sz w:val="24"/>
        </w:rPr>
        <w:t>attain</w:t>
      </w:r>
      <w:r>
        <w:rPr>
          <w:spacing w:val="-9"/>
          <w:sz w:val="24"/>
        </w:rPr>
        <w:t xml:space="preserve"> </w:t>
      </w:r>
      <w:r>
        <w:rPr>
          <w:sz w:val="24"/>
        </w:rPr>
        <w:t>and</w:t>
      </w:r>
      <w:r>
        <w:rPr>
          <w:spacing w:val="-10"/>
          <w:sz w:val="24"/>
        </w:rPr>
        <w:t xml:space="preserve"> </w:t>
      </w:r>
      <w:r>
        <w:rPr>
          <w:sz w:val="24"/>
        </w:rPr>
        <w:t>sustain</w:t>
      </w:r>
      <w:r>
        <w:rPr>
          <w:spacing w:val="-9"/>
          <w:sz w:val="24"/>
        </w:rPr>
        <w:t xml:space="preserve"> </w:t>
      </w:r>
      <w:r>
        <w:rPr>
          <w:sz w:val="24"/>
        </w:rPr>
        <w:t>a</w:t>
      </w:r>
      <w:r>
        <w:rPr>
          <w:spacing w:val="-11"/>
          <w:sz w:val="24"/>
        </w:rPr>
        <w:t xml:space="preserve"> </w:t>
      </w:r>
      <w:r>
        <w:rPr>
          <w:sz w:val="24"/>
        </w:rPr>
        <w:t>competitive</w:t>
      </w:r>
      <w:r>
        <w:rPr>
          <w:spacing w:val="-11"/>
          <w:sz w:val="24"/>
        </w:rPr>
        <w:t xml:space="preserve"> </w:t>
      </w:r>
      <w:r>
        <w:rPr>
          <w:sz w:val="24"/>
        </w:rPr>
        <w:t>advantage</w:t>
      </w:r>
      <w:r>
        <w:rPr>
          <w:spacing w:val="-11"/>
          <w:sz w:val="24"/>
        </w:rPr>
        <w:t xml:space="preserve"> </w:t>
      </w:r>
      <w:r>
        <w:rPr>
          <w:sz w:val="24"/>
        </w:rPr>
        <w:t>(Narver</w:t>
      </w:r>
      <w:r>
        <w:rPr>
          <w:spacing w:val="-10"/>
          <w:sz w:val="24"/>
        </w:rPr>
        <w:t xml:space="preserve"> </w:t>
      </w:r>
      <w:r>
        <w:rPr>
          <w:sz w:val="24"/>
        </w:rPr>
        <w:t>&amp;</w:t>
      </w:r>
      <w:r>
        <w:rPr>
          <w:spacing w:val="-9"/>
          <w:sz w:val="24"/>
        </w:rPr>
        <w:t xml:space="preserve"> </w:t>
      </w:r>
      <w:r>
        <w:rPr>
          <w:sz w:val="24"/>
        </w:rPr>
        <w:t>Slater,</w:t>
      </w:r>
      <w:r>
        <w:rPr>
          <w:spacing w:val="-8"/>
          <w:sz w:val="24"/>
        </w:rPr>
        <w:t xml:space="preserve"> </w:t>
      </w:r>
      <w:r>
        <w:rPr>
          <w:sz w:val="24"/>
        </w:rPr>
        <w:t>1990).</w:t>
      </w:r>
      <w:r>
        <w:rPr>
          <w:spacing w:val="-7"/>
          <w:sz w:val="24"/>
        </w:rPr>
        <w:t xml:space="preserve"> </w:t>
      </w:r>
      <w:r>
        <w:rPr>
          <w:sz w:val="24"/>
        </w:rPr>
        <w:t>In</w:t>
      </w:r>
      <w:r>
        <w:rPr>
          <w:spacing w:val="-10"/>
          <w:sz w:val="24"/>
        </w:rPr>
        <w:t xml:space="preserve"> </w:t>
      </w:r>
      <w:r>
        <w:rPr>
          <w:sz w:val="24"/>
        </w:rPr>
        <w:t>the</w:t>
      </w:r>
      <w:r>
        <w:rPr>
          <w:spacing w:val="-10"/>
          <w:sz w:val="24"/>
        </w:rPr>
        <w:t xml:space="preserve"> </w:t>
      </w:r>
      <w:r>
        <w:rPr>
          <w:sz w:val="24"/>
        </w:rPr>
        <w:t>context</w:t>
      </w:r>
      <w:r>
        <w:rPr>
          <w:spacing w:val="-10"/>
          <w:sz w:val="24"/>
        </w:rPr>
        <w:t xml:space="preserve"> </w:t>
      </w:r>
      <w:r>
        <w:rPr>
          <w:sz w:val="24"/>
        </w:rPr>
        <w:t>of</w:t>
      </w:r>
      <w:r>
        <w:rPr>
          <w:spacing w:val="-10"/>
          <w:sz w:val="24"/>
        </w:rPr>
        <w:t xml:space="preserve"> </w:t>
      </w:r>
      <w:r>
        <w:rPr>
          <w:sz w:val="24"/>
        </w:rPr>
        <w:t>public procurement, it is particularly important to enhance strategic responsiveness and resilience in an environment</w:t>
      </w:r>
      <w:r>
        <w:rPr>
          <w:spacing w:val="-15"/>
          <w:sz w:val="24"/>
        </w:rPr>
        <w:t xml:space="preserve"> </w:t>
      </w:r>
      <w:r>
        <w:rPr>
          <w:sz w:val="24"/>
        </w:rPr>
        <w:t>that</w:t>
      </w:r>
      <w:r>
        <w:rPr>
          <w:spacing w:val="-15"/>
          <w:sz w:val="24"/>
        </w:rPr>
        <w:t xml:space="preserve"> </w:t>
      </w:r>
      <w:r>
        <w:rPr>
          <w:sz w:val="24"/>
        </w:rPr>
        <w:t>is</w:t>
      </w:r>
      <w:r>
        <w:rPr>
          <w:spacing w:val="-15"/>
          <w:sz w:val="24"/>
        </w:rPr>
        <w:t xml:space="preserve"> </w:t>
      </w:r>
      <w:r>
        <w:rPr>
          <w:sz w:val="24"/>
        </w:rPr>
        <w:t>characterized</w:t>
      </w:r>
      <w:r>
        <w:rPr>
          <w:spacing w:val="-13"/>
          <w:sz w:val="24"/>
        </w:rPr>
        <w:t xml:space="preserve"> </w:t>
      </w:r>
      <w:r>
        <w:rPr>
          <w:sz w:val="24"/>
        </w:rPr>
        <w:t>by</w:t>
      </w:r>
      <w:r>
        <w:rPr>
          <w:spacing w:val="-15"/>
          <w:sz w:val="24"/>
        </w:rPr>
        <w:t xml:space="preserve"> </w:t>
      </w:r>
      <w:r>
        <w:rPr>
          <w:sz w:val="24"/>
        </w:rPr>
        <w:t>regulatory</w:t>
      </w:r>
      <w:r>
        <w:rPr>
          <w:spacing w:val="-13"/>
          <w:sz w:val="24"/>
        </w:rPr>
        <w:t xml:space="preserve"> </w:t>
      </w:r>
      <w:r>
        <w:rPr>
          <w:sz w:val="24"/>
        </w:rPr>
        <w:t>complexity,</w:t>
      </w:r>
      <w:r>
        <w:rPr>
          <w:spacing w:val="-15"/>
          <w:sz w:val="24"/>
        </w:rPr>
        <w:t xml:space="preserve"> </w:t>
      </w:r>
      <w:r>
        <w:rPr>
          <w:sz w:val="24"/>
        </w:rPr>
        <w:t>dynamic</w:t>
      </w:r>
      <w:r>
        <w:rPr>
          <w:spacing w:val="-15"/>
          <w:sz w:val="24"/>
        </w:rPr>
        <w:t xml:space="preserve"> </w:t>
      </w:r>
      <w:r>
        <w:rPr>
          <w:sz w:val="24"/>
        </w:rPr>
        <w:t>stakeholder</w:t>
      </w:r>
      <w:r>
        <w:rPr>
          <w:spacing w:val="-15"/>
          <w:sz w:val="24"/>
        </w:rPr>
        <w:t xml:space="preserve"> </w:t>
      </w:r>
      <w:r>
        <w:rPr>
          <w:sz w:val="24"/>
        </w:rPr>
        <w:t>demands,</w:t>
      </w:r>
      <w:r>
        <w:rPr>
          <w:spacing w:val="-14"/>
          <w:sz w:val="24"/>
        </w:rPr>
        <w:t xml:space="preserve"> </w:t>
      </w:r>
      <w:r>
        <w:rPr>
          <w:sz w:val="24"/>
        </w:rPr>
        <w:t>and</w:t>
      </w:r>
      <w:r>
        <w:rPr>
          <w:spacing w:val="-15"/>
          <w:sz w:val="24"/>
        </w:rPr>
        <w:t xml:space="preserve"> </w:t>
      </w:r>
      <w:r>
        <w:rPr>
          <w:sz w:val="24"/>
        </w:rPr>
        <w:t>increasing competition, as well as competitor orientation</w:t>
      </w:r>
      <w:r>
        <w:rPr>
          <w:sz w:val="24"/>
        </w:rPr>
        <w:t xml:space="preserve"> (Njoroge &amp; Kinyua, 2025).</w:t>
      </w:r>
    </w:p>
    <w:p w:rsidR="00487D64" w:rsidRDefault="006F0D93">
      <w:pPr>
        <w:spacing w:before="1" w:line="276" w:lineRule="auto"/>
        <w:ind w:left="57" w:right="338"/>
        <w:jc w:val="both"/>
        <w:rPr>
          <w:sz w:val="24"/>
        </w:rPr>
      </w:pPr>
      <w:r>
        <w:rPr>
          <w:sz w:val="24"/>
        </w:rPr>
        <w:t>Firms with a strong competitor orientation leverage competitive intelligence to inform strategic decision making, drive product and service innovation, and align resource allocation with market dynamics. This proactive posture not only facilitates differen</w:t>
      </w:r>
      <w:r>
        <w:rPr>
          <w:sz w:val="24"/>
        </w:rPr>
        <w:t>tiation but also enables organizations to anticipate changes in the competitive landscape, thereby promoting sustainable competitiveness. Empirical studies support this assertion, highlighting the multifaceted benefits of competitor orientation in public s</w:t>
      </w:r>
      <w:r>
        <w:rPr>
          <w:sz w:val="24"/>
        </w:rPr>
        <w:t>ector contexts. For</w:t>
      </w:r>
      <w:r>
        <w:rPr>
          <w:spacing w:val="-11"/>
          <w:sz w:val="24"/>
        </w:rPr>
        <w:t xml:space="preserve"> </w:t>
      </w:r>
      <w:r>
        <w:rPr>
          <w:sz w:val="24"/>
        </w:rPr>
        <w:t>example,</w:t>
      </w:r>
      <w:r>
        <w:rPr>
          <w:spacing w:val="-11"/>
          <w:sz w:val="24"/>
        </w:rPr>
        <w:t xml:space="preserve"> </w:t>
      </w:r>
      <w:r>
        <w:rPr>
          <w:sz w:val="24"/>
        </w:rPr>
        <w:t>Kaliappen</w:t>
      </w:r>
      <w:r>
        <w:rPr>
          <w:spacing w:val="-11"/>
          <w:sz w:val="24"/>
        </w:rPr>
        <w:t xml:space="preserve"> </w:t>
      </w:r>
      <w:r>
        <w:rPr>
          <w:sz w:val="24"/>
        </w:rPr>
        <w:t>and</w:t>
      </w:r>
      <w:r>
        <w:rPr>
          <w:spacing w:val="-11"/>
          <w:sz w:val="24"/>
        </w:rPr>
        <w:t xml:space="preserve"> </w:t>
      </w:r>
      <w:r>
        <w:rPr>
          <w:sz w:val="24"/>
        </w:rPr>
        <w:t>Hilman</w:t>
      </w:r>
      <w:r>
        <w:rPr>
          <w:spacing w:val="-11"/>
          <w:sz w:val="24"/>
        </w:rPr>
        <w:t xml:space="preserve"> </w:t>
      </w:r>
      <w:r>
        <w:rPr>
          <w:sz w:val="24"/>
        </w:rPr>
        <w:t>(2013)</w:t>
      </w:r>
      <w:r>
        <w:rPr>
          <w:spacing w:val="-11"/>
          <w:sz w:val="24"/>
        </w:rPr>
        <w:t xml:space="preserve"> </w:t>
      </w:r>
      <w:r>
        <w:rPr>
          <w:sz w:val="24"/>
        </w:rPr>
        <w:t>demonstrate</w:t>
      </w:r>
      <w:r>
        <w:rPr>
          <w:spacing w:val="-11"/>
          <w:sz w:val="24"/>
        </w:rPr>
        <w:t xml:space="preserve"> </w:t>
      </w:r>
      <w:r>
        <w:rPr>
          <w:sz w:val="24"/>
        </w:rPr>
        <w:t>that</w:t>
      </w:r>
      <w:r>
        <w:rPr>
          <w:spacing w:val="-11"/>
          <w:sz w:val="24"/>
        </w:rPr>
        <w:t xml:space="preserve"> </w:t>
      </w:r>
      <w:r>
        <w:rPr>
          <w:sz w:val="24"/>
        </w:rPr>
        <w:t>competitor-oriented</w:t>
      </w:r>
      <w:r>
        <w:rPr>
          <w:spacing w:val="-11"/>
          <w:sz w:val="24"/>
        </w:rPr>
        <w:t xml:space="preserve"> </w:t>
      </w:r>
      <w:r>
        <w:rPr>
          <w:sz w:val="24"/>
        </w:rPr>
        <w:t>firms</w:t>
      </w:r>
      <w:r>
        <w:rPr>
          <w:spacing w:val="-10"/>
          <w:sz w:val="24"/>
        </w:rPr>
        <w:t xml:space="preserve"> </w:t>
      </w:r>
      <w:r>
        <w:rPr>
          <w:sz w:val="24"/>
        </w:rPr>
        <w:t>are</w:t>
      </w:r>
      <w:r>
        <w:rPr>
          <w:spacing w:val="-12"/>
          <w:sz w:val="24"/>
        </w:rPr>
        <w:t xml:space="preserve"> </w:t>
      </w:r>
      <w:r>
        <w:rPr>
          <w:sz w:val="24"/>
        </w:rPr>
        <w:t>more</w:t>
      </w:r>
      <w:r>
        <w:rPr>
          <w:spacing w:val="-12"/>
          <w:sz w:val="24"/>
        </w:rPr>
        <w:t xml:space="preserve"> </w:t>
      </w:r>
      <w:r>
        <w:rPr>
          <w:sz w:val="24"/>
        </w:rPr>
        <w:t>effective in channeling strategic resources toward high-impact areas, which directly contributes to improved competitive</w:t>
      </w:r>
      <w:r>
        <w:rPr>
          <w:spacing w:val="-12"/>
          <w:sz w:val="24"/>
        </w:rPr>
        <w:t xml:space="preserve"> </w:t>
      </w:r>
      <w:r>
        <w:rPr>
          <w:sz w:val="24"/>
        </w:rPr>
        <w:t>performance.</w:t>
      </w:r>
      <w:r>
        <w:rPr>
          <w:spacing w:val="-12"/>
          <w:sz w:val="24"/>
        </w:rPr>
        <w:t xml:space="preserve"> </w:t>
      </w:r>
      <w:r>
        <w:rPr>
          <w:sz w:val="24"/>
        </w:rPr>
        <w:t>Lopez-Torres</w:t>
      </w:r>
      <w:r>
        <w:rPr>
          <w:spacing w:val="-11"/>
          <w:sz w:val="24"/>
        </w:rPr>
        <w:t xml:space="preserve"> </w:t>
      </w:r>
      <w:r>
        <w:rPr>
          <w:sz w:val="24"/>
        </w:rPr>
        <w:t>(2023)</w:t>
      </w:r>
      <w:r>
        <w:rPr>
          <w:spacing w:val="-12"/>
          <w:sz w:val="24"/>
        </w:rPr>
        <w:t xml:space="preserve"> </w:t>
      </w:r>
      <w:r>
        <w:rPr>
          <w:sz w:val="24"/>
        </w:rPr>
        <w:t>reveals</w:t>
      </w:r>
      <w:r>
        <w:rPr>
          <w:spacing w:val="-11"/>
          <w:sz w:val="24"/>
        </w:rPr>
        <w:t xml:space="preserve"> </w:t>
      </w:r>
      <w:r>
        <w:rPr>
          <w:sz w:val="24"/>
        </w:rPr>
        <w:t>that</w:t>
      </w:r>
      <w:r>
        <w:rPr>
          <w:spacing w:val="-12"/>
          <w:sz w:val="24"/>
        </w:rPr>
        <w:t xml:space="preserve"> </w:t>
      </w:r>
      <w:r>
        <w:rPr>
          <w:sz w:val="24"/>
        </w:rPr>
        <w:t>increased</w:t>
      </w:r>
      <w:r>
        <w:rPr>
          <w:spacing w:val="-12"/>
          <w:sz w:val="24"/>
        </w:rPr>
        <w:t xml:space="preserve"> </w:t>
      </w:r>
      <w:r>
        <w:rPr>
          <w:sz w:val="24"/>
        </w:rPr>
        <w:t>competitor</w:t>
      </w:r>
      <w:r>
        <w:rPr>
          <w:spacing w:val="-12"/>
          <w:sz w:val="24"/>
        </w:rPr>
        <w:t xml:space="preserve"> </w:t>
      </w:r>
      <w:r>
        <w:rPr>
          <w:sz w:val="24"/>
        </w:rPr>
        <w:t>awareness</w:t>
      </w:r>
      <w:r>
        <w:rPr>
          <w:spacing w:val="-11"/>
          <w:sz w:val="24"/>
        </w:rPr>
        <w:t xml:space="preserve"> </w:t>
      </w:r>
      <w:r>
        <w:rPr>
          <w:sz w:val="24"/>
        </w:rPr>
        <w:t>among</w:t>
      </w:r>
      <w:r>
        <w:rPr>
          <w:spacing w:val="-11"/>
          <w:sz w:val="24"/>
        </w:rPr>
        <w:t xml:space="preserve"> </w:t>
      </w:r>
      <w:r>
        <w:rPr>
          <w:sz w:val="24"/>
        </w:rPr>
        <w:t>public procurement entities enhances their agility in responding to market disruptions and adapting to shifting stakeholder expectations. Similarly, OECD (2023) provides evidence linking competitor o</w:t>
      </w:r>
      <w:r>
        <w:rPr>
          <w:sz w:val="24"/>
        </w:rPr>
        <w:t>rientation to improved purchasing performance and innovation outcomes in public sector organizations. Isoghom and Worgu (2025) further argue that environmental responsiveness, including awareness of market competition,</w:t>
      </w:r>
      <w:r>
        <w:rPr>
          <w:spacing w:val="-11"/>
          <w:sz w:val="24"/>
        </w:rPr>
        <w:t xml:space="preserve"> </w:t>
      </w:r>
      <w:r>
        <w:rPr>
          <w:sz w:val="24"/>
        </w:rPr>
        <w:t>is</w:t>
      </w:r>
      <w:r>
        <w:rPr>
          <w:spacing w:val="-11"/>
          <w:sz w:val="24"/>
        </w:rPr>
        <w:t xml:space="preserve"> </w:t>
      </w:r>
      <w:r>
        <w:rPr>
          <w:sz w:val="24"/>
        </w:rPr>
        <w:t>a</w:t>
      </w:r>
      <w:r>
        <w:rPr>
          <w:spacing w:val="-13"/>
          <w:sz w:val="24"/>
        </w:rPr>
        <w:t xml:space="preserve"> </w:t>
      </w:r>
      <w:r>
        <w:rPr>
          <w:sz w:val="24"/>
        </w:rPr>
        <w:t>crucial</w:t>
      </w:r>
      <w:r>
        <w:rPr>
          <w:spacing w:val="-12"/>
          <w:sz w:val="24"/>
        </w:rPr>
        <w:t xml:space="preserve"> </w:t>
      </w:r>
      <w:r>
        <w:rPr>
          <w:sz w:val="24"/>
        </w:rPr>
        <w:t>determinant</w:t>
      </w:r>
      <w:r>
        <w:rPr>
          <w:spacing w:val="-11"/>
          <w:sz w:val="24"/>
        </w:rPr>
        <w:t xml:space="preserve"> </w:t>
      </w:r>
      <w:r>
        <w:rPr>
          <w:sz w:val="24"/>
        </w:rPr>
        <w:t>of</w:t>
      </w:r>
      <w:r>
        <w:rPr>
          <w:spacing w:val="-12"/>
          <w:sz w:val="24"/>
        </w:rPr>
        <w:t xml:space="preserve"> </w:t>
      </w:r>
      <w:r>
        <w:rPr>
          <w:sz w:val="24"/>
        </w:rPr>
        <w:t>supply</w:t>
      </w:r>
      <w:r>
        <w:rPr>
          <w:spacing w:val="-12"/>
          <w:sz w:val="24"/>
        </w:rPr>
        <w:t xml:space="preserve"> </w:t>
      </w:r>
      <w:r>
        <w:rPr>
          <w:sz w:val="24"/>
        </w:rPr>
        <w:t>ch</w:t>
      </w:r>
      <w:r>
        <w:rPr>
          <w:sz w:val="24"/>
        </w:rPr>
        <w:t>ain</w:t>
      </w:r>
      <w:r>
        <w:rPr>
          <w:spacing w:val="-11"/>
          <w:sz w:val="24"/>
        </w:rPr>
        <w:t xml:space="preserve"> </w:t>
      </w:r>
      <w:r>
        <w:rPr>
          <w:sz w:val="24"/>
        </w:rPr>
        <w:t>competitiveness</w:t>
      </w:r>
      <w:r>
        <w:rPr>
          <w:spacing w:val="-11"/>
          <w:sz w:val="24"/>
        </w:rPr>
        <w:t xml:space="preserve"> </w:t>
      </w:r>
      <w:r>
        <w:rPr>
          <w:sz w:val="24"/>
        </w:rPr>
        <w:t>in</w:t>
      </w:r>
      <w:r>
        <w:rPr>
          <w:spacing w:val="-11"/>
          <w:sz w:val="24"/>
        </w:rPr>
        <w:t xml:space="preserve"> </w:t>
      </w:r>
      <w:r>
        <w:rPr>
          <w:sz w:val="24"/>
        </w:rPr>
        <w:t>public</w:t>
      </w:r>
      <w:r>
        <w:rPr>
          <w:spacing w:val="-12"/>
          <w:sz w:val="24"/>
        </w:rPr>
        <w:t xml:space="preserve"> </w:t>
      </w:r>
      <w:r>
        <w:rPr>
          <w:sz w:val="24"/>
        </w:rPr>
        <w:t>procurement.</w:t>
      </w:r>
      <w:r>
        <w:rPr>
          <w:spacing w:val="-12"/>
          <w:sz w:val="24"/>
        </w:rPr>
        <w:t xml:space="preserve"> </w:t>
      </w:r>
      <w:r>
        <w:rPr>
          <w:sz w:val="24"/>
        </w:rPr>
        <w:t>Collectively, these</w:t>
      </w:r>
      <w:r>
        <w:rPr>
          <w:spacing w:val="30"/>
          <w:sz w:val="24"/>
        </w:rPr>
        <w:t xml:space="preserve"> </w:t>
      </w:r>
      <w:r>
        <w:rPr>
          <w:sz w:val="24"/>
        </w:rPr>
        <w:t>findings</w:t>
      </w:r>
      <w:r>
        <w:rPr>
          <w:spacing w:val="34"/>
          <w:sz w:val="24"/>
        </w:rPr>
        <w:t xml:space="preserve"> </w:t>
      </w:r>
      <w:r>
        <w:rPr>
          <w:sz w:val="24"/>
        </w:rPr>
        <w:t>suggest</w:t>
      </w:r>
      <w:r>
        <w:rPr>
          <w:spacing w:val="35"/>
          <w:sz w:val="24"/>
        </w:rPr>
        <w:t xml:space="preserve"> </w:t>
      </w:r>
      <w:r>
        <w:rPr>
          <w:sz w:val="24"/>
        </w:rPr>
        <w:t>that</w:t>
      </w:r>
      <w:r>
        <w:rPr>
          <w:spacing w:val="34"/>
          <w:sz w:val="24"/>
        </w:rPr>
        <w:t xml:space="preserve"> </w:t>
      </w:r>
      <w:r>
        <w:rPr>
          <w:sz w:val="24"/>
        </w:rPr>
        <w:t>competitor</w:t>
      </w:r>
      <w:r>
        <w:rPr>
          <w:spacing w:val="33"/>
          <w:sz w:val="24"/>
        </w:rPr>
        <w:t xml:space="preserve"> </w:t>
      </w:r>
      <w:r>
        <w:rPr>
          <w:sz w:val="24"/>
        </w:rPr>
        <w:t>orientation</w:t>
      </w:r>
      <w:r>
        <w:rPr>
          <w:spacing w:val="35"/>
          <w:sz w:val="24"/>
        </w:rPr>
        <w:t xml:space="preserve"> </w:t>
      </w:r>
      <w:r>
        <w:rPr>
          <w:sz w:val="24"/>
        </w:rPr>
        <w:t>is</w:t>
      </w:r>
      <w:r>
        <w:rPr>
          <w:spacing w:val="34"/>
          <w:sz w:val="24"/>
        </w:rPr>
        <w:t xml:space="preserve"> </w:t>
      </w:r>
      <w:r>
        <w:rPr>
          <w:sz w:val="24"/>
        </w:rPr>
        <w:t>not</w:t>
      </w:r>
      <w:r>
        <w:rPr>
          <w:spacing w:val="31"/>
          <w:sz w:val="24"/>
        </w:rPr>
        <w:t xml:space="preserve"> </w:t>
      </w:r>
      <w:r>
        <w:rPr>
          <w:sz w:val="24"/>
        </w:rPr>
        <w:t>merely</w:t>
      </w:r>
      <w:r>
        <w:rPr>
          <w:spacing w:val="35"/>
          <w:sz w:val="24"/>
        </w:rPr>
        <w:t xml:space="preserve"> </w:t>
      </w:r>
      <w:r>
        <w:rPr>
          <w:sz w:val="24"/>
        </w:rPr>
        <w:t>a</w:t>
      </w:r>
      <w:r>
        <w:rPr>
          <w:spacing w:val="32"/>
          <w:sz w:val="24"/>
        </w:rPr>
        <w:t xml:space="preserve"> </w:t>
      </w:r>
      <w:r>
        <w:rPr>
          <w:sz w:val="24"/>
        </w:rPr>
        <w:t>reactive</w:t>
      </w:r>
      <w:r>
        <w:rPr>
          <w:spacing w:val="32"/>
          <w:sz w:val="24"/>
        </w:rPr>
        <w:t xml:space="preserve"> </w:t>
      </w:r>
      <w:r>
        <w:rPr>
          <w:sz w:val="24"/>
        </w:rPr>
        <w:t>mechanism</w:t>
      </w:r>
      <w:r>
        <w:rPr>
          <w:spacing w:val="35"/>
          <w:sz w:val="24"/>
        </w:rPr>
        <w:t xml:space="preserve"> </w:t>
      </w:r>
      <w:r>
        <w:rPr>
          <w:sz w:val="24"/>
        </w:rPr>
        <w:t>but</w:t>
      </w:r>
      <w:r>
        <w:rPr>
          <w:spacing w:val="34"/>
          <w:sz w:val="24"/>
        </w:rPr>
        <w:t xml:space="preserve"> </w:t>
      </w:r>
      <w:r>
        <w:rPr>
          <w:sz w:val="24"/>
        </w:rPr>
        <w:t>a</w:t>
      </w:r>
      <w:r>
        <w:rPr>
          <w:spacing w:val="33"/>
          <w:sz w:val="24"/>
        </w:rPr>
        <w:t xml:space="preserve"> </w:t>
      </w:r>
      <w:r>
        <w:rPr>
          <w:spacing w:val="-2"/>
          <w:sz w:val="24"/>
        </w:rPr>
        <w:t>strategic</w:t>
      </w:r>
    </w:p>
    <w:p w:rsidR="00487D64" w:rsidRDefault="00487D64">
      <w:pPr>
        <w:spacing w:line="276" w:lineRule="auto"/>
        <w:jc w:val="both"/>
        <w:rPr>
          <w:sz w:val="24"/>
        </w:rPr>
        <w:sectPr w:rsidR="00487D64">
          <w:pgSz w:w="11910" w:h="16840"/>
          <w:pgMar w:top="1680" w:right="563" w:bottom="800" w:left="850" w:header="677" w:footer="608" w:gutter="0"/>
          <w:cols w:space="720"/>
        </w:sectPr>
      </w:pPr>
    </w:p>
    <w:p w:rsidR="00487D64" w:rsidRDefault="006F0D93">
      <w:pPr>
        <w:spacing w:before="254" w:line="276" w:lineRule="auto"/>
        <w:ind w:left="57" w:right="346"/>
        <w:jc w:val="both"/>
        <w:rPr>
          <w:sz w:val="24"/>
        </w:rPr>
      </w:pPr>
      <w:r>
        <w:rPr>
          <w:sz w:val="24"/>
        </w:rPr>
        <w:lastRenderedPageBreak/>
        <w:t>capability that drives innovation, supports informed decision making, and stren</w:t>
      </w:r>
      <w:r>
        <w:rPr>
          <w:sz w:val="24"/>
        </w:rPr>
        <w:t>gthens sustainable competitiveness in public procurement.</w:t>
      </w:r>
    </w:p>
    <w:p w:rsidR="00487D64" w:rsidRDefault="006F0D93">
      <w:pPr>
        <w:spacing w:line="275" w:lineRule="exact"/>
        <w:ind w:left="57"/>
        <w:jc w:val="both"/>
        <w:rPr>
          <w:sz w:val="24"/>
        </w:rPr>
      </w:pPr>
      <w:r>
        <w:rPr>
          <w:b/>
          <w:sz w:val="24"/>
        </w:rPr>
        <w:t>H2:</w:t>
      </w:r>
      <w:r>
        <w:rPr>
          <w:b/>
          <w:spacing w:val="-2"/>
          <w:sz w:val="24"/>
        </w:rPr>
        <w:t xml:space="preserve"> </w:t>
      </w:r>
      <w:r>
        <w:rPr>
          <w:sz w:val="24"/>
        </w:rPr>
        <w:t>Competitor</w:t>
      </w:r>
      <w:r>
        <w:rPr>
          <w:spacing w:val="-1"/>
          <w:sz w:val="24"/>
        </w:rPr>
        <w:t xml:space="preserve"> </w:t>
      </w:r>
      <w:r>
        <w:rPr>
          <w:sz w:val="24"/>
        </w:rPr>
        <w:t>orientation</w:t>
      </w:r>
      <w:r>
        <w:rPr>
          <w:spacing w:val="-1"/>
          <w:sz w:val="24"/>
        </w:rPr>
        <w:t xml:space="preserve"> </w:t>
      </w:r>
      <w:r>
        <w:rPr>
          <w:sz w:val="24"/>
        </w:rPr>
        <w:t>positively</w:t>
      </w:r>
      <w:r>
        <w:rPr>
          <w:spacing w:val="-1"/>
          <w:sz w:val="24"/>
        </w:rPr>
        <w:t xml:space="preserve"> </w:t>
      </w:r>
      <w:r>
        <w:rPr>
          <w:sz w:val="24"/>
        </w:rPr>
        <w:t>affects</w:t>
      </w:r>
      <w:r>
        <w:rPr>
          <w:spacing w:val="-2"/>
          <w:sz w:val="24"/>
        </w:rPr>
        <w:t xml:space="preserve"> </w:t>
      </w:r>
      <w:r>
        <w:rPr>
          <w:sz w:val="24"/>
        </w:rPr>
        <w:t>the</w:t>
      </w:r>
      <w:r>
        <w:rPr>
          <w:spacing w:val="-2"/>
          <w:sz w:val="24"/>
        </w:rPr>
        <w:t xml:space="preserve"> </w:t>
      </w:r>
      <w:r>
        <w:rPr>
          <w:sz w:val="24"/>
        </w:rPr>
        <w:t>sustainable</w:t>
      </w:r>
      <w:r>
        <w:rPr>
          <w:spacing w:val="-1"/>
          <w:sz w:val="24"/>
        </w:rPr>
        <w:t xml:space="preserve"> </w:t>
      </w:r>
      <w:r>
        <w:rPr>
          <w:spacing w:val="-2"/>
          <w:sz w:val="24"/>
        </w:rPr>
        <w:t>competitiveness.</w:t>
      </w:r>
    </w:p>
    <w:p w:rsidR="00487D64" w:rsidRDefault="006F0D93">
      <w:pPr>
        <w:spacing w:before="43"/>
        <w:ind w:left="57"/>
        <w:jc w:val="both"/>
        <w:rPr>
          <w:b/>
          <w:sz w:val="24"/>
        </w:rPr>
      </w:pPr>
      <w:r>
        <w:rPr>
          <w:b/>
          <w:sz w:val="24"/>
        </w:rPr>
        <w:t>Moderating</w:t>
      </w:r>
      <w:r>
        <w:rPr>
          <w:b/>
          <w:spacing w:val="-5"/>
          <w:sz w:val="24"/>
        </w:rPr>
        <w:t xml:space="preserve"> </w:t>
      </w:r>
      <w:r>
        <w:rPr>
          <w:b/>
          <w:sz w:val="24"/>
        </w:rPr>
        <w:t>role</w:t>
      </w:r>
      <w:r>
        <w:rPr>
          <w:b/>
          <w:spacing w:val="-2"/>
          <w:sz w:val="24"/>
        </w:rPr>
        <w:t xml:space="preserve"> </w:t>
      </w:r>
      <w:r>
        <w:rPr>
          <w:b/>
          <w:sz w:val="24"/>
        </w:rPr>
        <w:t>of</w:t>
      </w:r>
      <w:r>
        <w:rPr>
          <w:b/>
          <w:spacing w:val="-4"/>
          <w:sz w:val="24"/>
        </w:rPr>
        <w:t xml:space="preserve"> </w:t>
      </w:r>
      <w:r>
        <w:rPr>
          <w:b/>
          <w:sz w:val="24"/>
        </w:rPr>
        <w:t>Strategic</w:t>
      </w:r>
      <w:r>
        <w:rPr>
          <w:b/>
          <w:spacing w:val="-2"/>
          <w:sz w:val="24"/>
        </w:rPr>
        <w:t xml:space="preserve"> </w:t>
      </w:r>
      <w:r>
        <w:rPr>
          <w:b/>
          <w:sz w:val="24"/>
        </w:rPr>
        <w:t>Flexibility</w:t>
      </w:r>
      <w:r>
        <w:rPr>
          <w:b/>
          <w:spacing w:val="-2"/>
          <w:sz w:val="24"/>
        </w:rPr>
        <w:t xml:space="preserve"> </w:t>
      </w:r>
      <w:r>
        <w:rPr>
          <w:b/>
          <w:sz w:val="24"/>
        </w:rPr>
        <w:t>on</w:t>
      </w:r>
      <w:r>
        <w:rPr>
          <w:b/>
          <w:spacing w:val="-2"/>
          <w:sz w:val="24"/>
        </w:rPr>
        <w:t xml:space="preserve"> </w:t>
      </w:r>
      <w:r>
        <w:rPr>
          <w:b/>
          <w:sz w:val="24"/>
        </w:rPr>
        <w:t>customer</w:t>
      </w:r>
      <w:r>
        <w:rPr>
          <w:b/>
          <w:spacing w:val="-3"/>
          <w:sz w:val="24"/>
        </w:rPr>
        <w:t xml:space="preserve"> </w:t>
      </w:r>
      <w:r>
        <w:rPr>
          <w:b/>
          <w:sz w:val="24"/>
        </w:rPr>
        <w:t>and</w:t>
      </w:r>
      <w:r>
        <w:rPr>
          <w:b/>
          <w:spacing w:val="-2"/>
          <w:sz w:val="24"/>
        </w:rPr>
        <w:t xml:space="preserve"> </w:t>
      </w:r>
      <w:r>
        <w:rPr>
          <w:b/>
          <w:sz w:val="24"/>
        </w:rPr>
        <w:t>competitor</w:t>
      </w:r>
      <w:r>
        <w:rPr>
          <w:b/>
          <w:spacing w:val="-3"/>
          <w:sz w:val="24"/>
        </w:rPr>
        <w:t xml:space="preserve"> </w:t>
      </w:r>
      <w:r>
        <w:rPr>
          <w:b/>
          <w:spacing w:val="-2"/>
          <w:sz w:val="24"/>
        </w:rPr>
        <w:t>advantage</w:t>
      </w:r>
    </w:p>
    <w:p w:rsidR="00487D64" w:rsidRDefault="006F0D93">
      <w:pPr>
        <w:spacing w:before="41" w:line="276" w:lineRule="auto"/>
        <w:ind w:left="57" w:right="342"/>
        <w:jc w:val="both"/>
        <w:rPr>
          <w:sz w:val="24"/>
        </w:rPr>
      </w:pPr>
      <w:r>
        <w:rPr>
          <w:sz w:val="24"/>
        </w:rPr>
        <w:t>Customer Customer and competitor orientation has been widely acknowledged as a strategic driver of sustainable competitiveness across organizational contexts. However, empirical findings have shown inconsistent and context-dependent relationships between t</w:t>
      </w:r>
      <w:r>
        <w:rPr>
          <w:sz w:val="24"/>
        </w:rPr>
        <w:t>his key dimension of market orientation and firm performance outcomes (Brozovic, 2023). These inconsistencies suggest the presence of contingent factors</w:t>
      </w:r>
      <w:r>
        <w:rPr>
          <w:spacing w:val="-5"/>
          <w:sz w:val="24"/>
        </w:rPr>
        <w:t xml:space="preserve"> </w:t>
      </w:r>
      <w:r>
        <w:rPr>
          <w:sz w:val="24"/>
        </w:rPr>
        <w:t>that</w:t>
      </w:r>
      <w:r>
        <w:rPr>
          <w:spacing w:val="-4"/>
          <w:sz w:val="24"/>
        </w:rPr>
        <w:t xml:space="preserve"> </w:t>
      </w:r>
      <w:r>
        <w:rPr>
          <w:sz w:val="24"/>
        </w:rPr>
        <w:t>may</w:t>
      </w:r>
      <w:r>
        <w:rPr>
          <w:spacing w:val="-5"/>
          <w:sz w:val="24"/>
        </w:rPr>
        <w:t xml:space="preserve"> </w:t>
      </w:r>
      <w:r>
        <w:rPr>
          <w:sz w:val="24"/>
        </w:rPr>
        <w:t>influence</w:t>
      </w:r>
      <w:r>
        <w:rPr>
          <w:spacing w:val="-6"/>
          <w:sz w:val="24"/>
        </w:rPr>
        <w:t xml:space="preserve"> </w:t>
      </w:r>
      <w:r>
        <w:rPr>
          <w:sz w:val="24"/>
        </w:rPr>
        <w:t>or</w:t>
      </w:r>
      <w:r>
        <w:rPr>
          <w:spacing w:val="-2"/>
          <w:sz w:val="24"/>
        </w:rPr>
        <w:t xml:space="preserve"> </w:t>
      </w:r>
      <w:r>
        <w:rPr>
          <w:sz w:val="24"/>
        </w:rPr>
        <w:t>alter</w:t>
      </w:r>
      <w:r>
        <w:rPr>
          <w:spacing w:val="-3"/>
          <w:sz w:val="24"/>
        </w:rPr>
        <w:t xml:space="preserve"> </w:t>
      </w:r>
      <w:r>
        <w:rPr>
          <w:sz w:val="24"/>
        </w:rPr>
        <w:t>the</w:t>
      </w:r>
      <w:r>
        <w:rPr>
          <w:spacing w:val="-5"/>
          <w:sz w:val="24"/>
        </w:rPr>
        <w:t xml:space="preserve"> </w:t>
      </w:r>
      <w:r>
        <w:rPr>
          <w:sz w:val="24"/>
        </w:rPr>
        <w:t>strength</w:t>
      </w:r>
      <w:r>
        <w:rPr>
          <w:spacing w:val="-2"/>
          <w:sz w:val="24"/>
        </w:rPr>
        <w:t xml:space="preserve"> </w:t>
      </w:r>
      <w:r>
        <w:rPr>
          <w:sz w:val="24"/>
        </w:rPr>
        <w:t>and</w:t>
      </w:r>
      <w:r>
        <w:rPr>
          <w:spacing w:val="-3"/>
          <w:sz w:val="24"/>
        </w:rPr>
        <w:t xml:space="preserve"> </w:t>
      </w:r>
      <w:r>
        <w:rPr>
          <w:sz w:val="24"/>
        </w:rPr>
        <w:t>direction</w:t>
      </w:r>
      <w:r>
        <w:rPr>
          <w:spacing w:val="-5"/>
          <w:sz w:val="24"/>
        </w:rPr>
        <w:t xml:space="preserve"> </w:t>
      </w:r>
      <w:r>
        <w:rPr>
          <w:sz w:val="24"/>
        </w:rPr>
        <w:t>of</w:t>
      </w:r>
      <w:r>
        <w:rPr>
          <w:spacing w:val="-6"/>
          <w:sz w:val="24"/>
        </w:rPr>
        <w:t xml:space="preserve"> </w:t>
      </w:r>
      <w:r>
        <w:rPr>
          <w:sz w:val="24"/>
        </w:rPr>
        <w:t>this</w:t>
      </w:r>
      <w:r>
        <w:rPr>
          <w:spacing w:val="-5"/>
          <w:sz w:val="24"/>
        </w:rPr>
        <w:t xml:space="preserve"> </w:t>
      </w:r>
      <w:r>
        <w:rPr>
          <w:sz w:val="24"/>
        </w:rPr>
        <w:t>relationship.</w:t>
      </w:r>
      <w:r>
        <w:rPr>
          <w:spacing w:val="-5"/>
          <w:sz w:val="24"/>
        </w:rPr>
        <w:t xml:space="preserve"> </w:t>
      </w:r>
      <w:r>
        <w:rPr>
          <w:sz w:val="24"/>
        </w:rPr>
        <w:t>Among</w:t>
      </w:r>
      <w:r>
        <w:rPr>
          <w:spacing w:val="-5"/>
          <w:sz w:val="24"/>
        </w:rPr>
        <w:t xml:space="preserve"> </w:t>
      </w:r>
      <w:r>
        <w:rPr>
          <w:sz w:val="24"/>
        </w:rPr>
        <w:t>the</w:t>
      </w:r>
      <w:r>
        <w:rPr>
          <w:spacing w:val="-5"/>
          <w:sz w:val="24"/>
        </w:rPr>
        <w:t xml:space="preserve"> </w:t>
      </w:r>
      <w:r>
        <w:rPr>
          <w:sz w:val="24"/>
        </w:rPr>
        <w:t>most</w:t>
      </w:r>
      <w:r>
        <w:rPr>
          <w:spacing w:val="-4"/>
          <w:sz w:val="24"/>
        </w:rPr>
        <w:t xml:space="preserve"> </w:t>
      </w:r>
      <w:r>
        <w:rPr>
          <w:sz w:val="24"/>
        </w:rPr>
        <w:t>cited</w:t>
      </w:r>
      <w:r>
        <w:rPr>
          <w:spacing w:val="-5"/>
          <w:sz w:val="24"/>
        </w:rPr>
        <w:t xml:space="preserve"> </w:t>
      </w:r>
      <w:r>
        <w:rPr>
          <w:sz w:val="24"/>
        </w:rPr>
        <w:t>of su</w:t>
      </w:r>
      <w:r>
        <w:rPr>
          <w:sz w:val="24"/>
        </w:rPr>
        <w:t>ch</w:t>
      </w:r>
      <w:r>
        <w:rPr>
          <w:spacing w:val="-7"/>
          <w:sz w:val="24"/>
        </w:rPr>
        <w:t xml:space="preserve"> </w:t>
      </w:r>
      <w:r>
        <w:rPr>
          <w:sz w:val="24"/>
        </w:rPr>
        <w:t>contingencies</w:t>
      </w:r>
      <w:r>
        <w:rPr>
          <w:spacing w:val="-7"/>
          <w:sz w:val="24"/>
        </w:rPr>
        <w:t xml:space="preserve"> </w:t>
      </w:r>
      <w:r>
        <w:rPr>
          <w:sz w:val="24"/>
        </w:rPr>
        <w:t>is</w:t>
      </w:r>
      <w:r>
        <w:rPr>
          <w:spacing w:val="-6"/>
          <w:sz w:val="24"/>
        </w:rPr>
        <w:t xml:space="preserve"> </w:t>
      </w:r>
      <w:r>
        <w:rPr>
          <w:sz w:val="24"/>
        </w:rPr>
        <w:t>strategic</w:t>
      </w:r>
      <w:r>
        <w:rPr>
          <w:spacing w:val="-8"/>
          <w:sz w:val="24"/>
        </w:rPr>
        <w:t xml:space="preserve"> </w:t>
      </w:r>
      <w:r>
        <w:rPr>
          <w:sz w:val="24"/>
        </w:rPr>
        <w:t>flexibility,</w:t>
      </w:r>
      <w:r>
        <w:rPr>
          <w:spacing w:val="-7"/>
          <w:sz w:val="24"/>
        </w:rPr>
        <w:t xml:space="preserve"> </w:t>
      </w:r>
      <w:r>
        <w:rPr>
          <w:sz w:val="24"/>
        </w:rPr>
        <w:t>which</w:t>
      </w:r>
      <w:r>
        <w:rPr>
          <w:spacing w:val="-7"/>
          <w:sz w:val="24"/>
        </w:rPr>
        <w:t xml:space="preserve"> </w:t>
      </w:r>
      <w:r>
        <w:rPr>
          <w:sz w:val="24"/>
        </w:rPr>
        <w:t>plays</w:t>
      </w:r>
      <w:r>
        <w:rPr>
          <w:spacing w:val="-7"/>
          <w:sz w:val="24"/>
        </w:rPr>
        <w:t xml:space="preserve"> </w:t>
      </w:r>
      <w:r>
        <w:rPr>
          <w:sz w:val="24"/>
        </w:rPr>
        <w:t>a</w:t>
      </w:r>
      <w:r>
        <w:rPr>
          <w:spacing w:val="-6"/>
          <w:sz w:val="24"/>
        </w:rPr>
        <w:t xml:space="preserve"> </w:t>
      </w:r>
      <w:r>
        <w:rPr>
          <w:sz w:val="24"/>
        </w:rPr>
        <w:t>crucial</w:t>
      </w:r>
      <w:r>
        <w:rPr>
          <w:spacing w:val="-7"/>
          <w:sz w:val="24"/>
        </w:rPr>
        <w:t xml:space="preserve"> </w:t>
      </w:r>
      <w:r>
        <w:rPr>
          <w:sz w:val="24"/>
        </w:rPr>
        <w:t>moderating</w:t>
      </w:r>
      <w:r>
        <w:rPr>
          <w:spacing w:val="-5"/>
          <w:sz w:val="24"/>
        </w:rPr>
        <w:t xml:space="preserve"> </w:t>
      </w:r>
      <w:r>
        <w:rPr>
          <w:sz w:val="24"/>
        </w:rPr>
        <w:t>role</w:t>
      </w:r>
      <w:r>
        <w:rPr>
          <w:spacing w:val="-8"/>
          <w:sz w:val="24"/>
        </w:rPr>
        <w:t xml:space="preserve"> </w:t>
      </w:r>
      <w:r>
        <w:rPr>
          <w:sz w:val="24"/>
        </w:rPr>
        <w:t>in</w:t>
      </w:r>
      <w:r>
        <w:rPr>
          <w:spacing w:val="-7"/>
          <w:sz w:val="24"/>
        </w:rPr>
        <w:t xml:space="preserve"> </w:t>
      </w:r>
      <w:r>
        <w:rPr>
          <w:sz w:val="24"/>
        </w:rPr>
        <w:t>dynamic</w:t>
      </w:r>
      <w:r>
        <w:rPr>
          <w:spacing w:val="-6"/>
          <w:sz w:val="24"/>
        </w:rPr>
        <w:t xml:space="preserve"> </w:t>
      </w:r>
      <w:r>
        <w:rPr>
          <w:sz w:val="24"/>
        </w:rPr>
        <w:t>and</w:t>
      </w:r>
      <w:r>
        <w:rPr>
          <w:spacing w:val="-7"/>
          <w:sz w:val="24"/>
        </w:rPr>
        <w:t xml:space="preserve"> </w:t>
      </w:r>
      <w:r>
        <w:rPr>
          <w:sz w:val="24"/>
        </w:rPr>
        <w:t>uncertain environments such as public procurement.</w:t>
      </w:r>
    </w:p>
    <w:p w:rsidR="00487D64" w:rsidRDefault="006F0D93">
      <w:pPr>
        <w:spacing w:before="1" w:line="276" w:lineRule="auto"/>
        <w:ind w:left="57" w:right="339"/>
        <w:jc w:val="both"/>
        <w:rPr>
          <w:sz w:val="24"/>
        </w:rPr>
      </w:pPr>
      <w:r>
        <w:rPr>
          <w:sz w:val="24"/>
        </w:rPr>
        <w:t>Strategic flexibility is defined as a firm’s ability to effectively adapt, reconfigure, and redeploy its resources in response to environmental shifts, market volatility, and competitive pressures (Brozovic, 2023).</w:t>
      </w:r>
      <w:r>
        <w:rPr>
          <w:spacing w:val="-15"/>
          <w:sz w:val="24"/>
        </w:rPr>
        <w:t xml:space="preserve"> </w:t>
      </w:r>
      <w:r>
        <w:rPr>
          <w:sz w:val="24"/>
        </w:rPr>
        <w:t>In</w:t>
      </w:r>
      <w:r>
        <w:rPr>
          <w:spacing w:val="-15"/>
          <w:sz w:val="24"/>
        </w:rPr>
        <w:t xml:space="preserve"> </w:t>
      </w:r>
      <w:r>
        <w:rPr>
          <w:sz w:val="24"/>
        </w:rPr>
        <w:t>public</w:t>
      </w:r>
      <w:r>
        <w:rPr>
          <w:spacing w:val="-15"/>
          <w:sz w:val="24"/>
        </w:rPr>
        <w:t xml:space="preserve"> </w:t>
      </w:r>
      <w:r>
        <w:rPr>
          <w:sz w:val="24"/>
        </w:rPr>
        <w:t>procurement,</w:t>
      </w:r>
      <w:r>
        <w:rPr>
          <w:spacing w:val="-15"/>
          <w:sz w:val="24"/>
        </w:rPr>
        <w:t xml:space="preserve"> </w:t>
      </w:r>
      <w:r>
        <w:rPr>
          <w:sz w:val="24"/>
        </w:rPr>
        <w:t>where</w:t>
      </w:r>
      <w:r>
        <w:rPr>
          <w:spacing w:val="-15"/>
          <w:sz w:val="24"/>
        </w:rPr>
        <w:t xml:space="preserve"> </w:t>
      </w:r>
      <w:r>
        <w:rPr>
          <w:sz w:val="24"/>
        </w:rPr>
        <w:t>regulatory</w:t>
      </w:r>
      <w:r>
        <w:rPr>
          <w:spacing w:val="-15"/>
          <w:sz w:val="24"/>
        </w:rPr>
        <w:t xml:space="preserve"> </w:t>
      </w:r>
      <w:r>
        <w:rPr>
          <w:sz w:val="24"/>
        </w:rPr>
        <w:t>r</w:t>
      </w:r>
      <w:r>
        <w:rPr>
          <w:sz w:val="24"/>
        </w:rPr>
        <w:t>igidity,</w:t>
      </w:r>
      <w:r>
        <w:rPr>
          <w:spacing w:val="-15"/>
          <w:sz w:val="24"/>
        </w:rPr>
        <w:t xml:space="preserve"> </w:t>
      </w:r>
      <w:r>
        <w:rPr>
          <w:sz w:val="24"/>
        </w:rPr>
        <w:t>budgetary</w:t>
      </w:r>
      <w:r>
        <w:rPr>
          <w:spacing w:val="-15"/>
          <w:sz w:val="24"/>
        </w:rPr>
        <w:t xml:space="preserve"> </w:t>
      </w:r>
      <w:r>
        <w:rPr>
          <w:sz w:val="24"/>
        </w:rPr>
        <w:t>constraints,</w:t>
      </w:r>
      <w:r>
        <w:rPr>
          <w:spacing w:val="-15"/>
          <w:sz w:val="24"/>
        </w:rPr>
        <w:t xml:space="preserve"> </w:t>
      </w:r>
      <w:r>
        <w:rPr>
          <w:sz w:val="24"/>
        </w:rPr>
        <w:t>and</w:t>
      </w:r>
      <w:r>
        <w:rPr>
          <w:spacing w:val="-15"/>
          <w:sz w:val="24"/>
        </w:rPr>
        <w:t xml:space="preserve"> </w:t>
      </w:r>
      <w:r>
        <w:rPr>
          <w:sz w:val="24"/>
        </w:rPr>
        <w:t>fluctuating</w:t>
      </w:r>
      <w:r>
        <w:rPr>
          <w:spacing w:val="-15"/>
          <w:sz w:val="24"/>
        </w:rPr>
        <w:t xml:space="preserve"> </w:t>
      </w:r>
      <w:r>
        <w:rPr>
          <w:sz w:val="24"/>
        </w:rPr>
        <w:t>stakeholder demands</w:t>
      </w:r>
      <w:r>
        <w:rPr>
          <w:spacing w:val="-12"/>
          <w:sz w:val="24"/>
        </w:rPr>
        <w:t xml:space="preserve"> </w:t>
      </w:r>
      <w:r>
        <w:rPr>
          <w:sz w:val="24"/>
        </w:rPr>
        <w:t>are</w:t>
      </w:r>
      <w:r>
        <w:rPr>
          <w:spacing w:val="-13"/>
          <w:sz w:val="24"/>
        </w:rPr>
        <w:t xml:space="preserve"> </w:t>
      </w:r>
      <w:r>
        <w:rPr>
          <w:sz w:val="24"/>
        </w:rPr>
        <w:t>present,</w:t>
      </w:r>
      <w:r>
        <w:rPr>
          <w:spacing w:val="-12"/>
          <w:sz w:val="24"/>
        </w:rPr>
        <w:t xml:space="preserve"> </w:t>
      </w:r>
      <w:r>
        <w:rPr>
          <w:sz w:val="24"/>
        </w:rPr>
        <w:t>adaptability</w:t>
      </w:r>
      <w:r>
        <w:rPr>
          <w:spacing w:val="-12"/>
          <w:sz w:val="24"/>
        </w:rPr>
        <w:t xml:space="preserve"> </w:t>
      </w:r>
      <w:r>
        <w:rPr>
          <w:sz w:val="24"/>
        </w:rPr>
        <w:t>is</w:t>
      </w:r>
      <w:r>
        <w:rPr>
          <w:spacing w:val="-11"/>
          <w:sz w:val="24"/>
        </w:rPr>
        <w:t xml:space="preserve"> </w:t>
      </w:r>
      <w:r>
        <w:rPr>
          <w:sz w:val="24"/>
        </w:rPr>
        <w:t>crucial</w:t>
      </w:r>
      <w:r>
        <w:rPr>
          <w:spacing w:val="-12"/>
          <w:sz w:val="24"/>
        </w:rPr>
        <w:t xml:space="preserve"> </w:t>
      </w:r>
      <w:r>
        <w:rPr>
          <w:sz w:val="24"/>
        </w:rPr>
        <w:t>for</w:t>
      </w:r>
      <w:r>
        <w:rPr>
          <w:spacing w:val="-11"/>
          <w:sz w:val="24"/>
        </w:rPr>
        <w:t xml:space="preserve"> </w:t>
      </w:r>
      <w:r>
        <w:rPr>
          <w:sz w:val="24"/>
        </w:rPr>
        <w:t>organizations,</w:t>
      </w:r>
      <w:r>
        <w:rPr>
          <w:spacing w:val="-12"/>
          <w:sz w:val="24"/>
        </w:rPr>
        <w:t xml:space="preserve"> </w:t>
      </w:r>
      <w:r>
        <w:rPr>
          <w:sz w:val="24"/>
        </w:rPr>
        <w:t>particularly</w:t>
      </w:r>
      <w:r>
        <w:rPr>
          <w:spacing w:val="-12"/>
          <w:sz w:val="24"/>
        </w:rPr>
        <w:t xml:space="preserve"> </w:t>
      </w:r>
      <w:r>
        <w:rPr>
          <w:sz w:val="24"/>
        </w:rPr>
        <w:t>SMEs,</w:t>
      </w:r>
      <w:r>
        <w:rPr>
          <w:spacing w:val="-12"/>
          <w:sz w:val="24"/>
        </w:rPr>
        <w:t xml:space="preserve"> </w:t>
      </w:r>
      <w:r>
        <w:rPr>
          <w:sz w:val="24"/>
        </w:rPr>
        <w:t>to</w:t>
      </w:r>
      <w:r>
        <w:rPr>
          <w:spacing w:val="-12"/>
          <w:sz w:val="24"/>
        </w:rPr>
        <w:t xml:space="preserve"> </w:t>
      </w:r>
      <w:r>
        <w:rPr>
          <w:sz w:val="24"/>
        </w:rPr>
        <w:t>maintain</w:t>
      </w:r>
      <w:r>
        <w:rPr>
          <w:spacing w:val="-12"/>
          <w:sz w:val="24"/>
        </w:rPr>
        <w:t xml:space="preserve"> </w:t>
      </w:r>
      <w:r>
        <w:rPr>
          <w:sz w:val="24"/>
        </w:rPr>
        <w:t>a</w:t>
      </w:r>
      <w:r>
        <w:rPr>
          <w:spacing w:val="-13"/>
          <w:sz w:val="24"/>
        </w:rPr>
        <w:t xml:space="preserve"> </w:t>
      </w:r>
      <w:r>
        <w:rPr>
          <w:sz w:val="24"/>
        </w:rPr>
        <w:t>sustainable competitive edge. Organizations with high levels of strategic flexibility are better eq</w:t>
      </w:r>
      <w:r>
        <w:rPr>
          <w:sz w:val="24"/>
        </w:rPr>
        <w:t>uipped to anticipate market trends, seize emerging opportunities, and mitigate risks associated with procurement disruptions or evolving customer requirements.</w:t>
      </w:r>
    </w:p>
    <w:p w:rsidR="00487D64" w:rsidRDefault="006F0D93">
      <w:pPr>
        <w:spacing w:line="276" w:lineRule="auto"/>
        <w:ind w:left="57" w:right="341"/>
        <w:jc w:val="both"/>
        <w:rPr>
          <w:sz w:val="24"/>
        </w:rPr>
      </w:pPr>
      <w:r>
        <w:rPr>
          <w:sz w:val="24"/>
        </w:rPr>
        <w:t>Morgan et al. (2019) argue that in the face of intensifying global competition, the ability to q</w:t>
      </w:r>
      <w:r>
        <w:rPr>
          <w:sz w:val="24"/>
        </w:rPr>
        <w:t>uickly reallocate resources, modify operations, and pursue alternative market approaches has become indispensable for maintaining competitiveness. Sen et al. (2023) emphasize that SMEs, due to their structural</w:t>
      </w:r>
      <w:r>
        <w:rPr>
          <w:spacing w:val="-10"/>
          <w:sz w:val="24"/>
        </w:rPr>
        <w:t xml:space="preserve"> </w:t>
      </w:r>
      <w:r>
        <w:rPr>
          <w:sz w:val="24"/>
        </w:rPr>
        <w:t>simplicity</w:t>
      </w:r>
      <w:r>
        <w:rPr>
          <w:spacing w:val="-11"/>
          <w:sz w:val="24"/>
        </w:rPr>
        <w:t xml:space="preserve"> </w:t>
      </w:r>
      <w:r>
        <w:rPr>
          <w:sz w:val="24"/>
        </w:rPr>
        <w:t>and</w:t>
      </w:r>
      <w:r>
        <w:rPr>
          <w:spacing w:val="-11"/>
          <w:sz w:val="24"/>
        </w:rPr>
        <w:t xml:space="preserve"> </w:t>
      </w:r>
      <w:r>
        <w:rPr>
          <w:sz w:val="24"/>
        </w:rPr>
        <w:t>agility,</w:t>
      </w:r>
      <w:r>
        <w:rPr>
          <w:spacing w:val="-11"/>
          <w:sz w:val="24"/>
        </w:rPr>
        <w:t xml:space="preserve"> </w:t>
      </w:r>
      <w:r>
        <w:rPr>
          <w:sz w:val="24"/>
        </w:rPr>
        <w:t>are</w:t>
      </w:r>
      <w:r>
        <w:rPr>
          <w:spacing w:val="-12"/>
          <w:sz w:val="24"/>
        </w:rPr>
        <w:t xml:space="preserve"> </w:t>
      </w:r>
      <w:r>
        <w:rPr>
          <w:sz w:val="24"/>
        </w:rPr>
        <w:t>well-positioned</w:t>
      </w:r>
      <w:r>
        <w:rPr>
          <w:spacing w:val="-11"/>
          <w:sz w:val="24"/>
        </w:rPr>
        <w:t xml:space="preserve"> </w:t>
      </w:r>
      <w:r>
        <w:rPr>
          <w:sz w:val="24"/>
        </w:rPr>
        <w:t>to</w:t>
      </w:r>
      <w:r>
        <w:rPr>
          <w:spacing w:val="-10"/>
          <w:sz w:val="24"/>
        </w:rPr>
        <w:t xml:space="preserve"> </w:t>
      </w:r>
      <w:r>
        <w:rPr>
          <w:sz w:val="24"/>
        </w:rPr>
        <w:t>leverage</w:t>
      </w:r>
      <w:r>
        <w:rPr>
          <w:spacing w:val="-12"/>
          <w:sz w:val="24"/>
        </w:rPr>
        <w:t xml:space="preserve"> </w:t>
      </w:r>
      <w:r>
        <w:rPr>
          <w:sz w:val="24"/>
        </w:rPr>
        <w:t>strategic</w:t>
      </w:r>
      <w:r>
        <w:rPr>
          <w:spacing w:val="-11"/>
          <w:sz w:val="24"/>
        </w:rPr>
        <w:t xml:space="preserve"> </w:t>
      </w:r>
      <w:r>
        <w:rPr>
          <w:sz w:val="24"/>
        </w:rPr>
        <w:t>flexibility</w:t>
      </w:r>
      <w:r>
        <w:rPr>
          <w:spacing w:val="-10"/>
          <w:sz w:val="24"/>
        </w:rPr>
        <w:t xml:space="preserve"> </w:t>
      </w:r>
      <w:r>
        <w:rPr>
          <w:sz w:val="24"/>
        </w:rPr>
        <w:t>as</w:t>
      </w:r>
      <w:r>
        <w:rPr>
          <w:spacing w:val="-10"/>
          <w:sz w:val="24"/>
        </w:rPr>
        <w:t xml:space="preserve"> </w:t>
      </w:r>
      <w:r>
        <w:rPr>
          <w:sz w:val="24"/>
        </w:rPr>
        <w:t>a</w:t>
      </w:r>
      <w:r>
        <w:rPr>
          <w:spacing w:val="-12"/>
          <w:sz w:val="24"/>
        </w:rPr>
        <w:t xml:space="preserve"> </w:t>
      </w:r>
      <w:r>
        <w:rPr>
          <w:sz w:val="24"/>
        </w:rPr>
        <w:t>competitive</w:t>
      </w:r>
      <w:r>
        <w:rPr>
          <w:spacing w:val="-11"/>
          <w:sz w:val="24"/>
        </w:rPr>
        <w:t xml:space="preserve"> </w:t>
      </w:r>
      <w:r>
        <w:rPr>
          <w:sz w:val="24"/>
        </w:rPr>
        <w:t xml:space="preserve">lever, particularly in navigating public procurement frameworks that often demand quick adaptation to policy changes and stakeholder expectations. Moreover, Guo and Cao (2014) identify strategic flexibility </w:t>
      </w:r>
      <w:r>
        <w:rPr>
          <w:sz w:val="24"/>
        </w:rPr>
        <w:t>as a facilitator of resilience, enabling firms to respond effectively to crises and market uncertainty.</w:t>
      </w:r>
    </w:p>
    <w:p w:rsidR="00487D64" w:rsidRDefault="006F0D93">
      <w:pPr>
        <w:spacing w:line="276" w:lineRule="auto"/>
        <w:ind w:left="57" w:right="339"/>
        <w:jc w:val="both"/>
        <w:rPr>
          <w:sz w:val="24"/>
        </w:rPr>
      </w:pPr>
      <w:r>
        <w:rPr>
          <w:sz w:val="24"/>
        </w:rPr>
        <w:t>Empirical</w:t>
      </w:r>
      <w:r>
        <w:rPr>
          <w:spacing w:val="-14"/>
          <w:sz w:val="24"/>
        </w:rPr>
        <w:t xml:space="preserve"> </w:t>
      </w:r>
      <w:r>
        <w:rPr>
          <w:sz w:val="24"/>
        </w:rPr>
        <w:t>evidence</w:t>
      </w:r>
      <w:r>
        <w:rPr>
          <w:spacing w:val="-15"/>
          <w:sz w:val="24"/>
        </w:rPr>
        <w:t xml:space="preserve"> </w:t>
      </w:r>
      <w:r>
        <w:rPr>
          <w:sz w:val="24"/>
        </w:rPr>
        <w:t>reinforces</w:t>
      </w:r>
      <w:r>
        <w:rPr>
          <w:spacing w:val="-14"/>
          <w:sz w:val="24"/>
        </w:rPr>
        <w:t xml:space="preserve"> </w:t>
      </w:r>
      <w:r>
        <w:rPr>
          <w:sz w:val="24"/>
        </w:rPr>
        <w:t>the</w:t>
      </w:r>
      <w:r>
        <w:rPr>
          <w:spacing w:val="-15"/>
          <w:sz w:val="24"/>
        </w:rPr>
        <w:t xml:space="preserve"> </w:t>
      </w:r>
      <w:r>
        <w:rPr>
          <w:sz w:val="24"/>
        </w:rPr>
        <w:t>moderating</w:t>
      </w:r>
      <w:r>
        <w:rPr>
          <w:spacing w:val="-14"/>
          <w:sz w:val="24"/>
        </w:rPr>
        <w:t xml:space="preserve"> </w:t>
      </w:r>
      <w:r>
        <w:rPr>
          <w:sz w:val="24"/>
        </w:rPr>
        <w:t>role</w:t>
      </w:r>
      <w:r>
        <w:rPr>
          <w:spacing w:val="-13"/>
          <w:sz w:val="24"/>
        </w:rPr>
        <w:t xml:space="preserve"> </w:t>
      </w:r>
      <w:r>
        <w:rPr>
          <w:sz w:val="24"/>
        </w:rPr>
        <w:t>of</w:t>
      </w:r>
      <w:r>
        <w:rPr>
          <w:spacing w:val="-15"/>
          <w:sz w:val="24"/>
        </w:rPr>
        <w:t xml:space="preserve"> </w:t>
      </w:r>
      <w:r>
        <w:rPr>
          <w:sz w:val="24"/>
        </w:rPr>
        <w:t>strategic</w:t>
      </w:r>
      <w:r>
        <w:rPr>
          <w:spacing w:val="-13"/>
          <w:sz w:val="24"/>
        </w:rPr>
        <w:t xml:space="preserve"> </w:t>
      </w:r>
      <w:r>
        <w:rPr>
          <w:sz w:val="24"/>
        </w:rPr>
        <w:t>flexibility.</w:t>
      </w:r>
      <w:r>
        <w:rPr>
          <w:spacing w:val="-14"/>
          <w:sz w:val="24"/>
        </w:rPr>
        <w:t xml:space="preserve"> </w:t>
      </w:r>
      <w:r>
        <w:rPr>
          <w:sz w:val="24"/>
        </w:rPr>
        <w:t>Sen</w:t>
      </w:r>
      <w:r>
        <w:rPr>
          <w:spacing w:val="-14"/>
          <w:sz w:val="24"/>
        </w:rPr>
        <w:t xml:space="preserve"> </w:t>
      </w:r>
      <w:r>
        <w:rPr>
          <w:sz w:val="24"/>
        </w:rPr>
        <w:t>et</w:t>
      </w:r>
      <w:r>
        <w:rPr>
          <w:spacing w:val="-14"/>
          <w:sz w:val="24"/>
        </w:rPr>
        <w:t xml:space="preserve"> </w:t>
      </w:r>
      <w:r>
        <w:rPr>
          <w:sz w:val="24"/>
        </w:rPr>
        <w:t>al.</w:t>
      </w:r>
      <w:r>
        <w:rPr>
          <w:spacing w:val="-14"/>
          <w:sz w:val="24"/>
        </w:rPr>
        <w:t xml:space="preserve"> </w:t>
      </w:r>
      <w:r>
        <w:rPr>
          <w:sz w:val="24"/>
        </w:rPr>
        <w:t>(2023)</w:t>
      </w:r>
      <w:r>
        <w:rPr>
          <w:spacing w:val="-13"/>
          <w:sz w:val="24"/>
        </w:rPr>
        <w:t xml:space="preserve"> </w:t>
      </w:r>
      <w:r>
        <w:rPr>
          <w:sz w:val="24"/>
        </w:rPr>
        <w:t>found</w:t>
      </w:r>
      <w:r>
        <w:rPr>
          <w:spacing w:val="-15"/>
          <w:sz w:val="24"/>
        </w:rPr>
        <w:t xml:space="preserve"> </w:t>
      </w:r>
      <w:r>
        <w:rPr>
          <w:sz w:val="24"/>
        </w:rPr>
        <w:t>that</w:t>
      </w:r>
      <w:r>
        <w:rPr>
          <w:spacing w:val="-14"/>
          <w:sz w:val="24"/>
        </w:rPr>
        <w:t xml:space="preserve"> </w:t>
      </w:r>
      <w:r>
        <w:rPr>
          <w:sz w:val="24"/>
        </w:rPr>
        <w:t>firms operating in public procurement with stro</w:t>
      </w:r>
      <w:r>
        <w:rPr>
          <w:sz w:val="24"/>
        </w:rPr>
        <w:t>ng market orientation achieved better competitive outcomes when their strategies were supported by high adaptability in resource utilization and relationship management.</w:t>
      </w:r>
      <w:r>
        <w:rPr>
          <w:spacing w:val="-8"/>
          <w:sz w:val="24"/>
        </w:rPr>
        <w:t xml:space="preserve"> </w:t>
      </w:r>
      <w:r>
        <w:rPr>
          <w:sz w:val="24"/>
        </w:rPr>
        <w:t>Lopez-Torres</w:t>
      </w:r>
      <w:r>
        <w:rPr>
          <w:spacing w:val="-8"/>
          <w:sz w:val="24"/>
        </w:rPr>
        <w:t xml:space="preserve"> </w:t>
      </w:r>
      <w:r>
        <w:rPr>
          <w:sz w:val="24"/>
        </w:rPr>
        <w:t>(2023)</w:t>
      </w:r>
      <w:r>
        <w:rPr>
          <w:spacing w:val="-7"/>
          <w:sz w:val="24"/>
        </w:rPr>
        <w:t xml:space="preserve"> </w:t>
      </w:r>
      <w:r>
        <w:rPr>
          <w:sz w:val="24"/>
        </w:rPr>
        <w:t>further</w:t>
      </w:r>
      <w:r>
        <w:rPr>
          <w:spacing w:val="-9"/>
          <w:sz w:val="24"/>
        </w:rPr>
        <w:t xml:space="preserve"> </w:t>
      </w:r>
      <w:r>
        <w:rPr>
          <w:sz w:val="24"/>
        </w:rPr>
        <w:t>reported</w:t>
      </w:r>
      <w:r>
        <w:rPr>
          <w:spacing w:val="-8"/>
          <w:sz w:val="24"/>
        </w:rPr>
        <w:t xml:space="preserve"> </w:t>
      </w:r>
      <w:r>
        <w:rPr>
          <w:sz w:val="24"/>
        </w:rPr>
        <w:t>that</w:t>
      </w:r>
      <w:r>
        <w:rPr>
          <w:spacing w:val="-8"/>
          <w:sz w:val="24"/>
        </w:rPr>
        <w:t xml:space="preserve"> </w:t>
      </w:r>
      <w:r>
        <w:rPr>
          <w:sz w:val="24"/>
        </w:rPr>
        <w:t>organizational</w:t>
      </w:r>
      <w:r>
        <w:rPr>
          <w:spacing w:val="-8"/>
          <w:sz w:val="24"/>
        </w:rPr>
        <w:t xml:space="preserve"> </w:t>
      </w:r>
      <w:r>
        <w:rPr>
          <w:sz w:val="24"/>
        </w:rPr>
        <w:t>sustainability</w:t>
      </w:r>
      <w:r>
        <w:rPr>
          <w:spacing w:val="-8"/>
          <w:sz w:val="24"/>
        </w:rPr>
        <w:t xml:space="preserve"> </w:t>
      </w:r>
      <w:r>
        <w:rPr>
          <w:sz w:val="24"/>
        </w:rPr>
        <w:t>and</w:t>
      </w:r>
      <w:r>
        <w:rPr>
          <w:spacing w:val="-8"/>
          <w:sz w:val="24"/>
        </w:rPr>
        <w:t xml:space="preserve"> </w:t>
      </w:r>
      <w:r>
        <w:rPr>
          <w:sz w:val="24"/>
        </w:rPr>
        <w:t>competitiv</w:t>
      </w:r>
      <w:r>
        <w:rPr>
          <w:sz w:val="24"/>
        </w:rPr>
        <w:t>eness are positively influenced by the ability to realign strategies and structures in response to environmental turbulence. Yet, Aabo et al. (2024) caution that although flexibility often correlates with performance improvements, such benefits are not gua</w:t>
      </w:r>
      <w:r>
        <w:rPr>
          <w:sz w:val="24"/>
        </w:rPr>
        <w:t xml:space="preserve">ranteed across all settings, and contextual fit remains a critical </w:t>
      </w:r>
      <w:r>
        <w:rPr>
          <w:spacing w:val="-2"/>
          <w:sz w:val="24"/>
        </w:rPr>
        <w:t>factor.</w:t>
      </w:r>
    </w:p>
    <w:p w:rsidR="00487D64" w:rsidRDefault="006F0D93">
      <w:pPr>
        <w:spacing w:line="276" w:lineRule="auto"/>
        <w:ind w:left="57" w:right="338"/>
        <w:jc w:val="both"/>
        <w:rPr>
          <w:sz w:val="24"/>
        </w:rPr>
      </w:pPr>
      <w:r>
        <w:rPr>
          <w:sz w:val="24"/>
        </w:rPr>
        <w:t>Additional insights</w:t>
      </w:r>
      <w:r>
        <w:rPr>
          <w:spacing w:val="-1"/>
          <w:sz w:val="24"/>
        </w:rPr>
        <w:t xml:space="preserve"> </w:t>
      </w:r>
      <w:r>
        <w:rPr>
          <w:sz w:val="24"/>
        </w:rPr>
        <w:t>from</w:t>
      </w:r>
      <w:r>
        <w:rPr>
          <w:spacing w:val="-1"/>
          <w:sz w:val="24"/>
        </w:rPr>
        <w:t xml:space="preserve"> </w:t>
      </w:r>
      <w:r>
        <w:rPr>
          <w:sz w:val="24"/>
        </w:rPr>
        <w:t xml:space="preserve">Lopez-Torres et al. (2022) indicate that sustainability-driven competitiveness is significantly enhanced by organizational structures and capabilities, such as flexibility that enables firms to implement and sustain strategic change. Jewel and Ali (2023), </w:t>
      </w:r>
      <w:r>
        <w:rPr>
          <w:sz w:val="24"/>
        </w:rPr>
        <w:t>in their study of sustainable public procurement</w:t>
      </w:r>
      <w:r>
        <w:rPr>
          <w:spacing w:val="-13"/>
          <w:sz w:val="24"/>
        </w:rPr>
        <w:t xml:space="preserve"> </w:t>
      </w:r>
      <w:r>
        <w:rPr>
          <w:sz w:val="24"/>
        </w:rPr>
        <w:t>in</w:t>
      </w:r>
      <w:r>
        <w:rPr>
          <w:spacing w:val="-13"/>
          <w:sz w:val="24"/>
        </w:rPr>
        <w:t xml:space="preserve"> </w:t>
      </w:r>
      <w:r>
        <w:rPr>
          <w:sz w:val="24"/>
        </w:rPr>
        <w:t>Bangladesh,</w:t>
      </w:r>
      <w:r>
        <w:rPr>
          <w:spacing w:val="-13"/>
          <w:sz w:val="24"/>
        </w:rPr>
        <w:t xml:space="preserve"> </w:t>
      </w:r>
      <w:r>
        <w:rPr>
          <w:sz w:val="24"/>
        </w:rPr>
        <w:t>underscore</w:t>
      </w:r>
      <w:r>
        <w:rPr>
          <w:spacing w:val="-15"/>
          <w:sz w:val="24"/>
        </w:rPr>
        <w:t xml:space="preserve"> </w:t>
      </w:r>
      <w:r>
        <w:rPr>
          <w:sz w:val="24"/>
        </w:rPr>
        <w:t>the</w:t>
      </w:r>
      <w:r>
        <w:rPr>
          <w:spacing w:val="-14"/>
          <w:sz w:val="24"/>
        </w:rPr>
        <w:t xml:space="preserve"> </w:t>
      </w:r>
      <w:r>
        <w:rPr>
          <w:sz w:val="24"/>
        </w:rPr>
        <w:t>gap</w:t>
      </w:r>
      <w:r>
        <w:rPr>
          <w:spacing w:val="-13"/>
          <w:sz w:val="24"/>
        </w:rPr>
        <w:t xml:space="preserve"> </w:t>
      </w:r>
      <w:r>
        <w:rPr>
          <w:sz w:val="24"/>
        </w:rPr>
        <w:t>between</w:t>
      </w:r>
      <w:r>
        <w:rPr>
          <w:spacing w:val="-13"/>
          <w:sz w:val="24"/>
        </w:rPr>
        <w:t xml:space="preserve"> </w:t>
      </w:r>
      <w:r>
        <w:rPr>
          <w:sz w:val="24"/>
        </w:rPr>
        <w:t>policy</w:t>
      </w:r>
      <w:r>
        <w:rPr>
          <w:spacing w:val="-13"/>
          <w:sz w:val="24"/>
        </w:rPr>
        <w:t xml:space="preserve"> </w:t>
      </w:r>
      <w:r>
        <w:rPr>
          <w:sz w:val="24"/>
        </w:rPr>
        <w:t>and</w:t>
      </w:r>
      <w:r>
        <w:rPr>
          <w:spacing w:val="-13"/>
          <w:sz w:val="24"/>
        </w:rPr>
        <w:t xml:space="preserve"> </w:t>
      </w:r>
      <w:r>
        <w:rPr>
          <w:sz w:val="24"/>
        </w:rPr>
        <w:t>practice,</w:t>
      </w:r>
      <w:r>
        <w:rPr>
          <w:spacing w:val="-13"/>
          <w:sz w:val="24"/>
        </w:rPr>
        <w:t xml:space="preserve"> </w:t>
      </w:r>
      <w:r>
        <w:rPr>
          <w:sz w:val="24"/>
        </w:rPr>
        <w:t>advocating</w:t>
      </w:r>
      <w:r>
        <w:rPr>
          <w:spacing w:val="-13"/>
          <w:sz w:val="24"/>
        </w:rPr>
        <w:t xml:space="preserve"> </w:t>
      </w:r>
      <w:r>
        <w:rPr>
          <w:sz w:val="24"/>
        </w:rPr>
        <w:t>for</w:t>
      </w:r>
      <w:r>
        <w:rPr>
          <w:spacing w:val="-15"/>
          <w:sz w:val="24"/>
        </w:rPr>
        <w:t xml:space="preserve"> </w:t>
      </w:r>
      <w:r>
        <w:rPr>
          <w:sz w:val="24"/>
        </w:rPr>
        <w:t>strategic</w:t>
      </w:r>
      <w:r>
        <w:rPr>
          <w:spacing w:val="-14"/>
          <w:sz w:val="24"/>
        </w:rPr>
        <w:t xml:space="preserve"> </w:t>
      </w:r>
      <w:r>
        <w:rPr>
          <w:sz w:val="24"/>
        </w:rPr>
        <w:t>tools like flexibility to bridge this divide and embed sustainability more effectively.</w:t>
      </w:r>
    </w:p>
    <w:p w:rsidR="00487D64" w:rsidRDefault="006F0D93">
      <w:pPr>
        <w:spacing w:line="276" w:lineRule="auto"/>
        <w:ind w:left="57" w:right="340"/>
        <w:jc w:val="both"/>
        <w:rPr>
          <w:sz w:val="24"/>
        </w:rPr>
      </w:pPr>
      <w:r>
        <w:rPr>
          <w:sz w:val="24"/>
        </w:rPr>
        <w:t>Moreover, research conducted by Guerra and Camargo (2024) and Gligor et al. (2021) substantiates the assertion that strategic capabilities, including learning orientation and supplier adaptability, function as significant</w:t>
      </w:r>
      <w:r>
        <w:rPr>
          <w:spacing w:val="-5"/>
          <w:sz w:val="24"/>
        </w:rPr>
        <w:t xml:space="preserve"> </w:t>
      </w:r>
      <w:r>
        <w:rPr>
          <w:sz w:val="24"/>
        </w:rPr>
        <w:t>moderators</w:t>
      </w:r>
      <w:r>
        <w:rPr>
          <w:spacing w:val="-4"/>
          <w:sz w:val="24"/>
        </w:rPr>
        <w:t xml:space="preserve"> </w:t>
      </w:r>
      <w:r>
        <w:rPr>
          <w:sz w:val="24"/>
        </w:rPr>
        <w:t>or</w:t>
      </w:r>
      <w:r>
        <w:rPr>
          <w:spacing w:val="-4"/>
          <w:sz w:val="24"/>
        </w:rPr>
        <w:t xml:space="preserve"> </w:t>
      </w:r>
      <w:r>
        <w:rPr>
          <w:sz w:val="24"/>
        </w:rPr>
        <w:t>mediators</w:t>
      </w:r>
      <w:r>
        <w:rPr>
          <w:spacing w:val="-6"/>
          <w:sz w:val="24"/>
        </w:rPr>
        <w:t xml:space="preserve"> </w:t>
      </w:r>
      <w:r>
        <w:rPr>
          <w:sz w:val="24"/>
        </w:rPr>
        <w:t>in</w:t>
      </w:r>
      <w:r>
        <w:rPr>
          <w:spacing w:val="-5"/>
          <w:sz w:val="24"/>
        </w:rPr>
        <w:t xml:space="preserve"> </w:t>
      </w:r>
      <w:r>
        <w:rPr>
          <w:sz w:val="24"/>
        </w:rPr>
        <w:t>the</w:t>
      </w:r>
      <w:r>
        <w:rPr>
          <w:spacing w:val="-3"/>
          <w:sz w:val="24"/>
        </w:rPr>
        <w:t xml:space="preserve"> </w:t>
      </w:r>
      <w:r>
        <w:rPr>
          <w:sz w:val="24"/>
        </w:rPr>
        <w:t>cor</w:t>
      </w:r>
      <w:r>
        <w:rPr>
          <w:sz w:val="24"/>
        </w:rPr>
        <w:t>relation</w:t>
      </w:r>
      <w:r>
        <w:rPr>
          <w:spacing w:val="-5"/>
          <w:sz w:val="24"/>
        </w:rPr>
        <w:t xml:space="preserve"> </w:t>
      </w:r>
      <w:r>
        <w:rPr>
          <w:sz w:val="24"/>
        </w:rPr>
        <w:t>between</w:t>
      </w:r>
      <w:r>
        <w:rPr>
          <w:spacing w:val="-6"/>
          <w:sz w:val="24"/>
        </w:rPr>
        <w:t xml:space="preserve"> </w:t>
      </w:r>
      <w:r>
        <w:rPr>
          <w:sz w:val="24"/>
        </w:rPr>
        <w:t>strategic</w:t>
      </w:r>
      <w:r>
        <w:rPr>
          <w:spacing w:val="-7"/>
          <w:sz w:val="24"/>
        </w:rPr>
        <w:t xml:space="preserve"> </w:t>
      </w:r>
      <w:r>
        <w:rPr>
          <w:sz w:val="24"/>
        </w:rPr>
        <w:t>orientation</w:t>
      </w:r>
      <w:r>
        <w:rPr>
          <w:spacing w:val="-5"/>
          <w:sz w:val="24"/>
        </w:rPr>
        <w:t xml:space="preserve"> </w:t>
      </w:r>
      <w:r>
        <w:rPr>
          <w:sz w:val="24"/>
        </w:rPr>
        <w:t>and</w:t>
      </w:r>
      <w:r>
        <w:rPr>
          <w:spacing w:val="-6"/>
          <w:sz w:val="24"/>
        </w:rPr>
        <w:t xml:space="preserve"> </w:t>
      </w:r>
      <w:r>
        <w:rPr>
          <w:sz w:val="24"/>
        </w:rPr>
        <w:t>performance.</w:t>
      </w:r>
      <w:r>
        <w:rPr>
          <w:spacing w:val="-3"/>
          <w:sz w:val="24"/>
        </w:rPr>
        <w:t xml:space="preserve"> </w:t>
      </w:r>
      <w:r>
        <w:rPr>
          <w:sz w:val="24"/>
        </w:rPr>
        <w:t>In</w:t>
      </w:r>
      <w:r>
        <w:rPr>
          <w:spacing w:val="-6"/>
          <w:sz w:val="24"/>
        </w:rPr>
        <w:t xml:space="preserve"> </w:t>
      </w:r>
      <w:r>
        <w:rPr>
          <w:sz w:val="24"/>
        </w:rPr>
        <w:t>a related finding, Royo-Vela et al. (2022) demonstrate that competitor orientation enhances performance only</w:t>
      </w:r>
      <w:r>
        <w:rPr>
          <w:spacing w:val="28"/>
          <w:sz w:val="24"/>
        </w:rPr>
        <w:t xml:space="preserve"> </w:t>
      </w:r>
      <w:r>
        <w:rPr>
          <w:sz w:val="24"/>
        </w:rPr>
        <w:t>when</w:t>
      </w:r>
      <w:r>
        <w:rPr>
          <w:spacing w:val="29"/>
          <w:sz w:val="24"/>
        </w:rPr>
        <w:t xml:space="preserve"> </w:t>
      </w:r>
      <w:r>
        <w:rPr>
          <w:sz w:val="24"/>
        </w:rPr>
        <w:t>firms</w:t>
      </w:r>
      <w:r>
        <w:rPr>
          <w:spacing w:val="31"/>
          <w:sz w:val="24"/>
        </w:rPr>
        <w:t xml:space="preserve"> </w:t>
      </w:r>
      <w:r>
        <w:rPr>
          <w:sz w:val="24"/>
        </w:rPr>
        <w:t>can</w:t>
      </w:r>
      <w:r>
        <w:rPr>
          <w:spacing w:val="32"/>
          <w:sz w:val="24"/>
        </w:rPr>
        <w:t xml:space="preserve"> </w:t>
      </w:r>
      <w:r>
        <w:rPr>
          <w:sz w:val="24"/>
        </w:rPr>
        <w:t>align</w:t>
      </w:r>
      <w:r>
        <w:rPr>
          <w:spacing w:val="29"/>
          <w:sz w:val="24"/>
        </w:rPr>
        <w:t xml:space="preserve"> </w:t>
      </w:r>
      <w:r>
        <w:rPr>
          <w:sz w:val="24"/>
        </w:rPr>
        <w:t>their</w:t>
      </w:r>
      <w:r>
        <w:rPr>
          <w:spacing w:val="30"/>
          <w:sz w:val="24"/>
        </w:rPr>
        <w:t xml:space="preserve"> </w:t>
      </w:r>
      <w:r>
        <w:rPr>
          <w:sz w:val="24"/>
        </w:rPr>
        <w:t>strategic</w:t>
      </w:r>
      <w:r>
        <w:rPr>
          <w:spacing w:val="29"/>
          <w:sz w:val="24"/>
        </w:rPr>
        <w:t xml:space="preserve"> </w:t>
      </w:r>
      <w:r>
        <w:rPr>
          <w:sz w:val="24"/>
        </w:rPr>
        <w:t>posture</w:t>
      </w:r>
      <w:r>
        <w:rPr>
          <w:spacing w:val="30"/>
          <w:sz w:val="24"/>
        </w:rPr>
        <w:t xml:space="preserve"> </w:t>
      </w:r>
      <w:r>
        <w:rPr>
          <w:sz w:val="24"/>
        </w:rPr>
        <w:t>with</w:t>
      </w:r>
      <w:r>
        <w:rPr>
          <w:spacing w:val="30"/>
          <w:sz w:val="24"/>
        </w:rPr>
        <w:t xml:space="preserve"> </w:t>
      </w:r>
      <w:r>
        <w:rPr>
          <w:sz w:val="24"/>
        </w:rPr>
        <w:t>a</w:t>
      </w:r>
      <w:r>
        <w:rPr>
          <w:spacing w:val="29"/>
          <w:sz w:val="24"/>
        </w:rPr>
        <w:t xml:space="preserve"> </w:t>
      </w:r>
      <w:r>
        <w:rPr>
          <w:sz w:val="24"/>
        </w:rPr>
        <w:t>capacity</w:t>
      </w:r>
      <w:r>
        <w:rPr>
          <w:spacing w:val="30"/>
          <w:sz w:val="24"/>
        </w:rPr>
        <w:t xml:space="preserve"> </w:t>
      </w:r>
      <w:r>
        <w:rPr>
          <w:sz w:val="24"/>
        </w:rPr>
        <w:t>for</w:t>
      </w:r>
      <w:r>
        <w:rPr>
          <w:spacing w:val="28"/>
          <w:sz w:val="24"/>
        </w:rPr>
        <w:t xml:space="preserve"> </w:t>
      </w:r>
      <w:r>
        <w:rPr>
          <w:sz w:val="24"/>
        </w:rPr>
        <w:t>timely</w:t>
      </w:r>
      <w:r>
        <w:rPr>
          <w:spacing w:val="30"/>
          <w:sz w:val="24"/>
        </w:rPr>
        <w:t xml:space="preserve"> </w:t>
      </w:r>
      <w:r>
        <w:rPr>
          <w:sz w:val="24"/>
        </w:rPr>
        <w:t>response</w:t>
      </w:r>
      <w:r>
        <w:rPr>
          <w:spacing w:val="29"/>
          <w:sz w:val="24"/>
        </w:rPr>
        <w:t xml:space="preserve"> </w:t>
      </w:r>
      <w:r>
        <w:rPr>
          <w:sz w:val="24"/>
        </w:rPr>
        <w:t>and</w:t>
      </w:r>
      <w:r>
        <w:rPr>
          <w:spacing w:val="30"/>
          <w:sz w:val="24"/>
        </w:rPr>
        <w:t xml:space="preserve"> </w:t>
      </w:r>
      <w:r>
        <w:rPr>
          <w:spacing w:val="-2"/>
          <w:sz w:val="24"/>
        </w:rPr>
        <w:t>innovation,</w:t>
      </w:r>
    </w:p>
    <w:p w:rsidR="00487D64" w:rsidRDefault="00487D64">
      <w:pPr>
        <w:spacing w:line="276" w:lineRule="auto"/>
        <w:jc w:val="both"/>
        <w:rPr>
          <w:sz w:val="24"/>
        </w:rPr>
        <w:sectPr w:rsidR="00487D64">
          <w:pgSz w:w="11910" w:h="16840"/>
          <w:pgMar w:top="1680" w:right="563" w:bottom="800" w:left="850" w:header="677" w:footer="608" w:gutter="0"/>
          <w:cols w:space="720"/>
        </w:sectPr>
      </w:pPr>
    </w:p>
    <w:p w:rsidR="00487D64" w:rsidRDefault="006F0D93">
      <w:pPr>
        <w:spacing w:before="254"/>
        <w:ind w:left="57"/>
        <w:jc w:val="both"/>
        <w:rPr>
          <w:sz w:val="24"/>
        </w:rPr>
      </w:pPr>
      <w:r>
        <w:rPr>
          <w:sz w:val="24"/>
        </w:rPr>
        <w:lastRenderedPageBreak/>
        <w:t>reinforcing</w:t>
      </w:r>
      <w:r>
        <w:rPr>
          <w:spacing w:val="-1"/>
          <w:sz w:val="24"/>
        </w:rPr>
        <w:t xml:space="preserve"> </w:t>
      </w:r>
      <w:r>
        <w:rPr>
          <w:sz w:val="24"/>
        </w:rPr>
        <w:t>the role</w:t>
      </w:r>
      <w:r>
        <w:rPr>
          <w:spacing w:val="-3"/>
          <w:sz w:val="24"/>
        </w:rPr>
        <w:t xml:space="preserve"> </w:t>
      </w:r>
      <w:r>
        <w:rPr>
          <w:sz w:val="24"/>
        </w:rPr>
        <w:t>of adaptive</w:t>
      </w:r>
      <w:r>
        <w:rPr>
          <w:spacing w:val="-1"/>
          <w:sz w:val="24"/>
        </w:rPr>
        <w:t xml:space="preserve"> </w:t>
      </w:r>
      <w:r>
        <w:rPr>
          <w:spacing w:val="-2"/>
          <w:sz w:val="24"/>
        </w:rPr>
        <w:t>mechanisms.</w:t>
      </w:r>
    </w:p>
    <w:p w:rsidR="00487D64" w:rsidRDefault="006F0D93">
      <w:pPr>
        <w:spacing w:before="40" w:line="276" w:lineRule="auto"/>
        <w:ind w:left="57" w:right="342"/>
        <w:jc w:val="both"/>
        <w:rPr>
          <w:sz w:val="24"/>
        </w:rPr>
      </w:pPr>
      <w:r>
        <w:rPr>
          <w:sz w:val="24"/>
        </w:rPr>
        <w:t>Taken</w:t>
      </w:r>
      <w:r>
        <w:rPr>
          <w:spacing w:val="-8"/>
          <w:sz w:val="24"/>
        </w:rPr>
        <w:t xml:space="preserve"> </w:t>
      </w:r>
      <w:r>
        <w:rPr>
          <w:sz w:val="24"/>
        </w:rPr>
        <w:t>together,</w:t>
      </w:r>
      <w:r>
        <w:rPr>
          <w:spacing w:val="-9"/>
          <w:sz w:val="24"/>
        </w:rPr>
        <w:t xml:space="preserve"> </w:t>
      </w:r>
      <w:r>
        <w:rPr>
          <w:sz w:val="24"/>
        </w:rPr>
        <w:t>the</w:t>
      </w:r>
      <w:r>
        <w:rPr>
          <w:spacing w:val="-9"/>
          <w:sz w:val="24"/>
        </w:rPr>
        <w:t xml:space="preserve"> </w:t>
      </w:r>
      <w:r>
        <w:rPr>
          <w:sz w:val="24"/>
        </w:rPr>
        <w:t>literature</w:t>
      </w:r>
      <w:r>
        <w:rPr>
          <w:spacing w:val="-9"/>
          <w:sz w:val="24"/>
        </w:rPr>
        <w:t xml:space="preserve"> </w:t>
      </w:r>
      <w:r>
        <w:rPr>
          <w:sz w:val="24"/>
        </w:rPr>
        <w:t>positions</w:t>
      </w:r>
      <w:r>
        <w:rPr>
          <w:spacing w:val="-8"/>
          <w:sz w:val="24"/>
        </w:rPr>
        <w:t xml:space="preserve"> </w:t>
      </w:r>
      <w:r>
        <w:rPr>
          <w:sz w:val="24"/>
        </w:rPr>
        <w:t>strategic</w:t>
      </w:r>
      <w:r>
        <w:rPr>
          <w:spacing w:val="-9"/>
          <w:sz w:val="24"/>
        </w:rPr>
        <w:t xml:space="preserve"> </w:t>
      </w:r>
      <w:r>
        <w:rPr>
          <w:sz w:val="24"/>
        </w:rPr>
        <w:t>flexibility</w:t>
      </w:r>
      <w:r>
        <w:rPr>
          <w:spacing w:val="-8"/>
          <w:sz w:val="24"/>
        </w:rPr>
        <w:t xml:space="preserve"> </w:t>
      </w:r>
      <w:r>
        <w:rPr>
          <w:sz w:val="24"/>
        </w:rPr>
        <w:t>as</w:t>
      </w:r>
      <w:r>
        <w:rPr>
          <w:spacing w:val="-8"/>
          <w:sz w:val="24"/>
        </w:rPr>
        <w:t xml:space="preserve"> </w:t>
      </w:r>
      <w:r>
        <w:rPr>
          <w:sz w:val="24"/>
        </w:rPr>
        <w:t>a</w:t>
      </w:r>
      <w:r>
        <w:rPr>
          <w:spacing w:val="-9"/>
          <w:sz w:val="24"/>
        </w:rPr>
        <w:t xml:space="preserve"> </w:t>
      </w:r>
      <w:r>
        <w:rPr>
          <w:sz w:val="24"/>
        </w:rPr>
        <w:t>crucial</w:t>
      </w:r>
      <w:r>
        <w:rPr>
          <w:spacing w:val="-8"/>
          <w:sz w:val="24"/>
        </w:rPr>
        <w:t xml:space="preserve"> </w:t>
      </w:r>
      <w:r>
        <w:rPr>
          <w:sz w:val="24"/>
        </w:rPr>
        <w:t>capability</w:t>
      </w:r>
      <w:r>
        <w:rPr>
          <w:spacing w:val="-8"/>
          <w:sz w:val="24"/>
        </w:rPr>
        <w:t xml:space="preserve"> </w:t>
      </w:r>
      <w:r>
        <w:rPr>
          <w:sz w:val="24"/>
        </w:rPr>
        <w:t>that</w:t>
      </w:r>
      <w:r>
        <w:rPr>
          <w:spacing w:val="-8"/>
          <w:sz w:val="24"/>
        </w:rPr>
        <w:t xml:space="preserve"> </w:t>
      </w:r>
      <w:r>
        <w:rPr>
          <w:sz w:val="24"/>
        </w:rPr>
        <w:t>amplifies</w:t>
      </w:r>
      <w:r>
        <w:rPr>
          <w:spacing w:val="-8"/>
          <w:sz w:val="24"/>
        </w:rPr>
        <w:t xml:space="preserve"> </w:t>
      </w:r>
      <w:r>
        <w:rPr>
          <w:sz w:val="24"/>
        </w:rPr>
        <w:t>the</w:t>
      </w:r>
      <w:r>
        <w:rPr>
          <w:spacing w:val="-9"/>
          <w:sz w:val="24"/>
        </w:rPr>
        <w:t xml:space="preserve"> </w:t>
      </w:r>
      <w:r>
        <w:rPr>
          <w:sz w:val="24"/>
        </w:rPr>
        <w:t>effects of</w:t>
      </w:r>
      <w:r>
        <w:rPr>
          <w:spacing w:val="-2"/>
          <w:sz w:val="24"/>
        </w:rPr>
        <w:t xml:space="preserve"> </w:t>
      </w:r>
      <w:r>
        <w:rPr>
          <w:sz w:val="24"/>
        </w:rPr>
        <w:t>customer</w:t>
      </w:r>
      <w:r>
        <w:rPr>
          <w:spacing w:val="-2"/>
          <w:sz w:val="24"/>
        </w:rPr>
        <w:t xml:space="preserve"> </w:t>
      </w:r>
      <w:r>
        <w:rPr>
          <w:sz w:val="24"/>
        </w:rPr>
        <w:t>and</w:t>
      </w:r>
      <w:r>
        <w:rPr>
          <w:spacing w:val="-1"/>
          <w:sz w:val="24"/>
        </w:rPr>
        <w:t xml:space="preserve"> </w:t>
      </w:r>
      <w:r>
        <w:rPr>
          <w:sz w:val="24"/>
        </w:rPr>
        <w:t>competitor</w:t>
      </w:r>
      <w:r>
        <w:rPr>
          <w:spacing w:val="-2"/>
          <w:sz w:val="24"/>
        </w:rPr>
        <w:t xml:space="preserve"> </w:t>
      </w:r>
      <w:r>
        <w:rPr>
          <w:sz w:val="24"/>
        </w:rPr>
        <w:t>orientation</w:t>
      </w:r>
      <w:r>
        <w:rPr>
          <w:spacing w:val="-1"/>
          <w:sz w:val="24"/>
        </w:rPr>
        <w:t xml:space="preserve"> </w:t>
      </w:r>
      <w:r>
        <w:rPr>
          <w:sz w:val="24"/>
        </w:rPr>
        <w:t>on</w:t>
      </w:r>
      <w:r>
        <w:rPr>
          <w:spacing w:val="-1"/>
          <w:sz w:val="24"/>
        </w:rPr>
        <w:t xml:space="preserve"> </w:t>
      </w:r>
      <w:r>
        <w:rPr>
          <w:sz w:val="24"/>
        </w:rPr>
        <w:t>sustainable</w:t>
      </w:r>
      <w:r>
        <w:rPr>
          <w:spacing w:val="-2"/>
          <w:sz w:val="24"/>
        </w:rPr>
        <w:t xml:space="preserve"> </w:t>
      </w:r>
      <w:r>
        <w:rPr>
          <w:sz w:val="24"/>
        </w:rPr>
        <w:t>competitivene</w:t>
      </w:r>
      <w:r>
        <w:rPr>
          <w:sz w:val="24"/>
        </w:rPr>
        <w:t>ss. It</w:t>
      </w:r>
      <w:r>
        <w:rPr>
          <w:spacing w:val="-1"/>
          <w:sz w:val="24"/>
        </w:rPr>
        <w:t xml:space="preserve"> </w:t>
      </w:r>
      <w:r>
        <w:rPr>
          <w:sz w:val="24"/>
        </w:rPr>
        <w:t>enables</w:t>
      </w:r>
      <w:r>
        <w:rPr>
          <w:spacing w:val="-2"/>
          <w:sz w:val="24"/>
        </w:rPr>
        <w:t xml:space="preserve"> </w:t>
      </w:r>
      <w:r>
        <w:rPr>
          <w:sz w:val="24"/>
        </w:rPr>
        <w:t>special</w:t>
      </w:r>
      <w:r>
        <w:rPr>
          <w:spacing w:val="-1"/>
          <w:sz w:val="24"/>
        </w:rPr>
        <w:t xml:space="preserve"> </w:t>
      </w:r>
      <w:r>
        <w:rPr>
          <w:sz w:val="24"/>
        </w:rPr>
        <w:t>group</w:t>
      </w:r>
      <w:r>
        <w:rPr>
          <w:spacing w:val="-2"/>
          <w:sz w:val="24"/>
        </w:rPr>
        <w:t xml:space="preserve"> </w:t>
      </w:r>
      <w:r>
        <w:rPr>
          <w:sz w:val="24"/>
        </w:rPr>
        <w:t>SMEs</w:t>
      </w:r>
      <w:r>
        <w:rPr>
          <w:spacing w:val="-1"/>
          <w:sz w:val="24"/>
        </w:rPr>
        <w:t xml:space="preserve"> </w:t>
      </w:r>
      <w:r>
        <w:rPr>
          <w:sz w:val="24"/>
        </w:rPr>
        <w:t>in public procurement to navigate regulatory complexity, improve responsiveness, and sustain long-term strategic performance. Accordingly, the following hypotheses are proposed:</w:t>
      </w:r>
    </w:p>
    <w:p w:rsidR="00487D64" w:rsidRDefault="006F0D93">
      <w:pPr>
        <w:spacing w:before="1" w:line="276" w:lineRule="auto"/>
        <w:ind w:left="57" w:right="346"/>
        <w:jc w:val="both"/>
        <w:rPr>
          <w:sz w:val="24"/>
        </w:rPr>
      </w:pPr>
      <w:r>
        <w:rPr>
          <w:b/>
          <w:sz w:val="24"/>
        </w:rPr>
        <w:t xml:space="preserve">H3: </w:t>
      </w:r>
      <w:r>
        <w:rPr>
          <w:sz w:val="24"/>
        </w:rPr>
        <w:t xml:space="preserve">Strategic flexibility moderates the relationship between customer orientation and the sustainable </w:t>
      </w:r>
      <w:r>
        <w:rPr>
          <w:spacing w:val="-2"/>
          <w:sz w:val="24"/>
        </w:rPr>
        <w:t>competitiveness.</w:t>
      </w:r>
    </w:p>
    <w:p w:rsidR="00487D64" w:rsidRDefault="006F0D93">
      <w:pPr>
        <w:spacing w:before="1" w:line="276" w:lineRule="auto"/>
        <w:ind w:left="57" w:right="348"/>
        <w:jc w:val="both"/>
        <w:rPr>
          <w:sz w:val="24"/>
        </w:rPr>
      </w:pPr>
      <w:r>
        <w:rPr>
          <w:b/>
          <w:sz w:val="24"/>
        </w:rPr>
        <w:t xml:space="preserve">H4: </w:t>
      </w:r>
      <w:r>
        <w:rPr>
          <w:sz w:val="24"/>
        </w:rPr>
        <w:t xml:space="preserve">Strategic flexibility moderates the relationship between competitor orientation and the sustainable </w:t>
      </w:r>
      <w:r>
        <w:rPr>
          <w:spacing w:val="-2"/>
          <w:sz w:val="24"/>
        </w:rPr>
        <w:t>competitiveness.</w:t>
      </w:r>
    </w:p>
    <w:p w:rsidR="00487D64" w:rsidRDefault="006F0D93">
      <w:pPr>
        <w:spacing w:line="275" w:lineRule="exact"/>
        <w:ind w:left="57"/>
        <w:jc w:val="both"/>
        <w:rPr>
          <w:b/>
          <w:sz w:val="24"/>
        </w:rPr>
      </w:pPr>
      <w:r>
        <w:rPr>
          <w:b/>
          <w:sz w:val="24"/>
        </w:rPr>
        <w:t>Conceptual</w:t>
      </w:r>
      <w:r>
        <w:rPr>
          <w:b/>
          <w:spacing w:val="-2"/>
          <w:sz w:val="24"/>
        </w:rPr>
        <w:t xml:space="preserve"> framework</w:t>
      </w:r>
    </w:p>
    <w:p w:rsidR="00487D64" w:rsidRDefault="006F0D93">
      <w:pPr>
        <w:spacing w:before="41" w:line="276" w:lineRule="auto"/>
        <w:ind w:left="57" w:right="348"/>
        <w:jc w:val="both"/>
        <w:rPr>
          <w:sz w:val="24"/>
        </w:rPr>
      </w:pPr>
      <w:r>
        <w:rPr>
          <w:sz w:val="24"/>
        </w:rPr>
        <w:t>This study's conceptual framework depicts the relationships between CU and CO with SC, highlighting SF</w:t>
      </w:r>
      <w:r>
        <w:rPr>
          <w:spacing w:val="-3"/>
          <w:sz w:val="24"/>
        </w:rPr>
        <w:t xml:space="preserve"> </w:t>
      </w:r>
      <w:r>
        <w:rPr>
          <w:sz w:val="24"/>
        </w:rPr>
        <w:t>as</w:t>
      </w:r>
      <w:r>
        <w:rPr>
          <w:spacing w:val="-1"/>
          <w:sz w:val="24"/>
        </w:rPr>
        <w:t xml:space="preserve"> </w:t>
      </w:r>
      <w:r>
        <w:rPr>
          <w:sz w:val="24"/>
        </w:rPr>
        <w:t>a</w:t>
      </w:r>
      <w:r>
        <w:rPr>
          <w:spacing w:val="-2"/>
          <w:sz w:val="24"/>
        </w:rPr>
        <w:t xml:space="preserve"> </w:t>
      </w:r>
      <w:r>
        <w:rPr>
          <w:sz w:val="24"/>
        </w:rPr>
        <w:t>moderating</w:t>
      </w:r>
      <w:r>
        <w:rPr>
          <w:spacing w:val="-1"/>
          <w:sz w:val="24"/>
        </w:rPr>
        <w:t xml:space="preserve"> </w:t>
      </w:r>
      <w:r>
        <w:rPr>
          <w:sz w:val="24"/>
        </w:rPr>
        <w:t>variable</w:t>
      </w:r>
      <w:r>
        <w:rPr>
          <w:spacing w:val="-2"/>
          <w:sz w:val="24"/>
        </w:rPr>
        <w:t xml:space="preserve"> </w:t>
      </w:r>
      <w:r>
        <w:rPr>
          <w:sz w:val="24"/>
        </w:rPr>
        <w:t>that</w:t>
      </w:r>
      <w:r>
        <w:rPr>
          <w:spacing w:val="-1"/>
          <w:sz w:val="24"/>
        </w:rPr>
        <w:t xml:space="preserve"> </w:t>
      </w:r>
      <w:r>
        <w:rPr>
          <w:sz w:val="24"/>
        </w:rPr>
        <w:t>influences</w:t>
      </w:r>
      <w:r>
        <w:rPr>
          <w:spacing w:val="-1"/>
          <w:sz w:val="24"/>
        </w:rPr>
        <w:t xml:space="preserve"> </w:t>
      </w:r>
      <w:r>
        <w:rPr>
          <w:sz w:val="24"/>
        </w:rPr>
        <w:t>the</w:t>
      </w:r>
      <w:r>
        <w:rPr>
          <w:spacing w:val="-2"/>
          <w:sz w:val="24"/>
        </w:rPr>
        <w:t xml:space="preserve"> </w:t>
      </w:r>
      <w:r>
        <w:rPr>
          <w:sz w:val="24"/>
        </w:rPr>
        <w:t>strength</w:t>
      </w:r>
      <w:r>
        <w:rPr>
          <w:spacing w:val="-1"/>
          <w:sz w:val="24"/>
        </w:rPr>
        <w:t xml:space="preserve"> </w:t>
      </w:r>
      <w:r>
        <w:rPr>
          <w:sz w:val="24"/>
        </w:rPr>
        <w:t>and</w:t>
      </w:r>
      <w:r>
        <w:rPr>
          <w:spacing w:val="-1"/>
          <w:sz w:val="24"/>
        </w:rPr>
        <w:t xml:space="preserve"> </w:t>
      </w:r>
      <w:r>
        <w:rPr>
          <w:sz w:val="24"/>
        </w:rPr>
        <w:t>direction</w:t>
      </w:r>
      <w:r>
        <w:rPr>
          <w:spacing w:val="-1"/>
          <w:sz w:val="24"/>
        </w:rPr>
        <w:t xml:space="preserve"> </w:t>
      </w:r>
      <w:r>
        <w:rPr>
          <w:sz w:val="24"/>
        </w:rPr>
        <w:t>of</w:t>
      </w:r>
      <w:r>
        <w:rPr>
          <w:spacing w:val="-2"/>
          <w:sz w:val="24"/>
        </w:rPr>
        <w:t xml:space="preserve"> </w:t>
      </w:r>
      <w:r>
        <w:rPr>
          <w:sz w:val="24"/>
        </w:rPr>
        <w:t>these</w:t>
      </w:r>
      <w:r>
        <w:rPr>
          <w:spacing w:val="-2"/>
          <w:sz w:val="24"/>
        </w:rPr>
        <w:t xml:space="preserve"> </w:t>
      </w:r>
      <w:r>
        <w:rPr>
          <w:sz w:val="24"/>
        </w:rPr>
        <w:t>relationships.</w:t>
      </w:r>
      <w:r>
        <w:rPr>
          <w:spacing w:val="-1"/>
          <w:sz w:val="24"/>
        </w:rPr>
        <w:t xml:space="preserve"> </w:t>
      </w:r>
      <w:r>
        <w:rPr>
          <w:sz w:val="24"/>
        </w:rPr>
        <w:t>As</w:t>
      </w:r>
      <w:r>
        <w:rPr>
          <w:spacing w:val="-2"/>
          <w:sz w:val="24"/>
        </w:rPr>
        <w:t xml:space="preserve"> </w:t>
      </w:r>
      <w:r>
        <w:rPr>
          <w:sz w:val="24"/>
        </w:rPr>
        <w:t>shown</w:t>
      </w:r>
      <w:r>
        <w:rPr>
          <w:spacing w:val="-2"/>
          <w:sz w:val="24"/>
        </w:rPr>
        <w:t xml:space="preserve"> </w:t>
      </w:r>
      <w:r>
        <w:rPr>
          <w:sz w:val="24"/>
        </w:rPr>
        <w:t>in Figure 1</w:t>
      </w:r>
    </w:p>
    <w:p w:rsidR="00487D64" w:rsidRDefault="006F0D93">
      <w:pPr>
        <w:pStyle w:val="BodyText"/>
        <w:spacing w:before="64"/>
        <w:rPr>
          <w:sz w:val="20"/>
        </w:rPr>
      </w:pPr>
      <w:r>
        <w:rPr>
          <w:noProof/>
          <w:sz w:val="20"/>
        </w:rPr>
        <w:drawing>
          <wp:anchor distT="0" distB="0" distL="0" distR="0" simplePos="0" relativeHeight="487595008" behindDoc="1" locked="0" layoutInCell="1" allowOverlap="1">
            <wp:simplePos x="0" y="0"/>
            <wp:positionH relativeFrom="page">
              <wp:posOffset>863917</wp:posOffset>
            </wp:positionH>
            <wp:positionV relativeFrom="paragraph">
              <wp:posOffset>202494</wp:posOffset>
            </wp:positionV>
            <wp:extent cx="5856080" cy="2150268"/>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5" cstate="print"/>
                    <a:stretch>
                      <a:fillRect/>
                    </a:stretch>
                  </pic:blipFill>
                  <pic:spPr>
                    <a:xfrm>
                      <a:off x="0" y="0"/>
                      <a:ext cx="5856080" cy="2150268"/>
                    </a:xfrm>
                    <a:prstGeom prst="rect">
                      <a:avLst/>
                    </a:prstGeom>
                  </pic:spPr>
                </pic:pic>
              </a:graphicData>
            </a:graphic>
          </wp:anchor>
        </w:drawing>
      </w:r>
    </w:p>
    <w:p w:rsidR="00487D64" w:rsidRDefault="006F0D93">
      <w:pPr>
        <w:spacing w:before="28"/>
        <w:ind w:left="69" w:right="355"/>
        <w:jc w:val="center"/>
        <w:rPr>
          <w:b/>
          <w:sz w:val="24"/>
        </w:rPr>
      </w:pPr>
      <w:r>
        <w:rPr>
          <w:b/>
          <w:sz w:val="24"/>
        </w:rPr>
        <w:t>Fig.</w:t>
      </w:r>
      <w:r>
        <w:rPr>
          <w:b/>
          <w:spacing w:val="-1"/>
          <w:sz w:val="24"/>
        </w:rPr>
        <w:t xml:space="preserve"> </w:t>
      </w:r>
      <w:r>
        <w:rPr>
          <w:b/>
          <w:sz w:val="24"/>
        </w:rPr>
        <w:t>1: A</w:t>
      </w:r>
      <w:r>
        <w:rPr>
          <w:b/>
          <w:spacing w:val="-2"/>
          <w:sz w:val="24"/>
        </w:rPr>
        <w:t xml:space="preserve"> </w:t>
      </w:r>
      <w:r>
        <w:rPr>
          <w:b/>
          <w:sz w:val="24"/>
        </w:rPr>
        <w:t xml:space="preserve">Conceptual </w:t>
      </w:r>
      <w:r>
        <w:rPr>
          <w:b/>
          <w:spacing w:val="-2"/>
          <w:sz w:val="24"/>
        </w:rPr>
        <w:t>Framework</w:t>
      </w:r>
    </w:p>
    <w:p w:rsidR="00487D64" w:rsidRDefault="00487D64">
      <w:pPr>
        <w:pStyle w:val="BodyText"/>
        <w:spacing w:before="82"/>
        <w:rPr>
          <w:b/>
          <w:sz w:val="24"/>
        </w:rPr>
      </w:pPr>
    </w:p>
    <w:p w:rsidR="00487D64" w:rsidRDefault="006F0D93">
      <w:pPr>
        <w:pStyle w:val="ListParagraph"/>
        <w:numPr>
          <w:ilvl w:val="0"/>
          <w:numId w:val="4"/>
        </w:numPr>
        <w:tabs>
          <w:tab w:val="left" w:pos="458"/>
        </w:tabs>
        <w:ind w:left="458" w:hanging="401"/>
        <w:rPr>
          <w:b/>
          <w:sz w:val="24"/>
        </w:rPr>
      </w:pPr>
      <w:r>
        <w:rPr>
          <w:b/>
          <w:spacing w:val="-2"/>
          <w:sz w:val="24"/>
        </w:rPr>
        <w:t>METHODOLOGY</w:t>
      </w:r>
    </w:p>
    <w:p w:rsidR="00487D64" w:rsidRDefault="006F0D93">
      <w:pPr>
        <w:spacing w:before="43"/>
        <w:ind w:left="57"/>
        <w:jc w:val="both"/>
        <w:rPr>
          <w:b/>
          <w:sz w:val="24"/>
        </w:rPr>
      </w:pPr>
      <w:r>
        <w:rPr>
          <w:b/>
          <w:sz w:val="24"/>
        </w:rPr>
        <w:t>Research</w:t>
      </w:r>
      <w:r>
        <w:rPr>
          <w:b/>
          <w:spacing w:val="-4"/>
          <w:sz w:val="24"/>
        </w:rPr>
        <w:t xml:space="preserve"> </w:t>
      </w:r>
      <w:r>
        <w:rPr>
          <w:b/>
          <w:sz w:val="24"/>
        </w:rPr>
        <w:t>Philosophy,</w:t>
      </w:r>
      <w:r>
        <w:rPr>
          <w:b/>
          <w:spacing w:val="-3"/>
          <w:sz w:val="24"/>
        </w:rPr>
        <w:t xml:space="preserve"> </w:t>
      </w:r>
      <w:r>
        <w:rPr>
          <w:b/>
          <w:sz w:val="24"/>
        </w:rPr>
        <w:t>Design,</w:t>
      </w:r>
      <w:r>
        <w:rPr>
          <w:b/>
          <w:spacing w:val="-4"/>
          <w:sz w:val="24"/>
        </w:rPr>
        <w:t xml:space="preserve"> </w:t>
      </w:r>
      <w:r>
        <w:rPr>
          <w:b/>
          <w:sz w:val="24"/>
        </w:rPr>
        <w:t>and</w:t>
      </w:r>
      <w:r>
        <w:rPr>
          <w:b/>
          <w:spacing w:val="-3"/>
          <w:sz w:val="24"/>
        </w:rPr>
        <w:t xml:space="preserve"> </w:t>
      </w:r>
      <w:r>
        <w:rPr>
          <w:b/>
          <w:spacing w:val="-2"/>
          <w:sz w:val="24"/>
        </w:rPr>
        <w:t>Approach</w:t>
      </w:r>
    </w:p>
    <w:p w:rsidR="00487D64" w:rsidRDefault="006F0D93">
      <w:pPr>
        <w:spacing w:before="41" w:line="276" w:lineRule="auto"/>
        <w:ind w:left="57" w:right="338"/>
        <w:jc w:val="both"/>
        <w:rPr>
          <w:sz w:val="24"/>
        </w:rPr>
      </w:pPr>
      <w:r>
        <w:rPr>
          <w:sz w:val="24"/>
        </w:rPr>
        <w:t>This</w:t>
      </w:r>
      <w:r>
        <w:rPr>
          <w:spacing w:val="-15"/>
          <w:sz w:val="24"/>
        </w:rPr>
        <w:t xml:space="preserve"> </w:t>
      </w:r>
      <w:r>
        <w:rPr>
          <w:sz w:val="24"/>
        </w:rPr>
        <w:t>study</w:t>
      </w:r>
      <w:r>
        <w:rPr>
          <w:spacing w:val="-15"/>
          <w:sz w:val="24"/>
        </w:rPr>
        <w:t xml:space="preserve"> </w:t>
      </w:r>
      <w:r>
        <w:rPr>
          <w:sz w:val="24"/>
        </w:rPr>
        <w:t>adopted</w:t>
      </w:r>
      <w:r>
        <w:rPr>
          <w:spacing w:val="-15"/>
          <w:sz w:val="24"/>
        </w:rPr>
        <w:t xml:space="preserve"> </w:t>
      </w:r>
      <w:r>
        <w:rPr>
          <w:sz w:val="24"/>
        </w:rPr>
        <w:t>a</w:t>
      </w:r>
      <w:r>
        <w:rPr>
          <w:spacing w:val="-15"/>
          <w:sz w:val="24"/>
        </w:rPr>
        <w:t xml:space="preserve"> </w:t>
      </w:r>
      <w:r>
        <w:rPr>
          <w:sz w:val="24"/>
        </w:rPr>
        <w:t>positivist</w:t>
      </w:r>
      <w:r>
        <w:rPr>
          <w:spacing w:val="-15"/>
          <w:sz w:val="24"/>
        </w:rPr>
        <w:t xml:space="preserve"> </w:t>
      </w:r>
      <w:r>
        <w:rPr>
          <w:sz w:val="24"/>
        </w:rPr>
        <w:t>research</w:t>
      </w:r>
      <w:r>
        <w:rPr>
          <w:spacing w:val="-15"/>
          <w:sz w:val="24"/>
        </w:rPr>
        <w:t xml:space="preserve"> </w:t>
      </w:r>
      <w:r>
        <w:rPr>
          <w:sz w:val="24"/>
        </w:rPr>
        <w:t>philosophy</w:t>
      </w:r>
      <w:r>
        <w:rPr>
          <w:spacing w:val="-15"/>
          <w:sz w:val="24"/>
        </w:rPr>
        <w:t xml:space="preserve"> </w:t>
      </w:r>
      <w:r>
        <w:rPr>
          <w:sz w:val="24"/>
        </w:rPr>
        <w:t>to</w:t>
      </w:r>
      <w:r>
        <w:rPr>
          <w:spacing w:val="-15"/>
          <w:sz w:val="24"/>
        </w:rPr>
        <w:t xml:space="preserve"> </w:t>
      </w:r>
      <w:r>
        <w:rPr>
          <w:sz w:val="24"/>
        </w:rPr>
        <w:t>investigate</w:t>
      </w:r>
      <w:r>
        <w:rPr>
          <w:spacing w:val="-15"/>
          <w:sz w:val="24"/>
        </w:rPr>
        <w:t xml:space="preserve"> </w:t>
      </w:r>
      <w:r>
        <w:rPr>
          <w:sz w:val="24"/>
        </w:rPr>
        <w:t>the</w:t>
      </w:r>
      <w:r>
        <w:rPr>
          <w:spacing w:val="-15"/>
          <w:sz w:val="24"/>
        </w:rPr>
        <w:t xml:space="preserve"> </w:t>
      </w:r>
      <w:r>
        <w:rPr>
          <w:sz w:val="24"/>
        </w:rPr>
        <w:t>influence</w:t>
      </w:r>
      <w:r>
        <w:rPr>
          <w:spacing w:val="-15"/>
          <w:sz w:val="24"/>
        </w:rPr>
        <w:t xml:space="preserve"> </w:t>
      </w:r>
      <w:r>
        <w:rPr>
          <w:sz w:val="24"/>
        </w:rPr>
        <w:t>of</w:t>
      </w:r>
      <w:r>
        <w:rPr>
          <w:spacing w:val="-15"/>
          <w:sz w:val="24"/>
        </w:rPr>
        <w:t xml:space="preserve"> </w:t>
      </w:r>
      <w:r>
        <w:rPr>
          <w:sz w:val="24"/>
        </w:rPr>
        <w:t>customer</w:t>
      </w:r>
      <w:r>
        <w:rPr>
          <w:spacing w:val="-15"/>
          <w:sz w:val="24"/>
        </w:rPr>
        <w:t xml:space="preserve"> </w:t>
      </w:r>
      <w:r>
        <w:rPr>
          <w:sz w:val="24"/>
        </w:rPr>
        <w:t>and</w:t>
      </w:r>
      <w:r>
        <w:rPr>
          <w:spacing w:val="-15"/>
          <w:sz w:val="24"/>
        </w:rPr>
        <w:t xml:space="preserve"> </w:t>
      </w:r>
      <w:r>
        <w:rPr>
          <w:sz w:val="24"/>
        </w:rPr>
        <w:t>competitor orientation</w:t>
      </w:r>
      <w:r>
        <w:rPr>
          <w:spacing w:val="-6"/>
          <w:sz w:val="24"/>
        </w:rPr>
        <w:t xml:space="preserve"> </w:t>
      </w:r>
      <w:r>
        <w:rPr>
          <w:sz w:val="24"/>
        </w:rPr>
        <w:t>on</w:t>
      </w:r>
      <w:r>
        <w:rPr>
          <w:spacing w:val="-6"/>
          <w:sz w:val="24"/>
        </w:rPr>
        <w:t xml:space="preserve"> </w:t>
      </w:r>
      <w:r>
        <w:rPr>
          <w:sz w:val="24"/>
        </w:rPr>
        <w:t>sustainable</w:t>
      </w:r>
      <w:r>
        <w:rPr>
          <w:spacing w:val="-7"/>
          <w:sz w:val="24"/>
        </w:rPr>
        <w:t xml:space="preserve"> </w:t>
      </w:r>
      <w:r>
        <w:rPr>
          <w:sz w:val="24"/>
        </w:rPr>
        <w:t>competitiveness,</w:t>
      </w:r>
      <w:r>
        <w:rPr>
          <w:spacing w:val="-6"/>
          <w:sz w:val="24"/>
        </w:rPr>
        <w:t xml:space="preserve"> </w:t>
      </w:r>
      <w:r>
        <w:rPr>
          <w:sz w:val="24"/>
        </w:rPr>
        <w:t>moderated</w:t>
      </w:r>
      <w:r>
        <w:rPr>
          <w:spacing w:val="-6"/>
          <w:sz w:val="24"/>
        </w:rPr>
        <w:t xml:space="preserve"> </w:t>
      </w:r>
      <w:r>
        <w:rPr>
          <w:sz w:val="24"/>
        </w:rPr>
        <w:t>by</w:t>
      </w:r>
      <w:r>
        <w:rPr>
          <w:spacing w:val="-6"/>
          <w:sz w:val="24"/>
        </w:rPr>
        <w:t xml:space="preserve"> </w:t>
      </w:r>
      <w:r>
        <w:rPr>
          <w:sz w:val="24"/>
        </w:rPr>
        <w:t>strategic</w:t>
      </w:r>
      <w:r>
        <w:rPr>
          <w:spacing w:val="-7"/>
          <w:sz w:val="24"/>
        </w:rPr>
        <w:t xml:space="preserve"> </w:t>
      </w:r>
      <w:r>
        <w:rPr>
          <w:sz w:val="24"/>
        </w:rPr>
        <w:t>flexibility.</w:t>
      </w:r>
      <w:r>
        <w:rPr>
          <w:spacing w:val="-6"/>
          <w:sz w:val="24"/>
        </w:rPr>
        <w:t xml:space="preserve"> </w:t>
      </w:r>
      <w:r>
        <w:rPr>
          <w:sz w:val="24"/>
        </w:rPr>
        <w:t>Consistent</w:t>
      </w:r>
      <w:r>
        <w:rPr>
          <w:spacing w:val="-8"/>
          <w:sz w:val="24"/>
        </w:rPr>
        <w:t xml:space="preserve"> </w:t>
      </w:r>
      <w:r>
        <w:rPr>
          <w:sz w:val="24"/>
        </w:rPr>
        <w:t>with</w:t>
      </w:r>
      <w:r>
        <w:rPr>
          <w:spacing w:val="-8"/>
          <w:sz w:val="24"/>
        </w:rPr>
        <w:t xml:space="preserve"> </w:t>
      </w:r>
      <w:r>
        <w:rPr>
          <w:sz w:val="24"/>
        </w:rPr>
        <w:t>this</w:t>
      </w:r>
      <w:r>
        <w:rPr>
          <w:spacing w:val="-6"/>
          <w:sz w:val="24"/>
        </w:rPr>
        <w:t xml:space="preserve"> </w:t>
      </w:r>
      <w:r>
        <w:rPr>
          <w:sz w:val="24"/>
        </w:rPr>
        <w:t>stance, a deductive research approach was employed, beginning with theory-driven hypotheses and followed by empirical testing through quantitative methods (Rahi, 2017). The study utilized an explanatory research design to examine causal relations</w:t>
      </w:r>
      <w:r>
        <w:rPr>
          <w:sz w:val="24"/>
        </w:rPr>
        <w:t>hips among variables and applied a survey strategy using structured, closed-ended questionnaires. Data were collected cross-sectionally and analyzed using Structural Equation Modeling (SEM) to assess both direct and moderated effects, ensuring the findings</w:t>
      </w:r>
      <w:r>
        <w:rPr>
          <w:sz w:val="24"/>
        </w:rPr>
        <w:t xml:space="preserve"> were statistically robust, generalizable, and aligned with the study’s theoretical framework.</w:t>
      </w:r>
    </w:p>
    <w:p w:rsidR="00487D64" w:rsidRDefault="006F0D93">
      <w:pPr>
        <w:spacing w:before="1"/>
        <w:ind w:left="57"/>
        <w:jc w:val="both"/>
        <w:rPr>
          <w:b/>
          <w:sz w:val="24"/>
        </w:rPr>
      </w:pPr>
      <w:r>
        <w:rPr>
          <w:b/>
          <w:sz w:val="24"/>
        </w:rPr>
        <w:t>Sampling</w:t>
      </w:r>
      <w:r>
        <w:rPr>
          <w:b/>
          <w:spacing w:val="-3"/>
          <w:sz w:val="24"/>
        </w:rPr>
        <w:t xml:space="preserve"> </w:t>
      </w:r>
      <w:r>
        <w:rPr>
          <w:b/>
          <w:sz w:val="24"/>
        </w:rPr>
        <w:t>techniques</w:t>
      </w:r>
      <w:r>
        <w:rPr>
          <w:b/>
          <w:spacing w:val="-3"/>
          <w:sz w:val="24"/>
        </w:rPr>
        <w:t xml:space="preserve"> </w:t>
      </w:r>
      <w:r>
        <w:rPr>
          <w:b/>
          <w:sz w:val="24"/>
        </w:rPr>
        <w:t>and</w:t>
      </w:r>
      <w:r>
        <w:rPr>
          <w:b/>
          <w:spacing w:val="-3"/>
          <w:sz w:val="24"/>
        </w:rPr>
        <w:t xml:space="preserve"> </w:t>
      </w:r>
      <w:r>
        <w:rPr>
          <w:b/>
          <w:sz w:val="24"/>
        </w:rPr>
        <w:t>sample</w:t>
      </w:r>
      <w:r>
        <w:rPr>
          <w:b/>
          <w:spacing w:val="-3"/>
          <w:sz w:val="24"/>
        </w:rPr>
        <w:t xml:space="preserve"> </w:t>
      </w:r>
      <w:r>
        <w:rPr>
          <w:b/>
          <w:spacing w:val="-4"/>
          <w:sz w:val="24"/>
        </w:rPr>
        <w:t>size</w:t>
      </w:r>
    </w:p>
    <w:p w:rsidR="00487D64" w:rsidRDefault="006F0D93">
      <w:pPr>
        <w:spacing w:before="41" w:line="276" w:lineRule="auto"/>
        <w:ind w:left="57" w:right="341"/>
        <w:jc w:val="both"/>
        <w:rPr>
          <w:sz w:val="24"/>
        </w:rPr>
      </w:pPr>
      <w:r>
        <w:rPr>
          <w:sz w:val="24"/>
        </w:rPr>
        <w:t>This study employed a census sampling technique, targeting all 503 Special Group SMEs officially registered by the Public Pro</w:t>
      </w:r>
      <w:r>
        <w:rPr>
          <w:sz w:val="24"/>
        </w:rPr>
        <w:t>curement Regulatory Authority (PPRA) as of January 2025. These SMEs owned by women, youth, and persons with disabilities were considered as eligible participants in Tanzania’s</w:t>
      </w:r>
      <w:r>
        <w:rPr>
          <w:spacing w:val="-5"/>
          <w:sz w:val="24"/>
        </w:rPr>
        <w:t xml:space="preserve"> </w:t>
      </w:r>
      <w:r>
        <w:rPr>
          <w:sz w:val="24"/>
        </w:rPr>
        <w:t>public</w:t>
      </w:r>
      <w:r>
        <w:rPr>
          <w:spacing w:val="-4"/>
          <w:sz w:val="24"/>
        </w:rPr>
        <w:t xml:space="preserve"> </w:t>
      </w:r>
      <w:r>
        <w:rPr>
          <w:sz w:val="24"/>
        </w:rPr>
        <w:t>procurement</w:t>
      </w:r>
      <w:r>
        <w:rPr>
          <w:spacing w:val="-5"/>
          <w:sz w:val="24"/>
        </w:rPr>
        <w:t xml:space="preserve"> </w:t>
      </w:r>
      <w:r>
        <w:rPr>
          <w:sz w:val="24"/>
        </w:rPr>
        <w:t>system.</w:t>
      </w:r>
      <w:r>
        <w:rPr>
          <w:spacing w:val="-4"/>
          <w:sz w:val="24"/>
        </w:rPr>
        <w:t xml:space="preserve"> </w:t>
      </w:r>
      <w:r>
        <w:rPr>
          <w:sz w:val="24"/>
        </w:rPr>
        <w:t>The</w:t>
      </w:r>
      <w:r>
        <w:rPr>
          <w:spacing w:val="-6"/>
          <w:sz w:val="24"/>
        </w:rPr>
        <w:t xml:space="preserve"> </w:t>
      </w:r>
      <w:r>
        <w:rPr>
          <w:sz w:val="24"/>
        </w:rPr>
        <w:t>use</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census</w:t>
      </w:r>
      <w:r>
        <w:rPr>
          <w:spacing w:val="-3"/>
          <w:sz w:val="24"/>
        </w:rPr>
        <w:t xml:space="preserve"> </w:t>
      </w:r>
      <w:r>
        <w:rPr>
          <w:sz w:val="24"/>
        </w:rPr>
        <w:t>was</w:t>
      </w:r>
      <w:r>
        <w:rPr>
          <w:spacing w:val="-5"/>
          <w:sz w:val="24"/>
        </w:rPr>
        <w:t xml:space="preserve"> </w:t>
      </w:r>
      <w:r>
        <w:rPr>
          <w:sz w:val="24"/>
        </w:rPr>
        <w:t>justified</w:t>
      </w:r>
      <w:r>
        <w:rPr>
          <w:spacing w:val="-3"/>
          <w:sz w:val="24"/>
        </w:rPr>
        <w:t xml:space="preserve"> </w:t>
      </w:r>
      <w:r>
        <w:rPr>
          <w:sz w:val="24"/>
        </w:rPr>
        <w:t>by</w:t>
      </w:r>
      <w:r>
        <w:rPr>
          <w:spacing w:val="-3"/>
          <w:sz w:val="24"/>
        </w:rPr>
        <w:t xml:space="preserve"> </w:t>
      </w:r>
      <w:r>
        <w:rPr>
          <w:sz w:val="24"/>
        </w:rPr>
        <w:t>the</w:t>
      </w:r>
      <w:r>
        <w:rPr>
          <w:spacing w:val="-5"/>
          <w:sz w:val="24"/>
        </w:rPr>
        <w:t xml:space="preserve"> </w:t>
      </w:r>
      <w:r>
        <w:rPr>
          <w:sz w:val="24"/>
        </w:rPr>
        <w:t>population’s</w:t>
      </w:r>
      <w:r>
        <w:rPr>
          <w:spacing w:val="-3"/>
          <w:sz w:val="24"/>
        </w:rPr>
        <w:t xml:space="preserve"> </w:t>
      </w:r>
      <w:r>
        <w:rPr>
          <w:sz w:val="24"/>
        </w:rPr>
        <w:t>manageable size,</w:t>
      </w:r>
      <w:r>
        <w:rPr>
          <w:spacing w:val="-16"/>
          <w:sz w:val="24"/>
        </w:rPr>
        <w:t xml:space="preserve"> </w:t>
      </w:r>
      <w:r>
        <w:rPr>
          <w:sz w:val="24"/>
        </w:rPr>
        <w:t>accessibility,</w:t>
      </w:r>
      <w:r>
        <w:rPr>
          <w:spacing w:val="-15"/>
          <w:sz w:val="24"/>
        </w:rPr>
        <w:t xml:space="preserve"> </w:t>
      </w:r>
      <w:r>
        <w:rPr>
          <w:sz w:val="24"/>
        </w:rPr>
        <w:t>and</w:t>
      </w:r>
      <w:r>
        <w:rPr>
          <w:spacing w:val="-14"/>
          <w:sz w:val="24"/>
        </w:rPr>
        <w:t xml:space="preserve"> </w:t>
      </w:r>
      <w:r>
        <w:rPr>
          <w:sz w:val="24"/>
        </w:rPr>
        <w:t>direct</w:t>
      </w:r>
      <w:r>
        <w:rPr>
          <w:spacing w:val="-14"/>
          <w:sz w:val="24"/>
        </w:rPr>
        <w:t xml:space="preserve"> </w:t>
      </w:r>
      <w:r>
        <w:rPr>
          <w:sz w:val="24"/>
        </w:rPr>
        <w:t>relevance</w:t>
      </w:r>
      <w:r>
        <w:rPr>
          <w:spacing w:val="-14"/>
          <w:sz w:val="24"/>
        </w:rPr>
        <w:t xml:space="preserve"> </w:t>
      </w:r>
      <w:r>
        <w:rPr>
          <w:sz w:val="24"/>
        </w:rPr>
        <w:t>to</w:t>
      </w:r>
      <w:r>
        <w:rPr>
          <w:spacing w:val="-14"/>
          <w:sz w:val="24"/>
        </w:rPr>
        <w:t xml:space="preserve"> </w:t>
      </w:r>
      <w:r>
        <w:rPr>
          <w:sz w:val="24"/>
        </w:rPr>
        <w:t>the</w:t>
      </w:r>
      <w:r>
        <w:rPr>
          <w:spacing w:val="-15"/>
          <w:sz w:val="24"/>
        </w:rPr>
        <w:t xml:space="preserve"> </w:t>
      </w:r>
      <w:r>
        <w:rPr>
          <w:sz w:val="24"/>
        </w:rPr>
        <w:t>research</w:t>
      </w:r>
      <w:r>
        <w:rPr>
          <w:spacing w:val="-14"/>
          <w:sz w:val="24"/>
        </w:rPr>
        <w:t xml:space="preserve"> </w:t>
      </w:r>
      <w:r>
        <w:rPr>
          <w:sz w:val="24"/>
        </w:rPr>
        <w:t>objectives.</w:t>
      </w:r>
      <w:r>
        <w:rPr>
          <w:spacing w:val="-13"/>
          <w:sz w:val="24"/>
        </w:rPr>
        <w:t xml:space="preserve"> </w:t>
      </w:r>
      <w:r>
        <w:rPr>
          <w:sz w:val="24"/>
        </w:rPr>
        <w:t>It</w:t>
      </w:r>
      <w:r>
        <w:rPr>
          <w:spacing w:val="-14"/>
          <w:sz w:val="24"/>
        </w:rPr>
        <w:t xml:space="preserve"> </w:t>
      </w:r>
      <w:r>
        <w:rPr>
          <w:sz w:val="24"/>
        </w:rPr>
        <w:t>ensured</w:t>
      </w:r>
      <w:r>
        <w:rPr>
          <w:spacing w:val="-14"/>
          <w:sz w:val="24"/>
        </w:rPr>
        <w:t xml:space="preserve"> </w:t>
      </w:r>
      <w:r>
        <w:rPr>
          <w:sz w:val="24"/>
        </w:rPr>
        <w:t>comprehensive</w:t>
      </w:r>
      <w:r>
        <w:rPr>
          <w:spacing w:val="-15"/>
          <w:sz w:val="24"/>
        </w:rPr>
        <w:t xml:space="preserve"> </w:t>
      </w:r>
      <w:r>
        <w:rPr>
          <w:sz w:val="24"/>
        </w:rPr>
        <w:t>data</w:t>
      </w:r>
      <w:r>
        <w:rPr>
          <w:spacing w:val="-14"/>
          <w:sz w:val="24"/>
        </w:rPr>
        <w:t xml:space="preserve"> </w:t>
      </w:r>
      <w:r>
        <w:rPr>
          <w:spacing w:val="-2"/>
          <w:sz w:val="24"/>
        </w:rPr>
        <w:t>coverage,</w:t>
      </w:r>
    </w:p>
    <w:p w:rsidR="00487D64" w:rsidRDefault="00487D64">
      <w:pPr>
        <w:spacing w:line="276" w:lineRule="auto"/>
        <w:jc w:val="both"/>
        <w:rPr>
          <w:sz w:val="24"/>
        </w:rPr>
        <w:sectPr w:rsidR="00487D64">
          <w:pgSz w:w="11910" w:h="16840"/>
          <w:pgMar w:top="1680" w:right="563" w:bottom="800" w:left="850" w:header="677" w:footer="608" w:gutter="0"/>
          <w:cols w:space="720"/>
        </w:sectPr>
      </w:pPr>
    </w:p>
    <w:p w:rsidR="00487D64" w:rsidRDefault="006F0D93">
      <w:pPr>
        <w:spacing w:before="254" w:line="276" w:lineRule="auto"/>
        <w:ind w:left="57" w:right="343"/>
        <w:jc w:val="both"/>
        <w:rPr>
          <w:sz w:val="24"/>
        </w:rPr>
      </w:pPr>
      <w:r>
        <w:rPr>
          <w:sz w:val="24"/>
        </w:rPr>
        <w:lastRenderedPageBreak/>
        <w:t>eliminated sampling error, and enhanced the generalizability and validity of the findings. The unit of analysis cons</w:t>
      </w:r>
      <w:r>
        <w:rPr>
          <w:sz w:val="24"/>
        </w:rPr>
        <w:t>isted of firm-level representatives, such as managers or group leaders, with data collected through a structured, cross-sectional survey.</w:t>
      </w:r>
    </w:p>
    <w:p w:rsidR="00487D64" w:rsidRDefault="006F0D93">
      <w:pPr>
        <w:ind w:left="57"/>
        <w:jc w:val="both"/>
        <w:rPr>
          <w:b/>
          <w:sz w:val="24"/>
        </w:rPr>
      </w:pPr>
      <w:r>
        <w:rPr>
          <w:b/>
          <w:sz w:val="24"/>
        </w:rPr>
        <w:t>Data</w:t>
      </w:r>
      <w:r>
        <w:rPr>
          <w:b/>
          <w:spacing w:val="-3"/>
          <w:sz w:val="24"/>
        </w:rPr>
        <w:t xml:space="preserve"> </w:t>
      </w:r>
      <w:r>
        <w:rPr>
          <w:b/>
          <w:sz w:val="24"/>
        </w:rPr>
        <w:t>collection,</w:t>
      </w:r>
      <w:r>
        <w:rPr>
          <w:b/>
          <w:spacing w:val="-2"/>
          <w:sz w:val="24"/>
        </w:rPr>
        <w:t xml:space="preserve"> </w:t>
      </w:r>
      <w:r>
        <w:rPr>
          <w:b/>
          <w:sz w:val="24"/>
        </w:rPr>
        <w:t>analysis,</w:t>
      </w:r>
      <w:r>
        <w:rPr>
          <w:b/>
          <w:spacing w:val="-3"/>
          <w:sz w:val="24"/>
        </w:rPr>
        <w:t xml:space="preserve"> </w:t>
      </w:r>
      <w:r>
        <w:rPr>
          <w:b/>
          <w:sz w:val="24"/>
        </w:rPr>
        <w:t>and</w:t>
      </w:r>
      <w:r>
        <w:rPr>
          <w:b/>
          <w:spacing w:val="-2"/>
          <w:sz w:val="24"/>
        </w:rPr>
        <w:t xml:space="preserve"> presentation</w:t>
      </w:r>
    </w:p>
    <w:p w:rsidR="00487D64" w:rsidRDefault="006F0D93">
      <w:pPr>
        <w:spacing w:before="41" w:line="276" w:lineRule="auto"/>
        <w:ind w:left="57" w:right="336"/>
        <w:jc w:val="both"/>
        <w:rPr>
          <w:sz w:val="24"/>
        </w:rPr>
      </w:pPr>
      <w:r>
        <w:rPr>
          <w:sz w:val="24"/>
        </w:rPr>
        <w:t>This study employed a self-administered, structured questionnaire as the p</w:t>
      </w:r>
      <w:r>
        <w:rPr>
          <w:sz w:val="24"/>
        </w:rPr>
        <w:t>rimary instrument for data collection, consistent with the quantitative cross-sectional survey design. The questionnaire consisted exclusively</w:t>
      </w:r>
      <w:r>
        <w:rPr>
          <w:spacing w:val="-15"/>
          <w:sz w:val="24"/>
        </w:rPr>
        <w:t xml:space="preserve"> </w:t>
      </w:r>
      <w:r>
        <w:rPr>
          <w:sz w:val="24"/>
        </w:rPr>
        <w:t>of</w:t>
      </w:r>
      <w:r>
        <w:rPr>
          <w:spacing w:val="-15"/>
          <w:sz w:val="24"/>
        </w:rPr>
        <w:t xml:space="preserve"> </w:t>
      </w:r>
      <w:r>
        <w:rPr>
          <w:sz w:val="24"/>
        </w:rPr>
        <w:t>closed-ended</w:t>
      </w:r>
      <w:r>
        <w:rPr>
          <w:spacing w:val="-14"/>
          <w:sz w:val="24"/>
        </w:rPr>
        <w:t xml:space="preserve"> </w:t>
      </w:r>
      <w:r>
        <w:rPr>
          <w:sz w:val="24"/>
        </w:rPr>
        <w:t>items</w:t>
      </w:r>
      <w:r>
        <w:rPr>
          <w:spacing w:val="-15"/>
          <w:sz w:val="24"/>
        </w:rPr>
        <w:t xml:space="preserve"> </w:t>
      </w:r>
      <w:r>
        <w:rPr>
          <w:sz w:val="24"/>
        </w:rPr>
        <w:t>measured</w:t>
      </w:r>
      <w:r>
        <w:rPr>
          <w:spacing w:val="-14"/>
          <w:sz w:val="24"/>
        </w:rPr>
        <w:t xml:space="preserve"> </w:t>
      </w:r>
      <w:r>
        <w:rPr>
          <w:sz w:val="24"/>
        </w:rPr>
        <w:t>on</w:t>
      </w:r>
      <w:r>
        <w:rPr>
          <w:spacing w:val="-15"/>
          <w:sz w:val="24"/>
        </w:rPr>
        <w:t xml:space="preserve"> </w:t>
      </w:r>
      <w:r>
        <w:rPr>
          <w:sz w:val="24"/>
        </w:rPr>
        <w:t>a</w:t>
      </w:r>
      <w:r>
        <w:rPr>
          <w:spacing w:val="-15"/>
          <w:sz w:val="24"/>
        </w:rPr>
        <w:t xml:space="preserve"> </w:t>
      </w:r>
      <w:r>
        <w:rPr>
          <w:sz w:val="24"/>
        </w:rPr>
        <w:t>five-point</w:t>
      </w:r>
      <w:r>
        <w:rPr>
          <w:spacing w:val="-14"/>
          <w:sz w:val="24"/>
        </w:rPr>
        <w:t xml:space="preserve"> </w:t>
      </w:r>
      <w:r>
        <w:rPr>
          <w:sz w:val="24"/>
        </w:rPr>
        <w:t>Likert</w:t>
      </w:r>
      <w:r>
        <w:rPr>
          <w:spacing w:val="-15"/>
          <w:sz w:val="24"/>
        </w:rPr>
        <w:t xml:space="preserve"> </w:t>
      </w:r>
      <w:r>
        <w:rPr>
          <w:sz w:val="24"/>
        </w:rPr>
        <w:t>scale</w:t>
      </w:r>
      <w:r>
        <w:rPr>
          <w:spacing w:val="-14"/>
          <w:sz w:val="24"/>
        </w:rPr>
        <w:t xml:space="preserve"> </w:t>
      </w:r>
      <w:r>
        <w:rPr>
          <w:sz w:val="24"/>
        </w:rPr>
        <w:t>ranging</w:t>
      </w:r>
      <w:r>
        <w:rPr>
          <w:spacing w:val="-15"/>
          <w:sz w:val="24"/>
        </w:rPr>
        <w:t xml:space="preserve"> </w:t>
      </w:r>
      <w:r>
        <w:rPr>
          <w:sz w:val="24"/>
        </w:rPr>
        <w:t>from</w:t>
      </w:r>
      <w:r>
        <w:rPr>
          <w:spacing w:val="-14"/>
          <w:sz w:val="24"/>
        </w:rPr>
        <w:t xml:space="preserve"> </w:t>
      </w:r>
      <w:r>
        <w:rPr>
          <w:sz w:val="24"/>
        </w:rPr>
        <w:t>1</w:t>
      </w:r>
      <w:r>
        <w:rPr>
          <w:spacing w:val="-15"/>
          <w:sz w:val="24"/>
        </w:rPr>
        <w:t xml:space="preserve"> </w:t>
      </w:r>
      <w:r>
        <w:rPr>
          <w:sz w:val="24"/>
        </w:rPr>
        <w:t>(strongly</w:t>
      </w:r>
      <w:r>
        <w:rPr>
          <w:spacing w:val="-14"/>
          <w:sz w:val="24"/>
        </w:rPr>
        <w:t xml:space="preserve"> </w:t>
      </w:r>
      <w:r>
        <w:rPr>
          <w:sz w:val="24"/>
        </w:rPr>
        <w:t>disagree) to 5 (strongly agree), a widely used approach for capturing perceptions in behavioral and management research (Bryman, 2016). The instrument was designed to reflect the study’s conceptual framework and was distributed to all 503 registered Specia</w:t>
      </w:r>
      <w:r>
        <w:rPr>
          <w:sz w:val="24"/>
        </w:rPr>
        <w:t>l Group SMEs through both physical and digital means to ensure comprehensive population coverage. Once collected, the quantitative data were coded and processed using Statistical Package for Social Sciences (SPSS) Version 23 for descriptive statistics, and</w:t>
      </w:r>
      <w:r>
        <w:rPr>
          <w:sz w:val="24"/>
        </w:rPr>
        <w:t xml:space="preserve"> SmartPLS 4 for inferential analysis using Partial Least Squares Structural Equation Modelling (PLS- SEM). This second-generation multivariate method was chosen due to its robustness in handling small sample</w:t>
      </w:r>
      <w:r>
        <w:rPr>
          <w:spacing w:val="-3"/>
          <w:sz w:val="24"/>
        </w:rPr>
        <w:t xml:space="preserve"> </w:t>
      </w:r>
      <w:r>
        <w:rPr>
          <w:sz w:val="24"/>
        </w:rPr>
        <w:t>sizes,</w:t>
      </w:r>
      <w:r>
        <w:rPr>
          <w:spacing w:val="-2"/>
          <w:sz w:val="24"/>
        </w:rPr>
        <w:t xml:space="preserve"> </w:t>
      </w:r>
      <w:r>
        <w:rPr>
          <w:sz w:val="24"/>
        </w:rPr>
        <w:t>its</w:t>
      </w:r>
      <w:r>
        <w:rPr>
          <w:spacing w:val="-3"/>
          <w:sz w:val="24"/>
        </w:rPr>
        <w:t xml:space="preserve"> </w:t>
      </w:r>
      <w:r>
        <w:rPr>
          <w:sz w:val="24"/>
        </w:rPr>
        <w:t>flexibility</w:t>
      </w:r>
      <w:r>
        <w:rPr>
          <w:spacing w:val="-2"/>
          <w:sz w:val="24"/>
        </w:rPr>
        <w:t xml:space="preserve"> </w:t>
      </w:r>
      <w:r>
        <w:rPr>
          <w:sz w:val="24"/>
        </w:rPr>
        <w:t>with</w:t>
      </w:r>
      <w:r>
        <w:rPr>
          <w:spacing w:val="-2"/>
          <w:sz w:val="24"/>
        </w:rPr>
        <w:t xml:space="preserve"> </w:t>
      </w:r>
      <w:r>
        <w:rPr>
          <w:sz w:val="24"/>
        </w:rPr>
        <w:t>non-normal</w:t>
      </w:r>
      <w:r>
        <w:rPr>
          <w:spacing w:val="-2"/>
          <w:sz w:val="24"/>
        </w:rPr>
        <w:t xml:space="preserve"> </w:t>
      </w:r>
      <w:r>
        <w:rPr>
          <w:sz w:val="24"/>
        </w:rPr>
        <w:t>data,</w:t>
      </w:r>
      <w:r>
        <w:rPr>
          <w:spacing w:val="-1"/>
          <w:sz w:val="24"/>
        </w:rPr>
        <w:t xml:space="preserve"> </w:t>
      </w:r>
      <w:r>
        <w:rPr>
          <w:sz w:val="24"/>
        </w:rPr>
        <w:t>and</w:t>
      </w:r>
      <w:r>
        <w:rPr>
          <w:spacing w:val="-2"/>
          <w:sz w:val="24"/>
        </w:rPr>
        <w:t xml:space="preserve"> </w:t>
      </w:r>
      <w:r>
        <w:rPr>
          <w:sz w:val="24"/>
        </w:rPr>
        <w:t>its</w:t>
      </w:r>
      <w:r>
        <w:rPr>
          <w:spacing w:val="-3"/>
          <w:sz w:val="24"/>
        </w:rPr>
        <w:t xml:space="preserve"> </w:t>
      </w:r>
      <w:r>
        <w:rPr>
          <w:sz w:val="24"/>
        </w:rPr>
        <w:t>capacity</w:t>
      </w:r>
      <w:r>
        <w:rPr>
          <w:spacing w:val="-2"/>
          <w:sz w:val="24"/>
        </w:rPr>
        <w:t xml:space="preserve"> </w:t>
      </w:r>
      <w:r>
        <w:rPr>
          <w:sz w:val="24"/>
        </w:rPr>
        <w:t>to</w:t>
      </w:r>
      <w:r>
        <w:rPr>
          <w:spacing w:val="-2"/>
          <w:sz w:val="24"/>
        </w:rPr>
        <w:t xml:space="preserve"> </w:t>
      </w:r>
      <w:r>
        <w:rPr>
          <w:sz w:val="24"/>
        </w:rPr>
        <w:t>model</w:t>
      </w:r>
      <w:r>
        <w:rPr>
          <w:spacing w:val="-1"/>
          <w:sz w:val="24"/>
        </w:rPr>
        <w:t xml:space="preserve"> </w:t>
      </w:r>
      <w:r>
        <w:rPr>
          <w:sz w:val="24"/>
        </w:rPr>
        <w:t>complex</w:t>
      </w:r>
      <w:r>
        <w:rPr>
          <w:spacing w:val="-2"/>
          <w:sz w:val="24"/>
        </w:rPr>
        <w:t xml:space="preserve"> </w:t>
      </w:r>
      <w:r>
        <w:rPr>
          <w:sz w:val="24"/>
        </w:rPr>
        <w:t>relationships</w:t>
      </w:r>
      <w:r>
        <w:rPr>
          <w:spacing w:val="-3"/>
          <w:sz w:val="24"/>
        </w:rPr>
        <w:t xml:space="preserve"> </w:t>
      </w:r>
      <w:r>
        <w:rPr>
          <w:sz w:val="24"/>
        </w:rPr>
        <w:t>among latent</w:t>
      </w:r>
      <w:r>
        <w:rPr>
          <w:spacing w:val="-5"/>
          <w:sz w:val="24"/>
        </w:rPr>
        <w:t xml:space="preserve"> </w:t>
      </w:r>
      <w:r>
        <w:rPr>
          <w:sz w:val="24"/>
        </w:rPr>
        <w:t>constructs</w:t>
      </w:r>
      <w:r>
        <w:rPr>
          <w:spacing w:val="-5"/>
          <w:sz w:val="24"/>
        </w:rPr>
        <w:t xml:space="preserve"> </w:t>
      </w:r>
      <w:r>
        <w:rPr>
          <w:sz w:val="24"/>
        </w:rPr>
        <w:t>(Hair</w:t>
      </w:r>
      <w:r>
        <w:rPr>
          <w:spacing w:val="-6"/>
          <w:sz w:val="24"/>
        </w:rPr>
        <w:t xml:space="preserve"> </w:t>
      </w:r>
      <w:r>
        <w:rPr>
          <w:sz w:val="24"/>
        </w:rPr>
        <w:t>et</w:t>
      </w:r>
      <w:r>
        <w:rPr>
          <w:spacing w:val="-5"/>
          <w:sz w:val="24"/>
        </w:rPr>
        <w:t xml:space="preserve"> </w:t>
      </w:r>
      <w:r>
        <w:rPr>
          <w:sz w:val="24"/>
        </w:rPr>
        <w:t>al.,</w:t>
      </w:r>
      <w:r>
        <w:rPr>
          <w:spacing w:val="-5"/>
          <w:sz w:val="24"/>
        </w:rPr>
        <w:t xml:space="preserve"> </w:t>
      </w:r>
      <w:r>
        <w:rPr>
          <w:sz w:val="24"/>
        </w:rPr>
        <w:t>2010).</w:t>
      </w:r>
      <w:r>
        <w:rPr>
          <w:spacing w:val="-6"/>
          <w:sz w:val="24"/>
        </w:rPr>
        <w:t xml:space="preserve"> </w:t>
      </w:r>
      <w:r>
        <w:rPr>
          <w:sz w:val="24"/>
        </w:rPr>
        <w:t>The</w:t>
      </w:r>
      <w:r>
        <w:rPr>
          <w:spacing w:val="-7"/>
          <w:sz w:val="24"/>
        </w:rPr>
        <w:t xml:space="preserve"> </w:t>
      </w:r>
      <w:r>
        <w:rPr>
          <w:sz w:val="24"/>
        </w:rPr>
        <w:t>analysis</w:t>
      </w:r>
      <w:r>
        <w:rPr>
          <w:spacing w:val="-6"/>
          <w:sz w:val="24"/>
        </w:rPr>
        <w:t xml:space="preserve"> </w:t>
      </w:r>
      <w:r>
        <w:rPr>
          <w:sz w:val="24"/>
        </w:rPr>
        <w:t>followed</w:t>
      </w:r>
      <w:r>
        <w:rPr>
          <w:spacing w:val="-6"/>
          <w:sz w:val="24"/>
        </w:rPr>
        <w:t xml:space="preserve"> </w:t>
      </w:r>
      <w:r>
        <w:rPr>
          <w:sz w:val="24"/>
        </w:rPr>
        <w:t>a</w:t>
      </w:r>
      <w:r>
        <w:rPr>
          <w:spacing w:val="-7"/>
          <w:sz w:val="24"/>
        </w:rPr>
        <w:t xml:space="preserve"> </w:t>
      </w:r>
      <w:r>
        <w:rPr>
          <w:sz w:val="24"/>
        </w:rPr>
        <w:t>two-stage</w:t>
      </w:r>
      <w:r>
        <w:rPr>
          <w:spacing w:val="-7"/>
          <w:sz w:val="24"/>
        </w:rPr>
        <w:t xml:space="preserve"> </w:t>
      </w:r>
      <w:r>
        <w:rPr>
          <w:sz w:val="24"/>
        </w:rPr>
        <w:t>approach</w:t>
      </w:r>
      <w:r>
        <w:rPr>
          <w:spacing w:val="-6"/>
          <w:sz w:val="24"/>
        </w:rPr>
        <w:t xml:space="preserve"> </w:t>
      </w:r>
      <w:r>
        <w:rPr>
          <w:sz w:val="24"/>
        </w:rPr>
        <w:t>as</w:t>
      </w:r>
      <w:r>
        <w:rPr>
          <w:spacing w:val="-6"/>
          <w:sz w:val="24"/>
        </w:rPr>
        <w:t xml:space="preserve"> </w:t>
      </w:r>
      <w:r>
        <w:rPr>
          <w:sz w:val="24"/>
        </w:rPr>
        <w:t>recommended</w:t>
      </w:r>
      <w:r>
        <w:rPr>
          <w:spacing w:val="-6"/>
          <w:sz w:val="24"/>
        </w:rPr>
        <w:t xml:space="preserve"> </w:t>
      </w:r>
      <w:r>
        <w:rPr>
          <w:sz w:val="24"/>
        </w:rPr>
        <w:t>by</w:t>
      </w:r>
      <w:r>
        <w:rPr>
          <w:spacing w:val="-6"/>
          <w:sz w:val="24"/>
        </w:rPr>
        <w:t xml:space="preserve"> </w:t>
      </w:r>
      <w:r>
        <w:rPr>
          <w:sz w:val="24"/>
        </w:rPr>
        <w:t xml:space="preserve">Hair et al. (2022), beginning with the assessment of the measurement model (outer model) for reliability </w:t>
      </w:r>
      <w:r>
        <w:rPr>
          <w:sz w:val="24"/>
        </w:rPr>
        <w:t>and validity, followed by evaluation of the structural model (inner model) through bootstrapping with 5,000 resamples to estimate path coefficients and significance levels.</w:t>
      </w:r>
    </w:p>
    <w:p w:rsidR="00487D64" w:rsidRDefault="006F0D93">
      <w:pPr>
        <w:spacing w:before="2"/>
        <w:ind w:left="57"/>
        <w:jc w:val="both"/>
        <w:rPr>
          <w:b/>
          <w:sz w:val="24"/>
        </w:rPr>
      </w:pPr>
      <w:r>
        <w:rPr>
          <w:b/>
          <w:sz w:val="24"/>
        </w:rPr>
        <w:t>Evaluation</w:t>
      </w:r>
      <w:r>
        <w:rPr>
          <w:b/>
          <w:spacing w:val="-4"/>
          <w:sz w:val="24"/>
        </w:rPr>
        <w:t xml:space="preserve"> </w:t>
      </w:r>
      <w:r>
        <w:rPr>
          <w:b/>
          <w:sz w:val="24"/>
        </w:rPr>
        <w:t>of</w:t>
      </w:r>
      <w:r>
        <w:rPr>
          <w:b/>
          <w:spacing w:val="-6"/>
          <w:sz w:val="24"/>
        </w:rPr>
        <w:t xml:space="preserve"> </w:t>
      </w:r>
      <w:r>
        <w:rPr>
          <w:b/>
          <w:spacing w:val="-2"/>
          <w:sz w:val="24"/>
        </w:rPr>
        <w:t>models</w:t>
      </w:r>
    </w:p>
    <w:p w:rsidR="00487D64" w:rsidRDefault="006F0D93">
      <w:pPr>
        <w:spacing w:before="41" w:line="276" w:lineRule="auto"/>
        <w:ind w:left="57" w:right="341"/>
        <w:jc w:val="both"/>
        <w:rPr>
          <w:sz w:val="24"/>
        </w:rPr>
      </w:pPr>
      <w:r>
        <w:rPr>
          <w:sz w:val="24"/>
        </w:rPr>
        <w:t>The evaluation of the PLS-SEM model followed the two-step approach recommended by Hair et al. (2022),</w:t>
      </w:r>
      <w:r>
        <w:rPr>
          <w:spacing w:val="-3"/>
          <w:sz w:val="24"/>
        </w:rPr>
        <w:t xml:space="preserve"> </w:t>
      </w:r>
      <w:r>
        <w:rPr>
          <w:sz w:val="24"/>
        </w:rPr>
        <w:t>beginning</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assessment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measurement</w:t>
      </w:r>
      <w:r>
        <w:rPr>
          <w:spacing w:val="-3"/>
          <w:sz w:val="24"/>
        </w:rPr>
        <w:t xml:space="preserve"> </w:t>
      </w:r>
      <w:r>
        <w:rPr>
          <w:sz w:val="24"/>
        </w:rPr>
        <w:t>model</w:t>
      </w:r>
      <w:r>
        <w:rPr>
          <w:spacing w:val="-3"/>
          <w:sz w:val="24"/>
        </w:rPr>
        <w:t xml:space="preserve"> </w:t>
      </w:r>
      <w:r>
        <w:rPr>
          <w:sz w:val="24"/>
        </w:rPr>
        <w:t>to</w:t>
      </w:r>
      <w:r>
        <w:rPr>
          <w:spacing w:val="-3"/>
          <w:sz w:val="24"/>
        </w:rPr>
        <w:t xml:space="preserve"> </w:t>
      </w:r>
      <w:r>
        <w:rPr>
          <w:sz w:val="24"/>
        </w:rPr>
        <w:t>ensure</w:t>
      </w:r>
      <w:r>
        <w:rPr>
          <w:spacing w:val="-2"/>
          <w:sz w:val="24"/>
        </w:rPr>
        <w:t xml:space="preserve"> </w:t>
      </w:r>
      <w:r>
        <w:rPr>
          <w:sz w:val="24"/>
        </w:rPr>
        <w:t>reliability</w:t>
      </w:r>
      <w:r>
        <w:rPr>
          <w:spacing w:val="-3"/>
          <w:sz w:val="24"/>
        </w:rPr>
        <w:t xml:space="preserve"> </w:t>
      </w:r>
      <w:r>
        <w:rPr>
          <w:sz w:val="24"/>
        </w:rPr>
        <w:t>and</w:t>
      </w:r>
      <w:r>
        <w:rPr>
          <w:spacing w:val="-3"/>
          <w:sz w:val="24"/>
        </w:rPr>
        <w:t xml:space="preserve"> </w:t>
      </w:r>
      <w:r>
        <w:rPr>
          <w:sz w:val="24"/>
        </w:rPr>
        <w:t>validity</w:t>
      </w:r>
      <w:r>
        <w:rPr>
          <w:spacing w:val="-3"/>
          <w:sz w:val="24"/>
        </w:rPr>
        <w:t xml:space="preserve"> </w:t>
      </w:r>
      <w:r>
        <w:rPr>
          <w:sz w:val="24"/>
        </w:rPr>
        <w:t>before proceeding to the structural model. For the reflective me</w:t>
      </w:r>
      <w:r>
        <w:rPr>
          <w:sz w:val="24"/>
        </w:rPr>
        <w:t>asurement model, indicator reliability was assessed</w:t>
      </w:r>
      <w:r>
        <w:rPr>
          <w:spacing w:val="-5"/>
          <w:sz w:val="24"/>
        </w:rPr>
        <w:t xml:space="preserve"> </w:t>
      </w:r>
      <w:r>
        <w:rPr>
          <w:sz w:val="24"/>
        </w:rPr>
        <w:t>through</w:t>
      </w:r>
      <w:r>
        <w:rPr>
          <w:spacing w:val="-5"/>
          <w:sz w:val="24"/>
        </w:rPr>
        <w:t xml:space="preserve"> </w:t>
      </w:r>
      <w:r>
        <w:rPr>
          <w:sz w:val="24"/>
        </w:rPr>
        <w:t>standardized</w:t>
      </w:r>
      <w:r>
        <w:rPr>
          <w:spacing w:val="-5"/>
          <w:sz w:val="24"/>
        </w:rPr>
        <w:t xml:space="preserve"> </w:t>
      </w:r>
      <w:r>
        <w:rPr>
          <w:sz w:val="24"/>
        </w:rPr>
        <w:t>loadings,</w:t>
      </w:r>
      <w:r>
        <w:rPr>
          <w:spacing w:val="-5"/>
          <w:sz w:val="24"/>
        </w:rPr>
        <w:t xml:space="preserve"> </w:t>
      </w:r>
      <w:r>
        <w:rPr>
          <w:sz w:val="24"/>
        </w:rPr>
        <w:t>which</w:t>
      </w:r>
      <w:r>
        <w:rPr>
          <w:spacing w:val="-5"/>
          <w:sz w:val="24"/>
        </w:rPr>
        <w:t xml:space="preserve"> </w:t>
      </w:r>
      <w:r>
        <w:rPr>
          <w:sz w:val="24"/>
        </w:rPr>
        <w:t>were</w:t>
      </w:r>
      <w:r>
        <w:rPr>
          <w:spacing w:val="-7"/>
          <w:sz w:val="24"/>
        </w:rPr>
        <w:t xml:space="preserve"> </w:t>
      </w:r>
      <w:r>
        <w:rPr>
          <w:sz w:val="24"/>
        </w:rPr>
        <w:t>expected</w:t>
      </w:r>
      <w:r>
        <w:rPr>
          <w:spacing w:val="-5"/>
          <w:sz w:val="24"/>
        </w:rPr>
        <w:t xml:space="preserve"> </w:t>
      </w:r>
      <w:r>
        <w:rPr>
          <w:sz w:val="24"/>
        </w:rPr>
        <w:t>to</w:t>
      </w:r>
      <w:r>
        <w:rPr>
          <w:spacing w:val="-4"/>
          <w:sz w:val="24"/>
        </w:rPr>
        <w:t xml:space="preserve"> </w:t>
      </w:r>
      <w:r>
        <w:rPr>
          <w:sz w:val="24"/>
        </w:rPr>
        <w:t>be</w:t>
      </w:r>
      <w:r>
        <w:rPr>
          <w:spacing w:val="-6"/>
          <w:sz w:val="24"/>
        </w:rPr>
        <w:t xml:space="preserve"> </w:t>
      </w:r>
      <w:r>
        <w:rPr>
          <w:sz w:val="24"/>
        </w:rPr>
        <w:t>≥</w:t>
      </w:r>
      <w:r>
        <w:rPr>
          <w:spacing w:val="-5"/>
          <w:sz w:val="24"/>
        </w:rPr>
        <w:t xml:space="preserve"> </w:t>
      </w:r>
      <w:r>
        <w:rPr>
          <w:sz w:val="24"/>
        </w:rPr>
        <w:t>0.70,</w:t>
      </w:r>
      <w:r>
        <w:rPr>
          <w:spacing w:val="-2"/>
          <w:sz w:val="24"/>
        </w:rPr>
        <w:t xml:space="preserve"> </w:t>
      </w:r>
      <w:r>
        <w:rPr>
          <w:sz w:val="24"/>
        </w:rPr>
        <w:t>while</w:t>
      </w:r>
      <w:r>
        <w:rPr>
          <w:spacing w:val="-5"/>
          <w:sz w:val="24"/>
        </w:rPr>
        <w:t xml:space="preserve"> </w:t>
      </w:r>
      <w:r>
        <w:rPr>
          <w:sz w:val="24"/>
        </w:rPr>
        <w:t>convergent</w:t>
      </w:r>
      <w:r>
        <w:rPr>
          <w:spacing w:val="-4"/>
          <w:sz w:val="24"/>
        </w:rPr>
        <w:t xml:space="preserve"> </w:t>
      </w:r>
      <w:r>
        <w:rPr>
          <w:sz w:val="24"/>
        </w:rPr>
        <w:t>validity</w:t>
      </w:r>
      <w:r>
        <w:rPr>
          <w:spacing w:val="-5"/>
          <w:sz w:val="24"/>
        </w:rPr>
        <w:t xml:space="preserve"> </w:t>
      </w:r>
      <w:r>
        <w:rPr>
          <w:sz w:val="24"/>
        </w:rPr>
        <w:t>was established through Average Variance Extracted (AVE ≥ 0.50). The significance of outer loadings was evaluated</w:t>
      </w:r>
      <w:r>
        <w:rPr>
          <w:spacing w:val="-8"/>
          <w:sz w:val="24"/>
        </w:rPr>
        <w:t xml:space="preserve"> </w:t>
      </w:r>
      <w:r>
        <w:rPr>
          <w:sz w:val="24"/>
        </w:rPr>
        <w:t>using</w:t>
      </w:r>
      <w:r>
        <w:rPr>
          <w:spacing w:val="-10"/>
          <w:sz w:val="24"/>
        </w:rPr>
        <w:t xml:space="preserve"> </w:t>
      </w:r>
      <w:r>
        <w:rPr>
          <w:sz w:val="24"/>
        </w:rPr>
        <w:t>t-values</w:t>
      </w:r>
      <w:r>
        <w:rPr>
          <w:spacing w:val="-8"/>
          <w:sz w:val="24"/>
        </w:rPr>
        <w:t xml:space="preserve"> </w:t>
      </w:r>
      <w:r>
        <w:rPr>
          <w:sz w:val="24"/>
        </w:rPr>
        <w:t>and</w:t>
      </w:r>
      <w:r>
        <w:rPr>
          <w:spacing w:val="-10"/>
          <w:sz w:val="24"/>
        </w:rPr>
        <w:t xml:space="preserve"> </w:t>
      </w:r>
      <w:r>
        <w:rPr>
          <w:sz w:val="24"/>
        </w:rPr>
        <w:t>p-values</w:t>
      </w:r>
      <w:r>
        <w:rPr>
          <w:spacing w:val="-10"/>
          <w:sz w:val="24"/>
        </w:rPr>
        <w:t xml:space="preserve"> </w:t>
      </w:r>
      <w:r>
        <w:rPr>
          <w:sz w:val="24"/>
        </w:rPr>
        <w:t>obtained</w:t>
      </w:r>
      <w:r>
        <w:rPr>
          <w:spacing w:val="-10"/>
          <w:sz w:val="24"/>
        </w:rPr>
        <w:t xml:space="preserve"> </w:t>
      </w:r>
      <w:r>
        <w:rPr>
          <w:sz w:val="24"/>
        </w:rPr>
        <w:t>via</w:t>
      </w:r>
      <w:r>
        <w:rPr>
          <w:spacing w:val="-9"/>
          <w:sz w:val="24"/>
        </w:rPr>
        <w:t xml:space="preserve"> </w:t>
      </w:r>
      <w:r>
        <w:rPr>
          <w:sz w:val="24"/>
        </w:rPr>
        <w:t>bootstrapping.</w:t>
      </w:r>
      <w:r>
        <w:rPr>
          <w:spacing w:val="-10"/>
          <w:sz w:val="24"/>
        </w:rPr>
        <w:t xml:space="preserve"> </w:t>
      </w:r>
      <w:r>
        <w:rPr>
          <w:sz w:val="24"/>
        </w:rPr>
        <w:t>Once</w:t>
      </w:r>
      <w:r>
        <w:rPr>
          <w:spacing w:val="-11"/>
          <w:sz w:val="24"/>
        </w:rPr>
        <w:t xml:space="preserve"> </w:t>
      </w:r>
      <w:r>
        <w:rPr>
          <w:sz w:val="24"/>
        </w:rPr>
        <w:t>the</w:t>
      </w:r>
      <w:r>
        <w:rPr>
          <w:spacing w:val="-9"/>
          <w:sz w:val="24"/>
        </w:rPr>
        <w:t xml:space="preserve"> </w:t>
      </w:r>
      <w:r>
        <w:rPr>
          <w:sz w:val="24"/>
        </w:rPr>
        <w:t>measurement</w:t>
      </w:r>
      <w:r>
        <w:rPr>
          <w:spacing w:val="-8"/>
          <w:sz w:val="24"/>
        </w:rPr>
        <w:t xml:space="preserve"> </w:t>
      </w:r>
      <w:r>
        <w:rPr>
          <w:sz w:val="24"/>
        </w:rPr>
        <w:t>model</w:t>
      </w:r>
      <w:r>
        <w:rPr>
          <w:spacing w:val="-10"/>
          <w:sz w:val="24"/>
        </w:rPr>
        <w:t xml:space="preserve"> </w:t>
      </w:r>
      <w:r>
        <w:rPr>
          <w:sz w:val="24"/>
        </w:rPr>
        <w:t>met</w:t>
      </w:r>
      <w:r>
        <w:rPr>
          <w:spacing w:val="-6"/>
          <w:sz w:val="24"/>
        </w:rPr>
        <w:t xml:space="preserve"> </w:t>
      </w:r>
      <w:r>
        <w:rPr>
          <w:sz w:val="24"/>
        </w:rPr>
        <w:t>these thresholds, the structural model was assessed to test the hypothesized relationships between constructs. This involved evaluating the coefficient of determination (R²), which indicates the variance explained in the endogenous constructs, and predicti</w:t>
      </w:r>
      <w:r>
        <w:rPr>
          <w:sz w:val="24"/>
        </w:rPr>
        <w:t xml:space="preserve">ve relevance (Q²), using blindfolding procedures. According to Hair et al. (2017, 2019), R² values of 0.75, 0.50, and 0.25 represent substantial, moderate, and weak explanatory power, respectively, while Q² values above zero indicate predictive relevance. </w:t>
      </w:r>
      <w:r>
        <w:rPr>
          <w:sz w:val="24"/>
        </w:rPr>
        <w:t>Additionally, the significance of path coefficients, effect size (ƒ²), and multicollinearity using the Variance Inflation Factor (VIF) were examined. Collectively, these metrics confirmed the adequacy and robustness of both the measurement and structural m</w:t>
      </w:r>
      <w:r>
        <w:rPr>
          <w:sz w:val="24"/>
        </w:rPr>
        <w:t>odels for empirical validation of the study’s theoretical framework.</w:t>
      </w:r>
    </w:p>
    <w:p w:rsidR="00487D64" w:rsidRDefault="00487D64">
      <w:pPr>
        <w:pStyle w:val="BodyText"/>
        <w:spacing w:before="40"/>
        <w:rPr>
          <w:sz w:val="24"/>
        </w:rPr>
      </w:pPr>
    </w:p>
    <w:p w:rsidR="00487D64" w:rsidRDefault="006F0D93">
      <w:pPr>
        <w:pStyle w:val="ListParagraph"/>
        <w:numPr>
          <w:ilvl w:val="0"/>
          <w:numId w:val="4"/>
        </w:numPr>
        <w:tabs>
          <w:tab w:val="left" w:pos="443"/>
        </w:tabs>
        <w:spacing w:before="1"/>
        <w:ind w:left="443" w:hanging="386"/>
        <w:rPr>
          <w:b/>
          <w:sz w:val="24"/>
        </w:rPr>
      </w:pPr>
      <w:r>
        <w:rPr>
          <w:b/>
          <w:sz w:val="24"/>
        </w:rPr>
        <w:t>RESULTS</w:t>
      </w:r>
      <w:r>
        <w:rPr>
          <w:b/>
          <w:spacing w:val="-2"/>
          <w:sz w:val="24"/>
        </w:rPr>
        <w:t xml:space="preserve"> </w:t>
      </w:r>
      <w:r>
        <w:rPr>
          <w:b/>
          <w:sz w:val="24"/>
        </w:rPr>
        <w:t>AND</w:t>
      </w:r>
      <w:r>
        <w:rPr>
          <w:b/>
          <w:spacing w:val="-2"/>
          <w:sz w:val="24"/>
        </w:rPr>
        <w:t xml:space="preserve"> DISCUSSION</w:t>
      </w:r>
    </w:p>
    <w:p w:rsidR="00487D64" w:rsidRDefault="006F0D93">
      <w:pPr>
        <w:spacing w:before="43" w:line="276" w:lineRule="auto"/>
        <w:ind w:left="57" w:right="339"/>
        <w:jc w:val="both"/>
        <w:rPr>
          <w:sz w:val="24"/>
        </w:rPr>
      </w:pPr>
      <w:r>
        <w:rPr>
          <w:sz w:val="24"/>
        </w:rPr>
        <w:t>The</w:t>
      </w:r>
      <w:r>
        <w:rPr>
          <w:spacing w:val="-11"/>
          <w:sz w:val="24"/>
        </w:rPr>
        <w:t xml:space="preserve"> </w:t>
      </w:r>
      <w:r>
        <w:rPr>
          <w:sz w:val="24"/>
        </w:rPr>
        <w:t>response</w:t>
      </w:r>
      <w:r>
        <w:rPr>
          <w:spacing w:val="-11"/>
          <w:sz w:val="24"/>
        </w:rPr>
        <w:t xml:space="preserve"> </w:t>
      </w:r>
      <w:r>
        <w:rPr>
          <w:sz w:val="24"/>
        </w:rPr>
        <w:t>rate</w:t>
      </w:r>
      <w:r>
        <w:rPr>
          <w:spacing w:val="-8"/>
          <w:sz w:val="24"/>
        </w:rPr>
        <w:t xml:space="preserve"> </w:t>
      </w:r>
      <w:r>
        <w:rPr>
          <w:sz w:val="24"/>
        </w:rPr>
        <w:t>achieved</w:t>
      </w:r>
      <w:r>
        <w:rPr>
          <w:spacing w:val="-10"/>
          <w:sz w:val="24"/>
        </w:rPr>
        <w:t xml:space="preserve"> </w:t>
      </w:r>
      <w:r>
        <w:rPr>
          <w:sz w:val="24"/>
        </w:rPr>
        <w:t>in</w:t>
      </w:r>
      <w:r>
        <w:rPr>
          <w:spacing w:val="-9"/>
          <w:sz w:val="24"/>
        </w:rPr>
        <w:t xml:space="preserve"> </w:t>
      </w:r>
      <w:r>
        <w:rPr>
          <w:sz w:val="24"/>
        </w:rPr>
        <w:t>this</w:t>
      </w:r>
      <w:r>
        <w:rPr>
          <w:spacing w:val="-9"/>
          <w:sz w:val="24"/>
        </w:rPr>
        <w:t xml:space="preserve"> </w:t>
      </w:r>
      <w:r>
        <w:rPr>
          <w:sz w:val="24"/>
        </w:rPr>
        <w:t>study</w:t>
      </w:r>
      <w:r>
        <w:rPr>
          <w:spacing w:val="-9"/>
          <w:sz w:val="24"/>
        </w:rPr>
        <w:t xml:space="preserve"> </w:t>
      </w:r>
      <w:r>
        <w:rPr>
          <w:sz w:val="24"/>
        </w:rPr>
        <w:t>was</w:t>
      </w:r>
      <w:r>
        <w:rPr>
          <w:spacing w:val="-9"/>
          <w:sz w:val="24"/>
        </w:rPr>
        <w:t xml:space="preserve"> </w:t>
      </w:r>
      <w:r>
        <w:rPr>
          <w:sz w:val="24"/>
        </w:rPr>
        <w:t>78.1%,</w:t>
      </w:r>
      <w:r>
        <w:rPr>
          <w:spacing w:val="-10"/>
          <w:sz w:val="24"/>
        </w:rPr>
        <w:t xml:space="preserve"> </w:t>
      </w:r>
      <w:r>
        <w:rPr>
          <w:sz w:val="24"/>
        </w:rPr>
        <w:t>which</w:t>
      </w:r>
      <w:r>
        <w:rPr>
          <w:spacing w:val="-10"/>
          <w:sz w:val="24"/>
        </w:rPr>
        <w:t xml:space="preserve"> </w:t>
      </w:r>
      <w:r>
        <w:rPr>
          <w:sz w:val="24"/>
        </w:rPr>
        <w:t>is</w:t>
      </w:r>
      <w:r>
        <w:rPr>
          <w:spacing w:val="-7"/>
          <w:sz w:val="24"/>
        </w:rPr>
        <w:t xml:space="preserve"> </w:t>
      </w:r>
      <w:r>
        <w:rPr>
          <w:sz w:val="24"/>
        </w:rPr>
        <w:t>considered</w:t>
      </w:r>
      <w:r>
        <w:rPr>
          <w:spacing w:val="-8"/>
          <w:sz w:val="24"/>
        </w:rPr>
        <w:t xml:space="preserve"> </w:t>
      </w:r>
      <w:r>
        <w:rPr>
          <w:sz w:val="24"/>
        </w:rPr>
        <w:t>excellent</w:t>
      </w:r>
      <w:r>
        <w:rPr>
          <w:spacing w:val="-9"/>
          <w:sz w:val="24"/>
        </w:rPr>
        <w:t xml:space="preserve"> </w:t>
      </w:r>
      <w:r>
        <w:rPr>
          <w:sz w:val="24"/>
        </w:rPr>
        <w:t>by</w:t>
      </w:r>
      <w:r>
        <w:rPr>
          <w:spacing w:val="-10"/>
          <w:sz w:val="24"/>
        </w:rPr>
        <w:t xml:space="preserve"> </w:t>
      </w:r>
      <w:r>
        <w:rPr>
          <w:sz w:val="24"/>
        </w:rPr>
        <w:t>established</w:t>
      </w:r>
      <w:r>
        <w:rPr>
          <w:spacing w:val="-10"/>
          <w:sz w:val="24"/>
        </w:rPr>
        <w:t xml:space="preserve"> </w:t>
      </w:r>
      <w:r>
        <w:rPr>
          <w:sz w:val="24"/>
        </w:rPr>
        <w:t>research standards.</w:t>
      </w:r>
      <w:r>
        <w:rPr>
          <w:spacing w:val="-7"/>
          <w:sz w:val="24"/>
        </w:rPr>
        <w:t xml:space="preserve"> </w:t>
      </w:r>
      <w:r>
        <w:rPr>
          <w:sz w:val="24"/>
        </w:rPr>
        <w:t>According</w:t>
      </w:r>
      <w:r>
        <w:rPr>
          <w:spacing w:val="-7"/>
          <w:sz w:val="24"/>
        </w:rPr>
        <w:t xml:space="preserve"> </w:t>
      </w:r>
      <w:r>
        <w:rPr>
          <w:sz w:val="24"/>
        </w:rPr>
        <w:t>to</w:t>
      </w:r>
      <w:r>
        <w:rPr>
          <w:spacing w:val="-3"/>
          <w:sz w:val="24"/>
        </w:rPr>
        <w:t xml:space="preserve"> </w:t>
      </w:r>
      <w:r>
        <w:rPr>
          <w:sz w:val="24"/>
        </w:rPr>
        <w:t>Mugenda</w:t>
      </w:r>
      <w:r>
        <w:rPr>
          <w:spacing w:val="-5"/>
          <w:sz w:val="24"/>
        </w:rPr>
        <w:t xml:space="preserve"> </w:t>
      </w:r>
      <w:r>
        <w:rPr>
          <w:sz w:val="24"/>
        </w:rPr>
        <w:t>(2003),</w:t>
      </w:r>
      <w:r>
        <w:rPr>
          <w:spacing w:val="-5"/>
          <w:sz w:val="24"/>
        </w:rPr>
        <w:t xml:space="preserve"> </w:t>
      </w:r>
      <w:r>
        <w:rPr>
          <w:sz w:val="24"/>
        </w:rPr>
        <w:t>a</w:t>
      </w:r>
      <w:r>
        <w:rPr>
          <w:spacing w:val="-7"/>
          <w:sz w:val="24"/>
        </w:rPr>
        <w:t xml:space="preserve"> </w:t>
      </w:r>
      <w:r>
        <w:rPr>
          <w:sz w:val="24"/>
        </w:rPr>
        <w:t>response</w:t>
      </w:r>
      <w:r>
        <w:rPr>
          <w:spacing w:val="-7"/>
          <w:sz w:val="24"/>
        </w:rPr>
        <w:t xml:space="preserve"> </w:t>
      </w:r>
      <w:r>
        <w:rPr>
          <w:sz w:val="24"/>
        </w:rPr>
        <w:t>rate</w:t>
      </w:r>
      <w:r>
        <w:rPr>
          <w:spacing w:val="-7"/>
          <w:sz w:val="24"/>
        </w:rPr>
        <w:t xml:space="preserve"> </w:t>
      </w:r>
      <w:r>
        <w:rPr>
          <w:sz w:val="24"/>
        </w:rPr>
        <w:t>of</w:t>
      </w:r>
      <w:r>
        <w:rPr>
          <w:spacing w:val="-5"/>
          <w:sz w:val="24"/>
        </w:rPr>
        <w:t xml:space="preserve"> </w:t>
      </w:r>
      <w:r>
        <w:rPr>
          <w:sz w:val="24"/>
        </w:rPr>
        <w:t>50%</w:t>
      </w:r>
      <w:r>
        <w:rPr>
          <w:spacing w:val="-5"/>
          <w:sz w:val="24"/>
        </w:rPr>
        <w:t xml:space="preserve"> </w:t>
      </w:r>
      <w:r>
        <w:rPr>
          <w:sz w:val="24"/>
        </w:rPr>
        <w:t>is</w:t>
      </w:r>
      <w:r>
        <w:rPr>
          <w:spacing w:val="-6"/>
          <w:sz w:val="24"/>
        </w:rPr>
        <w:t xml:space="preserve"> </w:t>
      </w:r>
      <w:r>
        <w:rPr>
          <w:sz w:val="24"/>
        </w:rPr>
        <w:t>deemed</w:t>
      </w:r>
      <w:r>
        <w:rPr>
          <w:spacing w:val="-6"/>
          <w:sz w:val="24"/>
        </w:rPr>
        <w:t xml:space="preserve"> </w:t>
      </w:r>
      <w:r>
        <w:rPr>
          <w:sz w:val="24"/>
        </w:rPr>
        <w:t>adequate</w:t>
      </w:r>
      <w:r>
        <w:rPr>
          <w:spacing w:val="-4"/>
          <w:sz w:val="24"/>
        </w:rPr>
        <w:t xml:space="preserve"> </w:t>
      </w:r>
      <w:r>
        <w:rPr>
          <w:sz w:val="24"/>
        </w:rPr>
        <w:t>for</w:t>
      </w:r>
      <w:r>
        <w:rPr>
          <w:spacing w:val="-5"/>
          <w:sz w:val="24"/>
        </w:rPr>
        <w:t xml:space="preserve"> </w:t>
      </w:r>
      <w:r>
        <w:rPr>
          <w:sz w:val="24"/>
        </w:rPr>
        <w:t>analysis,</w:t>
      </w:r>
      <w:r>
        <w:rPr>
          <w:spacing w:val="-6"/>
          <w:sz w:val="24"/>
        </w:rPr>
        <w:t xml:space="preserve"> </w:t>
      </w:r>
      <w:r>
        <w:rPr>
          <w:sz w:val="24"/>
        </w:rPr>
        <w:t>60%</w:t>
      </w:r>
      <w:r>
        <w:rPr>
          <w:spacing w:val="-7"/>
          <w:sz w:val="24"/>
        </w:rPr>
        <w:t xml:space="preserve"> </w:t>
      </w:r>
      <w:r>
        <w:rPr>
          <w:sz w:val="24"/>
        </w:rPr>
        <w:t>is regarded</w:t>
      </w:r>
      <w:r>
        <w:rPr>
          <w:spacing w:val="-5"/>
          <w:sz w:val="24"/>
        </w:rPr>
        <w:t xml:space="preserve"> </w:t>
      </w:r>
      <w:r>
        <w:rPr>
          <w:sz w:val="24"/>
        </w:rPr>
        <w:t>as</w:t>
      </w:r>
      <w:r>
        <w:rPr>
          <w:spacing w:val="-5"/>
          <w:sz w:val="24"/>
        </w:rPr>
        <w:t xml:space="preserve"> </w:t>
      </w:r>
      <w:r>
        <w:rPr>
          <w:sz w:val="24"/>
        </w:rPr>
        <w:t>good,</w:t>
      </w:r>
      <w:r>
        <w:rPr>
          <w:spacing w:val="-5"/>
          <w:sz w:val="24"/>
        </w:rPr>
        <w:t xml:space="preserve"> </w:t>
      </w:r>
      <w:r>
        <w:rPr>
          <w:sz w:val="24"/>
        </w:rPr>
        <w:t>and</w:t>
      </w:r>
      <w:r>
        <w:rPr>
          <w:spacing w:val="-5"/>
          <w:sz w:val="24"/>
        </w:rPr>
        <w:t xml:space="preserve"> </w:t>
      </w:r>
      <w:r>
        <w:rPr>
          <w:sz w:val="24"/>
        </w:rPr>
        <w:t>a</w:t>
      </w:r>
      <w:r>
        <w:rPr>
          <w:spacing w:val="-6"/>
          <w:sz w:val="24"/>
        </w:rPr>
        <w:t xml:space="preserve"> </w:t>
      </w:r>
      <w:r>
        <w:rPr>
          <w:sz w:val="24"/>
        </w:rPr>
        <w:t>rate</w:t>
      </w:r>
      <w:r>
        <w:rPr>
          <w:spacing w:val="-5"/>
          <w:sz w:val="24"/>
        </w:rPr>
        <w:t xml:space="preserve"> </w:t>
      </w:r>
      <w:r>
        <w:rPr>
          <w:sz w:val="24"/>
        </w:rPr>
        <w:t>of</w:t>
      </w:r>
      <w:r>
        <w:rPr>
          <w:spacing w:val="-6"/>
          <w:sz w:val="24"/>
        </w:rPr>
        <w:t xml:space="preserve"> </w:t>
      </w:r>
      <w:r>
        <w:rPr>
          <w:sz w:val="24"/>
        </w:rPr>
        <w:t>70%</w:t>
      </w:r>
      <w:r>
        <w:rPr>
          <w:spacing w:val="-6"/>
          <w:sz w:val="24"/>
        </w:rPr>
        <w:t xml:space="preserve"> </w:t>
      </w:r>
      <w:r>
        <w:rPr>
          <w:sz w:val="24"/>
        </w:rPr>
        <w:t>or</w:t>
      </w:r>
      <w:r>
        <w:rPr>
          <w:spacing w:val="-6"/>
          <w:sz w:val="24"/>
        </w:rPr>
        <w:t xml:space="preserve"> </w:t>
      </w:r>
      <w:r>
        <w:rPr>
          <w:sz w:val="24"/>
        </w:rPr>
        <w:t>higher</w:t>
      </w:r>
      <w:r>
        <w:rPr>
          <w:spacing w:val="-6"/>
          <w:sz w:val="24"/>
        </w:rPr>
        <w:t xml:space="preserve"> </w:t>
      </w:r>
      <w:r>
        <w:rPr>
          <w:sz w:val="24"/>
        </w:rPr>
        <w:t>is</w:t>
      </w:r>
      <w:r>
        <w:rPr>
          <w:spacing w:val="-5"/>
          <w:sz w:val="24"/>
        </w:rPr>
        <w:t xml:space="preserve"> </w:t>
      </w:r>
      <w:r>
        <w:rPr>
          <w:sz w:val="24"/>
        </w:rPr>
        <w:t>classified</w:t>
      </w:r>
      <w:r>
        <w:rPr>
          <w:spacing w:val="-5"/>
          <w:sz w:val="24"/>
        </w:rPr>
        <w:t xml:space="preserve"> </w:t>
      </w:r>
      <w:r>
        <w:rPr>
          <w:sz w:val="24"/>
        </w:rPr>
        <w:t>as</w:t>
      </w:r>
      <w:r>
        <w:rPr>
          <w:spacing w:val="-5"/>
          <w:sz w:val="24"/>
        </w:rPr>
        <w:t xml:space="preserve"> </w:t>
      </w:r>
      <w:r>
        <w:rPr>
          <w:sz w:val="24"/>
        </w:rPr>
        <w:t>excellent.</w:t>
      </w:r>
      <w:r>
        <w:rPr>
          <w:spacing w:val="-4"/>
          <w:sz w:val="24"/>
        </w:rPr>
        <w:t xml:space="preserve"> </w:t>
      </w:r>
      <w:r>
        <w:rPr>
          <w:sz w:val="24"/>
        </w:rPr>
        <w:t>Hence,</w:t>
      </w:r>
      <w:r>
        <w:rPr>
          <w:spacing w:val="-5"/>
          <w:sz w:val="24"/>
        </w:rPr>
        <w:t xml:space="preserve"> </w:t>
      </w:r>
      <w:r>
        <w:rPr>
          <w:sz w:val="24"/>
        </w:rPr>
        <w:t>the</w:t>
      </w:r>
      <w:r>
        <w:rPr>
          <w:spacing w:val="-5"/>
          <w:sz w:val="24"/>
        </w:rPr>
        <w:t xml:space="preserve"> </w:t>
      </w:r>
      <w:r>
        <w:rPr>
          <w:sz w:val="24"/>
        </w:rPr>
        <w:t>78.1%</w:t>
      </w:r>
      <w:r>
        <w:rPr>
          <w:spacing w:val="-6"/>
          <w:sz w:val="24"/>
        </w:rPr>
        <w:t xml:space="preserve"> </w:t>
      </w:r>
      <w:r>
        <w:rPr>
          <w:sz w:val="24"/>
        </w:rPr>
        <w:t>response</w:t>
      </w:r>
      <w:r>
        <w:rPr>
          <w:spacing w:val="-5"/>
          <w:sz w:val="24"/>
        </w:rPr>
        <w:t xml:space="preserve"> </w:t>
      </w:r>
      <w:r>
        <w:rPr>
          <w:sz w:val="24"/>
        </w:rPr>
        <w:t>rate</w:t>
      </w:r>
      <w:r>
        <w:rPr>
          <w:spacing w:val="-5"/>
          <w:sz w:val="24"/>
        </w:rPr>
        <w:t xml:space="preserve"> </w:t>
      </w:r>
      <w:r>
        <w:rPr>
          <w:sz w:val="24"/>
        </w:rPr>
        <w:t>in this</w:t>
      </w:r>
      <w:r>
        <w:rPr>
          <w:spacing w:val="-5"/>
          <w:sz w:val="24"/>
        </w:rPr>
        <w:t xml:space="preserve"> </w:t>
      </w:r>
      <w:r>
        <w:rPr>
          <w:sz w:val="24"/>
        </w:rPr>
        <w:t>study</w:t>
      </w:r>
      <w:r>
        <w:rPr>
          <w:spacing w:val="-4"/>
          <w:sz w:val="24"/>
        </w:rPr>
        <w:t xml:space="preserve"> </w:t>
      </w:r>
      <w:r>
        <w:rPr>
          <w:sz w:val="24"/>
        </w:rPr>
        <w:t>satisfies</w:t>
      </w:r>
      <w:r>
        <w:rPr>
          <w:spacing w:val="-5"/>
          <w:sz w:val="24"/>
        </w:rPr>
        <w:t xml:space="preserve"> </w:t>
      </w:r>
      <w:r>
        <w:rPr>
          <w:sz w:val="24"/>
        </w:rPr>
        <w:t>the</w:t>
      </w:r>
      <w:r>
        <w:rPr>
          <w:spacing w:val="-5"/>
          <w:sz w:val="24"/>
        </w:rPr>
        <w:t xml:space="preserve"> </w:t>
      </w:r>
      <w:r>
        <w:rPr>
          <w:sz w:val="24"/>
        </w:rPr>
        <w:t>basic</w:t>
      </w:r>
      <w:r>
        <w:rPr>
          <w:spacing w:val="-5"/>
          <w:sz w:val="24"/>
        </w:rPr>
        <w:t xml:space="preserve"> </w:t>
      </w:r>
      <w:r>
        <w:rPr>
          <w:sz w:val="24"/>
        </w:rPr>
        <w:t>criteria</w:t>
      </w:r>
      <w:r>
        <w:rPr>
          <w:spacing w:val="-6"/>
          <w:sz w:val="24"/>
        </w:rPr>
        <w:t xml:space="preserve"> </w:t>
      </w:r>
      <w:r>
        <w:rPr>
          <w:sz w:val="24"/>
        </w:rPr>
        <w:t>for</w:t>
      </w:r>
      <w:r>
        <w:rPr>
          <w:spacing w:val="-4"/>
          <w:sz w:val="24"/>
        </w:rPr>
        <w:t xml:space="preserve"> </w:t>
      </w:r>
      <w:r>
        <w:rPr>
          <w:sz w:val="24"/>
        </w:rPr>
        <w:t>reliable</w:t>
      </w:r>
      <w:r>
        <w:rPr>
          <w:spacing w:val="-5"/>
          <w:sz w:val="24"/>
        </w:rPr>
        <w:t xml:space="preserve"> </w:t>
      </w:r>
      <w:r>
        <w:rPr>
          <w:sz w:val="24"/>
        </w:rPr>
        <w:t>and</w:t>
      </w:r>
      <w:r>
        <w:rPr>
          <w:spacing w:val="-5"/>
          <w:sz w:val="24"/>
        </w:rPr>
        <w:t xml:space="preserve"> </w:t>
      </w:r>
      <w:r>
        <w:rPr>
          <w:sz w:val="24"/>
        </w:rPr>
        <w:t>precise</w:t>
      </w:r>
      <w:r>
        <w:rPr>
          <w:spacing w:val="-5"/>
          <w:sz w:val="24"/>
        </w:rPr>
        <w:t xml:space="preserve"> </w:t>
      </w:r>
      <w:r>
        <w:rPr>
          <w:sz w:val="24"/>
        </w:rPr>
        <w:t>analysis.</w:t>
      </w:r>
      <w:r>
        <w:rPr>
          <w:spacing w:val="-5"/>
          <w:sz w:val="24"/>
        </w:rPr>
        <w:t xml:space="preserve"> </w:t>
      </w:r>
      <w:r>
        <w:rPr>
          <w:sz w:val="24"/>
        </w:rPr>
        <w:t>As</w:t>
      </w:r>
      <w:r>
        <w:rPr>
          <w:spacing w:val="-5"/>
          <w:sz w:val="24"/>
        </w:rPr>
        <w:t xml:space="preserve"> </w:t>
      </w:r>
      <w:r>
        <w:rPr>
          <w:sz w:val="24"/>
        </w:rPr>
        <w:t>presented</w:t>
      </w:r>
      <w:r>
        <w:rPr>
          <w:spacing w:val="-5"/>
          <w:sz w:val="24"/>
        </w:rPr>
        <w:t xml:space="preserve"> </w:t>
      </w:r>
      <w:r>
        <w:rPr>
          <w:sz w:val="24"/>
        </w:rPr>
        <w:t>in</w:t>
      </w:r>
      <w:r>
        <w:rPr>
          <w:spacing w:val="-4"/>
          <w:sz w:val="24"/>
        </w:rPr>
        <w:t xml:space="preserve"> </w:t>
      </w:r>
      <w:r>
        <w:rPr>
          <w:sz w:val="24"/>
        </w:rPr>
        <w:t>Table</w:t>
      </w:r>
      <w:r>
        <w:rPr>
          <w:spacing w:val="-5"/>
          <w:sz w:val="24"/>
        </w:rPr>
        <w:t xml:space="preserve"> </w:t>
      </w:r>
      <w:r>
        <w:rPr>
          <w:sz w:val="24"/>
        </w:rPr>
        <w:t>1,</w:t>
      </w:r>
      <w:r>
        <w:rPr>
          <w:spacing w:val="-5"/>
          <w:sz w:val="24"/>
        </w:rPr>
        <w:t xml:space="preserve"> </w:t>
      </w:r>
      <w:r>
        <w:rPr>
          <w:sz w:val="24"/>
        </w:rPr>
        <w:t>a</w:t>
      </w:r>
      <w:r>
        <w:rPr>
          <w:spacing w:val="-6"/>
          <w:sz w:val="24"/>
        </w:rPr>
        <w:t xml:space="preserve"> </w:t>
      </w:r>
      <w:r>
        <w:rPr>
          <w:sz w:val="24"/>
        </w:rPr>
        <w:t>high</w:t>
      </w:r>
      <w:r>
        <w:rPr>
          <w:spacing w:val="-4"/>
          <w:sz w:val="24"/>
        </w:rPr>
        <w:t xml:space="preserve"> </w:t>
      </w:r>
      <w:r>
        <w:rPr>
          <w:sz w:val="24"/>
        </w:rPr>
        <w:t>level of</w:t>
      </w:r>
      <w:r>
        <w:rPr>
          <w:spacing w:val="-2"/>
          <w:sz w:val="24"/>
        </w:rPr>
        <w:t xml:space="preserve"> </w:t>
      </w:r>
      <w:r>
        <w:rPr>
          <w:sz w:val="24"/>
        </w:rPr>
        <w:t>participation</w:t>
      </w:r>
      <w:r>
        <w:rPr>
          <w:spacing w:val="-2"/>
          <w:sz w:val="24"/>
        </w:rPr>
        <w:t xml:space="preserve"> </w:t>
      </w:r>
      <w:r>
        <w:rPr>
          <w:sz w:val="24"/>
        </w:rPr>
        <w:t>not</w:t>
      </w:r>
      <w:r>
        <w:rPr>
          <w:spacing w:val="-2"/>
          <w:sz w:val="24"/>
        </w:rPr>
        <w:t xml:space="preserve"> </w:t>
      </w:r>
      <w:r>
        <w:rPr>
          <w:sz w:val="24"/>
        </w:rPr>
        <w:t>only</w:t>
      </w:r>
      <w:r>
        <w:rPr>
          <w:spacing w:val="-2"/>
          <w:sz w:val="24"/>
        </w:rPr>
        <w:t xml:space="preserve"> </w:t>
      </w:r>
      <w:r>
        <w:rPr>
          <w:sz w:val="24"/>
        </w:rPr>
        <w:t>enhances</w:t>
      </w:r>
      <w:r>
        <w:rPr>
          <w:spacing w:val="-3"/>
          <w:sz w:val="24"/>
        </w:rPr>
        <w:t xml:space="preserve"> </w:t>
      </w:r>
      <w:r>
        <w:rPr>
          <w:sz w:val="24"/>
        </w:rPr>
        <w:t>the</w:t>
      </w:r>
      <w:r>
        <w:rPr>
          <w:spacing w:val="-2"/>
          <w:sz w:val="24"/>
        </w:rPr>
        <w:t xml:space="preserve"> </w:t>
      </w:r>
      <w:r>
        <w:rPr>
          <w:sz w:val="24"/>
        </w:rPr>
        <w:t>credibility</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findings</w:t>
      </w:r>
      <w:r>
        <w:rPr>
          <w:spacing w:val="-3"/>
          <w:sz w:val="24"/>
        </w:rPr>
        <w:t xml:space="preserve"> </w:t>
      </w:r>
      <w:r>
        <w:rPr>
          <w:sz w:val="24"/>
        </w:rPr>
        <w:t>but</w:t>
      </w:r>
      <w:r>
        <w:rPr>
          <w:spacing w:val="-2"/>
          <w:sz w:val="24"/>
        </w:rPr>
        <w:t xml:space="preserve"> </w:t>
      </w:r>
      <w:r>
        <w:rPr>
          <w:sz w:val="24"/>
        </w:rPr>
        <w:t>also</w:t>
      </w:r>
      <w:r>
        <w:rPr>
          <w:spacing w:val="-2"/>
          <w:sz w:val="24"/>
        </w:rPr>
        <w:t xml:space="preserve"> </w:t>
      </w:r>
      <w:r>
        <w:rPr>
          <w:sz w:val="24"/>
        </w:rPr>
        <w:t>ensures</w:t>
      </w:r>
      <w:r>
        <w:rPr>
          <w:spacing w:val="-3"/>
          <w:sz w:val="24"/>
        </w:rPr>
        <w:t xml:space="preserve"> </w:t>
      </w:r>
      <w:r>
        <w:rPr>
          <w:sz w:val="24"/>
        </w:rPr>
        <w:t>that</w:t>
      </w:r>
      <w:r>
        <w:rPr>
          <w:spacing w:val="-2"/>
          <w:sz w:val="24"/>
        </w:rPr>
        <w:t xml:space="preserve"> </w:t>
      </w:r>
      <w:r>
        <w:rPr>
          <w:sz w:val="24"/>
        </w:rPr>
        <w:t>the</w:t>
      </w:r>
      <w:r>
        <w:rPr>
          <w:spacing w:val="-3"/>
          <w:sz w:val="24"/>
        </w:rPr>
        <w:t xml:space="preserve"> </w:t>
      </w:r>
      <w:r>
        <w:rPr>
          <w:sz w:val="24"/>
        </w:rPr>
        <w:t>collected</w:t>
      </w:r>
      <w:r>
        <w:rPr>
          <w:spacing w:val="-1"/>
          <w:sz w:val="24"/>
        </w:rPr>
        <w:t xml:space="preserve"> </w:t>
      </w:r>
      <w:r>
        <w:rPr>
          <w:sz w:val="24"/>
        </w:rPr>
        <w:t>data</w:t>
      </w:r>
      <w:r>
        <w:rPr>
          <w:spacing w:val="-2"/>
          <w:sz w:val="24"/>
        </w:rPr>
        <w:t xml:space="preserve"> </w:t>
      </w:r>
      <w:r>
        <w:rPr>
          <w:sz w:val="24"/>
        </w:rPr>
        <w:t>is sufficiently representative of the target population, thereby strengthening the generalizability and robustness of the study outcomes.</w:t>
      </w:r>
    </w:p>
    <w:p w:rsidR="00487D64" w:rsidRDefault="00487D64">
      <w:pPr>
        <w:spacing w:line="276" w:lineRule="auto"/>
        <w:jc w:val="both"/>
        <w:rPr>
          <w:sz w:val="24"/>
        </w:rPr>
        <w:sectPr w:rsidR="00487D64">
          <w:pgSz w:w="11910" w:h="16840"/>
          <w:pgMar w:top="1680" w:right="563" w:bottom="800" w:left="850" w:header="677" w:footer="608" w:gutter="0"/>
          <w:cols w:space="720"/>
        </w:sectPr>
      </w:pPr>
    </w:p>
    <w:p w:rsidR="00487D64" w:rsidRDefault="006F0D93">
      <w:pPr>
        <w:spacing w:before="254" w:after="42"/>
        <w:ind w:left="71" w:right="355"/>
        <w:jc w:val="center"/>
        <w:rPr>
          <w:b/>
          <w:sz w:val="24"/>
        </w:rPr>
      </w:pPr>
      <w:r>
        <w:rPr>
          <w:b/>
          <w:sz w:val="24"/>
        </w:rPr>
        <w:lastRenderedPageBreak/>
        <w:t>Table</w:t>
      </w:r>
      <w:r>
        <w:rPr>
          <w:b/>
          <w:spacing w:val="-3"/>
          <w:sz w:val="24"/>
        </w:rPr>
        <w:t xml:space="preserve"> </w:t>
      </w:r>
      <w:r>
        <w:rPr>
          <w:b/>
          <w:sz w:val="24"/>
        </w:rPr>
        <w:t>1:</w:t>
      </w:r>
      <w:r>
        <w:rPr>
          <w:b/>
          <w:spacing w:val="-3"/>
          <w:sz w:val="24"/>
        </w:rPr>
        <w:t xml:space="preserve"> </w:t>
      </w:r>
      <w:r>
        <w:rPr>
          <w:b/>
          <w:sz w:val="24"/>
        </w:rPr>
        <w:t>Respondent</w:t>
      </w:r>
      <w:r>
        <w:rPr>
          <w:b/>
          <w:spacing w:val="-2"/>
          <w:sz w:val="24"/>
        </w:rPr>
        <w:t xml:space="preserve"> </w:t>
      </w:r>
      <w:r>
        <w:rPr>
          <w:b/>
          <w:spacing w:val="-4"/>
          <w:sz w:val="24"/>
        </w:rPr>
        <w:t>rate</w:t>
      </w: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3"/>
        <w:gridCol w:w="3687"/>
        <w:gridCol w:w="2545"/>
      </w:tblGrid>
      <w:tr w:rsidR="00487D64">
        <w:trPr>
          <w:trHeight w:val="318"/>
        </w:trPr>
        <w:tc>
          <w:tcPr>
            <w:tcW w:w="3853" w:type="dxa"/>
          </w:tcPr>
          <w:p w:rsidR="00487D64" w:rsidRDefault="006F0D93">
            <w:pPr>
              <w:pStyle w:val="TableParagraph"/>
              <w:spacing w:line="275" w:lineRule="exact"/>
              <w:ind w:left="107"/>
              <w:rPr>
                <w:b/>
                <w:sz w:val="24"/>
              </w:rPr>
            </w:pPr>
            <w:r>
              <w:rPr>
                <w:b/>
                <w:sz w:val="24"/>
              </w:rPr>
              <w:t>Type</w:t>
            </w:r>
            <w:r>
              <w:rPr>
                <w:b/>
                <w:spacing w:val="-2"/>
                <w:sz w:val="24"/>
              </w:rPr>
              <w:t xml:space="preserve"> </w:t>
            </w:r>
            <w:r>
              <w:rPr>
                <w:b/>
                <w:sz w:val="24"/>
              </w:rPr>
              <w:t xml:space="preserve">of </w:t>
            </w:r>
            <w:r>
              <w:rPr>
                <w:b/>
                <w:spacing w:val="-2"/>
                <w:sz w:val="24"/>
              </w:rPr>
              <w:t>Respondent</w:t>
            </w:r>
          </w:p>
        </w:tc>
        <w:tc>
          <w:tcPr>
            <w:tcW w:w="3687" w:type="dxa"/>
          </w:tcPr>
          <w:p w:rsidR="00487D64" w:rsidRDefault="006F0D93">
            <w:pPr>
              <w:pStyle w:val="TableParagraph"/>
              <w:tabs>
                <w:tab w:val="left" w:pos="2492"/>
              </w:tabs>
              <w:spacing w:line="275" w:lineRule="exact"/>
              <w:ind w:left="107"/>
              <w:rPr>
                <w:b/>
                <w:sz w:val="24"/>
              </w:rPr>
            </w:pPr>
            <w:r>
              <w:rPr>
                <w:b/>
                <w:spacing w:val="-2"/>
                <w:sz w:val="24"/>
              </w:rPr>
              <w:t>Expected</w:t>
            </w:r>
            <w:r>
              <w:rPr>
                <w:b/>
                <w:sz w:val="24"/>
              </w:rPr>
              <w:tab/>
            </w:r>
            <w:r>
              <w:rPr>
                <w:b/>
                <w:spacing w:val="-2"/>
                <w:sz w:val="24"/>
              </w:rPr>
              <w:t>Actual</w:t>
            </w:r>
          </w:p>
        </w:tc>
        <w:tc>
          <w:tcPr>
            <w:tcW w:w="2545" w:type="dxa"/>
          </w:tcPr>
          <w:p w:rsidR="00487D64" w:rsidRDefault="006F0D93">
            <w:pPr>
              <w:pStyle w:val="TableParagraph"/>
              <w:spacing w:line="275" w:lineRule="exact"/>
              <w:ind w:left="107"/>
              <w:rPr>
                <w:b/>
                <w:sz w:val="24"/>
              </w:rPr>
            </w:pPr>
            <w:r>
              <w:rPr>
                <w:b/>
                <w:spacing w:val="-2"/>
                <w:sz w:val="24"/>
              </w:rPr>
              <w:t>Percent</w:t>
            </w:r>
          </w:p>
        </w:tc>
      </w:tr>
      <w:tr w:rsidR="00487D64">
        <w:trPr>
          <w:trHeight w:val="633"/>
        </w:trPr>
        <w:tc>
          <w:tcPr>
            <w:tcW w:w="3853" w:type="dxa"/>
          </w:tcPr>
          <w:p w:rsidR="00487D64" w:rsidRDefault="006F0D93">
            <w:pPr>
              <w:pStyle w:val="TableParagraph"/>
              <w:spacing w:line="275" w:lineRule="exact"/>
              <w:ind w:left="107"/>
              <w:rPr>
                <w:sz w:val="24"/>
              </w:rPr>
            </w:pPr>
            <w:r>
              <w:rPr>
                <w:sz w:val="24"/>
              </w:rPr>
              <w:t>Representatives</w:t>
            </w:r>
            <w:r>
              <w:rPr>
                <w:spacing w:val="-4"/>
                <w:sz w:val="24"/>
              </w:rPr>
              <w:t xml:space="preserve"> </w:t>
            </w:r>
            <w:r>
              <w:rPr>
                <w:sz w:val="24"/>
              </w:rPr>
              <w:t>of</w:t>
            </w:r>
            <w:r>
              <w:rPr>
                <w:spacing w:val="-4"/>
                <w:sz w:val="24"/>
              </w:rPr>
              <w:t xml:space="preserve"> </w:t>
            </w:r>
            <w:r>
              <w:rPr>
                <w:sz w:val="24"/>
              </w:rPr>
              <w:t>Registered</w:t>
            </w:r>
            <w:r>
              <w:rPr>
                <w:spacing w:val="-3"/>
                <w:sz w:val="24"/>
              </w:rPr>
              <w:t xml:space="preserve"> </w:t>
            </w:r>
            <w:r>
              <w:rPr>
                <w:spacing w:val="-2"/>
                <w:sz w:val="24"/>
              </w:rPr>
              <w:t>Special</w:t>
            </w:r>
          </w:p>
          <w:p w:rsidR="00487D64" w:rsidRDefault="006F0D93">
            <w:pPr>
              <w:pStyle w:val="TableParagraph"/>
              <w:spacing w:before="41"/>
              <w:ind w:left="107"/>
              <w:rPr>
                <w:sz w:val="24"/>
              </w:rPr>
            </w:pPr>
            <w:r>
              <w:rPr>
                <w:spacing w:val="-2"/>
                <w:sz w:val="24"/>
              </w:rPr>
              <w:t>Groups</w:t>
            </w:r>
          </w:p>
        </w:tc>
        <w:tc>
          <w:tcPr>
            <w:tcW w:w="3687" w:type="dxa"/>
          </w:tcPr>
          <w:p w:rsidR="00487D64" w:rsidRDefault="006F0D93">
            <w:pPr>
              <w:pStyle w:val="TableParagraph"/>
              <w:tabs>
                <w:tab w:val="left" w:pos="2267"/>
              </w:tabs>
              <w:spacing w:before="157"/>
              <w:ind w:left="107"/>
              <w:rPr>
                <w:sz w:val="24"/>
              </w:rPr>
            </w:pPr>
            <w:r>
              <w:rPr>
                <w:spacing w:val="-5"/>
                <w:sz w:val="24"/>
              </w:rPr>
              <w:t>503</w:t>
            </w:r>
            <w:r>
              <w:rPr>
                <w:sz w:val="24"/>
              </w:rPr>
              <w:tab/>
            </w:r>
            <w:r>
              <w:rPr>
                <w:spacing w:val="-5"/>
                <w:sz w:val="24"/>
              </w:rPr>
              <w:t>393</w:t>
            </w:r>
          </w:p>
        </w:tc>
        <w:tc>
          <w:tcPr>
            <w:tcW w:w="2545" w:type="dxa"/>
          </w:tcPr>
          <w:p w:rsidR="00487D64" w:rsidRDefault="006F0D93">
            <w:pPr>
              <w:pStyle w:val="TableParagraph"/>
              <w:spacing w:before="157"/>
              <w:ind w:left="107"/>
              <w:rPr>
                <w:sz w:val="24"/>
              </w:rPr>
            </w:pPr>
            <w:r>
              <w:rPr>
                <w:spacing w:val="-2"/>
                <w:sz w:val="24"/>
              </w:rPr>
              <w:t>78.13</w:t>
            </w:r>
          </w:p>
        </w:tc>
      </w:tr>
    </w:tbl>
    <w:p w:rsidR="00487D64" w:rsidRDefault="006F0D93">
      <w:pPr>
        <w:ind w:left="70" w:right="355"/>
        <w:jc w:val="center"/>
        <w:rPr>
          <w:b/>
          <w:sz w:val="24"/>
        </w:rPr>
      </w:pPr>
      <w:r>
        <w:rPr>
          <w:b/>
          <w:sz w:val="24"/>
        </w:rPr>
        <w:t>Source:</w:t>
      </w:r>
      <w:r>
        <w:rPr>
          <w:b/>
          <w:spacing w:val="-3"/>
          <w:sz w:val="24"/>
        </w:rPr>
        <w:t xml:space="preserve"> </w:t>
      </w:r>
      <w:r>
        <w:rPr>
          <w:b/>
          <w:sz w:val="24"/>
        </w:rPr>
        <w:t>Data</w:t>
      </w:r>
      <w:r>
        <w:rPr>
          <w:b/>
          <w:spacing w:val="-2"/>
          <w:sz w:val="24"/>
        </w:rPr>
        <w:t xml:space="preserve"> </w:t>
      </w:r>
      <w:r>
        <w:rPr>
          <w:b/>
          <w:sz w:val="24"/>
        </w:rPr>
        <w:t>analysis</w:t>
      </w:r>
      <w:r>
        <w:rPr>
          <w:b/>
          <w:spacing w:val="-2"/>
          <w:sz w:val="24"/>
        </w:rPr>
        <w:t xml:space="preserve"> (2025)</w:t>
      </w:r>
    </w:p>
    <w:p w:rsidR="00487D64" w:rsidRDefault="00487D64">
      <w:pPr>
        <w:pStyle w:val="BodyText"/>
        <w:spacing w:before="83"/>
        <w:rPr>
          <w:b/>
          <w:sz w:val="24"/>
        </w:rPr>
      </w:pPr>
    </w:p>
    <w:p w:rsidR="00487D64" w:rsidRDefault="006F0D93">
      <w:pPr>
        <w:ind w:left="57"/>
        <w:jc w:val="both"/>
        <w:rPr>
          <w:b/>
          <w:sz w:val="24"/>
        </w:rPr>
      </w:pPr>
      <w:r>
        <w:rPr>
          <w:b/>
          <w:sz w:val="24"/>
        </w:rPr>
        <w:t>Reflective</w:t>
      </w:r>
      <w:r>
        <w:rPr>
          <w:b/>
          <w:spacing w:val="-6"/>
          <w:sz w:val="24"/>
        </w:rPr>
        <w:t xml:space="preserve"> </w:t>
      </w:r>
      <w:r>
        <w:rPr>
          <w:b/>
          <w:sz w:val="24"/>
        </w:rPr>
        <w:t>Measurement</w:t>
      </w:r>
      <w:r>
        <w:rPr>
          <w:b/>
          <w:spacing w:val="-3"/>
          <w:sz w:val="24"/>
        </w:rPr>
        <w:t xml:space="preserve"> </w:t>
      </w:r>
      <w:r>
        <w:rPr>
          <w:b/>
          <w:spacing w:val="-2"/>
          <w:sz w:val="24"/>
        </w:rPr>
        <w:t>Models</w:t>
      </w:r>
    </w:p>
    <w:p w:rsidR="00487D64" w:rsidRDefault="006F0D93">
      <w:pPr>
        <w:spacing w:before="41" w:line="276" w:lineRule="auto"/>
        <w:ind w:left="57" w:right="340"/>
        <w:jc w:val="both"/>
        <w:rPr>
          <w:sz w:val="24"/>
        </w:rPr>
      </w:pPr>
      <w:r>
        <w:rPr>
          <w:noProof/>
          <w:sz w:val="24"/>
        </w:rPr>
        <w:drawing>
          <wp:anchor distT="0" distB="0" distL="0" distR="0" simplePos="0" relativeHeight="15736320" behindDoc="0" locked="0" layoutInCell="1" allowOverlap="1">
            <wp:simplePos x="0" y="0"/>
            <wp:positionH relativeFrom="page">
              <wp:posOffset>1327530</wp:posOffset>
            </wp:positionH>
            <wp:positionV relativeFrom="paragraph">
              <wp:posOffset>2042966</wp:posOffset>
            </wp:positionV>
            <wp:extent cx="4904994" cy="291337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6" cstate="print"/>
                    <a:stretch>
                      <a:fillRect/>
                    </a:stretch>
                  </pic:blipFill>
                  <pic:spPr>
                    <a:xfrm>
                      <a:off x="0" y="0"/>
                      <a:ext cx="4904994" cy="2913379"/>
                    </a:xfrm>
                    <a:prstGeom prst="rect">
                      <a:avLst/>
                    </a:prstGeom>
                  </pic:spPr>
                </pic:pic>
              </a:graphicData>
            </a:graphic>
          </wp:anchor>
        </w:drawing>
      </w:r>
      <w:r>
        <w:rPr>
          <w:sz w:val="24"/>
        </w:rPr>
        <w:t>The initial phase in evaluating the reflective measurement model involves assessing indicator reliability through standardized factor loadings. Hair et al. (2019) recommend a threshold of 0.70, which suggests that the latent construct accounts for at least</w:t>
      </w:r>
      <w:r>
        <w:rPr>
          <w:sz w:val="24"/>
        </w:rPr>
        <w:t xml:space="preserve"> 50% of the indicator’s variance, thereby confirming acceptable item reliability. As demonstrated in Figure 1, the majority of the indicators met or exceeded this</w:t>
      </w:r>
      <w:r>
        <w:rPr>
          <w:spacing w:val="-1"/>
          <w:sz w:val="24"/>
        </w:rPr>
        <w:t xml:space="preserve"> </w:t>
      </w:r>
      <w:r>
        <w:rPr>
          <w:sz w:val="24"/>
        </w:rPr>
        <w:t>threshold,</w:t>
      </w:r>
      <w:r>
        <w:rPr>
          <w:spacing w:val="-1"/>
          <w:sz w:val="24"/>
        </w:rPr>
        <w:t xml:space="preserve"> </w:t>
      </w:r>
      <w:r>
        <w:rPr>
          <w:sz w:val="24"/>
        </w:rPr>
        <w:t>affirming</w:t>
      </w:r>
      <w:r>
        <w:rPr>
          <w:spacing w:val="-3"/>
          <w:sz w:val="24"/>
        </w:rPr>
        <w:t xml:space="preserve"> </w:t>
      </w:r>
      <w:r>
        <w:rPr>
          <w:sz w:val="24"/>
        </w:rPr>
        <w:t>their</w:t>
      </w:r>
      <w:r>
        <w:rPr>
          <w:spacing w:val="-2"/>
          <w:sz w:val="24"/>
        </w:rPr>
        <w:t xml:space="preserve"> </w:t>
      </w:r>
      <w:r>
        <w:rPr>
          <w:sz w:val="24"/>
        </w:rPr>
        <w:t>reliability.</w:t>
      </w:r>
      <w:r>
        <w:rPr>
          <w:spacing w:val="-1"/>
          <w:sz w:val="24"/>
        </w:rPr>
        <w:t xml:space="preserve"> </w:t>
      </w:r>
      <w:r>
        <w:rPr>
          <w:sz w:val="24"/>
        </w:rPr>
        <w:t>One</w:t>
      </w:r>
      <w:r>
        <w:rPr>
          <w:spacing w:val="-3"/>
          <w:sz w:val="24"/>
        </w:rPr>
        <w:t xml:space="preserve"> </w:t>
      </w:r>
      <w:r>
        <w:rPr>
          <w:sz w:val="24"/>
        </w:rPr>
        <w:t>exception</w:t>
      </w:r>
      <w:r>
        <w:rPr>
          <w:spacing w:val="-1"/>
          <w:sz w:val="24"/>
        </w:rPr>
        <w:t xml:space="preserve"> </w:t>
      </w:r>
      <w:r>
        <w:rPr>
          <w:sz w:val="24"/>
        </w:rPr>
        <w:t>was</w:t>
      </w:r>
      <w:r>
        <w:rPr>
          <w:spacing w:val="-1"/>
          <w:sz w:val="24"/>
        </w:rPr>
        <w:t xml:space="preserve"> </w:t>
      </w:r>
      <w:r>
        <w:rPr>
          <w:sz w:val="24"/>
        </w:rPr>
        <w:t>the</w:t>
      </w:r>
      <w:r>
        <w:rPr>
          <w:spacing w:val="-2"/>
          <w:sz w:val="24"/>
        </w:rPr>
        <w:t xml:space="preserve"> </w:t>
      </w:r>
      <w:r>
        <w:rPr>
          <w:sz w:val="24"/>
        </w:rPr>
        <w:t>indicator</w:t>
      </w:r>
      <w:r>
        <w:rPr>
          <w:spacing w:val="-2"/>
          <w:sz w:val="24"/>
        </w:rPr>
        <w:t xml:space="preserve"> </w:t>
      </w:r>
      <w:r>
        <w:rPr>
          <w:sz w:val="24"/>
        </w:rPr>
        <w:t>SFC,</w:t>
      </w:r>
      <w:r>
        <w:rPr>
          <w:spacing w:val="-1"/>
          <w:sz w:val="24"/>
        </w:rPr>
        <w:t xml:space="preserve"> </w:t>
      </w:r>
      <w:r>
        <w:rPr>
          <w:sz w:val="24"/>
        </w:rPr>
        <w:t>which</w:t>
      </w:r>
      <w:r>
        <w:rPr>
          <w:spacing w:val="-1"/>
          <w:sz w:val="24"/>
        </w:rPr>
        <w:t xml:space="preserve"> </w:t>
      </w:r>
      <w:r>
        <w:rPr>
          <w:sz w:val="24"/>
        </w:rPr>
        <w:t>recorded</w:t>
      </w:r>
      <w:r>
        <w:rPr>
          <w:spacing w:val="-1"/>
          <w:sz w:val="24"/>
        </w:rPr>
        <w:t xml:space="preserve"> </w:t>
      </w:r>
      <w:r>
        <w:rPr>
          <w:sz w:val="24"/>
        </w:rPr>
        <w:t>a</w:t>
      </w:r>
      <w:r>
        <w:rPr>
          <w:sz w:val="24"/>
        </w:rPr>
        <w:t xml:space="preserve"> loading of 0.494. Although this value falls below the recommended cutoff, the indicator was retained based on theoretical justification and the overall adequacy of the construct’s composite reliability and average variance</w:t>
      </w:r>
      <w:r>
        <w:rPr>
          <w:spacing w:val="-4"/>
          <w:sz w:val="24"/>
        </w:rPr>
        <w:t xml:space="preserve"> </w:t>
      </w:r>
      <w:r>
        <w:rPr>
          <w:sz w:val="24"/>
        </w:rPr>
        <w:t>extracted</w:t>
      </w:r>
      <w:r>
        <w:rPr>
          <w:spacing w:val="-3"/>
          <w:sz w:val="24"/>
        </w:rPr>
        <w:t xml:space="preserve"> </w:t>
      </w:r>
      <w:r>
        <w:rPr>
          <w:sz w:val="24"/>
        </w:rPr>
        <w:t>(AVE).</w:t>
      </w:r>
      <w:r>
        <w:rPr>
          <w:spacing w:val="-3"/>
          <w:sz w:val="24"/>
        </w:rPr>
        <w:t xml:space="preserve"> </w:t>
      </w:r>
      <w:r>
        <w:rPr>
          <w:sz w:val="24"/>
        </w:rPr>
        <w:t>Its</w:t>
      </w:r>
      <w:r>
        <w:rPr>
          <w:spacing w:val="-4"/>
          <w:sz w:val="24"/>
        </w:rPr>
        <w:t xml:space="preserve"> </w:t>
      </w:r>
      <w:r>
        <w:rPr>
          <w:sz w:val="24"/>
        </w:rPr>
        <w:t>removal</w:t>
      </w:r>
      <w:r>
        <w:rPr>
          <w:spacing w:val="-3"/>
          <w:sz w:val="24"/>
        </w:rPr>
        <w:t xml:space="preserve"> </w:t>
      </w:r>
      <w:r>
        <w:rPr>
          <w:sz w:val="24"/>
        </w:rPr>
        <w:t>wou</w:t>
      </w:r>
      <w:r>
        <w:rPr>
          <w:sz w:val="24"/>
        </w:rPr>
        <w:t>ld</w:t>
      </w:r>
      <w:r>
        <w:rPr>
          <w:spacing w:val="-3"/>
          <w:sz w:val="24"/>
        </w:rPr>
        <w:t xml:space="preserve"> </w:t>
      </w:r>
      <w:r>
        <w:rPr>
          <w:sz w:val="24"/>
        </w:rPr>
        <w:t>not</w:t>
      </w:r>
      <w:r>
        <w:rPr>
          <w:spacing w:val="-3"/>
          <w:sz w:val="24"/>
        </w:rPr>
        <w:t xml:space="preserve"> </w:t>
      </w:r>
      <w:r>
        <w:rPr>
          <w:sz w:val="24"/>
        </w:rPr>
        <w:t>substantively</w:t>
      </w:r>
      <w:r>
        <w:rPr>
          <w:spacing w:val="-3"/>
          <w:sz w:val="24"/>
        </w:rPr>
        <w:t xml:space="preserve"> </w:t>
      </w:r>
      <w:r>
        <w:rPr>
          <w:sz w:val="24"/>
        </w:rPr>
        <w:t>enhance</w:t>
      </w:r>
      <w:r>
        <w:rPr>
          <w:spacing w:val="-4"/>
          <w:sz w:val="24"/>
        </w:rPr>
        <w:t xml:space="preserve"> </w:t>
      </w:r>
      <w:r>
        <w:rPr>
          <w:sz w:val="24"/>
        </w:rPr>
        <w:t>model</w:t>
      </w:r>
      <w:r>
        <w:rPr>
          <w:spacing w:val="-3"/>
          <w:sz w:val="24"/>
        </w:rPr>
        <w:t xml:space="preserve"> </w:t>
      </w:r>
      <w:r>
        <w:rPr>
          <w:sz w:val="24"/>
        </w:rPr>
        <w:t>validity</w:t>
      </w:r>
      <w:r>
        <w:rPr>
          <w:spacing w:val="-3"/>
          <w:sz w:val="24"/>
        </w:rPr>
        <w:t xml:space="preserve"> </w:t>
      </w:r>
      <w:r>
        <w:rPr>
          <w:sz w:val="24"/>
        </w:rPr>
        <w:t>or</w:t>
      </w:r>
      <w:r>
        <w:rPr>
          <w:spacing w:val="-3"/>
          <w:sz w:val="24"/>
        </w:rPr>
        <w:t xml:space="preserve"> </w:t>
      </w:r>
      <w:r>
        <w:rPr>
          <w:sz w:val="24"/>
        </w:rPr>
        <w:t>reliability,</w:t>
      </w:r>
      <w:r>
        <w:rPr>
          <w:spacing w:val="-3"/>
          <w:sz w:val="24"/>
        </w:rPr>
        <w:t xml:space="preserve"> </w:t>
      </w:r>
      <w:r>
        <w:rPr>
          <w:sz w:val="24"/>
        </w:rPr>
        <w:t>thus supporting its inclusion.</w:t>
      </w: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rPr>
          <w:sz w:val="24"/>
        </w:rPr>
      </w:pPr>
    </w:p>
    <w:p w:rsidR="00487D64" w:rsidRDefault="00487D64">
      <w:pPr>
        <w:pStyle w:val="BodyText"/>
        <w:spacing w:before="240"/>
        <w:rPr>
          <w:sz w:val="24"/>
        </w:rPr>
      </w:pPr>
    </w:p>
    <w:p w:rsidR="00487D64" w:rsidRDefault="006F0D93">
      <w:pPr>
        <w:spacing w:line="570" w:lineRule="atLeast"/>
        <w:ind w:left="57" w:right="3424" w:firstLine="3080"/>
        <w:jc w:val="both"/>
        <w:rPr>
          <w:b/>
          <w:sz w:val="24"/>
        </w:rPr>
      </w:pPr>
      <w:r>
        <w:rPr>
          <w:b/>
          <w:sz w:val="24"/>
        </w:rPr>
        <w:t>Figure</w:t>
      </w:r>
      <w:r>
        <w:rPr>
          <w:b/>
          <w:spacing w:val="-10"/>
          <w:sz w:val="24"/>
        </w:rPr>
        <w:t xml:space="preserve"> </w:t>
      </w:r>
      <w:r>
        <w:rPr>
          <w:b/>
          <w:sz w:val="24"/>
        </w:rPr>
        <w:t>1:</w:t>
      </w:r>
      <w:r>
        <w:rPr>
          <w:b/>
          <w:spacing w:val="-9"/>
          <w:sz w:val="24"/>
        </w:rPr>
        <w:t xml:space="preserve"> </w:t>
      </w:r>
      <w:r>
        <w:rPr>
          <w:b/>
          <w:sz w:val="24"/>
        </w:rPr>
        <w:t>Measurement</w:t>
      </w:r>
      <w:r>
        <w:rPr>
          <w:b/>
          <w:spacing w:val="-9"/>
          <w:sz w:val="24"/>
        </w:rPr>
        <w:t xml:space="preserve"> </w:t>
      </w:r>
      <w:r>
        <w:rPr>
          <w:b/>
          <w:sz w:val="24"/>
        </w:rPr>
        <w:t>(Outer)</w:t>
      </w:r>
      <w:r>
        <w:rPr>
          <w:b/>
          <w:spacing w:val="-9"/>
          <w:sz w:val="24"/>
        </w:rPr>
        <w:t xml:space="preserve"> </w:t>
      </w:r>
      <w:r>
        <w:rPr>
          <w:b/>
          <w:sz w:val="24"/>
        </w:rPr>
        <w:t>model Internal Consistency Reliability</w:t>
      </w:r>
    </w:p>
    <w:p w:rsidR="00487D64" w:rsidRDefault="006F0D93">
      <w:pPr>
        <w:spacing w:before="43" w:line="276" w:lineRule="auto"/>
        <w:ind w:left="57" w:right="343"/>
        <w:jc w:val="both"/>
        <w:rPr>
          <w:sz w:val="24"/>
        </w:rPr>
      </w:pPr>
      <w:r>
        <w:rPr>
          <w:sz w:val="24"/>
        </w:rPr>
        <w:t>The</w:t>
      </w:r>
      <w:r>
        <w:rPr>
          <w:spacing w:val="-12"/>
          <w:sz w:val="24"/>
        </w:rPr>
        <w:t xml:space="preserve"> </w:t>
      </w:r>
      <w:r>
        <w:rPr>
          <w:sz w:val="24"/>
        </w:rPr>
        <w:t>internal</w:t>
      </w:r>
      <w:r>
        <w:rPr>
          <w:spacing w:val="-10"/>
          <w:sz w:val="24"/>
        </w:rPr>
        <w:t xml:space="preserve"> </w:t>
      </w:r>
      <w:r>
        <w:rPr>
          <w:sz w:val="24"/>
        </w:rPr>
        <w:t>consistency</w:t>
      </w:r>
      <w:r>
        <w:rPr>
          <w:spacing w:val="-8"/>
          <w:sz w:val="24"/>
        </w:rPr>
        <w:t xml:space="preserve"> </w:t>
      </w:r>
      <w:r>
        <w:rPr>
          <w:sz w:val="24"/>
        </w:rPr>
        <w:t>reliability,</w:t>
      </w:r>
      <w:r>
        <w:rPr>
          <w:spacing w:val="-11"/>
          <w:sz w:val="24"/>
        </w:rPr>
        <w:t xml:space="preserve"> </w:t>
      </w:r>
      <w:r>
        <w:rPr>
          <w:sz w:val="24"/>
        </w:rPr>
        <w:t>demonstrated</w:t>
      </w:r>
      <w:r>
        <w:rPr>
          <w:spacing w:val="-9"/>
          <w:sz w:val="24"/>
        </w:rPr>
        <w:t xml:space="preserve"> </w:t>
      </w:r>
      <w:r>
        <w:rPr>
          <w:sz w:val="24"/>
        </w:rPr>
        <w:t>strong</w:t>
      </w:r>
      <w:r>
        <w:rPr>
          <w:spacing w:val="-11"/>
          <w:sz w:val="24"/>
        </w:rPr>
        <w:t xml:space="preserve"> </w:t>
      </w:r>
      <w:r>
        <w:rPr>
          <w:sz w:val="24"/>
        </w:rPr>
        <w:t>and</w:t>
      </w:r>
      <w:r>
        <w:rPr>
          <w:spacing w:val="-11"/>
          <w:sz w:val="24"/>
        </w:rPr>
        <w:t xml:space="preserve"> </w:t>
      </w:r>
      <w:r>
        <w:rPr>
          <w:sz w:val="24"/>
        </w:rPr>
        <w:t>valid</w:t>
      </w:r>
      <w:r>
        <w:rPr>
          <w:spacing w:val="-11"/>
          <w:sz w:val="24"/>
        </w:rPr>
        <w:t xml:space="preserve"> </w:t>
      </w:r>
      <w:r>
        <w:rPr>
          <w:sz w:val="24"/>
        </w:rPr>
        <w:t>construct</w:t>
      </w:r>
      <w:r>
        <w:rPr>
          <w:spacing w:val="-10"/>
          <w:sz w:val="24"/>
        </w:rPr>
        <w:t xml:space="preserve"> </w:t>
      </w:r>
      <w:r>
        <w:rPr>
          <w:sz w:val="24"/>
        </w:rPr>
        <w:t>measurement</w:t>
      </w:r>
      <w:r>
        <w:rPr>
          <w:spacing w:val="-11"/>
          <w:sz w:val="24"/>
        </w:rPr>
        <w:t xml:space="preserve"> </w:t>
      </w:r>
      <w:r>
        <w:rPr>
          <w:sz w:val="24"/>
        </w:rPr>
        <w:t>with</w:t>
      </w:r>
      <w:r>
        <w:rPr>
          <w:spacing w:val="-10"/>
          <w:sz w:val="24"/>
        </w:rPr>
        <w:t xml:space="preserve"> </w:t>
      </w:r>
      <w:r>
        <w:rPr>
          <w:sz w:val="24"/>
        </w:rPr>
        <w:t>CR</w:t>
      </w:r>
      <w:r>
        <w:rPr>
          <w:spacing w:val="-10"/>
          <w:sz w:val="24"/>
        </w:rPr>
        <w:t xml:space="preserve"> </w:t>
      </w:r>
      <w:r>
        <w:rPr>
          <w:sz w:val="24"/>
        </w:rPr>
        <w:t>values between 0.827 and 0.946 and AVE above 0.50 for all constructs, while Strategic Flexibility’s slightly lower Cronbach’s Alpha of 0.693 remained acceptable within social science standards.</w:t>
      </w:r>
    </w:p>
    <w:p w:rsidR="00487D64" w:rsidRDefault="00487D64">
      <w:pPr>
        <w:pStyle w:val="BodyText"/>
        <w:spacing w:before="41"/>
        <w:rPr>
          <w:sz w:val="24"/>
        </w:rPr>
      </w:pPr>
    </w:p>
    <w:p w:rsidR="00487D64" w:rsidRDefault="006F0D93">
      <w:pPr>
        <w:spacing w:after="42"/>
        <w:ind w:left="72" w:right="355"/>
        <w:jc w:val="center"/>
        <w:rPr>
          <w:b/>
          <w:sz w:val="24"/>
        </w:rPr>
      </w:pPr>
      <w:r>
        <w:rPr>
          <w:b/>
          <w:sz w:val="24"/>
        </w:rPr>
        <w:t>Table</w:t>
      </w:r>
      <w:r>
        <w:rPr>
          <w:b/>
          <w:spacing w:val="-4"/>
          <w:sz w:val="24"/>
        </w:rPr>
        <w:t xml:space="preserve"> </w:t>
      </w:r>
      <w:r>
        <w:rPr>
          <w:b/>
          <w:sz w:val="24"/>
        </w:rPr>
        <w:t>2:</w:t>
      </w:r>
      <w:r>
        <w:rPr>
          <w:b/>
          <w:spacing w:val="-3"/>
          <w:sz w:val="24"/>
        </w:rPr>
        <w:t xml:space="preserve"> </w:t>
      </w:r>
      <w:r>
        <w:rPr>
          <w:b/>
          <w:sz w:val="24"/>
        </w:rPr>
        <w:t>Internal</w:t>
      </w:r>
      <w:r>
        <w:rPr>
          <w:b/>
          <w:spacing w:val="-3"/>
          <w:sz w:val="24"/>
        </w:rPr>
        <w:t xml:space="preserve"> </w:t>
      </w:r>
      <w:r>
        <w:rPr>
          <w:b/>
          <w:sz w:val="24"/>
        </w:rPr>
        <w:t>consistency</w:t>
      </w:r>
      <w:r>
        <w:rPr>
          <w:b/>
          <w:spacing w:val="-3"/>
          <w:sz w:val="24"/>
        </w:rPr>
        <w:t xml:space="preserve"> </w:t>
      </w:r>
      <w:r>
        <w:rPr>
          <w:b/>
          <w:spacing w:val="-2"/>
          <w:sz w:val="24"/>
        </w:rPr>
        <w:t>reliability</w:t>
      </w: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809"/>
        <w:gridCol w:w="2472"/>
        <w:gridCol w:w="2465"/>
        <w:gridCol w:w="2763"/>
      </w:tblGrid>
      <w:tr w:rsidR="00487D64">
        <w:trPr>
          <w:trHeight w:val="635"/>
        </w:trPr>
        <w:tc>
          <w:tcPr>
            <w:tcW w:w="574" w:type="dxa"/>
          </w:tcPr>
          <w:p w:rsidR="00487D64" w:rsidRDefault="00487D64">
            <w:pPr>
              <w:pStyle w:val="TableParagraph"/>
              <w:rPr>
                <w:sz w:val="24"/>
              </w:rPr>
            </w:pPr>
          </w:p>
        </w:tc>
        <w:tc>
          <w:tcPr>
            <w:tcW w:w="1809" w:type="dxa"/>
          </w:tcPr>
          <w:p w:rsidR="00487D64" w:rsidRDefault="006F0D93">
            <w:pPr>
              <w:pStyle w:val="TableParagraph"/>
              <w:spacing w:before="1"/>
              <w:ind w:left="119"/>
              <w:rPr>
                <w:b/>
                <w:sz w:val="24"/>
              </w:rPr>
            </w:pPr>
            <w:r>
              <w:rPr>
                <w:b/>
                <w:spacing w:val="-2"/>
                <w:sz w:val="24"/>
              </w:rPr>
              <w:t>Cronbach's</w:t>
            </w:r>
          </w:p>
          <w:p w:rsidR="00487D64" w:rsidRDefault="006F0D93">
            <w:pPr>
              <w:pStyle w:val="TableParagraph"/>
              <w:spacing w:before="41"/>
              <w:ind w:left="119"/>
              <w:rPr>
                <w:b/>
                <w:sz w:val="24"/>
              </w:rPr>
            </w:pPr>
            <w:r>
              <w:rPr>
                <w:b/>
                <w:spacing w:val="-2"/>
                <w:sz w:val="24"/>
              </w:rPr>
              <w:t>alpha</w:t>
            </w:r>
          </w:p>
        </w:tc>
        <w:tc>
          <w:tcPr>
            <w:tcW w:w="2472" w:type="dxa"/>
          </w:tcPr>
          <w:p w:rsidR="00487D64" w:rsidRDefault="006F0D93">
            <w:pPr>
              <w:pStyle w:val="TableParagraph"/>
              <w:spacing w:before="1"/>
              <w:ind w:left="120"/>
              <w:rPr>
                <w:b/>
                <w:sz w:val="24"/>
              </w:rPr>
            </w:pPr>
            <w:r>
              <w:rPr>
                <w:b/>
                <w:sz w:val="24"/>
              </w:rPr>
              <w:t>Composite</w:t>
            </w:r>
            <w:r>
              <w:rPr>
                <w:b/>
                <w:spacing w:val="76"/>
                <w:sz w:val="24"/>
              </w:rPr>
              <w:t xml:space="preserve"> </w:t>
            </w:r>
            <w:r>
              <w:rPr>
                <w:b/>
                <w:spacing w:val="-2"/>
                <w:sz w:val="24"/>
              </w:rPr>
              <w:t>reliability</w:t>
            </w:r>
          </w:p>
          <w:p w:rsidR="00487D64" w:rsidRDefault="006F0D93">
            <w:pPr>
              <w:pStyle w:val="TableParagraph"/>
              <w:spacing w:before="41"/>
              <w:ind w:left="120"/>
              <w:rPr>
                <w:b/>
                <w:sz w:val="24"/>
              </w:rPr>
            </w:pPr>
            <w:r>
              <w:rPr>
                <w:b/>
                <w:spacing w:val="-2"/>
                <w:sz w:val="24"/>
              </w:rPr>
              <w:t>(rho_a)</w:t>
            </w:r>
          </w:p>
        </w:tc>
        <w:tc>
          <w:tcPr>
            <w:tcW w:w="2465" w:type="dxa"/>
          </w:tcPr>
          <w:p w:rsidR="00487D64" w:rsidRDefault="006F0D93">
            <w:pPr>
              <w:pStyle w:val="TableParagraph"/>
              <w:spacing w:before="1"/>
              <w:ind w:left="121"/>
              <w:rPr>
                <w:b/>
                <w:sz w:val="24"/>
              </w:rPr>
            </w:pPr>
            <w:r>
              <w:rPr>
                <w:b/>
                <w:sz w:val="24"/>
              </w:rPr>
              <w:t>Composite</w:t>
            </w:r>
            <w:r>
              <w:rPr>
                <w:b/>
                <w:spacing w:val="70"/>
                <w:sz w:val="24"/>
              </w:rPr>
              <w:t xml:space="preserve"> </w:t>
            </w:r>
            <w:r>
              <w:rPr>
                <w:b/>
                <w:spacing w:val="-2"/>
                <w:sz w:val="24"/>
              </w:rPr>
              <w:t>reliability</w:t>
            </w:r>
          </w:p>
          <w:p w:rsidR="00487D64" w:rsidRDefault="006F0D93">
            <w:pPr>
              <w:pStyle w:val="TableParagraph"/>
              <w:spacing w:before="41"/>
              <w:ind w:left="121"/>
              <w:rPr>
                <w:b/>
                <w:sz w:val="24"/>
              </w:rPr>
            </w:pPr>
            <w:r>
              <w:rPr>
                <w:b/>
                <w:spacing w:val="-2"/>
                <w:sz w:val="24"/>
              </w:rPr>
              <w:t>(rho_c)</w:t>
            </w:r>
          </w:p>
        </w:tc>
        <w:tc>
          <w:tcPr>
            <w:tcW w:w="2763" w:type="dxa"/>
          </w:tcPr>
          <w:p w:rsidR="00487D64" w:rsidRDefault="006F0D93">
            <w:pPr>
              <w:pStyle w:val="TableParagraph"/>
              <w:tabs>
                <w:tab w:val="left" w:pos="1760"/>
              </w:tabs>
              <w:spacing w:before="1"/>
              <w:ind w:left="121"/>
              <w:rPr>
                <w:b/>
                <w:sz w:val="24"/>
              </w:rPr>
            </w:pPr>
            <w:r>
              <w:rPr>
                <w:b/>
                <w:spacing w:val="-2"/>
                <w:sz w:val="24"/>
              </w:rPr>
              <w:t>Average</w:t>
            </w:r>
            <w:r>
              <w:rPr>
                <w:b/>
                <w:sz w:val="24"/>
              </w:rPr>
              <w:tab/>
            </w:r>
            <w:r>
              <w:rPr>
                <w:b/>
                <w:spacing w:val="-2"/>
                <w:sz w:val="24"/>
              </w:rPr>
              <w:t>variance</w:t>
            </w:r>
          </w:p>
          <w:p w:rsidR="00487D64" w:rsidRDefault="006F0D93">
            <w:pPr>
              <w:pStyle w:val="TableParagraph"/>
              <w:spacing w:before="41"/>
              <w:ind w:left="121"/>
              <w:rPr>
                <w:b/>
                <w:sz w:val="24"/>
              </w:rPr>
            </w:pPr>
            <w:r>
              <w:rPr>
                <w:b/>
                <w:sz w:val="24"/>
              </w:rPr>
              <w:t>extracted</w:t>
            </w:r>
            <w:r>
              <w:rPr>
                <w:b/>
                <w:spacing w:val="-4"/>
                <w:sz w:val="24"/>
              </w:rPr>
              <w:t xml:space="preserve"> </w:t>
            </w:r>
            <w:r>
              <w:rPr>
                <w:b/>
                <w:spacing w:val="-2"/>
                <w:sz w:val="24"/>
              </w:rPr>
              <w:t>(AVE)</w:t>
            </w:r>
          </w:p>
        </w:tc>
      </w:tr>
      <w:tr w:rsidR="00487D64">
        <w:trPr>
          <w:trHeight w:val="318"/>
        </w:trPr>
        <w:tc>
          <w:tcPr>
            <w:tcW w:w="574" w:type="dxa"/>
          </w:tcPr>
          <w:p w:rsidR="00487D64" w:rsidRDefault="006F0D93">
            <w:pPr>
              <w:pStyle w:val="TableParagraph"/>
              <w:spacing w:line="275" w:lineRule="exact"/>
              <w:ind w:left="119"/>
              <w:rPr>
                <w:sz w:val="24"/>
              </w:rPr>
            </w:pPr>
            <w:r>
              <w:rPr>
                <w:spacing w:val="-5"/>
                <w:sz w:val="24"/>
              </w:rPr>
              <w:t>CO</w:t>
            </w:r>
          </w:p>
        </w:tc>
        <w:tc>
          <w:tcPr>
            <w:tcW w:w="1809" w:type="dxa"/>
          </w:tcPr>
          <w:p w:rsidR="00487D64" w:rsidRDefault="006F0D93">
            <w:pPr>
              <w:pStyle w:val="TableParagraph"/>
              <w:spacing w:line="275" w:lineRule="exact"/>
              <w:ind w:left="119"/>
              <w:rPr>
                <w:sz w:val="24"/>
              </w:rPr>
            </w:pPr>
            <w:r>
              <w:rPr>
                <w:spacing w:val="-2"/>
                <w:sz w:val="24"/>
              </w:rPr>
              <w:t>0.930</w:t>
            </w:r>
          </w:p>
        </w:tc>
        <w:tc>
          <w:tcPr>
            <w:tcW w:w="2472" w:type="dxa"/>
          </w:tcPr>
          <w:p w:rsidR="00487D64" w:rsidRDefault="006F0D93">
            <w:pPr>
              <w:pStyle w:val="TableParagraph"/>
              <w:spacing w:line="275" w:lineRule="exact"/>
              <w:ind w:left="120"/>
              <w:rPr>
                <w:sz w:val="24"/>
              </w:rPr>
            </w:pPr>
            <w:r>
              <w:rPr>
                <w:spacing w:val="-2"/>
                <w:sz w:val="24"/>
              </w:rPr>
              <w:t>0.932</w:t>
            </w:r>
          </w:p>
        </w:tc>
        <w:tc>
          <w:tcPr>
            <w:tcW w:w="2465" w:type="dxa"/>
          </w:tcPr>
          <w:p w:rsidR="00487D64" w:rsidRDefault="006F0D93">
            <w:pPr>
              <w:pStyle w:val="TableParagraph"/>
              <w:spacing w:line="275" w:lineRule="exact"/>
              <w:ind w:left="121"/>
              <w:rPr>
                <w:sz w:val="24"/>
              </w:rPr>
            </w:pPr>
            <w:r>
              <w:rPr>
                <w:spacing w:val="-2"/>
                <w:sz w:val="24"/>
              </w:rPr>
              <w:t>0.946</w:t>
            </w:r>
          </w:p>
        </w:tc>
        <w:tc>
          <w:tcPr>
            <w:tcW w:w="2763" w:type="dxa"/>
          </w:tcPr>
          <w:p w:rsidR="00487D64" w:rsidRDefault="006F0D93">
            <w:pPr>
              <w:pStyle w:val="TableParagraph"/>
              <w:spacing w:line="275" w:lineRule="exact"/>
              <w:ind w:left="121"/>
              <w:rPr>
                <w:sz w:val="24"/>
              </w:rPr>
            </w:pPr>
            <w:r>
              <w:rPr>
                <w:spacing w:val="-2"/>
                <w:sz w:val="24"/>
              </w:rPr>
              <w:t>0.746</w:t>
            </w:r>
          </w:p>
        </w:tc>
      </w:tr>
    </w:tbl>
    <w:p w:rsidR="00487D64" w:rsidRDefault="00487D64">
      <w:pPr>
        <w:pStyle w:val="TableParagraph"/>
        <w:spacing w:line="275" w:lineRule="exact"/>
        <w:rPr>
          <w:sz w:val="24"/>
        </w:rPr>
        <w:sectPr w:rsidR="00487D64">
          <w:pgSz w:w="11910" w:h="16840"/>
          <w:pgMar w:top="1680" w:right="563" w:bottom="800" w:left="850" w:header="677" w:footer="608" w:gutter="0"/>
          <w:cols w:space="720"/>
        </w:sectPr>
      </w:pPr>
    </w:p>
    <w:p w:rsidR="00487D64" w:rsidRDefault="00487D64">
      <w:pPr>
        <w:pStyle w:val="BodyText"/>
        <w:spacing w:before="24" w:after="1"/>
        <w:rPr>
          <w:b/>
          <w:sz w:val="20"/>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1809"/>
        <w:gridCol w:w="2472"/>
        <w:gridCol w:w="2465"/>
        <w:gridCol w:w="2763"/>
      </w:tblGrid>
      <w:tr w:rsidR="00487D64">
        <w:trPr>
          <w:trHeight w:val="316"/>
        </w:trPr>
        <w:tc>
          <w:tcPr>
            <w:tcW w:w="574" w:type="dxa"/>
          </w:tcPr>
          <w:p w:rsidR="00487D64" w:rsidRDefault="006F0D93">
            <w:pPr>
              <w:pStyle w:val="TableParagraph"/>
              <w:spacing w:line="275" w:lineRule="exact"/>
              <w:ind w:left="63" w:right="53"/>
              <w:jc w:val="center"/>
              <w:rPr>
                <w:sz w:val="24"/>
              </w:rPr>
            </w:pPr>
            <w:r>
              <w:rPr>
                <w:spacing w:val="-5"/>
                <w:sz w:val="24"/>
              </w:rPr>
              <w:t>CU</w:t>
            </w:r>
          </w:p>
        </w:tc>
        <w:tc>
          <w:tcPr>
            <w:tcW w:w="1809" w:type="dxa"/>
          </w:tcPr>
          <w:p w:rsidR="00487D64" w:rsidRDefault="006F0D93">
            <w:pPr>
              <w:pStyle w:val="TableParagraph"/>
              <w:spacing w:line="275" w:lineRule="exact"/>
              <w:ind w:left="119"/>
              <w:rPr>
                <w:sz w:val="24"/>
              </w:rPr>
            </w:pPr>
            <w:r>
              <w:rPr>
                <w:spacing w:val="-2"/>
                <w:sz w:val="24"/>
              </w:rPr>
              <w:t>0.923</w:t>
            </w:r>
          </w:p>
        </w:tc>
        <w:tc>
          <w:tcPr>
            <w:tcW w:w="2472" w:type="dxa"/>
          </w:tcPr>
          <w:p w:rsidR="00487D64" w:rsidRDefault="006F0D93">
            <w:pPr>
              <w:pStyle w:val="TableParagraph"/>
              <w:spacing w:line="275" w:lineRule="exact"/>
              <w:ind w:left="120"/>
              <w:rPr>
                <w:sz w:val="24"/>
              </w:rPr>
            </w:pPr>
            <w:r>
              <w:rPr>
                <w:spacing w:val="-2"/>
                <w:sz w:val="24"/>
              </w:rPr>
              <w:t>0.941</w:t>
            </w:r>
          </w:p>
        </w:tc>
        <w:tc>
          <w:tcPr>
            <w:tcW w:w="2465" w:type="dxa"/>
          </w:tcPr>
          <w:p w:rsidR="00487D64" w:rsidRDefault="006F0D93">
            <w:pPr>
              <w:pStyle w:val="TableParagraph"/>
              <w:spacing w:line="275" w:lineRule="exact"/>
              <w:ind w:left="121"/>
              <w:rPr>
                <w:sz w:val="24"/>
              </w:rPr>
            </w:pPr>
            <w:r>
              <w:rPr>
                <w:spacing w:val="-2"/>
                <w:sz w:val="24"/>
              </w:rPr>
              <w:t>0.940</w:t>
            </w:r>
          </w:p>
        </w:tc>
        <w:tc>
          <w:tcPr>
            <w:tcW w:w="2763" w:type="dxa"/>
          </w:tcPr>
          <w:p w:rsidR="00487D64" w:rsidRDefault="006F0D93">
            <w:pPr>
              <w:pStyle w:val="TableParagraph"/>
              <w:spacing w:line="275" w:lineRule="exact"/>
              <w:ind w:left="121"/>
              <w:rPr>
                <w:sz w:val="24"/>
              </w:rPr>
            </w:pPr>
            <w:r>
              <w:rPr>
                <w:spacing w:val="-2"/>
                <w:sz w:val="24"/>
              </w:rPr>
              <w:t>0.725</w:t>
            </w:r>
          </w:p>
        </w:tc>
      </w:tr>
      <w:tr w:rsidR="00487D64">
        <w:trPr>
          <w:trHeight w:val="318"/>
        </w:trPr>
        <w:tc>
          <w:tcPr>
            <w:tcW w:w="574" w:type="dxa"/>
          </w:tcPr>
          <w:p w:rsidR="00487D64" w:rsidRDefault="006F0D93">
            <w:pPr>
              <w:pStyle w:val="TableParagraph"/>
              <w:spacing w:before="1"/>
              <w:ind w:left="27" w:right="53"/>
              <w:jc w:val="center"/>
              <w:rPr>
                <w:sz w:val="24"/>
              </w:rPr>
            </w:pPr>
            <w:r>
              <w:rPr>
                <w:spacing w:val="-5"/>
                <w:sz w:val="24"/>
              </w:rPr>
              <w:t>SC</w:t>
            </w:r>
          </w:p>
        </w:tc>
        <w:tc>
          <w:tcPr>
            <w:tcW w:w="1809" w:type="dxa"/>
          </w:tcPr>
          <w:p w:rsidR="00487D64" w:rsidRDefault="006F0D93">
            <w:pPr>
              <w:pStyle w:val="TableParagraph"/>
              <w:spacing w:before="1"/>
              <w:ind w:left="119"/>
              <w:rPr>
                <w:sz w:val="24"/>
              </w:rPr>
            </w:pPr>
            <w:r>
              <w:rPr>
                <w:spacing w:val="-2"/>
                <w:sz w:val="24"/>
              </w:rPr>
              <w:t>0.886</w:t>
            </w:r>
          </w:p>
        </w:tc>
        <w:tc>
          <w:tcPr>
            <w:tcW w:w="2472" w:type="dxa"/>
          </w:tcPr>
          <w:p w:rsidR="00487D64" w:rsidRDefault="006F0D93">
            <w:pPr>
              <w:pStyle w:val="TableParagraph"/>
              <w:spacing w:before="1"/>
              <w:ind w:left="120"/>
              <w:rPr>
                <w:sz w:val="24"/>
              </w:rPr>
            </w:pPr>
            <w:r>
              <w:rPr>
                <w:spacing w:val="-2"/>
                <w:sz w:val="24"/>
              </w:rPr>
              <w:t>0.910</w:t>
            </w:r>
          </w:p>
        </w:tc>
        <w:tc>
          <w:tcPr>
            <w:tcW w:w="2465" w:type="dxa"/>
          </w:tcPr>
          <w:p w:rsidR="00487D64" w:rsidRDefault="006F0D93">
            <w:pPr>
              <w:pStyle w:val="TableParagraph"/>
              <w:spacing w:before="1"/>
              <w:ind w:left="121"/>
              <w:rPr>
                <w:sz w:val="24"/>
              </w:rPr>
            </w:pPr>
            <w:r>
              <w:rPr>
                <w:spacing w:val="-2"/>
                <w:sz w:val="24"/>
              </w:rPr>
              <w:t>0.917</w:t>
            </w:r>
          </w:p>
        </w:tc>
        <w:tc>
          <w:tcPr>
            <w:tcW w:w="2763" w:type="dxa"/>
          </w:tcPr>
          <w:p w:rsidR="00487D64" w:rsidRDefault="006F0D93">
            <w:pPr>
              <w:pStyle w:val="TableParagraph"/>
              <w:spacing w:before="1"/>
              <w:ind w:left="121"/>
              <w:rPr>
                <w:sz w:val="24"/>
              </w:rPr>
            </w:pPr>
            <w:r>
              <w:rPr>
                <w:spacing w:val="-2"/>
                <w:sz w:val="24"/>
              </w:rPr>
              <w:t>0.691</w:t>
            </w:r>
          </w:p>
        </w:tc>
      </w:tr>
      <w:tr w:rsidR="00487D64">
        <w:trPr>
          <w:trHeight w:val="316"/>
        </w:trPr>
        <w:tc>
          <w:tcPr>
            <w:tcW w:w="574" w:type="dxa"/>
          </w:tcPr>
          <w:p w:rsidR="00487D64" w:rsidRDefault="006F0D93">
            <w:pPr>
              <w:pStyle w:val="TableParagraph"/>
              <w:spacing w:line="275" w:lineRule="exact"/>
              <w:ind w:left="10" w:right="63"/>
              <w:jc w:val="center"/>
              <w:rPr>
                <w:sz w:val="24"/>
              </w:rPr>
            </w:pPr>
            <w:r>
              <w:rPr>
                <w:spacing w:val="-5"/>
                <w:sz w:val="24"/>
              </w:rPr>
              <w:t>SF</w:t>
            </w:r>
          </w:p>
        </w:tc>
        <w:tc>
          <w:tcPr>
            <w:tcW w:w="1809" w:type="dxa"/>
          </w:tcPr>
          <w:p w:rsidR="00487D64" w:rsidRDefault="006F0D93">
            <w:pPr>
              <w:pStyle w:val="TableParagraph"/>
              <w:spacing w:line="275" w:lineRule="exact"/>
              <w:ind w:left="119"/>
              <w:rPr>
                <w:sz w:val="24"/>
              </w:rPr>
            </w:pPr>
            <w:r>
              <w:rPr>
                <w:spacing w:val="-2"/>
                <w:sz w:val="24"/>
              </w:rPr>
              <w:t>0.693</w:t>
            </w:r>
          </w:p>
        </w:tc>
        <w:tc>
          <w:tcPr>
            <w:tcW w:w="2472" w:type="dxa"/>
          </w:tcPr>
          <w:p w:rsidR="00487D64" w:rsidRDefault="006F0D93">
            <w:pPr>
              <w:pStyle w:val="TableParagraph"/>
              <w:spacing w:line="275" w:lineRule="exact"/>
              <w:ind w:left="120"/>
              <w:rPr>
                <w:sz w:val="24"/>
              </w:rPr>
            </w:pPr>
            <w:r>
              <w:rPr>
                <w:spacing w:val="-2"/>
                <w:sz w:val="24"/>
              </w:rPr>
              <w:t>0.817</w:t>
            </w:r>
          </w:p>
        </w:tc>
        <w:tc>
          <w:tcPr>
            <w:tcW w:w="2465" w:type="dxa"/>
          </w:tcPr>
          <w:p w:rsidR="00487D64" w:rsidRDefault="006F0D93">
            <w:pPr>
              <w:pStyle w:val="TableParagraph"/>
              <w:spacing w:line="275" w:lineRule="exact"/>
              <w:ind w:left="121"/>
              <w:rPr>
                <w:sz w:val="24"/>
              </w:rPr>
            </w:pPr>
            <w:r>
              <w:rPr>
                <w:spacing w:val="-2"/>
                <w:sz w:val="24"/>
              </w:rPr>
              <w:t>0.827</w:t>
            </w:r>
          </w:p>
        </w:tc>
        <w:tc>
          <w:tcPr>
            <w:tcW w:w="2763" w:type="dxa"/>
          </w:tcPr>
          <w:p w:rsidR="00487D64" w:rsidRDefault="006F0D93">
            <w:pPr>
              <w:pStyle w:val="TableParagraph"/>
              <w:spacing w:line="275" w:lineRule="exact"/>
              <w:ind w:left="121"/>
              <w:rPr>
                <w:sz w:val="24"/>
              </w:rPr>
            </w:pPr>
            <w:r>
              <w:rPr>
                <w:spacing w:val="-2"/>
                <w:sz w:val="24"/>
              </w:rPr>
              <w:t>0.628</w:t>
            </w:r>
          </w:p>
        </w:tc>
      </w:tr>
    </w:tbl>
    <w:p w:rsidR="00487D64" w:rsidRDefault="006F0D93">
      <w:pPr>
        <w:ind w:left="70" w:right="355"/>
        <w:jc w:val="center"/>
        <w:rPr>
          <w:b/>
          <w:sz w:val="24"/>
        </w:rPr>
      </w:pPr>
      <w:r>
        <w:rPr>
          <w:b/>
          <w:sz w:val="24"/>
        </w:rPr>
        <w:t>Source:</w:t>
      </w:r>
      <w:r>
        <w:rPr>
          <w:b/>
          <w:spacing w:val="-3"/>
          <w:sz w:val="24"/>
        </w:rPr>
        <w:t xml:space="preserve"> </w:t>
      </w:r>
      <w:r>
        <w:rPr>
          <w:b/>
          <w:sz w:val="24"/>
        </w:rPr>
        <w:t>Data</w:t>
      </w:r>
      <w:r>
        <w:rPr>
          <w:b/>
          <w:spacing w:val="-2"/>
          <w:sz w:val="24"/>
        </w:rPr>
        <w:t xml:space="preserve"> </w:t>
      </w:r>
      <w:r>
        <w:rPr>
          <w:b/>
          <w:sz w:val="24"/>
        </w:rPr>
        <w:t>analysis</w:t>
      </w:r>
      <w:r>
        <w:rPr>
          <w:b/>
          <w:spacing w:val="-2"/>
          <w:sz w:val="24"/>
        </w:rPr>
        <w:t xml:space="preserve"> (2025)</w:t>
      </w:r>
    </w:p>
    <w:p w:rsidR="00487D64" w:rsidRDefault="00487D64">
      <w:pPr>
        <w:pStyle w:val="BodyText"/>
        <w:spacing w:before="84"/>
        <w:rPr>
          <w:b/>
          <w:sz w:val="24"/>
        </w:rPr>
      </w:pPr>
    </w:p>
    <w:p w:rsidR="00487D64" w:rsidRDefault="006F0D93">
      <w:pPr>
        <w:ind w:left="57"/>
        <w:jc w:val="both"/>
        <w:rPr>
          <w:b/>
          <w:sz w:val="24"/>
        </w:rPr>
      </w:pPr>
      <w:r>
        <w:rPr>
          <w:b/>
          <w:sz w:val="24"/>
        </w:rPr>
        <w:t>Discriminant</w:t>
      </w:r>
      <w:r>
        <w:rPr>
          <w:b/>
          <w:spacing w:val="-3"/>
          <w:sz w:val="24"/>
        </w:rPr>
        <w:t xml:space="preserve"> </w:t>
      </w:r>
      <w:r>
        <w:rPr>
          <w:b/>
          <w:sz w:val="24"/>
        </w:rPr>
        <w:t>Validity</w:t>
      </w:r>
      <w:r>
        <w:rPr>
          <w:b/>
          <w:spacing w:val="-3"/>
          <w:sz w:val="24"/>
        </w:rPr>
        <w:t xml:space="preserve"> </w:t>
      </w:r>
      <w:r>
        <w:rPr>
          <w:b/>
          <w:spacing w:val="-2"/>
          <w:sz w:val="24"/>
        </w:rPr>
        <w:t>Analysis</w:t>
      </w:r>
    </w:p>
    <w:p w:rsidR="00487D64" w:rsidRDefault="006F0D93">
      <w:pPr>
        <w:spacing w:before="41" w:line="276" w:lineRule="auto"/>
        <w:ind w:left="57" w:right="340"/>
        <w:jc w:val="both"/>
        <w:rPr>
          <w:sz w:val="24"/>
        </w:rPr>
      </w:pPr>
      <w:r>
        <w:rPr>
          <w:sz w:val="24"/>
        </w:rPr>
        <w:t>Discriminant validity was assessed using the Heterotrait-Monotrait ratio (HTMT), as recommended by Franke</w:t>
      </w:r>
      <w:r>
        <w:rPr>
          <w:spacing w:val="-3"/>
          <w:sz w:val="24"/>
        </w:rPr>
        <w:t xml:space="preserve"> </w:t>
      </w:r>
      <w:r>
        <w:rPr>
          <w:sz w:val="24"/>
        </w:rPr>
        <w:t>and</w:t>
      </w:r>
      <w:r>
        <w:rPr>
          <w:spacing w:val="-2"/>
          <w:sz w:val="24"/>
        </w:rPr>
        <w:t xml:space="preserve"> </w:t>
      </w:r>
      <w:r>
        <w:rPr>
          <w:sz w:val="24"/>
        </w:rPr>
        <w:t>Sarstedt</w:t>
      </w:r>
      <w:r>
        <w:rPr>
          <w:spacing w:val="-2"/>
          <w:sz w:val="24"/>
        </w:rPr>
        <w:t xml:space="preserve"> </w:t>
      </w:r>
      <w:r>
        <w:rPr>
          <w:sz w:val="24"/>
        </w:rPr>
        <w:t>(2019).</w:t>
      </w:r>
      <w:r>
        <w:rPr>
          <w:spacing w:val="-2"/>
          <w:sz w:val="24"/>
        </w:rPr>
        <w:t xml:space="preserve"> </w:t>
      </w:r>
      <w:r>
        <w:rPr>
          <w:sz w:val="24"/>
        </w:rPr>
        <w:t>As</w:t>
      </w:r>
      <w:r>
        <w:rPr>
          <w:spacing w:val="-3"/>
          <w:sz w:val="24"/>
        </w:rPr>
        <w:t xml:space="preserve"> </w:t>
      </w:r>
      <w:r>
        <w:rPr>
          <w:sz w:val="24"/>
        </w:rPr>
        <w:t>shown</w:t>
      </w:r>
      <w:r>
        <w:rPr>
          <w:spacing w:val="-2"/>
          <w:sz w:val="24"/>
        </w:rPr>
        <w:t xml:space="preserve"> </w:t>
      </w:r>
      <w:r>
        <w:rPr>
          <w:sz w:val="24"/>
        </w:rPr>
        <w:t>in Table</w:t>
      </w:r>
      <w:r>
        <w:rPr>
          <w:spacing w:val="-3"/>
          <w:sz w:val="24"/>
        </w:rPr>
        <w:t xml:space="preserve"> </w:t>
      </w:r>
      <w:r>
        <w:rPr>
          <w:sz w:val="24"/>
        </w:rPr>
        <w:t>3, all</w:t>
      </w:r>
      <w:r>
        <w:rPr>
          <w:spacing w:val="-2"/>
          <w:sz w:val="24"/>
        </w:rPr>
        <w:t xml:space="preserve"> </w:t>
      </w:r>
      <w:r>
        <w:rPr>
          <w:sz w:val="24"/>
        </w:rPr>
        <w:t>HTMT</w:t>
      </w:r>
      <w:r>
        <w:rPr>
          <w:spacing w:val="-2"/>
          <w:sz w:val="24"/>
        </w:rPr>
        <w:t xml:space="preserve"> </w:t>
      </w:r>
      <w:r>
        <w:rPr>
          <w:sz w:val="24"/>
        </w:rPr>
        <w:t>values</w:t>
      </w:r>
      <w:r>
        <w:rPr>
          <w:spacing w:val="-3"/>
          <w:sz w:val="24"/>
        </w:rPr>
        <w:t xml:space="preserve"> </w:t>
      </w:r>
      <w:r>
        <w:rPr>
          <w:sz w:val="24"/>
        </w:rPr>
        <w:t>fall</w:t>
      </w:r>
      <w:r>
        <w:rPr>
          <w:spacing w:val="-2"/>
          <w:sz w:val="24"/>
        </w:rPr>
        <w:t xml:space="preserve"> </w:t>
      </w:r>
      <w:r>
        <w:rPr>
          <w:sz w:val="24"/>
        </w:rPr>
        <w:t>below</w:t>
      </w:r>
      <w:r>
        <w:rPr>
          <w:spacing w:val="-3"/>
          <w:sz w:val="24"/>
        </w:rPr>
        <w:t xml:space="preserve"> </w:t>
      </w:r>
      <w:r>
        <w:rPr>
          <w:sz w:val="24"/>
        </w:rPr>
        <w:t>the</w:t>
      </w:r>
      <w:r>
        <w:rPr>
          <w:spacing w:val="-2"/>
          <w:sz w:val="24"/>
        </w:rPr>
        <w:t xml:space="preserve"> </w:t>
      </w:r>
      <w:r>
        <w:rPr>
          <w:sz w:val="24"/>
        </w:rPr>
        <w:t>conservative</w:t>
      </w:r>
      <w:r>
        <w:rPr>
          <w:spacing w:val="-3"/>
          <w:sz w:val="24"/>
        </w:rPr>
        <w:t xml:space="preserve"> </w:t>
      </w:r>
      <w:r>
        <w:rPr>
          <w:sz w:val="24"/>
        </w:rPr>
        <w:t>threshold of</w:t>
      </w:r>
      <w:r>
        <w:rPr>
          <w:spacing w:val="11"/>
          <w:sz w:val="24"/>
        </w:rPr>
        <w:t xml:space="preserve"> </w:t>
      </w:r>
      <w:r>
        <w:rPr>
          <w:sz w:val="24"/>
        </w:rPr>
        <w:t>0.85,</w:t>
      </w:r>
      <w:r>
        <w:rPr>
          <w:spacing w:val="15"/>
          <w:sz w:val="24"/>
        </w:rPr>
        <w:t xml:space="preserve"> </w:t>
      </w:r>
      <w:r>
        <w:rPr>
          <w:sz w:val="24"/>
        </w:rPr>
        <w:t>suggesting</w:t>
      </w:r>
      <w:r>
        <w:rPr>
          <w:spacing w:val="14"/>
          <w:sz w:val="24"/>
        </w:rPr>
        <w:t xml:space="preserve"> </w:t>
      </w:r>
      <w:r>
        <w:rPr>
          <w:sz w:val="24"/>
        </w:rPr>
        <w:t>that</w:t>
      </w:r>
      <w:r>
        <w:rPr>
          <w:spacing w:val="15"/>
          <w:sz w:val="24"/>
        </w:rPr>
        <w:t xml:space="preserve"> </w:t>
      </w:r>
      <w:r>
        <w:rPr>
          <w:sz w:val="24"/>
        </w:rPr>
        <w:t>the</w:t>
      </w:r>
      <w:r>
        <w:rPr>
          <w:spacing w:val="13"/>
          <w:sz w:val="24"/>
        </w:rPr>
        <w:t xml:space="preserve"> </w:t>
      </w:r>
      <w:r>
        <w:rPr>
          <w:sz w:val="24"/>
        </w:rPr>
        <w:t>constructs</w:t>
      </w:r>
      <w:r>
        <w:rPr>
          <w:spacing w:val="16"/>
          <w:sz w:val="24"/>
        </w:rPr>
        <w:t xml:space="preserve"> </w:t>
      </w:r>
      <w:r>
        <w:rPr>
          <w:sz w:val="24"/>
        </w:rPr>
        <w:t>are</w:t>
      </w:r>
      <w:r>
        <w:rPr>
          <w:spacing w:val="12"/>
          <w:sz w:val="24"/>
        </w:rPr>
        <w:t xml:space="preserve"> </w:t>
      </w:r>
      <w:r>
        <w:rPr>
          <w:sz w:val="24"/>
        </w:rPr>
        <w:t>empirically</w:t>
      </w:r>
      <w:r>
        <w:rPr>
          <w:spacing w:val="15"/>
          <w:sz w:val="24"/>
        </w:rPr>
        <w:t xml:space="preserve"> </w:t>
      </w:r>
      <w:r>
        <w:rPr>
          <w:sz w:val="24"/>
        </w:rPr>
        <w:t>distinct.</w:t>
      </w:r>
      <w:r>
        <w:rPr>
          <w:spacing w:val="12"/>
          <w:sz w:val="24"/>
        </w:rPr>
        <w:t xml:space="preserve"> </w:t>
      </w:r>
      <w:r>
        <w:rPr>
          <w:sz w:val="24"/>
        </w:rPr>
        <w:t>Specifically,</w:t>
      </w:r>
      <w:r>
        <w:rPr>
          <w:spacing w:val="15"/>
          <w:sz w:val="24"/>
        </w:rPr>
        <w:t xml:space="preserve"> </w:t>
      </w:r>
      <w:r>
        <w:rPr>
          <w:sz w:val="24"/>
        </w:rPr>
        <w:t>HTMT</w:t>
      </w:r>
      <w:r>
        <w:rPr>
          <w:spacing w:val="14"/>
          <w:sz w:val="24"/>
        </w:rPr>
        <w:t xml:space="preserve"> </w:t>
      </w:r>
      <w:r>
        <w:rPr>
          <w:sz w:val="24"/>
        </w:rPr>
        <w:t>values</w:t>
      </w:r>
      <w:r>
        <w:rPr>
          <w:spacing w:val="15"/>
          <w:sz w:val="24"/>
        </w:rPr>
        <w:t xml:space="preserve"> </w:t>
      </w:r>
      <w:r>
        <w:rPr>
          <w:sz w:val="24"/>
        </w:rPr>
        <w:t>ranged</w:t>
      </w:r>
      <w:r>
        <w:rPr>
          <w:spacing w:val="15"/>
          <w:sz w:val="24"/>
        </w:rPr>
        <w:t xml:space="preserve"> </w:t>
      </w:r>
      <w:r>
        <w:rPr>
          <w:spacing w:val="-4"/>
          <w:sz w:val="24"/>
        </w:rPr>
        <w:t>from</w:t>
      </w:r>
    </w:p>
    <w:p w:rsidR="00487D64" w:rsidRDefault="006F0D93">
      <w:pPr>
        <w:spacing w:before="1" w:line="276" w:lineRule="auto"/>
        <w:ind w:left="57" w:right="338"/>
        <w:jc w:val="both"/>
        <w:rPr>
          <w:sz w:val="24"/>
        </w:rPr>
      </w:pPr>
      <w:r>
        <w:rPr>
          <w:sz w:val="24"/>
        </w:rPr>
        <w:t>0.038 to 0.762. The relatively high HTMT value between SF and SC was (0.762), which is still within acceptable</w:t>
      </w:r>
      <w:r>
        <w:rPr>
          <w:spacing w:val="-13"/>
          <w:sz w:val="24"/>
        </w:rPr>
        <w:t xml:space="preserve"> </w:t>
      </w:r>
      <w:r>
        <w:rPr>
          <w:sz w:val="24"/>
        </w:rPr>
        <w:t>bounds,</w:t>
      </w:r>
      <w:r>
        <w:rPr>
          <w:spacing w:val="-10"/>
          <w:sz w:val="24"/>
        </w:rPr>
        <w:t xml:space="preserve"> </w:t>
      </w:r>
      <w:r>
        <w:rPr>
          <w:sz w:val="24"/>
        </w:rPr>
        <w:t>indicating</w:t>
      </w:r>
      <w:r>
        <w:rPr>
          <w:spacing w:val="-12"/>
          <w:sz w:val="24"/>
        </w:rPr>
        <w:t xml:space="preserve"> </w:t>
      </w:r>
      <w:r>
        <w:rPr>
          <w:sz w:val="24"/>
        </w:rPr>
        <w:t>adequate</w:t>
      </w:r>
      <w:r>
        <w:rPr>
          <w:spacing w:val="-10"/>
          <w:sz w:val="24"/>
        </w:rPr>
        <w:t xml:space="preserve"> </w:t>
      </w:r>
      <w:r>
        <w:rPr>
          <w:sz w:val="24"/>
        </w:rPr>
        <w:t>discriminant</w:t>
      </w:r>
      <w:r>
        <w:rPr>
          <w:spacing w:val="-12"/>
          <w:sz w:val="24"/>
        </w:rPr>
        <w:t xml:space="preserve"> </w:t>
      </w:r>
      <w:r>
        <w:rPr>
          <w:sz w:val="24"/>
        </w:rPr>
        <w:t>val</w:t>
      </w:r>
      <w:r>
        <w:rPr>
          <w:sz w:val="24"/>
        </w:rPr>
        <w:t>idity.</w:t>
      </w:r>
      <w:r>
        <w:rPr>
          <w:spacing w:val="-12"/>
          <w:sz w:val="24"/>
        </w:rPr>
        <w:t xml:space="preserve"> </w:t>
      </w:r>
      <w:r>
        <w:rPr>
          <w:sz w:val="24"/>
        </w:rPr>
        <w:t>These</w:t>
      </w:r>
      <w:r>
        <w:rPr>
          <w:spacing w:val="-13"/>
          <w:sz w:val="24"/>
        </w:rPr>
        <w:t xml:space="preserve"> </w:t>
      </w:r>
      <w:r>
        <w:rPr>
          <w:sz w:val="24"/>
        </w:rPr>
        <w:t>results</w:t>
      </w:r>
      <w:r>
        <w:rPr>
          <w:spacing w:val="-9"/>
          <w:sz w:val="24"/>
        </w:rPr>
        <w:t xml:space="preserve"> </w:t>
      </w:r>
      <w:r>
        <w:rPr>
          <w:sz w:val="24"/>
        </w:rPr>
        <w:t>support</w:t>
      </w:r>
      <w:r>
        <w:rPr>
          <w:spacing w:val="-12"/>
          <w:sz w:val="24"/>
        </w:rPr>
        <w:t xml:space="preserve"> </w:t>
      </w:r>
      <w:r>
        <w:rPr>
          <w:sz w:val="24"/>
        </w:rPr>
        <w:t>the</w:t>
      </w:r>
      <w:r>
        <w:rPr>
          <w:spacing w:val="-13"/>
          <w:sz w:val="24"/>
        </w:rPr>
        <w:t xml:space="preserve"> </w:t>
      </w:r>
      <w:r>
        <w:rPr>
          <w:sz w:val="24"/>
        </w:rPr>
        <w:t>conclusion</w:t>
      </w:r>
      <w:r>
        <w:rPr>
          <w:spacing w:val="-12"/>
          <w:sz w:val="24"/>
        </w:rPr>
        <w:t xml:space="preserve"> </w:t>
      </w:r>
      <w:r>
        <w:rPr>
          <w:sz w:val="24"/>
        </w:rPr>
        <w:t>that</w:t>
      </w:r>
      <w:r>
        <w:rPr>
          <w:spacing w:val="-12"/>
          <w:sz w:val="24"/>
        </w:rPr>
        <w:t xml:space="preserve"> </w:t>
      </w:r>
      <w:r>
        <w:rPr>
          <w:sz w:val="24"/>
        </w:rPr>
        <w:t>the latent constructs measured in this study are conceptually and statistically distinct.</w:t>
      </w:r>
    </w:p>
    <w:p w:rsidR="00487D64" w:rsidRDefault="00487D64">
      <w:pPr>
        <w:pStyle w:val="BodyText"/>
        <w:spacing w:before="42"/>
        <w:rPr>
          <w:sz w:val="24"/>
        </w:rPr>
      </w:pPr>
    </w:p>
    <w:p w:rsidR="00487D64" w:rsidRDefault="006F0D93">
      <w:pPr>
        <w:spacing w:after="42"/>
        <w:ind w:left="71" w:right="355"/>
        <w:jc w:val="center"/>
        <w:rPr>
          <w:b/>
          <w:sz w:val="24"/>
        </w:rPr>
      </w:pPr>
      <w:r>
        <w:rPr>
          <w:b/>
          <w:sz w:val="24"/>
        </w:rPr>
        <w:t>Table</w:t>
      </w:r>
      <w:r>
        <w:rPr>
          <w:b/>
          <w:spacing w:val="-1"/>
          <w:sz w:val="24"/>
        </w:rPr>
        <w:t xml:space="preserve"> </w:t>
      </w:r>
      <w:r>
        <w:rPr>
          <w:b/>
          <w:sz w:val="24"/>
        </w:rPr>
        <w:t xml:space="preserve">3: HTMT </w:t>
      </w:r>
      <w:r>
        <w:rPr>
          <w:b/>
          <w:spacing w:val="-2"/>
          <w:sz w:val="24"/>
        </w:rPr>
        <w:t>ratio</w:t>
      </w: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222"/>
        <w:gridCol w:w="1224"/>
        <w:gridCol w:w="1224"/>
        <w:gridCol w:w="1221"/>
        <w:gridCol w:w="1735"/>
        <w:gridCol w:w="1758"/>
      </w:tblGrid>
      <w:tr w:rsidR="00487D64">
        <w:trPr>
          <w:trHeight w:val="316"/>
        </w:trPr>
        <w:tc>
          <w:tcPr>
            <w:tcW w:w="1697" w:type="dxa"/>
          </w:tcPr>
          <w:p w:rsidR="00487D64" w:rsidRDefault="00487D64">
            <w:pPr>
              <w:pStyle w:val="TableParagraph"/>
              <w:rPr>
                <w:sz w:val="24"/>
              </w:rPr>
            </w:pPr>
          </w:p>
        </w:tc>
        <w:tc>
          <w:tcPr>
            <w:tcW w:w="1222" w:type="dxa"/>
          </w:tcPr>
          <w:p w:rsidR="00487D64" w:rsidRDefault="006F0D93">
            <w:pPr>
              <w:pStyle w:val="TableParagraph"/>
              <w:spacing w:line="275" w:lineRule="exact"/>
              <w:ind w:left="120"/>
              <w:rPr>
                <w:b/>
                <w:sz w:val="24"/>
              </w:rPr>
            </w:pPr>
            <w:r>
              <w:rPr>
                <w:b/>
                <w:spacing w:val="-5"/>
                <w:sz w:val="24"/>
              </w:rPr>
              <w:t>CO</w:t>
            </w:r>
          </w:p>
        </w:tc>
        <w:tc>
          <w:tcPr>
            <w:tcW w:w="1224" w:type="dxa"/>
          </w:tcPr>
          <w:p w:rsidR="00487D64" w:rsidRDefault="006F0D93">
            <w:pPr>
              <w:pStyle w:val="TableParagraph"/>
              <w:spacing w:line="275" w:lineRule="exact"/>
              <w:ind w:left="120"/>
              <w:rPr>
                <w:b/>
                <w:sz w:val="24"/>
              </w:rPr>
            </w:pPr>
            <w:r>
              <w:rPr>
                <w:b/>
                <w:spacing w:val="-5"/>
                <w:sz w:val="24"/>
              </w:rPr>
              <w:t>CU</w:t>
            </w:r>
          </w:p>
        </w:tc>
        <w:tc>
          <w:tcPr>
            <w:tcW w:w="1224" w:type="dxa"/>
          </w:tcPr>
          <w:p w:rsidR="00487D64" w:rsidRDefault="006F0D93">
            <w:pPr>
              <w:pStyle w:val="TableParagraph"/>
              <w:spacing w:line="275" w:lineRule="exact"/>
              <w:ind w:left="120"/>
              <w:rPr>
                <w:b/>
                <w:sz w:val="24"/>
              </w:rPr>
            </w:pPr>
            <w:r>
              <w:rPr>
                <w:b/>
                <w:spacing w:val="-5"/>
                <w:sz w:val="24"/>
              </w:rPr>
              <w:t>SC</w:t>
            </w:r>
          </w:p>
        </w:tc>
        <w:tc>
          <w:tcPr>
            <w:tcW w:w="1221" w:type="dxa"/>
          </w:tcPr>
          <w:p w:rsidR="00487D64" w:rsidRDefault="006F0D93">
            <w:pPr>
              <w:pStyle w:val="TableParagraph"/>
              <w:spacing w:line="275" w:lineRule="exact"/>
              <w:ind w:left="118"/>
              <w:rPr>
                <w:b/>
                <w:sz w:val="24"/>
              </w:rPr>
            </w:pPr>
            <w:r>
              <w:rPr>
                <w:b/>
                <w:spacing w:val="-5"/>
                <w:sz w:val="24"/>
              </w:rPr>
              <w:t>SF</w:t>
            </w:r>
          </w:p>
        </w:tc>
        <w:tc>
          <w:tcPr>
            <w:tcW w:w="1735" w:type="dxa"/>
          </w:tcPr>
          <w:p w:rsidR="00487D64" w:rsidRDefault="006F0D93">
            <w:pPr>
              <w:pStyle w:val="TableParagraph"/>
              <w:spacing w:line="275" w:lineRule="exact"/>
              <w:ind w:left="121"/>
              <w:rPr>
                <w:b/>
                <w:sz w:val="24"/>
              </w:rPr>
            </w:pPr>
            <w:r>
              <w:rPr>
                <w:b/>
                <w:sz w:val="24"/>
              </w:rPr>
              <w:t xml:space="preserve">SF x </w:t>
            </w:r>
            <w:r>
              <w:rPr>
                <w:b/>
                <w:spacing w:val="-5"/>
                <w:sz w:val="24"/>
              </w:rPr>
              <w:t>CU</w:t>
            </w:r>
          </w:p>
        </w:tc>
        <w:tc>
          <w:tcPr>
            <w:tcW w:w="1758" w:type="dxa"/>
          </w:tcPr>
          <w:p w:rsidR="00487D64" w:rsidRDefault="006F0D93">
            <w:pPr>
              <w:pStyle w:val="TableParagraph"/>
              <w:spacing w:line="275" w:lineRule="exact"/>
              <w:ind w:left="122"/>
              <w:rPr>
                <w:b/>
                <w:sz w:val="24"/>
              </w:rPr>
            </w:pPr>
            <w:r>
              <w:rPr>
                <w:b/>
                <w:sz w:val="24"/>
              </w:rPr>
              <w:t xml:space="preserve">SF x </w:t>
            </w:r>
            <w:r>
              <w:rPr>
                <w:b/>
                <w:spacing w:val="-5"/>
                <w:sz w:val="24"/>
              </w:rPr>
              <w:t>CO</w:t>
            </w:r>
          </w:p>
        </w:tc>
      </w:tr>
      <w:tr w:rsidR="00487D64">
        <w:trPr>
          <w:trHeight w:val="318"/>
        </w:trPr>
        <w:tc>
          <w:tcPr>
            <w:tcW w:w="1697" w:type="dxa"/>
          </w:tcPr>
          <w:p w:rsidR="00487D64" w:rsidRDefault="006F0D93">
            <w:pPr>
              <w:pStyle w:val="TableParagraph"/>
              <w:spacing w:before="1"/>
              <w:ind w:left="119"/>
              <w:rPr>
                <w:sz w:val="24"/>
              </w:rPr>
            </w:pPr>
            <w:r>
              <w:rPr>
                <w:spacing w:val="-5"/>
                <w:sz w:val="24"/>
              </w:rPr>
              <w:t>CO</w:t>
            </w:r>
          </w:p>
        </w:tc>
        <w:tc>
          <w:tcPr>
            <w:tcW w:w="1222" w:type="dxa"/>
          </w:tcPr>
          <w:p w:rsidR="00487D64" w:rsidRDefault="00487D64">
            <w:pPr>
              <w:pStyle w:val="TableParagraph"/>
              <w:rPr>
                <w:sz w:val="24"/>
              </w:rPr>
            </w:pPr>
          </w:p>
        </w:tc>
        <w:tc>
          <w:tcPr>
            <w:tcW w:w="1224" w:type="dxa"/>
          </w:tcPr>
          <w:p w:rsidR="00487D64" w:rsidRDefault="00487D64">
            <w:pPr>
              <w:pStyle w:val="TableParagraph"/>
              <w:rPr>
                <w:sz w:val="24"/>
              </w:rPr>
            </w:pPr>
          </w:p>
        </w:tc>
        <w:tc>
          <w:tcPr>
            <w:tcW w:w="1224" w:type="dxa"/>
          </w:tcPr>
          <w:p w:rsidR="00487D64" w:rsidRDefault="00487D64">
            <w:pPr>
              <w:pStyle w:val="TableParagraph"/>
              <w:rPr>
                <w:sz w:val="24"/>
              </w:rPr>
            </w:pPr>
          </w:p>
        </w:tc>
        <w:tc>
          <w:tcPr>
            <w:tcW w:w="1221" w:type="dxa"/>
          </w:tcPr>
          <w:p w:rsidR="00487D64" w:rsidRDefault="00487D64">
            <w:pPr>
              <w:pStyle w:val="TableParagraph"/>
              <w:rPr>
                <w:sz w:val="24"/>
              </w:rPr>
            </w:pPr>
          </w:p>
        </w:tc>
        <w:tc>
          <w:tcPr>
            <w:tcW w:w="1735" w:type="dxa"/>
          </w:tcPr>
          <w:p w:rsidR="00487D64" w:rsidRDefault="00487D64">
            <w:pPr>
              <w:pStyle w:val="TableParagraph"/>
              <w:rPr>
                <w:sz w:val="24"/>
              </w:rPr>
            </w:pPr>
          </w:p>
        </w:tc>
        <w:tc>
          <w:tcPr>
            <w:tcW w:w="1758" w:type="dxa"/>
          </w:tcPr>
          <w:p w:rsidR="00487D64" w:rsidRDefault="00487D64">
            <w:pPr>
              <w:pStyle w:val="TableParagraph"/>
              <w:rPr>
                <w:sz w:val="24"/>
              </w:rPr>
            </w:pPr>
          </w:p>
        </w:tc>
      </w:tr>
      <w:tr w:rsidR="00487D64">
        <w:trPr>
          <w:trHeight w:val="316"/>
        </w:trPr>
        <w:tc>
          <w:tcPr>
            <w:tcW w:w="1697" w:type="dxa"/>
          </w:tcPr>
          <w:p w:rsidR="00487D64" w:rsidRDefault="006F0D93">
            <w:pPr>
              <w:pStyle w:val="TableParagraph"/>
              <w:spacing w:line="275" w:lineRule="exact"/>
              <w:ind w:left="119"/>
              <w:rPr>
                <w:sz w:val="24"/>
              </w:rPr>
            </w:pPr>
            <w:r>
              <w:rPr>
                <w:spacing w:val="-5"/>
                <w:sz w:val="24"/>
              </w:rPr>
              <w:t>CU</w:t>
            </w:r>
          </w:p>
        </w:tc>
        <w:tc>
          <w:tcPr>
            <w:tcW w:w="1222" w:type="dxa"/>
          </w:tcPr>
          <w:p w:rsidR="00487D64" w:rsidRDefault="006F0D93">
            <w:pPr>
              <w:pStyle w:val="TableParagraph"/>
              <w:spacing w:line="275" w:lineRule="exact"/>
              <w:ind w:left="120"/>
              <w:rPr>
                <w:sz w:val="24"/>
              </w:rPr>
            </w:pPr>
            <w:r>
              <w:rPr>
                <w:spacing w:val="-2"/>
                <w:sz w:val="24"/>
              </w:rPr>
              <w:t>0.176</w:t>
            </w:r>
          </w:p>
        </w:tc>
        <w:tc>
          <w:tcPr>
            <w:tcW w:w="1224" w:type="dxa"/>
          </w:tcPr>
          <w:p w:rsidR="00487D64" w:rsidRDefault="00487D64">
            <w:pPr>
              <w:pStyle w:val="TableParagraph"/>
              <w:rPr>
                <w:sz w:val="24"/>
              </w:rPr>
            </w:pPr>
          </w:p>
        </w:tc>
        <w:tc>
          <w:tcPr>
            <w:tcW w:w="1224" w:type="dxa"/>
          </w:tcPr>
          <w:p w:rsidR="00487D64" w:rsidRDefault="00487D64">
            <w:pPr>
              <w:pStyle w:val="TableParagraph"/>
              <w:rPr>
                <w:sz w:val="24"/>
              </w:rPr>
            </w:pPr>
          </w:p>
        </w:tc>
        <w:tc>
          <w:tcPr>
            <w:tcW w:w="1221" w:type="dxa"/>
          </w:tcPr>
          <w:p w:rsidR="00487D64" w:rsidRDefault="00487D64">
            <w:pPr>
              <w:pStyle w:val="TableParagraph"/>
              <w:rPr>
                <w:sz w:val="24"/>
              </w:rPr>
            </w:pPr>
          </w:p>
        </w:tc>
        <w:tc>
          <w:tcPr>
            <w:tcW w:w="1735" w:type="dxa"/>
          </w:tcPr>
          <w:p w:rsidR="00487D64" w:rsidRDefault="00487D64">
            <w:pPr>
              <w:pStyle w:val="TableParagraph"/>
              <w:rPr>
                <w:sz w:val="24"/>
              </w:rPr>
            </w:pPr>
          </w:p>
        </w:tc>
        <w:tc>
          <w:tcPr>
            <w:tcW w:w="1758" w:type="dxa"/>
          </w:tcPr>
          <w:p w:rsidR="00487D64" w:rsidRDefault="00487D64">
            <w:pPr>
              <w:pStyle w:val="TableParagraph"/>
              <w:rPr>
                <w:sz w:val="24"/>
              </w:rPr>
            </w:pPr>
          </w:p>
        </w:tc>
      </w:tr>
      <w:tr w:rsidR="00487D64">
        <w:trPr>
          <w:trHeight w:val="318"/>
        </w:trPr>
        <w:tc>
          <w:tcPr>
            <w:tcW w:w="1697" w:type="dxa"/>
          </w:tcPr>
          <w:p w:rsidR="00487D64" w:rsidRDefault="006F0D93">
            <w:pPr>
              <w:pStyle w:val="TableParagraph"/>
              <w:spacing w:line="275" w:lineRule="exact"/>
              <w:ind w:left="119"/>
              <w:rPr>
                <w:sz w:val="24"/>
              </w:rPr>
            </w:pPr>
            <w:r>
              <w:rPr>
                <w:spacing w:val="-5"/>
                <w:sz w:val="24"/>
              </w:rPr>
              <w:t>SC</w:t>
            </w:r>
          </w:p>
        </w:tc>
        <w:tc>
          <w:tcPr>
            <w:tcW w:w="1222" w:type="dxa"/>
          </w:tcPr>
          <w:p w:rsidR="00487D64" w:rsidRDefault="006F0D93">
            <w:pPr>
              <w:pStyle w:val="TableParagraph"/>
              <w:spacing w:line="275" w:lineRule="exact"/>
              <w:ind w:left="120"/>
              <w:rPr>
                <w:sz w:val="24"/>
              </w:rPr>
            </w:pPr>
            <w:r>
              <w:rPr>
                <w:spacing w:val="-2"/>
                <w:sz w:val="24"/>
              </w:rPr>
              <w:t>0.377</w:t>
            </w:r>
          </w:p>
        </w:tc>
        <w:tc>
          <w:tcPr>
            <w:tcW w:w="1224" w:type="dxa"/>
          </w:tcPr>
          <w:p w:rsidR="00487D64" w:rsidRDefault="006F0D93">
            <w:pPr>
              <w:pStyle w:val="TableParagraph"/>
              <w:spacing w:line="275" w:lineRule="exact"/>
              <w:ind w:left="120"/>
              <w:rPr>
                <w:sz w:val="24"/>
              </w:rPr>
            </w:pPr>
            <w:r>
              <w:rPr>
                <w:spacing w:val="-2"/>
                <w:sz w:val="24"/>
              </w:rPr>
              <w:t>0.396</w:t>
            </w:r>
          </w:p>
        </w:tc>
        <w:tc>
          <w:tcPr>
            <w:tcW w:w="1224" w:type="dxa"/>
          </w:tcPr>
          <w:p w:rsidR="00487D64" w:rsidRDefault="00487D64">
            <w:pPr>
              <w:pStyle w:val="TableParagraph"/>
              <w:rPr>
                <w:sz w:val="24"/>
              </w:rPr>
            </w:pPr>
          </w:p>
        </w:tc>
        <w:tc>
          <w:tcPr>
            <w:tcW w:w="1221" w:type="dxa"/>
          </w:tcPr>
          <w:p w:rsidR="00487D64" w:rsidRDefault="00487D64">
            <w:pPr>
              <w:pStyle w:val="TableParagraph"/>
              <w:rPr>
                <w:sz w:val="24"/>
              </w:rPr>
            </w:pPr>
          </w:p>
        </w:tc>
        <w:tc>
          <w:tcPr>
            <w:tcW w:w="1735" w:type="dxa"/>
          </w:tcPr>
          <w:p w:rsidR="00487D64" w:rsidRDefault="00487D64">
            <w:pPr>
              <w:pStyle w:val="TableParagraph"/>
              <w:rPr>
                <w:sz w:val="24"/>
              </w:rPr>
            </w:pPr>
          </w:p>
        </w:tc>
        <w:tc>
          <w:tcPr>
            <w:tcW w:w="1758" w:type="dxa"/>
          </w:tcPr>
          <w:p w:rsidR="00487D64" w:rsidRDefault="00487D64">
            <w:pPr>
              <w:pStyle w:val="TableParagraph"/>
              <w:rPr>
                <w:sz w:val="24"/>
              </w:rPr>
            </w:pPr>
          </w:p>
        </w:tc>
      </w:tr>
      <w:tr w:rsidR="00487D64">
        <w:trPr>
          <w:trHeight w:val="316"/>
        </w:trPr>
        <w:tc>
          <w:tcPr>
            <w:tcW w:w="1697" w:type="dxa"/>
          </w:tcPr>
          <w:p w:rsidR="00487D64" w:rsidRDefault="006F0D93">
            <w:pPr>
              <w:pStyle w:val="TableParagraph"/>
              <w:spacing w:line="275" w:lineRule="exact"/>
              <w:ind w:left="119"/>
              <w:rPr>
                <w:sz w:val="24"/>
              </w:rPr>
            </w:pPr>
            <w:r>
              <w:rPr>
                <w:spacing w:val="-5"/>
                <w:sz w:val="24"/>
              </w:rPr>
              <w:t>SF</w:t>
            </w:r>
          </w:p>
        </w:tc>
        <w:tc>
          <w:tcPr>
            <w:tcW w:w="1222" w:type="dxa"/>
          </w:tcPr>
          <w:p w:rsidR="00487D64" w:rsidRDefault="006F0D93">
            <w:pPr>
              <w:pStyle w:val="TableParagraph"/>
              <w:spacing w:line="275" w:lineRule="exact"/>
              <w:ind w:left="120"/>
              <w:rPr>
                <w:sz w:val="24"/>
              </w:rPr>
            </w:pPr>
            <w:r>
              <w:rPr>
                <w:spacing w:val="-2"/>
                <w:sz w:val="24"/>
              </w:rPr>
              <w:t>0.124</w:t>
            </w:r>
          </w:p>
        </w:tc>
        <w:tc>
          <w:tcPr>
            <w:tcW w:w="1224" w:type="dxa"/>
          </w:tcPr>
          <w:p w:rsidR="00487D64" w:rsidRDefault="006F0D93">
            <w:pPr>
              <w:pStyle w:val="TableParagraph"/>
              <w:spacing w:line="275" w:lineRule="exact"/>
              <w:ind w:left="120"/>
              <w:rPr>
                <w:sz w:val="24"/>
              </w:rPr>
            </w:pPr>
            <w:r>
              <w:rPr>
                <w:spacing w:val="-2"/>
                <w:sz w:val="24"/>
              </w:rPr>
              <w:t>0.228</w:t>
            </w:r>
          </w:p>
        </w:tc>
        <w:tc>
          <w:tcPr>
            <w:tcW w:w="1224" w:type="dxa"/>
          </w:tcPr>
          <w:p w:rsidR="00487D64" w:rsidRDefault="006F0D93">
            <w:pPr>
              <w:pStyle w:val="TableParagraph"/>
              <w:spacing w:line="275" w:lineRule="exact"/>
              <w:ind w:left="120"/>
              <w:rPr>
                <w:sz w:val="24"/>
              </w:rPr>
            </w:pPr>
            <w:r>
              <w:rPr>
                <w:spacing w:val="-2"/>
                <w:sz w:val="24"/>
              </w:rPr>
              <w:t>0.762</w:t>
            </w:r>
          </w:p>
        </w:tc>
        <w:tc>
          <w:tcPr>
            <w:tcW w:w="1221" w:type="dxa"/>
          </w:tcPr>
          <w:p w:rsidR="00487D64" w:rsidRDefault="00487D64">
            <w:pPr>
              <w:pStyle w:val="TableParagraph"/>
              <w:rPr>
                <w:sz w:val="24"/>
              </w:rPr>
            </w:pPr>
          </w:p>
        </w:tc>
        <w:tc>
          <w:tcPr>
            <w:tcW w:w="1735" w:type="dxa"/>
          </w:tcPr>
          <w:p w:rsidR="00487D64" w:rsidRDefault="00487D64">
            <w:pPr>
              <w:pStyle w:val="TableParagraph"/>
              <w:rPr>
                <w:sz w:val="24"/>
              </w:rPr>
            </w:pPr>
          </w:p>
        </w:tc>
        <w:tc>
          <w:tcPr>
            <w:tcW w:w="1758" w:type="dxa"/>
          </w:tcPr>
          <w:p w:rsidR="00487D64" w:rsidRDefault="00487D64">
            <w:pPr>
              <w:pStyle w:val="TableParagraph"/>
              <w:rPr>
                <w:sz w:val="24"/>
              </w:rPr>
            </w:pPr>
          </w:p>
        </w:tc>
      </w:tr>
      <w:tr w:rsidR="00487D64">
        <w:trPr>
          <w:trHeight w:val="316"/>
        </w:trPr>
        <w:tc>
          <w:tcPr>
            <w:tcW w:w="1697" w:type="dxa"/>
          </w:tcPr>
          <w:p w:rsidR="00487D64" w:rsidRDefault="006F0D93">
            <w:pPr>
              <w:pStyle w:val="TableParagraph"/>
              <w:spacing w:line="275" w:lineRule="exact"/>
              <w:ind w:left="119"/>
              <w:rPr>
                <w:sz w:val="24"/>
              </w:rPr>
            </w:pPr>
            <w:r>
              <w:rPr>
                <w:sz w:val="24"/>
              </w:rPr>
              <w:t>SF</w:t>
            </w:r>
            <w:r>
              <w:rPr>
                <w:spacing w:val="-4"/>
                <w:sz w:val="24"/>
              </w:rPr>
              <w:t xml:space="preserve"> </w:t>
            </w:r>
            <w:r>
              <w:rPr>
                <w:sz w:val="24"/>
              </w:rPr>
              <w:t xml:space="preserve">x </w:t>
            </w:r>
            <w:r>
              <w:rPr>
                <w:spacing w:val="-7"/>
                <w:sz w:val="24"/>
              </w:rPr>
              <w:t>CU</w:t>
            </w:r>
          </w:p>
        </w:tc>
        <w:tc>
          <w:tcPr>
            <w:tcW w:w="1222" w:type="dxa"/>
          </w:tcPr>
          <w:p w:rsidR="00487D64" w:rsidRDefault="006F0D93">
            <w:pPr>
              <w:pStyle w:val="TableParagraph"/>
              <w:spacing w:line="275" w:lineRule="exact"/>
              <w:ind w:left="120"/>
              <w:rPr>
                <w:sz w:val="24"/>
              </w:rPr>
            </w:pPr>
            <w:r>
              <w:rPr>
                <w:spacing w:val="-2"/>
                <w:sz w:val="24"/>
              </w:rPr>
              <w:t>0.076</w:t>
            </w:r>
          </w:p>
        </w:tc>
        <w:tc>
          <w:tcPr>
            <w:tcW w:w="1224" w:type="dxa"/>
          </w:tcPr>
          <w:p w:rsidR="00487D64" w:rsidRDefault="006F0D93">
            <w:pPr>
              <w:pStyle w:val="TableParagraph"/>
              <w:spacing w:line="275" w:lineRule="exact"/>
              <w:ind w:left="120"/>
              <w:rPr>
                <w:sz w:val="24"/>
              </w:rPr>
            </w:pPr>
            <w:r>
              <w:rPr>
                <w:spacing w:val="-2"/>
                <w:sz w:val="24"/>
              </w:rPr>
              <w:t>0.038</w:t>
            </w:r>
          </w:p>
        </w:tc>
        <w:tc>
          <w:tcPr>
            <w:tcW w:w="1224" w:type="dxa"/>
          </w:tcPr>
          <w:p w:rsidR="00487D64" w:rsidRDefault="006F0D93">
            <w:pPr>
              <w:pStyle w:val="TableParagraph"/>
              <w:spacing w:line="275" w:lineRule="exact"/>
              <w:ind w:left="120"/>
              <w:rPr>
                <w:sz w:val="24"/>
              </w:rPr>
            </w:pPr>
            <w:r>
              <w:rPr>
                <w:spacing w:val="-2"/>
                <w:sz w:val="24"/>
              </w:rPr>
              <w:t>0.204</w:t>
            </w:r>
          </w:p>
        </w:tc>
        <w:tc>
          <w:tcPr>
            <w:tcW w:w="1221" w:type="dxa"/>
          </w:tcPr>
          <w:p w:rsidR="00487D64" w:rsidRDefault="006F0D93">
            <w:pPr>
              <w:pStyle w:val="TableParagraph"/>
              <w:spacing w:line="275" w:lineRule="exact"/>
              <w:ind w:left="118"/>
              <w:rPr>
                <w:sz w:val="24"/>
              </w:rPr>
            </w:pPr>
            <w:r>
              <w:rPr>
                <w:spacing w:val="-2"/>
                <w:sz w:val="24"/>
              </w:rPr>
              <w:t>0.237</w:t>
            </w:r>
          </w:p>
        </w:tc>
        <w:tc>
          <w:tcPr>
            <w:tcW w:w="1735" w:type="dxa"/>
          </w:tcPr>
          <w:p w:rsidR="00487D64" w:rsidRDefault="00487D64">
            <w:pPr>
              <w:pStyle w:val="TableParagraph"/>
              <w:rPr>
                <w:sz w:val="24"/>
              </w:rPr>
            </w:pPr>
          </w:p>
        </w:tc>
        <w:tc>
          <w:tcPr>
            <w:tcW w:w="1758" w:type="dxa"/>
          </w:tcPr>
          <w:p w:rsidR="00487D64" w:rsidRDefault="00487D64">
            <w:pPr>
              <w:pStyle w:val="TableParagraph"/>
              <w:rPr>
                <w:sz w:val="24"/>
              </w:rPr>
            </w:pPr>
          </w:p>
        </w:tc>
      </w:tr>
      <w:tr w:rsidR="00487D64">
        <w:trPr>
          <w:trHeight w:val="318"/>
        </w:trPr>
        <w:tc>
          <w:tcPr>
            <w:tcW w:w="1697" w:type="dxa"/>
          </w:tcPr>
          <w:p w:rsidR="00487D64" w:rsidRDefault="006F0D93">
            <w:pPr>
              <w:pStyle w:val="TableParagraph"/>
              <w:spacing w:before="1"/>
              <w:ind w:left="119"/>
              <w:rPr>
                <w:sz w:val="24"/>
              </w:rPr>
            </w:pPr>
            <w:r>
              <w:rPr>
                <w:sz w:val="24"/>
              </w:rPr>
              <w:t>SF</w:t>
            </w:r>
            <w:r>
              <w:rPr>
                <w:spacing w:val="-4"/>
                <w:sz w:val="24"/>
              </w:rPr>
              <w:t xml:space="preserve"> </w:t>
            </w:r>
            <w:r>
              <w:rPr>
                <w:sz w:val="24"/>
              </w:rPr>
              <w:t xml:space="preserve">x </w:t>
            </w:r>
            <w:r>
              <w:rPr>
                <w:spacing w:val="-7"/>
                <w:sz w:val="24"/>
              </w:rPr>
              <w:t>CO</w:t>
            </w:r>
          </w:p>
        </w:tc>
        <w:tc>
          <w:tcPr>
            <w:tcW w:w="1222" w:type="dxa"/>
          </w:tcPr>
          <w:p w:rsidR="00487D64" w:rsidRDefault="006F0D93">
            <w:pPr>
              <w:pStyle w:val="TableParagraph"/>
              <w:spacing w:before="1"/>
              <w:ind w:left="120"/>
              <w:rPr>
                <w:sz w:val="24"/>
              </w:rPr>
            </w:pPr>
            <w:r>
              <w:rPr>
                <w:spacing w:val="-2"/>
                <w:sz w:val="24"/>
              </w:rPr>
              <w:t>0.073</w:t>
            </w:r>
          </w:p>
        </w:tc>
        <w:tc>
          <w:tcPr>
            <w:tcW w:w="1224" w:type="dxa"/>
          </w:tcPr>
          <w:p w:rsidR="00487D64" w:rsidRDefault="006F0D93">
            <w:pPr>
              <w:pStyle w:val="TableParagraph"/>
              <w:spacing w:before="1"/>
              <w:ind w:left="120"/>
              <w:rPr>
                <w:sz w:val="24"/>
              </w:rPr>
            </w:pPr>
            <w:r>
              <w:rPr>
                <w:spacing w:val="-2"/>
                <w:sz w:val="24"/>
              </w:rPr>
              <w:t>0.078</w:t>
            </w:r>
          </w:p>
        </w:tc>
        <w:tc>
          <w:tcPr>
            <w:tcW w:w="1224" w:type="dxa"/>
          </w:tcPr>
          <w:p w:rsidR="00487D64" w:rsidRDefault="006F0D93">
            <w:pPr>
              <w:pStyle w:val="TableParagraph"/>
              <w:spacing w:before="1"/>
              <w:ind w:left="120"/>
              <w:rPr>
                <w:sz w:val="24"/>
              </w:rPr>
            </w:pPr>
            <w:r>
              <w:rPr>
                <w:spacing w:val="-2"/>
                <w:sz w:val="24"/>
              </w:rPr>
              <w:t>0.235</w:t>
            </w:r>
          </w:p>
        </w:tc>
        <w:tc>
          <w:tcPr>
            <w:tcW w:w="1221" w:type="dxa"/>
          </w:tcPr>
          <w:p w:rsidR="00487D64" w:rsidRDefault="006F0D93">
            <w:pPr>
              <w:pStyle w:val="TableParagraph"/>
              <w:spacing w:before="1"/>
              <w:ind w:left="118"/>
              <w:rPr>
                <w:sz w:val="24"/>
              </w:rPr>
            </w:pPr>
            <w:r>
              <w:rPr>
                <w:spacing w:val="-2"/>
                <w:sz w:val="24"/>
              </w:rPr>
              <w:t>0.167</w:t>
            </w:r>
          </w:p>
        </w:tc>
        <w:tc>
          <w:tcPr>
            <w:tcW w:w="1735" w:type="dxa"/>
          </w:tcPr>
          <w:p w:rsidR="00487D64" w:rsidRDefault="006F0D93">
            <w:pPr>
              <w:pStyle w:val="TableParagraph"/>
              <w:spacing w:before="1"/>
              <w:ind w:left="121"/>
              <w:rPr>
                <w:sz w:val="24"/>
              </w:rPr>
            </w:pPr>
            <w:r>
              <w:rPr>
                <w:spacing w:val="-2"/>
                <w:sz w:val="24"/>
              </w:rPr>
              <w:t>0.125</w:t>
            </w:r>
          </w:p>
        </w:tc>
        <w:tc>
          <w:tcPr>
            <w:tcW w:w="1758" w:type="dxa"/>
          </w:tcPr>
          <w:p w:rsidR="00487D64" w:rsidRDefault="00487D64">
            <w:pPr>
              <w:pStyle w:val="TableParagraph"/>
              <w:rPr>
                <w:sz w:val="24"/>
              </w:rPr>
            </w:pPr>
          </w:p>
        </w:tc>
      </w:tr>
    </w:tbl>
    <w:p w:rsidR="00487D64" w:rsidRDefault="006F0D93">
      <w:pPr>
        <w:spacing w:before="2"/>
        <w:ind w:left="70" w:right="355"/>
        <w:jc w:val="center"/>
        <w:rPr>
          <w:b/>
          <w:sz w:val="24"/>
        </w:rPr>
      </w:pPr>
      <w:r>
        <w:rPr>
          <w:b/>
          <w:sz w:val="24"/>
        </w:rPr>
        <w:t>Source:</w:t>
      </w:r>
      <w:r>
        <w:rPr>
          <w:b/>
          <w:spacing w:val="-3"/>
          <w:sz w:val="24"/>
        </w:rPr>
        <w:t xml:space="preserve"> </w:t>
      </w:r>
      <w:r>
        <w:rPr>
          <w:b/>
          <w:sz w:val="24"/>
        </w:rPr>
        <w:t>Data</w:t>
      </w:r>
      <w:r>
        <w:rPr>
          <w:b/>
          <w:spacing w:val="-2"/>
          <w:sz w:val="24"/>
        </w:rPr>
        <w:t xml:space="preserve"> </w:t>
      </w:r>
      <w:r>
        <w:rPr>
          <w:b/>
          <w:sz w:val="24"/>
        </w:rPr>
        <w:t>analysis</w:t>
      </w:r>
      <w:r>
        <w:rPr>
          <w:b/>
          <w:spacing w:val="-2"/>
          <w:sz w:val="24"/>
        </w:rPr>
        <w:t xml:space="preserve"> (2025)</w:t>
      </w:r>
    </w:p>
    <w:p w:rsidR="00487D64" w:rsidRDefault="00487D64">
      <w:pPr>
        <w:pStyle w:val="BodyText"/>
        <w:spacing w:before="82"/>
        <w:rPr>
          <w:b/>
          <w:sz w:val="24"/>
        </w:rPr>
      </w:pPr>
    </w:p>
    <w:p w:rsidR="00487D64" w:rsidRDefault="006F0D93">
      <w:pPr>
        <w:ind w:left="57"/>
        <w:jc w:val="both"/>
        <w:rPr>
          <w:b/>
          <w:sz w:val="24"/>
        </w:rPr>
      </w:pPr>
      <w:r>
        <w:rPr>
          <w:b/>
          <w:sz w:val="24"/>
        </w:rPr>
        <w:t>Assessment</w:t>
      </w:r>
      <w:r>
        <w:rPr>
          <w:b/>
          <w:spacing w:val="-1"/>
          <w:sz w:val="24"/>
        </w:rPr>
        <w:t xml:space="preserve"> </w:t>
      </w:r>
      <w:r>
        <w:rPr>
          <w:b/>
          <w:sz w:val="24"/>
        </w:rPr>
        <w:t>of</w:t>
      </w:r>
      <w:r>
        <w:rPr>
          <w:b/>
          <w:spacing w:val="-3"/>
          <w:sz w:val="24"/>
        </w:rPr>
        <w:t xml:space="preserve"> </w:t>
      </w:r>
      <w:r>
        <w:rPr>
          <w:b/>
          <w:sz w:val="24"/>
        </w:rPr>
        <w:t>the</w:t>
      </w:r>
      <w:r>
        <w:rPr>
          <w:b/>
          <w:spacing w:val="-1"/>
          <w:sz w:val="24"/>
        </w:rPr>
        <w:t xml:space="preserve"> </w:t>
      </w:r>
      <w:r>
        <w:rPr>
          <w:b/>
          <w:sz w:val="24"/>
        </w:rPr>
        <w:t>structural</w:t>
      </w:r>
      <w:r>
        <w:rPr>
          <w:b/>
          <w:spacing w:val="-1"/>
          <w:sz w:val="24"/>
        </w:rPr>
        <w:t xml:space="preserve"> </w:t>
      </w:r>
      <w:r>
        <w:rPr>
          <w:b/>
          <w:spacing w:val="-4"/>
          <w:sz w:val="24"/>
        </w:rPr>
        <w:t>model</w:t>
      </w:r>
    </w:p>
    <w:p w:rsidR="00487D64" w:rsidRDefault="006F0D93">
      <w:pPr>
        <w:spacing w:before="44" w:line="276" w:lineRule="auto"/>
        <w:ind w:left="57" w:right="339"/>
        <w:jc w:val="both"/>
        <w:rPr>
          <w:sz w:val="24"/>
        </w:rPr>
      </w:pPr>
      <w:r>
        <w:rPr>
          <w:sz w:val="24"/>
        </w:rPr>
        <w:t>After the confirmation of the measurement model's reliability and validity, the next step in Partial Least Squares Structural Equation Modeling (PLS-SEM) involves assessing the structural model. This assessment aims to evaluate the hypothesized relationshi</w:t>
      </w:r>
      <w:r>
        <w:rPr>
          <w:sz w:val="24"/>
        </w:rPr>
        <w:t>ps between constructs and determine the extent to which the theoretical model is supported by the empirical data. As outlined by Hair et al. (2019), the structural model evaluation is guided</w:t>
      </w:r>
      <w:r>
        <w:rPr>
          <w:spacing w:val="-1"/>
          <w:sz w:val="24"/>
        </w:rPr>
        <w:t xml:space="preserve"> </w:t>
      </w:r>
      <w:r>
        <w:rPr>
          <w:sz w:val="24"/>
        </w:rPr>
        <w:t>by several key criteria: the coefficient of</w:t>
      </w:r>
      <w:r>
        <w:rPr>
          <w:spacing w:val="-1"/>
          <w:sz w:val="24"/>
        </w:rPr>
        <w:t xml:space="preserve"> </w:t>
      </w:r>
      <w:r>
        <w:rPr>
          <w:sz w:val="24"/>
        </w:rPr>
        <w:t>determination (R²),</w:t>
      </w:r>
      <w:r>
        <w:rPr>
          <w:spacing w:val="-1"/>
          <w:sz w:val="24"/>
        </w:rPr>
        <w:t xml:space="preserve"> </w:t>
      </w:r>
      <w:r>
        <w:rPr>
          <w:sz w:val="24"/>
        </w:rPr>
        <w:t>w</w:t>
      </w:r>
      <w:r>
        <w:rPr>
          <w:sz w:val="24"/>
        </w:rPr>
        <w:t>hich quantifies the variance in endogenous constructs explained by exogenous variables; the predictive relevance</w:t>
      </w:r>
      <w:r>
        <w:rPr>
          <w:spacing w:val="-4"/>
          <w:sz w:val="24"/>
        </w:rPr>
        <w:t xml:space="preserve"> </w:t>
      </w:r>
      <w:r>
        <w:rPr>
          <w:sz w:val="24"/>
        </w:rPr>
        <w:t>(Q²)</w:t>
      </w:r>
      <w:r>
        <w:rPr>
          <w:spacing w:val="-3"/>
          <w:sz w:val="24"/>
        </w:rPr>
        <w:t xml:space="preserve"> </w:t>
      </w:r>
      <w:r>
        <w:rPr>
          <w:sz w:val="24"/>
        </w:rPr>
        <w:t>obtained</w:t>
      </w:r>
      <w:r>
        <w:rPr>
          <w:spacing w:val="-3"/>
          <w:sz w:val="24"/>
        </w:rPr>
        <w:t xml:space="preserve"> </w:t>
      </w:r>
      <w:r>
        <w:rPr>
          <w:sz w:val="24"/>
        </w:rPr>
        <w:t>through</w:t>
      </w:r>
      <w:r>
        <w:rPr>
          <w:spacing w:val="-3"/>
          <w:sz w:val="24"/>
        </w:rPr>
        <w:t xml:space="preserve"> </w:t>
      </w:r>
      <w:r>
        <w:rPr>
          <w:sz w:val="24"/>
        </w:rPr>
        <w:t>blindfolding</w:t>
      </w:r>
      <w:r>
        <w:rPr>
          <w:spacing w:val="-3"/>
          <w:sz w:val="24"/>
        </w:rPr>
        <w:t xml:space="preserve"> </w:t>
      </w:r>
      <w:r>
        <w:rPr>
          <w:sz w:val="24"/>
        </w:rPr>
        <w:t>procedures;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statistical</w:t>
      </w:r>
      <w:r>
        <w:rPr>
          <w:spacing w:val="-1"/>
          <w:sz w:val="24"/>
        </w:rPr>
        <w:t xml:space="preserve"> </w:t>
      </w:r>
      <w:r>
        <w:rPr>
          <w:sz w:val="24"/>
        </w:rPr>
        <w:t>significance</w:t>
      </w:r>
      <w:r>
        <w:rPr>
          <w:spacing w:val="-4"/>
          <w:sz w:val="24"/>
        </w:rPr>
        <w:t xml:space="preserve"> </w:t>
      </w:r>
      <w:r>
        <w:rPr>
          <w:sz w:val="24"/>
        </w:rPr>
        <w:t>and</w:t>
      </w:r>
      <w:r>
        <w:rPr>
          <w:spacing w:val="-1"/>
          <w:sz w:val="24"/>
        </w:rPr>
        <w:t xml:space="preserve"> </w:t>
      </w:r>
      <w:r>
        <w:rPr>
          <w:sz w:val="24"/>
        </w:rPr>
        <w:t>relevance</w:t>
      </w:r>
      <w:r>
        <w:rPr>
          <w:spacing w:val="-4"/>
          <w:sz w:val="24"/>
        </w:rPr>
        <w:t xml:space="preserve"> </w:t>
      </w:r>
      <w:r>
        <w:rPr>
          <w:sz w:val="24"/>
        </w:rPr>
        <w:t>of the path coefficients, which reflect the stren</w:t>
      </w:r>
      <w:r>
        <w:rPr>
          <w:sz w:val="24"/>
        </w:rPr>
        <w:t>gth and direction of hypothesized relationships.</w:t>
      </w:r>
    </w:p>
    <w:p w:rsidR="00487D64" w:rsidRDefault="00487D64">
      <w:pPr>
        <w:pStyle w:val="BodyText"/>
        <w:spacing w:before="41"/>
        <w:rPr>
          <w:sz w:val="24"/>
        </w:rPr>
      </w:pPr>
    </w:p>
    <w:p w:rsidR="00487D64" w:rsidRDefault="006F0D93">
      <w:pPr>
        <w:ind w:left="57"/>
        <w:jc w:val="both"/>
        <w:rPr>
          <w:b/>
          <w:sz w:val="24"/>
        </w:rPr>
      </w:pPr>
      <w:r>
        <w:rPr>
          <w:b/>
          <w:sz w:val="24"/>
        </w:rPr>
        <w:t>Collinearity</w:t>
      </w:r>
      <w:r>
        <w:rPr>
          <w:b/>
          <w:spacing w:val="-5"/>
          <w:sz w:val="24"/>
        </w:rPr>
        <w:t xml:space="preserve"> </w:t>
      </w:r>
      <w:r>
        <w:rPr>
          <w:b/>
          <w:sz w:val="24"/>
        </w:rPr>
        <w:t>Statistics</w:t>
      </w:r>
      <w:r>
        <w:rPr>
          <w:b/>
          <w:spacing w:val="-3"/>
          <w:sz w:val="24"/>
        </w:rPr>
        <w:t xml:space="preserve"> </w:t>
      </w:r>
      <w:r>
        <w:rPr>
          <w:b/>
          <w:sz w:val="24"/>
        </w:rPr>
        <w:t>Variance</w:t>
      </w:r>
      <w:r>
        <w:rPr>
          <w:b/>
          <w:spacing w:val="-3"/>
          <w:sz w:val="24"/>
        </w:rPr>
        <w:t xml:space="preserve"> </w:t>
      </w:r>
      <w:r>
        <w:rPr>
          <w:b/>
          <w:sz w:val="24"/>
        </w:rPr>
        <w:t>Inflation</w:t>
      </w:r>
      <w:r>
        <w:rPr>
          <w:b/>
          <w:spacing w:val="-3"/>
          <w:sz w:val="24"/>
        </w:rPr>
        <w:t xml:space="preserve"> </w:t>
      </w:r>
      <w:r>
        <w:rPr>
          <w:b/>
          <w:sz w:val="24"/>
        </w:rPr>
        <w:t>Factor</w:t>
      </w:r>
      <w:r>
        <w:rPr>
          <w:b/>
          <w:spacing w:val="-1"/>
          <w:sz w:val="24"/>
        </w:rPr>
        <w:t xml:space="preserve"> </w:t>
      </w:r>
      <w:r>
        <w:rPr>
          <w:sz w:val="24"/>
        </w:rPr>
        <w:t>(</w:t>
      </w:r>
      <w:r>
        <w:rPr>
          <w:b/>
          <w:sz w:val="24"/>
        </w:rPr>
        <w:t>VIF)</w:t>
      </w:r>
      <w:r>
        <w:rPr>
          <w:b/>
          <w:spacing w:val="-4"/>
          <w:sz w:val="24"/>
        </w:rPr>
        <w:t xml:space="preserve"> </w:t>
      </w:r>
      <w:r>
        <w:rPr>
          <w:b/>
          <w:sz w:val="24"/>
        </w:rPr>
        <w:t>Inner</w:t>
      </w:r>
      <w:r>
        <w:rPr>
          <w:b/>
          <w:spacing w:val="-3"/>
          <w:sz w:val="24"/>
        </w:rPr>
        <w:t xml:space="preserve"> </w:t>
      </w:r>
      <w:r>
        <w:rPr>
          <w:b/>
          <w:sz w:val="24"/>
        </w:rPr>
        <w:t>Model</w:t>
      </w:r>
      <w:r>
        <w:rPr>
          <w:b/>
          <w:spacing w:val="-3"/>
          <w:sz w:val="24"/>
        </w:rPr>
        <w:t xml:space="preserve"> </w:t>
      </w:r>
      <w:r>
        <w:rPr>
          <w:b/>
          <w:spacing w:val="-2"/>
          <w:sz w:val="24"/>
        </w:rPr>
        <w:t>Statistics</w:t>
      </w:r>
    </w:p>
    <w:p w:rsidR="00487D64" w:rsidRDefault="006F0D93">
      <w:pPr>
        <w:spacing w:before="41" w:line="276" w:lineRule="auto"/>
        <w:ind w:left="57" w:right="340"/>
        <w:jc w:val="both"/>
        <w:rPr>
          <w:sz w:val="24"/>
        </w:rPr>
      </w:pPr>
      <w:r>
        <w:rPr>
          <w:sz w:val="24"/>
        </w:rPr>
        <w:t>To assess potential multicollinearity within the inner structural model, including both main effects and interaction terms, the</w:t>
      </w:r>
      <w:r>
        <w:rPr>
          <w:sz w:val="24"/>
        </w:rPr>
        <w:t xml:space="preserve"> Variance Inflation Factor (VIF) was examined. VIF values indicate the extent to which</w:t>
      </w:r>
      <w:r>
        <w:rPr>
          <w:spacing w:val="-4"/>
          <w:sz w:val="24"/>
        </w:rPr>
        <w:t xml:space="preserve"> </w:t>
      </w:r>
      <w:r>
        <w:rPr>
          <w:sz w:val="24"/>
        </w:rPr>
        <w:t>the</w:t>
      </w:r>
      <w:r>
        <w:rPr>
          <w:spacing w:val="-4"/>
          <w:sz w:val="24"/>
        </w:rPr>
        <w:t xml:space="preserve"> </w:t>
      </w:r>
      <w:r>
        <w:rPr>
          <w:sz w:val="24"/>
        </w:rPr>
        <w:t>variance</w:t>
      </w:r>
      <w:r>
        <w:rPr>
          <w:spacing w:val="-4"/>
          <w:sz w:val="24"/>
        </w:rPr>
        <w:t xml:space="preserve"> </w:t>
      </w:r>
      <w:r>
        <w:rPr>
          <w:sz w:val="24"/>
        </w:rPr>
        <w:t>of</w:t>
      </w:r>
      <w:r>
        <w:rPr>
          <w:spacing w:val="-4"/>
          <w:sz w:val="24"/>
        </w:rPr>
        <w:t xml:space="preserve"> </w:t>
      </w:r>
      <w:r>
        <w:rPr>
          <w:sz w:val="24"/>
        </w:rPr>
        <w:t>an</w:t>
      </w:r>
      <w:r>
        <w:rPr>
          <w:spacing w:val="-4"/>
          <w:sz w:val="24"/>
        </w:rPr>
        <w:t xml:space="preserve"> </w:t>
      </w:r>
      <w:r>
        <w:rPr>
          <w:sz w:val="24"/>
        </w:rPr>
        <w:t>estimated</w:t>
      </w:r>
      <w:r>
        <w:rPr>
          <w:spacing w:val="-4"/>
          <w:sz w:val="24"/>
        </w:rPr>
        <w:t xml:space="preserve"> </w:t>
      </w:r>
      <w:r>
        <w:rPr>
          <w:sz w:val="24"/>
        </w:rPr>
        <w:t>regression</w:t>
      </w:r>
      <w:r>
        <w:rPr>
          <w:spacing w:val="-4"/>
          <w:sz w:val="24"/>
        </w:rPr>
        <w:t xml:space="preserve"> </w:t>
      </w:r>
      <w:r>
        <w:rPr>
          <w:sz w:val="24"/>
        </w:rPr>
        <w:t>coefficient</w:t>
      </w:r>
      <w:r>
        <w:rPr>
          <w:spacing w:val="-4"/>
          <w:sz w:val="24"/>
        </w:rPr>
        <w:t xml:space="preserve"> </w:t>
      </w:r>
      <w:r>
        <w:rPr>
          <w:sz w:val="24"/>
        </w:rPr>
        <w:t>is</w:t>
      </w:r>
      <w:r>
        <w:rPr>
          <w:spacing w:val="-4"/>
          <w:sz w:val="24"/>
        </w:rPr>
        <w:t xml:space="preserve"> </w:t>
      </w:r>
      <w:r>
        <w:rPr>
          <w:sz w:val="24"/>
        </w:rPr>
        <w:t>increased</w:t>
      </w:r>
      <w:r>
        <w:rPr>
          <w:spacing w:val="-4"/>
          <w:sz w:val="24"/>
        </w:rPr>
        <w:t xml:space="preserve"> </w:t>
      </w:r>
      <w:r>
        <w:rPr>
          <w:sz w:val="24"/>
        </w:rPr>
        <w:t>due</w:t>
      </w:r>
      <w:r>
        <w:rPr>
          <w:spacing w:val="-4"/>
          <w:sz w:val="24"/>
        </w:rPr>
        <w:t xml:space="preserve"> </w:t>
      </w:r>
      <w:r>
        <w:rPr>
          <w:sz w:val="24"/>
        </w:rPr>
        <w:t>to</w:t>
      </w:r>
      <w:r>
        <w:rPr>
          <w:spacing w:val="-2"/>
          <w:sz w:val="24"/>
        </w:rPr>
        <w:t xml:space="preserve"> </w:t>
      </w:r>
      <w:r>
        <w:rPr>
          <w:sz w:val="24"/>
        </w:rPr>
        <w:t>collinearity</w:t>
      </w:r>
      <w:r>
        <w:rPr>
          <w:spacing w:val="-4"/>
          <w:sz w:val="24"/>
        </w:rPr>
        <w:t xml:space="preserve"> </w:t>
      </w:r>
      <w:r>
        <w:rPr>
          <w:sz w:val="24"/>
        </w:rPr>
        <w:t>among</w:t>
      </w:r>
      <w:r>
        <w:rPr>
          <w:spacing w:val="-4"/>
          <w:sz w:val="24"/>
        </w:rPr>
        <w:t xml:space="preserve"> </w:t>
      </w:r>
      <w:r>
        <w:rPr>
          <w:sz w:val="24"/>
        </w:rPr>
        <w:t>predictor constructs. As recommended by Hair et al. (2019), VIF values below 5 suggest that multicollinearity is not a critical issue, whereas values above this threshold may signal potential distortion in the estimation of path coefficients. The collinear</w:t>
      </w:r>
      <w:r>
        <w:rPr>
          <w:sz w:val="24"/>
        </w:rPr>
        <w:t>ity diagnostics for the structural model are presented in Table 4.</w:t>
      </w:r>
    </w:p>
    <w:p w:rsidR="00487D64" w:rsidRDefault="00487D64">
      <w:pPr>
        <w:spacing w:line="276" w:lineRule="auto"/>
        <w:jc w:val="both"/>
        <w:rPr>
          <w:sz w:val="24"/>
        </w:rPr>
        <w:sectPr w:rsidR="00487D64">
          <w:pgSz w:w="11910" w:h="16840"/>
          <w:pgMar w:top="1680" w:right="563" w:bottom="800" w:left="850" w:header="677" w:footer="608" w:gutter="0"/>
          <w:cols w:space="720"/>
        </w:sectPr>
      </w:pPr>
    </w:p>
    <w:p w:rsidR="00487D64" w:rsidRDefault="006F0D93">
      <w:pPr>
        <w:spacing w:before="254" w:after="42"/>
        <w:ind w:left="70" w:right="355"/>
        <w:jc w:val="center"/>
        <w:rPr>
          <w:b/>
          <w:sz w:val="24"/>
        </w:rPr>
      </w:pPr>
      <w:r>
        <w:rPr>
          <w:b/>
          <w:sz w:val="24"/>
        </w:rPr>
        <w:lastRenderedPageBreak/>
        <w:t>Table</w:t>
      </w:r>
      <w:r>
        <w:rPr>
          <w:b/>
          <w:spacing w:val="-2"/>
          <w:sz w:val="24"/>
        </w:rPr>
        <w:t xml:space="preserve"> </w:t>
      </w:r>
      <w:r>
        <w:rPr>
          <w:b/>
          <w:sz w:val="24"/>
        </w:rPr>
        <w:t>4:</w:t>
      </w:r>
      <w:r>
        <w:rPr>
          <w:b/>
          <w:spacing w:val="-2"/>
          <w:sz w:val="24"/>
        </w:rPr>
        <w:t xml:space="preserve"> </w:t>
      </w:r>
      <w:r>
        <w:rPr>
          <w:b/>
          <w:sz w:val="24"/>
        </w:rPr>
        <w:t>Model</w:t>
      </w:r>
      <w:r>
        <w:rPr>
          <w:b/>
          <w:spacing w:val="-1"/>
          <w:sz w:val="24"/>
        </w:rPr>
        <w:t xml:space="preserve"> </w:t>
      </w:r>
      <w:r>
        <w:rPr>
          <w:b/>
          <w:spacing w:val="-2"/>
          <w:sz w:val="24"/>
        </w:rPr>
        <w:t>statistics</w:t>
      </w:r>
    </w:p>
    <w:tbl>
      <w:tblPr>
        <w:tblW w:w="0" w:type="auto"/>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3733"/>
      </w:tblGrid>
      <w:tr w:rsidR="00487D64">
        <w:trPr>
          <w:trHeight w:val="318"/>
        </w:trPr>
        <w:tc>
          <w:tcPr>
            <w:tcW w:w="2605" w:type="dxa"/>
          </w:tcPr>
          <w:p w:rsidR="00487D64" w:rsidRDefault="006F0D93">
            <w:pPr>
              <w:pStyle w:val="TableParagraph"/>
              <w:spacing w:line="275" w:lineRule="exact"/>
              <w:ind w:left="119"/>
              <w:rPr>
                <w:b/>
                <w:sz w:val="24"/>
              </w:rPr>
            </w:pPr>
            <w:r>
              <w:rPr>
                <w:b/>
                <w:spacing w:val="-2"/>
                <w:sz w:val="24"/>
              </w:rPr>
              <w:t>Construct</w:t>
            </w:r>
          </w:p>
        </w:tc>
        <w:tc>
          <w:tcPr>
            <w:tcW w:w="3733" w:type="dxa"/>
          </w:tcPr>
          <w:p w:rsidR="00487D64" w:rsidRDefault="006F0D93">
            <w:pPr>
              <w:pStyle w:val="TableParagraph"/>
              <w:spacing w:line="275" w:lineRule="exact"/>
              <w:ind w:left="119"/>
              <w:rPr>
                <w:b/>
                <w:sz w:val="24"/>
              </w:rPr>
            </w:pPr>
            <w:r>
              <w:rPr>
                <w:b/>
                <w:spacing w:val="-5"/>
                <w:sz w:val="24"/>
              </w:rPr>
              <w:t>VIF</w:t>
            </w:r>
          </w:p>
        </w:tc>
      </w:tr>
      <w:tr w:rsidR="00487D64">
        <w:trPr>
          <w:trHeight w:val="316"/>
        </w:trPr>
        <w:tc>
          <w:tcPr>
            <w:tcW w:w="2605" w:type="dxa"/>
          </w:tcPr>
          <w:p w:rsidR="00487D64" w:rsidRDefault="006F0D93">
            <w:pPr>
              <w:pStyle w:val="TableParagraph"/>
              <w:spacing w:line="275" w:lineRule="exact"/>
              <w:ind w:left="119"/>
              <w:rPr>
                <w:sz w:val="24"/>
              </w:rPr>
            </w:pPr>
            <w:r>
              <w:rPr>
                <w:spacing w:val="-5"/>
                <w:sz w:val="24"/>
              </w:rPr>
              <w:t>CO</w:t>
            </w:r>
          </w:p>
        </w:tc>
        <w:tc>
          <w:tcPr>
            <w:tcW w:w="3733" w:type="dxa"/>
          </w:tcPr>
          <w:p w:rsidR="00487D64" w:rsidRDefault="006F0D93">
            <w:pPr>
              <w:pStyle w:val="TableParagraph"/>
              <w:spacing w:line="275" w:lineRule="exact"/>
              <w:ind w:left="119"/>
              <w:rPr>
                <w:sz w:val="24"/>
              </w:rPr>
            </w:pPr>
            <w:r>
              <w:rPr>
                <w:spacing w:val="-2"/>
                <w:sz w:val="24"/>
              </w:rPr>
              <w:t>1.051</w:t>
            </w:r>
          </w:p>
        </w:tc>
      </w:tr>
      <w:tr w:rsidR="00487D64">
        <w:trPr>
          <w:trHeight w:val="316"/>
        </w:trPr>
        <w:tc>
          <w:tcPr>
            <w:tcW w:w="2605" w:type="dxa"/>
          </w:tcPr>
          <w:p w:rsidR="00487D64" w:rsidRDefault="006F0D93">
            <w:pPr>
              <w:pStyle w:val="TableParagraph"/>
              <w:spacing w:line="275" w:lineRule="exact"/>
              <w:ind w:left="119"/>
              <w:rPr>
                <w:sz w:val="24"/>
              </w:rPr>
            </w:pPr>
            <w:r>
              <w:rPr>
                <w:spacing w:val="-5"/>
                <w:sz w:val="24"/>
              </w:rPr>
              <w:t>CU</w:t>
            </w:r>
          </w:p>
        </w:tc>
        <w:tc>
          <w:tcPr>
            <w:tcW w:w="3733" w:type="dxa"/>
          </w:tcPr>
          <w:p w:rsidR="00487D64" w:rsidRDefault="006F0D93">
            <w:pPr>
              <w:pStyle w:val="TableParagraph"/>
              <w:spacing w:line="275" w:lineRule="exact"/>
              <w:ind w:left="119"/>
              <w:rPr>
                <w:sz w:val="24"/>
              </w:rPr>
            </w:pPr>
            <w:r>
              <w:rPr>
                <w:spacing w:val="-2"/>
                <w:sz w:val="24"/>
              </w:rPr>
              <w:t>1.076</w:t>
            </w:r>
          </w:p>
        </w:tc>
      </w:tr>
      <w:tr w:rsidR="00487D64">
        <w:trPr>
          <w:trHeight w:val="318"/>
        </w:trPr>
        <w:tc>
          <w:tcPr>
            <w:tcW w:w="2605" w:type="dxa"/>
          </w:tcPr>
          <w:p w:rsidR="00487D64" w:rsidRDefault="006F0D93">
            <w:pPr>
              <w:pStyle w:val="TableParagraph"/>
              <w:spacing w:before="1"/>
              <w:ind w:left="119"/>
              <w:rPr>
                <w:sz w:val="24"/>
              </w:rPr>
            </w:pPr>
            <w:r>
              <w:rPr>
                <w:spacing w:val="-5"/>
                <w:sz w:val="24"/>
              </w:rPr>
              <w:t>SC</w:t>
            </w:r>
          </w:p>
        </w:tc>
        <w:tc>
          <w:tcPr>
            <w:tcW w:w="3733" w:type="dxa"/>
          </w:tcPr>
          <w:p w:rsidR="00487D64" w:rsidRDefault="00487D64">
            <w:pPr>
              <w:pStyle w:val="TableParagraph"/>
              <w:rPr>
                <w:sz w:val="24"/>
              </w:rPr>
            </w:pPr>
          </w:p>
        </w:tc>
      </w:tr>
      <w:tr w:rsidR="00487D64">
        <w:trPr>
          <w:trHeight w:val="316"/>
        </w:trPr>
        <w:tc>
          <w:tcPr>
            <w:tcW w:w="2605" w:type="dxa"/>
          </w:tcPr>
          <w:p w:rsidR="00487D64" w:rsidRDefault="006F0D93">
            <w:pPr>
              <w:pStyle w:val="TableParagraph"/>
              <w:spacing w:line="275" w:lineRule="exact"/>
              <w:ind w:left="119"/>
              <w:rPr>
                <w:sz w:val="24"/>
              </w:rPr>
            </w:pPr>
            <w:r>
              <w:rPr>
                <w:spacing w:val="-5"/>
                <w:sz w:val="24"/>
              </w:rPr>
              <w:t>SF</w:t>
            </w:r>
          </w:p>
        </w:tc>
        <w:tc>
          <w:tcPr>
            <w:tcW w:w="3733" w:type="dxa"/>
          </w:tcPr>
          <w:p w:rsidR="00487D64" w:rsidRDefault="006F0D93">
            <w:pPr>
              <w:pStyle w:val="TableParagraph"/>
              <w:spacing w:line="275" w:lineRule="exact"/>
              <w:ind w:left="119"/>
              <w:rPr>
                <w:sz w:val="24"/>
              </w:rPr>
            </w:pPr>
            <w:r>
              <w:rPr>
                <w:spacing w:val="-2"/>
                <w:sz w:val="24"/>
              </w:rPr>
              <w:t>1.108</w:t>
            </w:r>
          </w:p>
        </w:tc>
      </w:tr>
      <w:tr w:rsidR="00487D64">
        <w:trPr>
          <w:trHeight w:val="318"/>
        </w:trPr>
        <w:tc>
          <w:tcPr>
            <w:tcW w:w="2605" w:type="dxa"/>
          </w:tcPr>
          <w:p w:rsidR="00487D64" w:rsidRDefault="006F0D93">
            <w:pPr>
              <w:pStyle w:val="TableParagraph"/>
              <w:spacing w:line="275" w:lineRule="exact"/>
              <w:ind w:left="119"/>
              <w:rPr>
                <w:sz w:val="24"/>
              </w:rPr>
            </w:pPr>
            <w:r>
              <w:rPr>
                <w:sz w:val="24"/>
              </w:rPr>
              <w:t>SF</w:t>
            </w:r>
            <w:r>
              <w:rPr>
                <w:spacing w:val="-4"/>
                <w:sz w:val="24"/>
              </w:rPr>
              <w:t xml:space="preserve"> </w:t>
            </w:r>
            <w:r>
              <w:rPr>
                <w:sz w:val="24"/>
              </w:rPr>
              <w:t xml:space="preserve">x </w:t>
            </w:r>
            <w:r>
              <w:rPr>
                <w:spacing w:val="-7"/>
                <w:sz w:val="24"/>
              </w:rPr>
              <w:t>CO</w:t>
            </w:r>
          </w:p>
        </w:tc>
        <w:tc>
          <w:tcPr>
            <w:tcW w:w="3733" w:type="dxa"/>
          </w:tcPr>
          <w:p w:rsidR="00487D64" w:rsidRDefault="006F0D93">
            <w:pPr>
              <w:pStyle w:val="TableParagraph"/>
              <w:spacing w:line="275" w:lineRule="exact"/>
              <w:ind w:left="119"/>
              <w:rPr>
                <w:sz w:val="24"/>
              </w:rPr>
            </w:pPr>
            <w:r>
              <w:rPr>
                <w:spacing w:val="-2"/>
                <w:sz w:val="24"/>
              </w:rPr>
              <w:t>1.065</w:t>
            </w:r>
          </w:p>
        </w:tc>
      </w:tr>
      <w:tr w:rsidR="00487D64">
        <w:trPr>
          <w:trHeight w:val="316"/>
        </w:trPr>
        <w:tc>
          <w:tcPr>
            <w:tcW w:w="2605" w:type="dxa"/>
          </w:tcPr>
          <w:p w:rsidR="00487D64" w:rsidRDefault="006F0D93">
            <w:pPr>
              <w:pStyle w:val="TableParagraph"/>
              <w:spacing w:line="275" w:lineRule="exact"/>
              <w:ind w:left="119"/>
              <w:rPr>
                <w:sz w:val="24"/>
              </w:rPr>
            </w:pPr>
            <w:r>
              <w:rPr>
                <w:sz w:val="24"/>
              </w:rPr>
              <w:t>SF</w:t>
            </w:r>
            <w:r>
              <w:rPr>
                <w:spacing w:val="-4"/>
                <w:sz w:val="24"/>
              </w:rPr>
              <w:t xml:space="preserve"> </w:t>
            </w:r>
            <w:r>
              <w:rPr>
                <w:sz w:val="24"/>
              </w:rPr>
              <w:t xml:space="preserve">x </w:t>
            </w:r>
            <w:r>
              <w:rPr>
                <w:spacing w:val="-7"/>
                <w:sz w:val="24"/>
              </w:rPr>
              <w:t>CU</w:t>
            </w:r>
          </w:p>
        </w:tc>
        <w:tc>
          <w:tcPr>
            <w:tcW w:w="3733" w:type="dxa"/>
          </w:tcPr>
          <w:p w:rsidR="00487D64" w:rsidRDefault="006F0D93">
            <w:pPr>
              <w:pStyle w:val="TableParagraph"/>
              <w:spacing w:line="275" w:lineRule="exact"/>
              <w:ind w:left="119"/>
              <w:rPr>
                <w:sz w:val="24"/>
              </w:rPr>
            </w:pPr>
            <w:r>
              <w:rPr>
                <w:spacing w:val="-2"/>
                <w:sz w:val="24"/>
              </w:rPr>
              <w:t>1.048</w:t>
            </w:r>
          </w:p>
        </w:tc>
      </w:tr>
    </w:tbl>
    <w:p w:rsidR="00487D64" w:rsidRDefault="006F0D93">
      <w:pPr>
        <w:spacing w:before="2"/>
        <w:ind w:left="3646"/>
        <w:rPr>
          <w:b/>
          <w:sz w:val="24"/>
        </w:rPr>
      </w:pPr>
      <w:r>
        <w:rPr>
          <w:b/>
          <w:sz w:val="24"/>
        </w:rPr>
        <w:t>Source:</w:t>
      </w:r>
      <w:r>
        <w:rPr>
          <w:b/>
          <w:spacing w:val="-3"/>
          <w:sz w:val="24"/>
        </w:rPr>
        <w:t xml:space="preserve"> </w:t>
      </w:r>
      <w:r>
        <w:rPr>
          <w:b/>
          <w:sz w:val="24"/>
        </w:rPr>
        <w:t>Data</w:t>
      </w:r>
      <w:r>
        <w:rPr>
          <w:b/>
          <w:spacing w:val="-2"/>
          <w:sz w:val="24"/>
        </w:rPr>
        <w:t xml:space="preserve"> </w:t>
      </w:r>
      <w:r>
        <w:rPr>
          <w:b/>
          <w:sz w:val="24"/>
        </w:rPr>
        <w:t>analysis</w:t>
      </w:r>
      <w:r>
        <w:rPr>
          <w:b/>
          <w:spacing w:val="-2"/>
          <w:sz w:val="24"/>
        </w:rPr>
        <w:t xml:space="preserve"> (2025)</w:t>
      </w:r>
    </w:p>
    <w:p w:rsidR="00487D64" w:rsidRDefault="006F0D93">
      <w:pPr>
        <w:spacing w:before="41" w:line="278" w:lineRule="auto"/>
        <w:ind w:left="57" w:right="349"/>
        <w:jc w:val="both"/>
        <w:rPr>
          <w:sz w:val="24"/>
        </w:rPr>
      </w:pPr>
      <w:r>
        <w:rPr>
          <w:sz w:val="24"/>
        </w:rPr>
        <w:t>VIF values ranged from 1.048 to 1.108, well below the threshold of 5, indicating no multicollinearity concerns and ensuring stable, reliable path coefficient estimates.</w:t>
      </w:r>
    </w:p>
    <w:p w:rsidR="00487D64" w:rsidRDefault="00487D64">
      <w:pPr>
        <w:pStyle w:val="BodyText"/>
        <w:spacing w:before="37"/>
        <w:rPr>
          <w:sz w:val="24"/>
        </w:rPr>
      </w:pPr>
    </w:p>
    <w:p w:rsidR="00487D64" w:rsidRDefault="006F0D93">
      <w:pPr>
        <w:ind w:left="57"/>
        <w:jc w:val="both"/>
        <w:rPr>
          <w:b/>
          <w:sz w:val="24"/>
        </w:rPr>
      </w:pPr>
      <w:r>
        <w:rPr>
          <w:b/>
          <w:sz w:val="24"/>
        </w:rPr>
        <w:t>Coefficient</w:t>
      </w:r>
      <w:r>
        <w:rPr>
          <w:b/>
          <w:spacing w:val="-3"/>
          <w:sz w:val="24"/>
        </w:rPr>
        <w:t xml:space="preserve"> </w:t>
      </w:r>
      <w:r>
        <w:rPr>
          <w:b/>
          <w:sz w:val="24"/>
        </w:rPr>
        <w:t>of</w:t>
      </w:r>
      <w:r>
        <w:rPr>
          <w:b/>
          <w:spacing w:val="-5"/>
          <w:sz w:val="24"/>
        </w:rPr>
        <w:t xml:space="preserve"> </w:t>
      </w:r>
      <w:r>
        <w:rPr>
          <w:b/>
          <w:sz w:val="24"/>
        </w:rPr>
        <w:t>determination</w:t>
      </w:r>
      <w:r>
        <w:rPr>
          <w:b/>
          <w:spacing w:val="-2"/>
          <w:sz w:val="24"/>
        </w:rPr>
        <w:t xml:space="preserve"> </w:t>
      </w:r>
      <w:r>
        <w:rPr>
          <w:b/>
          <w:spacing w:val="-4"/>
          <w:sz w:val="24"/>
        </w:rPr>
        <w:t>(R²)</w:t>
      </w:r>
    </w:p>
    <w:p w:rsidR="00487D64" w:rsidRDefault="006F0D93">
      <w:pPr>
        <w:spacing w:before="41" w:line="276" w:lineRule="auto"/>
        <w:ind w:left="57" w:right="343"/>
        <w:jc w:val="both"/>
        <w:rPr>
          <w:sz w:val="24"/>
        </w:rPr>
      </w:pPr>
      <w:r>
        <w:rPr>
          <w:sz w:val="24"/>
        </w:rPr>
        <w:t>The</w:t>
      </w:r>
      <w:r>
        <w:rPr>
          <w:spacing w:val="-15"/>
          <w:sz w:val="24"/>
        </w:rPr>
        <w:t xml:space="preserve"> </w:t>
      </w:r>
      <w:r>
        <w:rPr>
          <w:sz w:val="24"/>
        </w:rPr>
        <w:t>coefficient</w:t>
      </w:r>
      <w:r>
        <w:rPr>
          <w:spacing w:val="-15"/>
          <w:sz w:val="24"/>
        </w:rPr>
        <w:t xml:space="preserve"> </w:t>
      </w:r>
      <w:r>
        <w:rPr>
          <w:sz w:val="24"/>
        </w:rPr>
        <w:t>of</w:t>
      </w:r>
      <w:r>
        <w:rPr>
          <w:spacing w:val="-15"/>
          <w:sz w:val="24"/>
        </w:rPr>
        <w:t xml:space="preserve"> </w:t>
      </w:r>
      <w:r>
        <w:rPr>
          <w:sz w:val="24"/>
        </w:rPr>
        <w:t>determination</w:t>
      </w:r>
      <w:r>
        <w:rPr>
          <w:spacing w:val="-15"/>
          <w:sz w:val="24"/>
        </w:rPr>
        <w:t xml:space="preserve"> </w:t>
      </w:r>
      <w:r>
        <w:rPr>
          <w:sz w:val="24"/>
        </w:rPr>
        <w:t>(R²)</w:t>
      </w:r>
      <w:r>
        <w:rPr>
          <w:spacing w:val="-15"/>
          <w:sz w:val="24"/>
        </w:rPr>
        <w:t xml:space="preserve"> </w:t>
      </w:r>
      <w:r>
        <w:rPr>
          <w:sz w:val="24"/>
        </w:rPr>
        <w:t>shown</w:t>
      </w:r>
      <w:r>
        <w:rPr>
          <w:spacing w:val="-15"/>
          <w:sz w:val="24"/>
        </w:rPr>
        <w:t xml:space="preserve"> </w:t>
      </w:r>
      <w:r>
        <w:rPr>
          <w:sz w:val="24"/>
        </w:rPr>
        <w:t>in</w:t>
      </w:r>
      <w:r>
        <w:rPr>
          <w:spacing w:val="-15"/>
          <w:sz w:val="24"/>
        </w:rPr>
        <w:t xml:space="preserve"> </w:t>
      </w:r>
      <w:r>
        <w:rPr>
          <w:sz w:val="24"/>
        </w:rPr>
        <w:t>Figur</w:t>
      </w:r>
      <w:r>
        <w:rPr>
          <w:sz w:val="24"/>
        </w:rPr>
        <w:t>e</w:t>
      </w:r>
      <w:r>
        <w:rPr>
          <w:spacing w:val="-15"/>
          <w:sz w:val="24"/>
        </w:rPr>
        <w:t xml:space="preserve"> </w:t>
      </w:r>
      <w:r>
        <w:rPr>
          <w:sz w:val="24"/>
        </w:rPr>
        <w:t>2</w:t>
      </w:r>
      <w:r>
        <w:rPr>
          <w:spacing w:val="-15"/>
          <w:sz w:val="24"/>
        </w:rPr>
        <w:t xml:space="preserve"> </w:t>
      </w:r>
      <w:r>
        <w:rPr>
          <w:sz w:val="24"/>
        </w:rPr>
        <w:t>indicates</w:t>
      </w:r>
      <w:r>
        <w:rPr>
          <w:spacing w:val="-15"/>
          <w:sz w:val="24"/>
        </w:rPr>
        <w:t xml:space="preserve"> </w:t>
      </w:r>
      <w:r>
        <w:rPr>
          <w:sz w:val="24"/>
        </w:rPr>
        <w:t>the</w:t>
      </w:r>
      <w:r>
        <w:rPr>
          <w:spacing w:val="-15"/>
          <w:sz w:val="24"/>
        </w:rPr>
        <w:t xml:space="preserve"> </w:t>
      </w:r>
      <w:r>
        <w:rPr>
          <w:sz w:val="24"/>
        </w:rPr>
        <w:t>structural</w:t>
      </w:r>
      <w:r>
        <w:rPr>
          <w:spacing w:val="-15"/>
          <w:sz w:val="24"/>
        </w:rPr>
        <w:t xml:space="preserve"> </w:t>
      </w:r>
      <w:r>
        <w:rPr>
          <w:sz w:val="24"/>
        </w:rPr>
        <w:t>model’s</w:t>
      </w:r>
      <w:r>
        <w:rPr>
          <w:spacing w:val="-15"/>
          <w:sz w:val="24"/>
        </w:rPr>
        <w:t xml:space="preserve"> </w:t>
      </w:r>
      <w:r>
        <w:rPr>
          <w:sz w:val="24"/>
        </w:rPr>
        <w:t>explanatory</w:t>
      </w:r>
      <w:r>
        <w:rPr>
          <w:spacing w:val="-15"/>
          <w:sz w:val="24"/>
        </w:rPr>
        <w:t xml:space="preserve"> </w:t>
      </w:r>
      <w:r>
        <w:rPr>
          <w:sz w:val="24"/>
        </w:rPr>
        <w:t>power by representing the variance in each endogenous construct explained by its exogenous variables, with higher R² values reflecting stronger model performance (Hair et al., 2019; Henseler et al., 2018; Co</w:t>
      </w:r>
      <w:r>
        <w:rPr>
          <w:sz w:val="24"/>
        </w:rPr>
        <w:t xml:space="preserve">hen, </w:t>
      </w:r>
      <w:r>
        <w:rPr>
          <w:spacing w:val="-2"/>
          <w:sz w:val="24"/>
        </w:rPr>
        <w:t>1988).</w:t>
      </w:r>
    </w:p>
    <w:p w:rsidR="00487D64" w:rsidRDefault="006F0D93">
      <w:pPr>
        <w:pStyle w:val="BodyText"/>
        <w:spacing w:before="65"/>
        <w:rPr>
          <w:sz w:val="20"/>
        </w:rPr>
      </w:pPr>
      <w:r>
        <w:rPr>
          <w:noProof/>
          <w:sz w:val="20"/>
        </w:rPr>
        <w:drawing>
          <wp:anchor distT="0" distB="0" distL="0" distR="0" simplePos="0" relativeHeight="487596032" behindDoc="1" locked="0" layoutInCell="1" allowOverlap="1">
            <wp:simplePos x="0" y="0"/>
            <wp:positionH relativeFrom="page">
              <wp:posOffset>1928495</wp:posOffset>
            </wp:positionH>
            <wp:positionV relativeFrom="paragraph">
              <wp:posOffset>203017</wp:posOffset>
            </wp:positionV>
            <wp:extent cx="3698571" cy="251460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7" cstate="print"/>
                    <a:stretch>
                      <a:fillRect/>
                    </a:stretch>
                  </pic:blipFill>
                  <pic:spPr>
                    <a:xfrm>
                      <a:off x="0" y="0"/>
                      <a:ext cx="3698571" cy="2514600"/>
                    </a:xfrm>
                    <a:prstGeom prst="rect">
                      <a:avLst/>
                    </a:prstGeom>
                  </pic:spPr>
                </pic:pic>
              </a:graphicData>
            </a:graphic>
          </wp:anchor>
        </w:drawing>
      </w:r>
    </w:p>
    <w:p w:rsidR="00487D64" w:rsidRDefault="006F0D93">
      <w:pPr>
        <w:spacing w:before="137"/>
        <w:ind w:left="71" w:right="355"/>
        <w:jc w:val="center"/>
        <w:rPr>
          <w:b/>
          <w:sz w:val="24"/>
        </w:rPr>
      </w:pPr>
      <w:r>
        <w:rPr>
          <w:b/>
          <w:sz w:val="24"/>
        </w:rPr>
        <w:t>Figure</w:t>
      </w:r>
      <w:r>
        <w:rPr>
          <w:b/>
          <w:spacing w:val="-4"/>
          <w:sz w:val="24"/>
        </w:rPr>
        <w:t xml:space="preserve"> </w:t>
      </w:r>
      <w:r>
        <w:rPr>
          <w:b/>
          <w:sz w:val="24"/>
        </w:rPr>
        <w:t>2:</w:t>
      </w:r>
      <w:r>
        <w:rPr>
          <w:b/>
          <w:spacing w:val="-3"/>
          <w:sz w:val="24"/>
        </w:rPr>
        <w:t xml:space="preserve"> </w:t>
      </w:r>
      <w:r>
        <w:rPr>
          <w:b/>
          <w:sz w:val="24"/>
        </w:rPr>
        <w:t>Coefficient</w:t>
      </w:r>
      <w:r>
        <w:rPr>
          <w:b/>
          <w:spacing w:val="-3"/>
          <w:sz w:val="24"/>
        </w:rPr>
        <w:t xml:space="preserve"> </w:t>
      </w:r>
      <w:r>
        <w:rPr>
          <w:b/>
          <w:sz w:val="24"/>
        </w:rPr>
        <w:t>of</w:t>
      </w:r>
      <w:r>
        <w:rPr>
          <w:b/>
          <w:spacing w:val="-3"/>
          <w:sz w:val="24"/>
        </w:rPr>
        <w:t xml:space="preserve"> </w:t>
      </w:r>
      <w:r>
        <w:rPr>
          <w:b/>
          <w:sz w:val="24"/>
        </w:rPr>
        <w:t>determination</w:t>
      </w:r>
      <w:r>
        <w:rPr>
          <w:b/>
          <w:spacing w:val="-3"/>
          <w:sz w:val="24"/>
        </w:rPr>
        <w:t xml:space="preserve"> </w:t>
      </w:r>
      <w:r>
        <w:rPr>
          <w:b/>
          <w:spacing w:val="-4"/>
          <w:sz w:val="24"/>
        </w:rPr>
        <w:t>(R²)</w:t>
      </w:r>
    </w:p>
    <w:p w:rsidR="00487D64" w:rsidRDefault="00487D64">
      <w:pPr>
        <w:pStyle w:val="BodyText"/>
        <w:spacing w:before="81"/>
        <w:rPr>
          <w:b/>
          <w:sz w:val="24"/>
        </w:rPr>
      </w:pPr>
    </w:p>
    <w:p w:rsidR="00487D64" w:rsidRDefault="006F0D93">
      <w:pPr>
        <w:spacing w:before="1" w:line="276" w:lineRule="auto"/>
        <w:ind w:left="57" w:right="345"/>
        <w:jc w:val="both"/>
        <w:rPr>
          <w:sz w:val="24"/>
        </w:rPr>
      </w:pPr>
      <w:r>
        <w:rPr>
          <w:sz w:val="24"/>
        </w:rPr>
        <w:t xml:space="preserve">Results from the PLS-SEM analysis revealed that the model accounted for 55% of the variance in Sustainable Competitiveness, indicating a moderate to substantial level of explanatory power based on </w:t>
      </w:r>
      <w:r>
        <w:rPr>
          <w:sz w:val="24"/>
        </w:rPr>
        <w:t>Hair et al.’s classification.</w:t>
      </w:r>
    </w:p>
    <w:p w:rsidR="00487D64" w:rsidRDefault="00487D64">
      <w:pPr>
        <w:pStyle w:val="BodyText"/>
        <w:spacing w:before="42"/>
        <w:rPr>
          <w:sz w:val="24"/>
        </w:rPr>
      </w:pPr>
    </w:p>
    <w:p w:rsidR="00487D64" w:rsidRDefault="006F0D93">
      <w:pPr>
        <w:ind w:left="57"/>
        <w:jc w:val="both"/>
        <w:rPr>
          <w:b/>
          <w:sz w:val="24"/>
        </w:rPr>
      </w:pPr>
      <w:r>
        <w:rPr>
          <w:b/>
          <w:sz w:val="24"/>
        </w:rPr>
        <w:t>Assessment</w:t>
      </w:r>
      <w:r>
        <w:rPr>
          <w:b/>
          <w:spacing w:val="-2"/>
          <w:sz w:val="24"/>
        </w:rPr>
        <w:t xml:space="preserve"> </w:t>
      </w:r>
      <w:r>
        <w:rPr>
          <w:b/>
          <w:sz w:val="24"/>
        </w:rPr>
        <w:t>of</w:t>
      </w:r>
      <w:r>
        <w:rPr>
          <w:b/>
          <w:spacing w:val="-3"/>
          <w:sz w:val="24"/>
        </w:rPr>
        <w:t xml:space="preserve"> </w:t>
      </w:r>
      <w:r>
        <w:rPr>
          <w:b/>
          <w:sz w:val="24"/>
        </w:rPr>
        <w:t>the</w:t>
      </w:r>
      <w:r>
        <w:rPr>
          <w:b/>
          <w:spacing w:val="-1"/>
          <w:sz w:val="24"/>
        </w:rPr>
        <w:t xml:space="preserve"> </w:t>
      </w:r>
      <w:r>
        <w:rPr>
          <w:b/>
          <w:sz w:val="24"/>
        </w:rPr>
        <w:t>Effect</w:t>
      </w:r>
      <w:r>
        <w:rPr>
          <w:b/>
          <w:spacing w:val="-1"/>
          <w:sz w:val="24"/>
        </w:rPr>
        <w:t xml:space="preserve"> </w:t>
      </w:r>
      <w:r>
        <w:rPr>
          <w:b/>
          <w:sz w:val="24"/>
        </w:rPr>
        <w:t>Size</w:t>
      </w:r>
      <w:r>
        <w:rPr>
          <w:b/>
          <w:spacing w:val="-2"/>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Coefficient of</w:t>
      </w:r>
      <w:r>
        <w:rPr>
          <w:b/>
          <w:spacing w:val="-1"/>
          <w:sz w:val="24"/>
        </w:rPr>
        <w:t xml:space="preserve"> </w:t>
      </w:r>
      <w:r>
        <w:rPr>
          <w:b/>
          <w:sz w:val="24"/>
        </w:rPr>
        <w:t>Determination</w:t>
      </w:r>
      <w:r>
        <w:rPr>
          <w:b/>
          <w:spacing w:val="-1"/>
          <w:sz w:val="24"/>
        </w:rPr>
        <w:t xml:space="preserve"> </w:t>
      </w:r>
      <w:r>
        <w:rPr>
          <w:b/>
          <w:spacing w:val="-4"/>
          <w:sz w:val="24"/>
        </w:rPr>
        <w:t>(f2)</w:t>
      </w:r>
    </w:p>
    <w:p w:rsidR="00487D64" w:rsidRDefault="006F0D93">
      <w:pPr>
        <w:spacing w:before="43" w:line="276" w:lineRule="auto"/>
        <w:ind w:right="339"/>
        <w:jc w:val="right"/>
        <w:rPr>
          <w:sz w:val="24"/>
        </w:rPr>
      </w:pPr>
      <w:r>
        <w:rPr>
          <w:sz w:val="24"/>
        </w:rPr>
        <w:t>Following</w:t>
      </w:r>
      <w:r>
        <w:rPr>
          <w:spacing w:val="-6"/>
          <w:sz w:val="24"/>
        </w:rPr>
        <w:t xml:space="preserve"> </w:t>
      </w:r>
      <w:r>
        <w:rPr>
          <w:sz w:val="24"/>
        </w:rPr>
        <w:t>the</w:t>
      </w:r>
      <w:r>
        <w:rPr>
          <w:spacing w:val="-6"/>
          <w:sz w:val="24"/>
        </w:rPr>
        <w:t xml:space="preserve"> </w:t>
      </w:r>
      <w:r>
        <w:rPr>
          <w:sz w:val="24"/>
        </w:rPr>
        <w:t>assessment</w:t>
      </w:r>
      <w:r>
        <w:rPr>
          <w:spacing w:val="-5"/>
          <w:sz w:val="24"/>
        </w:rPr>
        <w:t xml:space="preserve"> </w:t>
      </w:r>
      <w:r>
        <w:rPr>
          <w:sz w:val="24"/>
        </w:rPr>
        <w:t>of</w:t>
      </w:r>
      <w:r>
        <w:rPr>
          <w:spacing w:val="-6"/>
          <w:sz w:val="24"/>
        </w:rPr>
        <w:t xml:space="preserve"> </w:t>
      </w:r>
      <w:r>
        <w:rPr>
          <w:sz w:val="24"/>
        </w:rPr>
        <w:t>R²,</w:t>
      </w:r>
      <w:r>
        <w:rPr>
          <w:spacing w:val="-6"/>
          <w:sz w:val="24"/>
        </w:rPr>
        <w:t xml:space="preserve"> </w:t>
      </w:r>
      <w:r>
        <w:rPr>
          <w:sz w:val="24"/>
        </w:rPr>
        <w:t>the</w:t>
      </w:r>
      <w:r>
        <w:rPr>
          <w:spacing w:val="-6"/>
          <w:sz w:val="24"/>
        </w:rPr>
        <w:t xml:space="preserve"> </w:t>
      </w:r>
      <w:r>
        <w:rPr>
          <w:sz w:val="24"/>
        </w:rPr>
        <w:t>effect</w:t>
      </w:r>
      <w:r>
        <w:rPr>
          <w:spacing w:val="-5"/>
          <w:sz w:val="24"/>
        </w:rPr>
        <w:t xml:space="preserve"> </w:t>
      </w:r>
      <w:r>
        <w:rPr>
          <w:sz w:val="24"/>
        </w:rPr>
        <w:t>size</w:t>
      </w:r>
      <w:r>
        <w:rPr>
          <w:spacing w:val="-6"/>
          <w:sz w:val="24"/>
        </w:rPr>
        <w:t xml:space="preserve"> </w:t>
      </w:r>
      <w:r>
        <w:rPr>
          <w:sz w:val="24"/>
        </w:rPr>
        <w:t>(f²)</w:t>
      </w:r>
      <w:r>
        <w:rPr>
          <w:spacing w:val="-4"/>
          <w:sz w:val="24"/>
        </w:rPr>
        <w:t xml:space="preserve"> </w:t>
      </w:r>
      <w:r>
        <w:rPr>
          <w:sz w:val="24"/>
        </w:rPr>
        <w:t>was</w:t>
      </w:r>
      <w:r>
        <w:rPr>
          <w:spacing w:val="-6"/>
          <w:sz w:val="24"/>
        </w:rPr>
        <w:t xml:space="preserve"> </w:t>
      </w:r>
      <w:r>
        <w:rPr>
          <w:sz w:val="24"/>
        </w:rPr>
        <w:t>examined</w:t>
      </w:r>
      <w:r>
        <w:rPr>
          <w:spacing w:val="-6"/>
          <w:sz w:val="24"/>
        </w:rPr>
        <w:t xml:space="preserve"> </w:t>
      </w:r>
      <w:r>
        <w:rPr>
          <w:sz w:val="24"/>
        </w:rPr>
        <w:t>to</w:t>
      </w:r>
      <w:r>
        <w:rPr>
          <w:spacing w:val="-5"/>
          <w:sz w:val="24"/>
        </w:rPr>
        <w:t xml:space="preserve"> </w:t>
      </w:r>
      <w:r>
        <w:rPr>
          <w:sz w:val="24"/>
        </w:rPr>
        <w:t>determine</w:t>
      </w:r>
      <w:r>
        <w:rPr>
          <w:spacing w:val="-6"/>
          <w:sz w:val="24"/>
        </w:rPr>
        <w:t xml:space="preserve"> </w:t>
      </w:r>
      <w:r>
        <w:rPr>
          <w:sz w:val="24"/>
        </w:rPr>
        <w:t>the</w:t>
      </w:r>
      <w:r>
        <w:rPr>
          <w:spacing w:val="-6"/>
          <w:sz w:val="24"/>
        </w:rPr>
        <w:t xml:space="preserve"> </w:t>
      </w:r>
      <w:r>
        <w:rPr>
          <w:sz w:val="24"/>
        </w:rPr>
        <w:t>relative</w:t>
      </w:r>
      <w:r>
        <w:rPr>
          <w:spacing w:val="-6"/>
          <w:sz w:val="24"/>
        </w:rPr>
        <w:t xml:space="preserve"> </w:t>
      </w:r>
      <w:r>
        <w:rPr>
          <w:sz w:val="24"/>
        </w:rPr>
        <w:t>impact</w:t>
      </w:r>
      <w:r>
        <w:rPr>
          <w:spacing w:val="-5"/>
          <w:sz w:val="24"/>
        </w:rPr>
        <w:t xml:space="preserve"> </w:t>
      </w:r>
      <w:r>
        <w:rPr>
          <w:sz w:val="24"/>
        </w:rPr>
        <w:t>of</w:t>
      </w:r>
      <w:r>
        <w:rPr>
          <w:spacing w:val="-3"/>
          <w:sz w:val="24"/>
        </w:rPr>
        <w:t xml:space="preserve"> </w:t>
      </w:r>
      <w:r>
        <w:rPr>
          <w:sz w:val="24"/>
        </w:rPr>
        <w:t>each exogenous</w:t>
      </w:r>
      <w:r>
        <w:rPr>
          <w:spacing w:val="35"/>
          <w:sz w:val="24"/>
        </w:rPr>
        <w:t xml:space="preserve"> </w:t>
      </w:r>
      <w:r>
        <w:rPr>
          <w:sz w:val="24"/>
        </w:rPr>
        <w:t>variable</w:t>
      </w:r>
      <w:r>
        <w:rPr>
          <w:spacing w:val="34"/>
          <w:sz w:val="24"/>
        </w:rPr>
        <w:t xml:space="preserve"> </w:t>
      </w:r>
      <w:r>
        <w:rPr>
          <w:sz w:val="24"/>
        </w:rPr>
        <w:t>on</w:t>
      </w:r>
      <w:r>
        <w:rPr>
          <w:spacing w:val="35"/>
          <w:sz w:val="24"/>
        </w:rPr>
        <w:t xml:space="preserve"> </w:t>
      </w:r>
      <w:r>
        <w:rPr>
          <w:sz w:val="24"/>
        </w:rPr>
        <w:t>the</w:t>
      </w:r>
      <w:r>
        <w:rPr>
          <w:spacing w:val="34"/>
          <w:sz w:val="24"/>
        </w:rPr>
        <w:t xml:space="preserve"> </w:t>
      </w:r>
      <w:r>
        <w:rPr>
          <w:sz w:val="24"/>
        </w:rPr>
        <w:t>endogenous</w:t>
      </w:r>
      <w:r>
        <w:rPr>
          <w:spacing w:val="35"/>
          <w:sz w:val="24"/>
        </w:rPr>
        <w:t xml:space="preserve"> </w:t>
      </w:r>
      <w:r>
        <w:rPr>
          <w:sz w:val="24"/>
        </w:rPr>
        <w:t>construct</w:t>
      </w:r>
      <w:r>
        <w:rPr>
          <w:spacing w:val="37"/>
          <w:sz w:val="24"/>
        </w:rPr>
        <w:t xml:space="preserve"> </w:t>
      </w:r>
      <w:r>
        <w:rPr>
          <w:sz w:val="24"/>
        </w:rPr>
        <w:t>by</w:t>
      </w:r>
      <w:r>
        <w:rPr>
          <w:spacing w:val="35"/>
          <w:sz w:val="24"/>
        </w:rPr>
        <w:t xml:space="preserve"> </w:t>
      </w:r>
      <w:r>
        <w:rPr>
          <w:sz w:val="24"/>
        </w:rPr>
        <w:t>assessing</w:t>
      </w:r>
      <w:r>
        <w:rPr>
          <w:spacing w:val="35"/>
          <w:sz w:val="24"/>
        </w:rPr>
        <w:t xml:space="preserve"> </w:t>
      </w:r>
      <w:r>
        <w:rPr>
          <w:sz w:val="24"/>
        </w:rPr>
        <w:t>the</w:t>
      </w:r>
      <w:r>
        <w:rPr>
          <w:spacing w:val="34"/>
          <w:sz w:val="24"/>
        </w:rPr>
        <w:t xml:space="preserve"> </w:t>
      </w:r>
      <w:r>
        <w:rPr>
          <w:sz w:val="24"/>
        </w:rPr>
        <w:t>change</w:t>
      </w:r>
      <w:r>
        <w:rPr>
          <w:spacing w:val="34"/>
          <w:sz w:val="24"/>
        </w:rPr>
        <w:t xml:space="preserve"> </w:t>
      </w:r>
      <w:r>
        <w:rPr>
          <w:sz w:val="24"/>
        </w:rPr>
        <w:t>in</w:t>
      </w:r>
      <w:r>
        <w:rPr>
          <w:spacing w:val="35"/>
          <w:sz w:val="24"/>
        </w:rPr>
        <w:t xml:space="preserve"> </w:t>
      </w:r>
      <w:r>
        <w:rPr>
          <w:sz w:val="24"/>
        </w:rPr>
        <w:t>R²</w:t>
      </w:r>
      <w:r>
        <w:rPr>
          <w:spacing w:val="35"/>
          <w:sz w:val="24"/>
        </w:rPr>
        <w:t xml:space="preserve"> </w:t>
      </w:r>
      <w:r>
        <w:rPr>
          <w:sz w:val="24"/>
        </w:rPr>
        <w:t>when</w:t>
      </w:r>
      <w:r>
        <w:rPr>
          <w:spacing w:val="35"/>
          <w:sz w:val="24"/>
        </w:rPr>
        <w:t xml:space="preserve"> </w:t>
      </w:r>
      <w:r>
        <w:rPr>
          <w:sz w:val="24"/>
        </w:rPr>
        <w:t>the</w:t>
      </w:r>
      <w:r>
        <w:rPr>
          <w:spacing w:val="34"/>
          <w:sz w:val="24"/>
        </w:rPr>
        <w:t xml:space="preserve"> </w:t>
      </w:r>
      <w:r>
        <w:rPr>
          <w:sz w:val="24"/>
        </w:rPr>
        <w:t>variable</w:t>
      </w:r>
      <w:r>
        <w:rPr>
          <w:spacing w:val="40"/>
          <w:sz w:val="24"/>
        </w:rPr>
        <w:t xml:space="preserve"> </w:t>
      </w:r>
      <w:r>
        <w:rPr>
          <w:sz w:val="24"/>
        </w:rPr>
        <w:t>is mitted), as shown in Table 5. According to Cohen’s (1988) guidelines, f² values of 0.02, 0.15, and 0.35 represent</w:t>
      </w:r>
      <w:r>
        <w:rPr>
          <w:spacing w:val="34"/>
          <w:sz w:val="24"/>
        </w:rPr>
        <w:t xml:space="preserve"> </w:t>
      </w:r>
      <w:r>
        <w:rPr>
          <w:sz w:val="24"/>
        </w:rPr>
        <w:t>small,</w:t>
      </w:r>
      <w:r>
        <w:rPr>
          <w:spacing w:val="36"/>
          <w:sz w:val="24"/>
        </w:rPr>
        <w:t xml:space="preserve"> </w:t>
      </w:r>
      <w:r>
        <w:rPr>
          <w:sz w:val="24"/>
        </w:rPr>
        <w:t>medium,</w:t>
      </w:r>
      <w:r>
        <w:rPr>
          <w:spacing w:val="36"/>
          <w:sz w:val="24"/>
        </w:rPr>
        <w:t xml:space="preserve"> </w:t>
      </w:r>
      <w:r>
        <w:rPr>
          <w:sz w:val="24"/>
        </w:rPr>
        <w:t>and</w:t>
      </w:r>
      <w:r>
        <w:rPr>
          <w:spacing w:val="36"/>
          <w:sz w:val="24"/>
        </w:rPr>
        <w:t xml:space="preserve"> </w:t>
      </w:r>
      <w:r>
        <w:rPr>
          <w:sz w:val="24"/>
        </w:rPr>
        <w:t>large</w:t>
      </w:r>
      <w:r>
        <w:rPr>
          <w:spacing w:val="35"/>
          <w:sz w:val="24"/>
        </w:rPr>
        <w:t xml:space="preserve"> </w:t>
      </w:r>
      <w:r>
        <w:rPr>
          <w:sz w:val="24"/>
        </w:rPr>
        <w:t>effects,</w:t>
      </w:r>
      <w:r>
        <w:rPr>
          <w:spacing w:val="36"/>
          <w:sz w:val="24"/>
        </w:rPr>
        <w:t xml:space="preserve"> </w:t>
      </w:r>
      <w:r>
        <w:rPr>
          <w:sz w:val="24"/>
        </w:rPr>
        <w:t>respectively,</w:t>
      </w:r>
      <w:r>
        <w:rPr>
          <w:spacing w:val="36"/>
          <w:sz w:val="24"/>
        </w:rPr>
        <w:t xml:space="preserve"> </w:t>
      </w:r>
      <w:r>
        <w:rPr>
          <w:sz w:val="24"/>
        </w:rPr>
        <w:t>while</w:t>
      </w:r>
      <w:r>
        <w:rPr>
          <w:spacing w:val="35"/>
          <w:sz w:val="24"/>
        </w:rPr>
        <w:t xml:space="preserve"> </w:t>
      </w:r>
      <w:r>
        <w:rPr>
          <w:sz w:val="24"/>
        </w:rPr>
        <w:t>values</w:t>
      </w:r>
      <w:r>
        <w:rPr>
          <w:spacing w:val="35"/>
          <w:sz w:val="24"/>
        </w:rPr>
        <w:t xml:space="preserve"> </w:t>
      </w:r>
      <w:r>
        <w:rPr>
          <w:sz w:val="24"/>
        </w:rPr>
        <w:t>below</w:t>
      </w:r>
      <w:r>
        <w:rPr>
          <w:spacing w:val="36"/>
          <w:sz w:val="24"/>
        </w:rPr>
        <w:t xml:space="preserve"> </w:t>
      </w:r>
      <w:r>
        <w:rPr>
          <w:sz w:val="24"/>
        </w:rPr>
        <w:t>0.02</w:t>
      </w:r>
      <w:r>
        <w:rPr>
          <w:spacing w:val="36"/>
          <w:sz w:val="24"/>
        </w:rPr>
        <w:t xml:space="preserve"> </w:t>
      </w:r>
      <w:r>
        <w:rPr>
          <w:sz w:val="24"/>
        </w:rPr>
        <w:t>indicate</w:t>
      </w:r>
      <w:r>
        <w:rPr>
          <w:spacing w:val="36"/>
          <w:sz w:val="24"/>
        </w:rPr>
        <w:t xml:space="preserve"> </w:t>
      </w:r>
      <w:r>
        <w:rPr>
          <w:spacing w:val="-2"/>
          <w:sz w:val="24"/>
        </w:rPr>
        <w:t>negligible</w:t>
      </w:r>
    </w:p>
    <w:p w:rsidR="00487D64" w:rsidRDefault="006F0D93">
      <w:pPr>
        <w:ind w:left="57"/>
        <w:rPr>
          <w:sz w:val="24"/>
        </w:rPr>
      </w:pPr>
      <w:r>
        <w:rPr>
          <w:spacing w:val="-2"/>
          <w:sz w:val="24"/>
        </w:rPr>
        <w:t>impact.</w:t>
      </w:r>
    </w:p>
    <w:p w:rsidR="00487D64" w:rsidRDefault="00487D64">
      <w:pPr>
        <w:rPr>
          <w:sz w:val="24"/>
        </w:rPr>
        <w:sectPr w:rsidR="00487D64">
          <w:pgSz w:w="11910" w:h="16840"/>
          <w:pgMar w:top="1680" w:right="563" w:bottom="800" w:left="850" w:header="677" w:footer="608" w:gutter="0"/>
          <w:cols w:space="720"/>
        </w:sectPr>
      </w:pPr>
    </w:p>
    <w:p w:rsidR="00487D64" w:rsidRDefault="006F0D93">
      <w:pPr>
        <w:spacing w:before="254" w:after="42"/>
        <w:ind w:left="72" w:right="355"/>
        <w:jc w:val="center"/>
        <w:rPr>
          <w:b/>
          <w:sz w:val="24"/>
        </w:rPr>
      </w:pPr>
      <w:r>
        <w:rPr>
          <w:b/>
          <w:sz w:val="24"/>
        </w:rPr>
        <w:lastRenderedPageBreak/>
        <w:t>Table</w:t>
      </w:r>
      <w:r>
        <w:rPr>
          <w:b/>
          <w:spacing w:val="-3"/>
          <w:sz w:val="24"/>
        </w:rPr>
        <w:t xml:space="preserve"> </w:t>
      </w:r>
      <w:r>
        <w:rPr>
          <w:b/>
          <w:sz w:val="24"/>
        </w:rPr>
        <w:t>5:</w:t>
      </w:r>
      <w:r>
        <w:rPr>
          <w:b/>
          <w:spacing w:val="-1"/>
          <w:sz w:val="24"/>
        </w:rPr>
        <w:t xml:space="preserve"> </w:t>
      </w:r>
      <w:r>
        <w:rPr>
          <w:b/>
          <w:sz w:val="24"/>
        </w:rPr>
        <w:t>Effect</w:t>
      </w:r>
      <w:r>
        <w:rPr>
          <w:b/>
          <w:spacing w:val="-2"/>
          <w:sz w:val="24"/>
        </w:rPr>
        <w:t xml:space="preserve"> </w:t>
      </w:r>
      <w:r>
        <w:rPr>
          <w:b/>
          <w:sz w:val="24"/>
        </w:rPr>
        <w:t>Sizes</w:t>
      </w:r>
      <w:r>
        <w:rPr>
          <w:b/>
          <w:spacing w:val="-1"/>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Coefficient</w:t>
      </w:r>
      <w:r>
        <w:rPr>
          <w:b/>
          <w:spacing w:val="-2"/>
          <w:sz w:val="24"/>
        </w:rPr>
        <w:t xml:space="preserve"> </w:t>
      </w:r>
      <w:r>
        <w:rPr>
          <w:b/>
          <w:sz w:val="24"/>
        </w:rPr>
        <w:t>of</w:t>
      </w:r>
      <w:r>
        <w:rPr>
          <w:b/>
          <w:spacing w:val="-1"/>
          <w:sz w:val="24"/>
        </w:rPr>
        <w:t xml:space="preserve"> </w:t>
      </w:r>
      <w:r>
        <w:rPr>
          <w:b/>
          <w:spacing w:val="-2"/>
          <w:sz w:val="24"/>
        </w:rPr>
        <w:t>Determination</w:t>
      </w: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7"/>
        <w:gridCol w:w="2242"/>
        <w:gridCol w:w="3296"/>
      </w:tblGrid>
      <w:tr w:rsidR="00487D64">
        <w:trPr>
          <w:trHeight w:val="347"/>
        </w:trPr>
        <w:tc>
          <w:tcPr>
            <w:tcW w:w="4487" w:type="dxa"/>
          </w:tcPr>
          <w:p w:rsidR="00487D64" w:rsidRDefault="006F0D93">
            <w:pPr>
              <w:pStyle w:val="TableParagraph"/>
              <w:spacing w:before="15"/>
              <w:ind w:left="14"/>
              <w:rPr>
                <w:b/>
                <w:sz w:val="24"/>
              </w:rPr>
            </w:pPr>
            <w:r>
              <w:rPr>
                <w:b/>
                <w:spacing w:val="-2"/>
                <w:sz w:val="24"/>
              </w:rPr>
              <w:t>Construct</w:t>
            </w:r>
          </w:p>
        </w:tc>
        <w:tc>
          <w:tcPr>
            <w:tcW w:w="2242" w:type="dxa"/>
          </w:tcPr>
          <w:p w:rsidR="00487D64" w:rsidRDefault="006F0D93">
            <w:pPr>
              <w:pStyle w:val="TableParagraph"/>
              <w:spacing w:before="15"/>
              <w:ind w:left="119"/>
              <w:rPr>
                <w:b/>
                <w:sz w:val="24"/>
              </w:rPr>
            </w:pPr>
            <w:r>
              <w:rPr>
                <w:b/>
                <w:sz w:val="24"/>
              </w:rPr>
              <w:t>Effect</w:t>
            </w:r>
            <w:r>
              <w:rPr>
                <w:b/>
                <w:spacing w:val="-2"/>
                <w:sz w:val="24"/>
              </w:rPr>
              <w:t xml:space="preserve"> </w:t>
            </w:r>
            <w:r>
              <w:rPr>
                <w:b/>
                <w:sz w:val="24"/>
              </w:rPr>
              <w:t>size</w:t>
            </w:r>
            <w:r>
              <w:rPr>
                <w:b/>
                <w:spacing w:val="-2"/>
                <w:sz w:val="24"/>
              </w:rPr>
              <w:t xml:space="preserve"> </w:t>
            </w:r>
            <w:r>
              <w:rPr>
                <w:b/>
                <w:spacing w:val="-5"/>
                <w:sz w:val="24"/>
              </w:rPr>
              <w:t>f2</w:t>
            </w:r>
          </w:p>
        </w:tc>
        <w:tc>
          <w:tcPr>
            <w:tcW w:w="3296" w:type="dxa"/>
          </w:tcPr>
          <w:p w:rsidR="00487D64" w:rsidRDefault="006F0D93">
            <w:pPr>
              <w:pStyle w:val="TableParagraph"/>
              <w:spacing w:before="15"/>
              <w:ind w:left="119"/>
              <w:rPr>
                <w:b/>
                <w:sz w:val="24"/>
              </w:rPr>
            </w:pPr>
            <w:r>
              <w:rPr>
                <w:b/>
                <w:spacing w:val="-2"/>
                <w:sz w:val="24"/>
              </w:rPr>
              <w:t>Decision</w:t>
            </w:r>
          </w:p>
        </w:tc>
      </w:tr>
      <w:tr w:rsidR="00487D64">
        <w:trPr>
          <w:trHeight w:val="347"/>
        </w:trPr>
        <w:tc>
          <w:tcPr>
            <w:tcW w:w="4487" w:type="dxa"/>
          </w:tcPr>
          <w:p w:rsidR="00487D64" w:rsidRDefault="006F0D93">
            <w:pPr>
              <w:pStyle w:val="TableParagraph"/>
              <w:spacing w:before="15"/>
              <w:ind w:left="14"/>
              <w:rPr>
                <w:sz w:val="24"/>
              </w:rPr>
            </w:pPr>
            <w:r>
              <w:rPr>
                <w:spacing w:val="-5"/>
                <w:sz w:val="24"/>
              </w:rPr>
              <w:t>CO</w:t>
            </w:r>
          </w:p>
        </w:tc>
        <w:tc>
          <w:tcPr>
            <w:tcW w:w="2242" w:type="dxa"/>
          </w:tcPr>
          <w:p w:rsidR="00487D64" w:rsidRDefault="006F0D93">
            <w:pPr>
              <w:pStyle w:val="TableParagraph"/>
              <w:spacing w:before="15"/>
              <w:ind w:left="119"/>
              <w:rPr>
                <w:sz w:val="24"/>
              </w:rPr>
            </w:pPr>
            <w:r>
              <w:rPr>
                <w:spacing w:val="-2"/>
                <w:sz w:val="24"/>
              </w:rPr>
              <w:t>0.146</w:t>
            </w:r>
          </w:p>
        </w:tc>
        <w:tc>
          <w:tcPr>
            <w:tcW w:w="3296" w:type="dxa"/>
          </w:tcPr>
          <w:p w:rsidR="00487D64" w:rsidRDefault="006F0D93">
            <w:pPr>
              <w:pStyle w:val="TableParagraph"/>
              <w:spacing w:before="15"/>
              <w:ind w:left="119"/>
              <w:rPr>
                <w:sz w:val="24"/>
              </w:rPr>
            </w:pPr>
            <w:r>
              <w:rPr>
                <w:spacing w:val="-2"/>
                <w:sz w:val="24"/>
              </w:rPr>
              <w:t>Medium</w:t>
            </w:r>
          </w:p>
        </w:tc>
      </w:tr>
      <w:tr w:rsidR="00487D64">
        <w:trPr>
          <w:trHeight w:val="347"/>
        </w:trPr>
        <w:tc>
          <w:tcPr>
            <w:tcW w:w="4487" w:type="dxa"/>
          </w:tcPr>
          <w:p w:rsidR="00487D64" w:rsidRDefault="006F0D93">
            <w:pPr>
              <w:pStyle w:val="TableParagraph"/>
              <w:spacing w:before="13"/>
              <w:ind w:left="14"/>
              <w:rPr>
                <w:sz w:val="24"/>
              </w:rPr>
            </w:pPr>
            <w:r>
              <w:rPr>
                <w:spacing w:val="-5"/>
                <w:sz w:val="24"/>
              </w:rPr>
              <w:t>CU</w:t>
            </w:r>
          </w:p>
        </w:tc>
        <w:tc>
          <w:tcPr>
            <w:tcW w:w="2242" w:type="dxa"/>
          </w:tcPr>
          <w:p w:rsidR="00487D64" w:rsidRDefault="006F0D93">
            <w:pPr>
              <w:pStyle w:val="TableParagraph"/>
              <w:spacing w:before="13"/>
              <w:ind w:left="119"/>
              <w:rPr>
                <w:sz w:val="24"/>
              </w:rPr>
            </w:pPr>
            <w:r>
              <w:rPr>
                <w:spacing w:val="-2"/>
                <w:sz w:val="24"/>
              </w:rPr>
              <w:t>0.093</w:t>
            </w:r>
          </w:p>
        </w:tc>
        <w:tc>
          <w:tcPr>
            <w:tcW w:w="3296" w:type="dxa"/>
          </w:tcPr>
          <w:p w:rsidR="00487D64" w:rsidRDefault="006F0D93">
            <w:pPr>
              <w:pStyle w:val="TableParagraph"/>
              <w:spacing w:before="13"/>
              <w:ind w:left="119"/>
              <w:rPr>
                <w:sz w:val="24"/>
              </w:rPr>
            </w:pPr>
            <w:r>
              <w:rPr>
                <w:spacing w:val="-2"/>
                <w:sz w:val="24"/>
              </w:rPr>
              <w:t>Small</w:t>
            </w:r>
          </w:p>
        </w:tc>
      </w:tr>
      <w:tr w:rsidR="00487D64">
        <w:trPr>
          <w:trHeight w:val="347"/>
        </w:trPr>
        <w:tc>
          <w:tcPr>
            <w:tcW w:w="4487" w:type="dxa"/>
          </w:tcPr>
          <w:p w:rsidR="00487D64" w:rsidRDefault="006F0D93">
            <w:pPr>
              <w:pStyle w:val="TableParagraph"/>
              <w:spacing w:before="13"/>
              <w:ind w:left="14"/>
              <w:rPr>
                <w:sz w:val="24"/>
              </w:rPr>
            </w:pPr>
            <w:r>
              <w:rPr>
                <w:spacing w:val="-5"/>
                <w:sz w:val="24"/>
              </w:rPr>
              <w:t>SC</w:t>
            </w:r>
          </w:p>
        </w:tc>
        <w:tc>
          <w:tcPr>
            <w:tcW w:w="2242" w:type="dxa"/>
          </w:tcPr>
          <w:p w:rsidR="00487D64" w:rsidRDefault="00487D64">
            <w:pPr>
              <w:pStyle w:val="TableParagraph"/>
              <w:rPr>
                <w:sz w:val="24"/>
              </w:rPr>
            </w:pPr>
          </w:p>
        </w:tc>
        <w:tc>
          <w:tcPr>
            <w:tcW w:w="3296" w:type="dxa"/>
          </w:tcPr>
          <w:p w:rsidR="00487D64" w:rsidRDefault="00487D64">
            <w:pPr>
              <w:pStyle w:val="TableParagraph"/>
              <w:rPr>
                <w:sz w:val="24"/>
              </w:rPr>
            </w:pPr>
          </w:p>
        </w:tc>
      </w:tr>
      <w:tr w:rsidR="00487D64">
        <w:trPr>
          <w:trHeight w:val="347"/>
        </w:trPr>
        <w:tc>
          <w:tcPr>
            <w:tcW w:w="4487" w:type="dxa"/>
          </w:tcPr>
          <w:p w:rsidR="00487D64" w:rsidRDefault="006F0D93">
            <w:pPr>
              <w:pStyle w:val="TableParagraph"/>
              <w:spacing w:before="13"/>
              <w:ind w:left="14"/>
              <w:rPr>
                <w:sz w:val="24"/>
              </w:rPr>
            </w:pPr>
            <w:r>
              <w:rPr>
                <w:sz w:val="24"/>
              </w:rPr>
              <w:t>SF</w:t>
            </w:r>
            <w:r>
              <w:rPr>
                <w:spacing w:val="-4"/>
                <w:sz w:val="24"/>
              </w:rPr>
              <w:t xml:space="preserve"> </w:t>
            </w:r>
            <w:r>
              <w:rPr>
                <w:sz w:val="24"/>
              </w:rPr>
              <w:t xml:space="preserve">x </w:t>
            </w:r>
            <w:r>
              <w:rPr>
                <w:spacing w:val="-7"/>
                <w:sz w:val="24"/>
              </w:rPr>
              <w:t>CU</w:t>
            </w:r>
          </w:p>
        </w:tc>
        <w:tc>
          <w:tcPr>
            <w:tcW w:w="2242" w:type="dxa"/>
          </w:tcPr>
          <w:p w:rsidR="00487D64" w:rsidRDefault="006F0D93">
            <w:pPr>
              <w:pStyle w:val="TableParagraph"/>
              <w:spacing w:before="13"/>
              <w:ind w:left="119"/>
              <w:rPr>
                <w:sz w:val="24"/>
              </w:rPr>
            </w:pPr>
            <w:r>
              <w:rPr>
                <w:spacing w:val="-2"/>
                <w:sz w:val="24"/>
              </w:rPr>
              <w:t>0.573</w:t>
            </w:r>
          </w:p>
        </w:tc>
        <w:tc>
          <w:tcPr>
            <w:tcW w:w="3296" w:type="dxa"/>
          </w:tcPr>
          <w:p w:rsidR="00487D64" w:rsidRDefault="006F0D93">
            <w:pPr>
              <w:pStyle w:val="TableParagraph"/>
              <w:spacing w:before="13"/>
              <w:ind w:left="119"/>
              <w:rPr>
                <w:sz w:val="24"/>
              </w:rPr>
            </w:pPr>
            <w:r>
              <w:rPr>
                <w:spacing w:val="-4"/>
                <w:sz w:val="24"/>
              </w:rPr>
              <w:t>High</w:t>
            </w:r>
          </w:p>
        </w:tc>
      </w:tr>
      <w:tr w:rsidR="00487D64">
        <w:trPr>
          <w:trHeight w:val="347"/>
        </w:trPr>
        <w:tc>
          <w:tcPr>
            <w:tcW w:w="4487" w:type="dxa"/>
          </w:tcPr>
          <w:p w:rsidR="00487D64" w:rsidRDefault="006F0D93">
            <w:pPr>
              <w:pStyle w:val="TableParagraph"/>
              <w:spacing w:before="13"/>
              <w:ind w:left="14"/>
              <w:rPr>
                <w:sz w:val="24"/>
              </w:rPr>
            </w:pPr>
            <w:r>
              <w:rPr>
                <w:sz w:val="24"/>
              </w:rPr>
              <w:t>SF</w:t>
            </w:r>
            <w:r>
              <w:rPr>
                <w:spacing w:val="-4"/>
                <w:sz w:val="24"/>
              </w:rPr>
              <w:t xml:space="preserve"> </w:t>
            </w:r>
            <w:r>
              <w:rPr>
                <w:sz w:val="24"/>
              </w:rPr>
              <w:t xml:space="preserve">x </w:t>
            </w:r>
            <w:r>
              <w:rPr>
                <w:spacing w:val="-7"/>
                <w:sz w:val="24"/>
              </w:rPr>
              <w:t>CO</w:t>
            </w:r>
          </w:p>
        </w:tc>
        <w:tc>
          <w:tcPr>
            <w:tcW w:w="2242" w:type="dxa"/>
          </w:tcPr>
          <w:p w:rsidR="00487D64" w:rsidRDefault="006F0D93">
            <w:pPr>
              <w:pStyle w:val="TableParagraph"/>
              <w:spacing w:before="13"/>
              <w:ind w:left="119"/>
              <w:rPr>
                <w:sz w:val="24"/>
              </w:rPr>
            </w:pPr>
            <w:r>
              <w:rPr>
                <w:spacing w:val="-2"/>
                <w:sz w:val="24"/>
              </w:rPr>
              <w:t>0.040</w:t>
            </w:r>
          </w:p>
        </w:tc>
        <w:tc>
          <w:tcPr>
            <w:tcW w:w="3296" w:type="dxa"/>
          </w:tcPr>
          <w:p w:rsidR="00487D64" w:rsidRDefault="006F0D93">
            <w:pPr>
              <w:pStyle w:val="TableParagraph"/>
              <w:spacing w:before="13"/>
              <w:ind w:left="119"/>
              <w:rPr>
                <w:sz w:val="24"/>
              </w:rPr>
            </w:pPr>
            <w:r>
              <w:rPr>
                <w:spacing w:val="-2"/>
                <w:sz w:val="24"/>
              </w:rPr>
              <w:t>Small</w:t>
            </w:r>
          </w:p>
        </w:tc>
      </w:tr>
    </w:tbl>
    <w:p w:rsidR="00487D64" w:rsidRDefault="006F0D93">
      <w:pPr>
        <w:spacing w:before="2"/>
        <w:ind w:left="70" w:right="355"/>
        <w:jc w:val="center"/>
        <w:rPr>
          <w:b/>
          <w:sz w:val="24"/>
        </w:rPr>
      </w:pPr>
      <w:r>
        <w:rPr>
          <w:b/>
          <w:sz w:val="24"/>
        </w:rPr>
        <w:t>Source:</w:t>
      </w:r>
      <w:r>
        <w:rPr>
          <w:b/>
          <w:spacing w:val="-3"/>
          <w:sz w:val="24"/>
        </w:rPr>
        <w:t xml:space="preserve"> </w:t>
      </w:r>
      <w:r>
        <w:rPr>
          <w:b/>
          <w:sz w:val="24"/>
        </w:rPr>
        <w:t>Data</w:t>
      </w:r>
      <w:r>
        <w:rPr>
          <w:b/>
          <w:spacing w:val="-2"/>
          <w:sz w:val="24"/>
        </w:rPr>
        <w:t xml:space="preserve"> </w:t>
      </w:r>
      <w:r>
        <w:rPr>
          <w:b/>
          <w:sz w:val="24"/>
        </w:rPr>
        <w:t>analysis</w:t>
      </w:r>
      <w:r>
        <w:rPr>
          <w:b/>
          <w:spacing w:val="-2"/>
          <w:sz w:val="24"/>
        </w:rPr>
        <w:t xml:space="preserve"> (2025)</w:t>
      </w:r>
    </w:p>
    <w:p w:rsidR="00487D64" w:rsidRDefault="00487D64">
      <w:pPr>
        <w:pStyle w:val="BodyText"/>
        <w:spacing w:before="81"/>
        <w:rPr>
          <w:b/>
          <w:sz w:val="24"/>
        </w:rPr>
      </w:pPr>
    </w:p>
    <w:p w:rsidR="00487D64" w:rsidRDefault="006F0D93">
      <w:pPr>
        <w:spacing w:before="1" w:line="276" w:lineRule="auto"/>
        <w:ind w:left="57" w:right="344"/>
        <w:jc w:val="both"/>
        <w:rPr>
          <w:sz w:val="24"/>
        </w:rPr>
      </w:pPr>
      <w:r>
        <w:rPr>
          <w:sz w:val="24"/>
        </w:rPr>
        <w:t>The</w:t>
      </w:r>
      <w:r>
        <w:rPr>
          <w:spacing w:val="-7"/>
          <w:sz w:val="24"/>
        </w:rPr>
        <w:t xml:space="preserve"> </w:t>
      </w:r>
      <w:r>
        <w:rPr>
          <w:sz w:val="24"/>
        </w:rPr>
        <w:t>findings</w:t>
      </w:r>
      <w:r>
        <w:rPr>
          <w:spacing w:val="-5"/>
          <w:sz w:val="24"/>
        </w:rPr>
        <w:t xml:space="preserve"> </w:t>
      </w:r>
      <w:r>
        <w:rPr>
          <w:sz w:val="24"/>
        </w:rPr>
        <w:t>indicate</w:t>
      </w:r>
      <w:r>
        <w:rPr>
          <w:spacing w:val="-6"/>
          <w:sz w:val="24"/>
        </w:rPr>
        <w:t xml:space="preserve"> </w:t>
      </w:r>
      <w:r>
        <w:rPr>
          <w:sz w:val="24"/>
        </w:rPr>
        <w:t>that</w:t>
      </w:r>
      <w:r>
        <w:rPr>
          <w:spacing w:val="-8"/>
          <w:sz w:val="24"/>
        </w:rPr>
        <w:t xml:space="preserve"> </w:t>
      </w:r>
      <w:r>
        <w:rPr>
          <w:sz w:val="24"/>
        </w:rPr>
        <w:t>SF</w:t>
      </w:r>
      <w:r>
        <w:rPr>
          <w:spacing w:val="-7"/>
          <w:sz w:val="24"/>
        </w:rPr>
        <w:t xml:space="preserve"> </w:t>
      </w:r>
      <w:r>
        <w:rPr>
          <w:sz w:val="24"/>
        </w:rPr>
        <w:t>has</w:t>
      </w:r>
      <w:r>
        <w:rPr>
          <w:spacing w:val="-6"/>
          <w:sz w:val="24"/>
        </w:rPr>
        <w:t xml:space="preserve"> </w:t>
      </w:r>
      <w:r>
        <w:rPr>
          <w:sz w:val="24"/>
        </w:rPr>
        <w:t>the</w:t>
      </w:r>
      <w:r>
        <w:rPr>
          <w:spacing w:val="-6"/>
          <w:sz w:val="24"/>
        </w:rPr>
        <w:t xml:space="preserve"> </w:t>
      </w:r>
      <w:r>
        <w:rPr>
          <w:sz w:val="24"/>
        </w:rPr>
        <w:t>strongest</w:t>
      </w:r>
      <w:r>
        <w:rPr>
          <w:spacing w:val="-8"/>
          <w:sz w:val="24"/>
        </w:rPr>
        <w:t xml:space="preserve"> </w:t>
      </w:r>
      <w:r>
        <w:rPr>
          <w:sz w:val="24"/>
        </w:rPr>
        <w:t>impact</w:t>
      </w:r>
      <w:r>
        <w:rPr>
          <w:spacing w:val="-5"/>
          <w:sz w:val="24"/>
        </w:rPr>
        <w:t xml:space="preserve"> </w:t>
      </w:r>
      <w:r>
        <w:rPr>
          <w:sz w:val="24"/>
        </w:rPr>
        <w:t>on</w:t>
      </w:r>
      <w:r>
        <w:rPr>
          <w:spacing w:val="-6"/>
          <w:sz w:val="24"/>
        </w:rPr>
        <w:t xml:space="preserve"> </w:t>
      </w:r>
      <w:r>
        <w:rPr>
          <w:sz w:val="24"/>
        </w:rPr>
        <w:t>Sustainable</w:t>
      </w:r>
      <w:r>
        <w:rPr>
          <w:spacing w:val="-6"/>
          <w:sz w:val="24"/>
        </w:rPr>
        <w:t xml:space="preserve"> </w:t>
      </w:r>
      <w:r>
        <w:rPr>
          <w:sz w:val="24"/>
        </w:rPr>
        <w:t>Competitiveness,</w:t>
      </w:r>
      <w:r>
        <w:rPr>
          <w:spacing w:val="-5"/>
          <w:sz w:val="24"/>
        </w:rPr>
        <w:t xml:space="preserve"> </w:t>
      </w:r>
      <w:r>
        <w:rPr>
          <w:sz w:val="24"/>
        </w:rPr>
        <w:t>with</w:t>
      </w:r>
      <w:r>
        <w:rPr>
          <w:spacing w:val="-5"/>
          <w:sz w:val="24"/>
        </w:rPr>
        <w:t xml:space="preserve"> </w:t>
      </w:r>
      <w:r>
        <w:rPr>
          <w:sz w:val="24"/>
        </w:rPr>
        <w:t>a</w:t>
      </w:r>
      <w:r>
        <w:rPr>
          <w:spacing w:val="-7"/>
          <w:sz w:val="24"/>
        </w:rPr>
        <w:t xml:space="preserve"> </w:t>
      </w:r>
      <w:r>
        <w:rPr>
          <w:sz w:val="24"/>
        </w:rPr>
        <w:t>large</w:t>
      </w:r>
      <w:r>
        <w:rPr>
          <w:spacing w:val="-7"/>
          <w:sz w:val="24"/>
        </w:rPr>
        <w:t xml:space="preserve"> </w:t>
      </w:r>
      <w:r>
        <w:rPr>
          <w:sz w:val="24"/>
        </w:rPr>
        <w:t>effect size (f² = 0.573), highlighting its critical role in enabling special group SMEs to adapt and sustain competitive advantage in public procurement.</w:t>
      </w:r>
    </w:p>
    <w:p w:rsidR="00487D64" w:rsidRDefault="00487D64">
      <w:pPr>
        <w:pStyle w:val="BodyText"/>
        <w:spacing w:before="42"/>
        <w:rPr>
          <w:sz w:val="24"/>
        </w:rPr>
      </w:pPr>
    </w:p>
    <w:p w:rsidR="00487D64" w:rsidRDefault="006F0D93">
      <w:pPr>
        <w:ind w:left="57"/>
        <w:jc w:val="both"/>
        <w:rPr>
          <w:b/>
          <w:sz w:val="24"/>
        </w:rPr>
      </w:pPr>
      <w:r>
        <w:rPr>
          <w:b/>
          <w:sz w:val="24"/>
        </w:rPr>
        <w:t>Assessment</w:t>
      </w:r>
      <w:r>
        <w:rPr>
          <w:b/>
          <w:spacing w:val="-2"/>
          <w:sz w:val="24"/>
        </w:rPr>
        <w:t xml:space="preserve"> </w:t>
      </w:r>
      <w:r>
        <w:rPr>
          <w:b/>
          <w:sz w:val="24"/>
        </w:rPr>
        <w:t>of</w:t>
      </w:r>
      <w:r>
        <w:rPr>
          <w:b/>
          <w:spacing w:val="-3"/>
          <w:sz w:val="24"/>
        </w:rPr>
        <w:t xml:space="preserve"> </w:t>
      </w:r>
      <w:r>
        <w:rPr>
          <w:b/>
          <w:sz w:val="24"/>
        </w:rPr>
        <w:t>Predictive</w:t>
      </w:r>
      <w:r>
        <w:rPr>
          <w:b/>
          <w:spacing w:val="-2"/>
          <w:sz w:val="24"/>
        </w:rPr>
        <w:t xml:space="preserve"> </w:t>
      </w:r>
      <w:r>
        <w:rPr>
          <w:b/>
          <w:sz w:val="24"/>
        </w:rPr>
        <w:t>Relevance</w:t>
      </w:r>
      <w:r>
        <w:rPr>
          <w:b/>
          <w:spacing w:val="-2"/>
          <w:sz w:val="24"/>
        </w:rPr>
        <w:t xml:space="preserve"> </w:t>
      </w:r>
      <w:r>
        <w:rPr>
          <w:b/>
          <w:spacing w:val="-4"/>
          <w:sz w:val="24"/>
        </w:rPr>
        <w:t>(Q2)</w:t>
      </w:r>
    </w:p>
    <w:p w:rsidR="00487D64" w:rsidRDefault="006F0D93">
      <w:pPr>
        <w:spacing w:before="43" w:line="276" w:lineRule="auto"/>
        <w:ind w:left="57" w:right="336"/>
        <w:jc w:val="both"/>
        <w:rPr>
          <w:sz w:val="24"/>
        </w:rPr>
      </w:pPr>
      <w:r>
        <w:rPr>
          <w:sz w:val="24"/>
        </w:rPr>
        <w:t>The model has appropriate predictive power for sustainable competitiveness, as evidenced by predictive relevance</w:t>
      </w:r>
      <w:r>
        <w:rPr>
          <w:spacing w:val="-2"/>
          <w:sz w:val="24"/>
        </w:rPr>
        <w:t xml:space="preserve"> </w:t>
      </w:r>
      <w:r>
        <w:rPr>
          <w:sz w:val="24"/>
        </w:rPr>
        <w:t>values</w:t>
      </w:r>
      <w:r>
        <w:rPr>
          <w:spacing w:val="-2"/>
          <w:sz w:val="24"/>
        </w:rPr>
        <w:t xml:space="preserve"> </w:t>
      </w:r>
      <w:r>
        <w:rPr>
          <w:sz w:val="24"/>
        </w:rPr>
        <w:t>above</w:t>
      </w:r>
      <w:r>
        <w:rPr>
          <w:spacing w:val="-1"/>
          <w:sz w:val="24"/>
        </w:rPr>
        <w:t xml:space="preserve"> </w:t>
      </w:r>
      <w:r>
        <w:rPr>
          <w:sz w:val="24"/>
        </w:rPr>
        <w:t>zero</w:t>
      </w:r>
      <w:r>
        <w:rPr>
          <w:spacing w:val="-2"/>
          <w:sz w:val="24"/>
        </w:rPr>
        <w:t xml:space="preserve"> </w:t>
      </w:r>
      <w:r>
        <w:rPr>
          <w:sz w:val="24"/>
        </w:rPr>
        <w:t>obtained</w:t>
      </w:r>
      <w:r>
        <w:rPr>
          <w:spacing w:val="-1"/>
          <w:sz w:val="24"/>
        </w:rPr>
        <w:t xml:space="preserve"> </w:t>
      </w:r>
      <w:r>
        <w:rPr>
          <w:sz w:val="24"/>
        </w:rPr>
        <w:t>using</w:t>
      </w:r>
      <w:r>
        <w:rPr>
          <w:spacing w:val="-1"/>
          <w:sz w:val="24"/>
        </w:rPr>
        <w:t xml:space="preserve"> </w:t>
      </w:r>
      <w:r>
        <w:rPr>
          <w:sz w:val="24"/>
        </w:rPr>
        <w:t>Stone-Geisser’s</w:t>
      </w:r>
      <w:r>
        <w:rPr>
          <w:spacing w:val="-1"/>
          <w:sz w:val="24"/>
        </w:rPr>
        <w:t xml:space="preserve"> </w:t>
      </w:r>
      <w:r>
        <w:rPr>
          <w:sz w:val="24"/>
        </w:rPr>
        <w:t>Q2</w:t>
      </w:r>
      <w:r>
        <w:rPr>
          <w:spacing w:val="-2"/>
          <w:sz w:val="24"/>
        </w:rPr>
        <w:t xml:space="preserve"> </w:t>
      </w:r>
      <w:r>
        <w:rPr>
          <w:sz w:val="24"/>
        </w:rPr>
        <w:t>statistic</w:t>
      </w:r>
      <w:r>
        <w:rPr>
          <w:spacing w:val="-2"/>
          <w:sz w:val="24"/>
        </w:rPr>
        <w:t xml:space="preserve"> </w:t>
      </w:r>
      <w:r>
        <w:rPr>
          <w:sz w:val="24"/>
        </w:rPr>
        <w:t>through</w:t>
      </w:r>
      <w:r>
        <w:rPr>
          <w:spacing w:val="-1"/>
          <w:sz w:val="24"/>
        </w:rPr>
        <w:t xml:space="preserve"> </w:t>
      </w:r>
      <w:r>
        <w:rPr>
          <w:sz w:val="24"/>
        </w:rPr>
        <w:t>the</w:t>
      </w:r>
      <w:r>
        <w:rPr>
          <w:spacing w:val="-2"/>
          <w:sz w:val="24"/>
        </w:rPr>
        <w:t xml:space="preserve"> </w:t>
      </w:r>
      <w:r>
        <w:rPr>
          <w:sz w:val="24"/>
        </w:rPr>
        <w:t>blindfolding</w:t>
      </w:r>
      <w:r>
        <w:rPr>
          <w:spacing w:val="-3"/>
          <w:sz w:val="24"/>
        </w:rPr>
        <w:t xml:space="preserve"> </w:t>
      </w:r>
      <w:r>
        <w:rPr>
          <w:sz w:val="24"/>
        </w:rPr>
        <w:t>process (Table 6).</w:t>
      </w:r>
    </w:p>
    <w:p w:rsidR="00487D64" w:rsidRDefault="00487D64">
      <w:pPr>
        <w:pStyle w:val="BodyText"/>
        <w:spacing w:before="39"/>
        <w:rPr>
          <w:sz w:val="24"/>
        </w:rPr>
      </w:pPr>
    </w:p>
    <w:p w:rsidR="00487D64" w:rsidRDefault="006F0D93">
      <w:pPr>
        <w:spacing w:after="45"/>
        <w:ind w:left="68" w:right="355"/>
        <w:jc w:val="center"/>
        <w:rPr>
          <w:b/>
          <w:sz w:val="24"/>
        </w:rPr>
      </w:pPr>
      <w:r>
        <w:rPr>
          <w:b/>
          <w:sz w:val="24"/>
        </w:rPr>
        <w:t>Table</w:t>
      </w:r>
      <w:r>
        <w:rPr>
          <w:b/>
          <w:spacing w:val="-1"/>
          <w:sz w:val="24"/>
        </w:rPr>
        <w:t xml:space="preserve"> </w:t>
      </w:r>
      <w:r>
        <w:rPr>
          <w:b/>
          <w:sz w:val="24"/>
        </w:rPr>
        <w:t>6:</w:t>
      </w:r>
      <w:r>
        <w:rPr>
          <w:b/>
          <w:spacing w:val="-2"/>
          <w:sz w:val="24"/>
        </w:rPr>
        <w:t xml:space="preserve"> </w:t>
      </w:r>
      <w:r>
        <w:rPr>
          <w:b/>
          <w:sz w:val="24"/>
        </w:rPr>
        <w:t>PLSpredict</w:t>
      </w:r>
      <w:r>
        <w:rPr>
          <w:b/>
          <w:spacing w:val="-2"/>
          <w:sz w:val="24"/>
        </w:rPr>
        <w:t xml:space="preserve"> </w:t>
      </w:r>
      <w:r>
        <w:rPr>
          <w:b/>
          <w:sz w:val="24"/>
        </w:rPr>
        <w:t>M</w:t>
      </w:r>
      <w:r>
        <w:rPr>
          <w:b/>
          <w:sz w:val="24"/>
        </w:rPr>
        <w:t>V</w:t>
      </w:r>
      <w:r>
        <w:rPr>
          <w:b/>
          <w:spacing w:val="-1"/>
          <w:sz w:val="24"/>
        </w:rPr>
        <w:t xml:space="preserve"> </w:t>
      </w:r>
      <w:r>
        <w:rPr>
          <w:b/>
          <w:sz w:val="24"/>
        </w:rPr>
        <w:t>-</w:t>
      </w:r>
      <w:r>
        <w:rPr>
          <w:b/>
          <w:spacing w:val="-2"/>
          <w:sz w:val="24"/>
        </w:rPr>
        <w:t xml:space="preserve"> </w:t>
      </w:r>
      <w:r>
        <w:rPr>
          <w:b/>
          <w:sz w:val="24"/>
        </w:rPr>
        <w:t>Summary</w:t>
      </w:r>
      <w:r>
        <w:rPr>
          <w:b/>
          <w:spacing w:val="-1"/>
          <w:sz w:val="24"/>
        </w:rPr>
        <w:t xml:space="preserve"> </w:t>
      </w:r>
      <w:r>
        <w:rPr>
          <w:b/>
          <w:spacing w:val="-2"/>
          <w:sz w:val="24"/>
        </w:rPr>
        <w:t>Overview</w:t>
      </w: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
        <w:gridCol w:w="1224"/>
        <w:gridCol w:w="1563"/>
        <w:gridCol w:w="1428"/>
        <w:gridCol w:w="1431"/>
        <w:gridCol w:w="1296"/>
        <w:gridCol w:w="1313"/>
        <w:gridCol w:w="1178"/>
      </w:tblGrid>
      <w:tr w:rsidR="00487D64">
        <w:trPr>
          <w:trHeight w:val="952"/>
        </w:trPr>
        <w:tc>
          <w:tcPr>
            <w:tcW w:w="651" w:type="dxa"/>
          </w:tcPr>
          <w:p w:rsidR="00487D64" w:rsidRDefault="00487D64">
            <w:pPr>
              <w:pStyle w:val="TableParagraph"/>
              <w:rPr>
                <w:sz w:val="24"/>
              </w:rPr>
            </w:pPr>
          </w:p>
        </w:tc>
        <w:tc>
          <w:tcPr>
            <w:tcW w:w="1224" w:type="dxa"/>
          </w:tcPr>
          <w:p w:rsidR="00487D64" w:rsidRDefault="006F0D93">
            <w:pPr>
              <w:pStyle w:val="TableParagraph"/>
              <w:spacing w:before="157" w:line="276" w:lineRule="auto"/>
              <w:ind w:left="119" w:right="179"/>
              <w:rPr>
                <w:b/>
                <w:sz w:val="24"/>
              </w:rPr>
            </w:pPr>
            <w:r>
              <w:rPr>
                <w:b/>
                <w:spacing w:val="-2"/>
                <w:sz w:val="24"/>
              </w:rPr>
              <w:t xml:space="preserve">Q²predic </w:t>
            </w:r>
            <w:r>
              <w:rPr>
                <w:b/>
                <w:spacing w:val="-10"/>
                <w:sz w:val="24"/>
              </w:rPr>
              <w:t>t</w:t>
            </w:r>
          </w:p>
        </w:tc>
        <w:tc>
          <w:tcPr>
            <w:tcW w:w="1563" w:type="dxa"/>
          </w:tcPr>
          <w:p w:rsidR="00487D64" w:rsidRDefault="006F0D93">
            <w:pPr>
              <w:pStyle w:val="TableParagraph"/>
              <w:spacing w:line="276" w:lineRule="auto"/>
              <w:ind w:left="119" w:right="254"/>
              <w:rPr>
                <w:b/>
                <w:sz w:val="24"/>
              </w:rPr>
            </w:pPr>
            <w:r>
              <w:rPr>
                <w:b/>
                <w:spacing w:val="-4"/>
                <w:sz w:val="24"/>
              </w:rPr>
              <w:t xml:space="preserve">PLS- </w:t>
            </w:r>
            <w:r>
              <w:rPr>
                <w:b/>
                <w:spacing w:val="-2"/>
                <w:sz w:val="24"/>
              </w:rPr>
              <w:t>SEM_RMS</w:t>
            </w:r>
          </w:p>
          <w:p w:rsidR="00487D64" w:rsidRDefault="006F0D93">
            <w:pPr>
              <w:pStyle w:val="TableParagraph"/>
              <w:spacing w:line="275" w:lineRule="exact"/>
              <w:ind w:left="119"/>
              <w:rPr>
                <w:b/>
                <w:sz w:val="24"/>
              </w:rPr>
            </w:pPr>
            <w:r>
              <w:rPr>
                <w:b/>
                <w:spacing w:val="-10"/>
                <w:sz w:val="24"/>
              </w:rPr>
              <w:t>E</w:t>
            </w:r>
          </w:p>
        </w:tc>
        <w:tc>
          <w:tcPr>
            <w:tcW w:w="1428" w:type="dxa"/>
          </w:tcPr>
          <w:p w:rsidR="00487D64" w:rsidRDefault="006F0D93">
            <w:pPr>
              <w:pStyle w:val="TableParagraph"/>
              <w:spacing w:line="276" w:lineRule="auto"/>
              <w:ind w:left="119" w:right="251"/>
              <w:rPr>
                <w:b/>
                <w:sz w:val="24"/>
              </w:rPr>
            </w:pPr>
            <w:r>
              <w:rPr>
                <w:b/>
                <w:spacing w:val="-4"/>
                <w:sz w:val="24"/>
              </w:rPr>
              <w:t xml:space="preserve">PLS- </w:t>
            </w:r>
            <w:r>
              <w:rPr>
                <w:b/>
                <w:spacing w:val="-2"/>
                <w:sz w:val="24"/>
              </w:rPr>
              <w:t>SEM_MA</w:t>
            </w:r>
          </w:p>
          <w:p w:rsidR="00487D64" w:rsidRDefault="006F0D93">
            <w:pPr>
              <w:pStyle w:val="TableParagraph"/>
              <w:spacing w:line="275" w:lineRule="exact"/>
              <w:ind w:left="119"/>
              <w:rPr>
                <w:b/>
                <w:sz w:val="24"/>
              </w:rPr>
            </w:pPr>
            <w:r>
              <w:rPr>
                <w:b/>
                <w:spacing w:val="-10"/>
                <w:sz w:val="24"/>
              </w:rPr>
              <w:t>E</w:t>
            </w:r>
          </w:p>
        </w:tc>
        <w:tc>
          <w:tcPr>
            <w:tcW w:w="1431" w:type="dxa"/>
          </w:tcPr>
          <w:p w:rsidR="00487D64" w:rsidRDefault="006F0D93">
            <w:pPr>
              <w:pStyle w:val="TableParagraph"/>
              <w:spacing w:before="157" w:line="276" w:lineRule="auto"/>
              <w:ind w:left="119" w:right="254"/>
              <w:rPr>
                <w:b/>
                <w:sz w:val="24"/>
              </w:rPr>
            </w:pPr>
            <w:r>
              <w:rPr>
                <w:b/>
                <w:spacing w:val="-2"/>
                <w:sz w:val="24"/>
              </w:rPr>
              <w:t xml:space="preserve">LM_RMS </w:t>
            </w:r>
            <w:r>
              <w:rPr>
                <w:b/>
                <w:spacing w:val="-10"/>
                <w:sz w:val="24"/>
              </w:rPr>
              <w:t>E</w:t>
            </w:r>
          </w:p>
        </w:tc>
        <w:tc>
          <w:tcPr>
            <w:tcW w:w="1296" w:type="dxa"/>
          </w:tcPr>
          <w:p w:rsidR="00487D64" w:rsidRDefault="006F0D93">
            <w:pPr>
              <w:pStyle w:val="TableParagraph"/>
              <w:spacing w:before="157" w:line="276" w:lineRule="auto"/>
              <w:ind w:left="119" w:right="250"/>
              <w:rPr>
                <w:b/>
                <w:sz w:val="24"/>
              </w:rPr>
            </w:pPr>
            <w:r>
              <w:rPr>
                <w:b/>
                <w:spacing w:val="-2"/>
                <w:sz w:val="24"/>
              </w:rPr>
              <w:t xml:space="preserve">LM_MA </w:t>
            </w:r>
            <w:r>
              <w:rPr>
                <w:b/>
                <w:spacing w:val="-10"/>
                <w:sz w:val="24"/>
              </w:rPr>
              <w:t>E</w:t>
            </w:r>
          </w:p>
        </w:tc>
        <w:tc>
          <w:tcPr>
            <w:tcW w:w="1313" w:type="dxa"/>
          </w:tcPr>
          <w:p w:rsidR="00487D64" w:rsidRDefault="006F0D93">
            <w:pPr>
              <w:pStyle w:val="TableParagraph"/>
              <w:spacing w:before="157" w:line="276" w:lineRule="auto"/>
              <w:ind w:left="119" w:right="255"/>
              <w:rPr>
                <w:b/>
                <w:sz w:val="24"/>
              </w:rPr>
            </w:pPr>
            <w:r>
              <w:rPr>
                <w:b/>
                <w:spacing w:val="-2"/>
                <w:sz w:val="24"/>
              </w:rPr>
              <w:t xml:space="preserve">IA_RMS </w:t>
            </w:r>
            <w:r>
              <w:rPr>
                <w:b/>
                <w:spacing w:val="-10"/>
                <w:sz w:val="24"/>
              </w:rPr>
              <w:t>E</w:t>
            </w:r>
          </w:p>
        </w:tc>
        <w:tc>
          <w:tcPr>
            <w:tcW w:w="1178" w:type="dxa"/>
          </w:tcPr>
          <w:p w:rsidR="00487D64" w:rsidRDefault="006F0D93">
            <w:pPr>
              <w:pStyle w:val="TableParagraph"/>
              <w:spacing w:before="157" w:line="276" w:lineRule="auto"/>
              <w:ind w:left="119" w:right="252"/>
              <w:rPr>
                <w:b/>
                <w:sz w:val="24"/>
              </w:rPr>
            </w:pPr>
            <w:r>
              <w:rPr>
                <w:b/>
                <w:spacing w:val="-2"/>
                <w:sz w:val="24"/>
              </w:rPr>
              <w:t xml:space="preserve">IA_MA </w:t>
            </w:r>
            <w:r>
              <w:rPr>
                <w:b/>
                <w:spacing w:val="-10"/>
                <w:sz w:val="24"/>
              </w:rPr>
              <w:t>E</w:t>
            </w:r>
          </w:p>
        </w:tc>
      </w:tr>
      <w:tr w:rsidR="00487D64">
        <w:trPr>
          <w:trHeight w:val="633"/>
        </w:trPr>
        <w:tc>
          <w:tcPr>
            <w:tcW w:w="651" w:type="dxa"/>
          </w:tcPr>
          <w:p w:rsidR="00487D64" w:rsidRDefault="006F0D93">
            <w:pPr>
              <w:pStyle w:val="TableParagraph"/>
              <w:spacing w:line="275" w:lineRule="exact"/>
              <w:ind w:left="119"/>
              <w:rPr>
                <w:sz w:val="24"/>
              </w:rPr>
            </w:pPr>
            <w:r>
              <w:rPr>
                <w:spacing w:val="-5"/>
                <w:sz w:val="24"/>
              </w:rPr>
              <w:t>SC</w:t>
            </w:r>
          </w:p>
          <w:p w:rsidR="00487D64" w:rsidRDefault="006F0D93">
            <w:pPr>
              <w:pStyle w:val="TableParagraph"/>
              <w:spacing w:before="41"/>
              <w:ind w:left="119"/>
              <w:rPr>
                <w:sz w:val="24"/>
              </w:rPr>
            </w:pPr>
            <w:r>
              <w:rPr>
                <w:spacing w:val="-10"/>
                <w:sz w:val="24"/>
              </w:rPr>
              <w:t>1</w:t>
            </w:r>
          </w:p>
        </w:tc>
        <w:tc>
          <w:tcPr>
            <w:tcW w:w="1224" w:type="dxa"/>
          </w:tcPr>
          <w:p w:rsidR="00487D64" w:rsidRDefault="006F0D93">
            <w:pPr>
              <w:pStyle w:val="TableParagraph"/>
              <w:spacing w:before="157"/>
              <w:ind w:left="119"/>
              <w:rPr>
                <w:sz w:val="24"/>
              </w:rPr>
            </w:pPr>
            <w:r>
              <w:rPr>
                <w:spacing w:val="-2"/>
                <w:sz w:val="24"/>
              </w:rPr>
              <w:t>0.324</w:t>
            </w:r>
          </w:p>
        </w:tc>
        <w:tc>
          <w:tcPr>
            <w:tcW w:w="1563" w:type="dxa"/>
          </w:tcPr>
          <w:p w:rsidR="00487D64" w:rsidRDefault="006F0D93">
            <w:pPr>
              <w:pStyle w:val="TableParagraph"/>
              <w:spacing w:before="157"/>
              <w:ind w:left="119"/>
              <w:rPr>
                <w:sz w:val="24"/>
              </w:rPr>
            </w:pPr>
            <w:r>
              <w:rPr>
                <w:spacing w:val="-2"/>
                <w:sz w:val="24"/>
              </w:rPr>
              <w:t>0.870</w:t>
            </w:r>
          </w:p>
        </w:tc>
        <w:tc>
          <w:tcPr>
            <w:tcW w:w="1428" w:type="dxa"/>
          </w:tcPr>
          <w:p w:rsidR="00487D64" w:rsidRDefault="006F0D93">
            <w:pPr>
              <w:pStyle w:val="TableParagraph"/>
              <w:spacing w:before="157"/>
              <w:ind w:left="119"/>
              <w:rPr>
                <w:sz w:val="24"/>
              </w:rPr>
            </w:pPr>
            <w:r>
              <w:rPr>
                <w:spacing w:val="-2"/>
                <w:sz w:val="24"/>
              </w:rPr>
              <w:t>0.613</w:t>
            </w:r>
          </w:p>
        </w:tc>
        <w:tc>
          <w:tcPr>
            <w:tcW w:w="1431" w:type="dxa"/>
          </w:tcPr>
          <w:p w:rsidR="00487D64" w:rsidRDefault="006F0D93">
            <w:pPr>
              <w:pStyle w:val="TableParagraph"/>
              <w:spacing w:before="157"/>
              <w:ind w:left="119"/>
              <w:rPr>
                <w:sz w:val="24"/>
              </w:rPr>
            </w:pPr>
            <w:r>
              <w:rPr>
                <w:spacing w:val="-2"/>
                <w:sz w:val="24"/>
              </w:rPr>
              <w:t>0.889</w:t>
            </w:r>
          </w:p>
        </w:tc>
        <w:tc>
          <w:tcPr>
            <w:tcW w:w="1296" w:type="dxa"/>
          </w:tcPr>
          <w:p w:rsidR="00487D64" w:rsidRDefault="006F0D93">
            <w:pPr>
              <w:pStyle w:val="TableParagraph"/>
              <w:spacing w:before="157"/>
              <w:ind w:left="119"/>
              <w:rPr>
                <w:sz w:val="24"/>
              </w:rPr>
            </w:pPr>
            <w:r>
              <w:rPr>
                <w:spacing w:val="-2"/>
                <w:sz w:val="24"/>
              </w:rPr>
              <w:t>0.606</w:t>
            </w:r>
          </w:p>
        </w:tc>
        <w:tc>
          <w:tcPr>
            <w:tcW w:w="1313" w:type="dxa"/>
          </w:tcPr>
          <w:p w:rsidR="00487D64" w:rsidRDefault="006F0D93">
            <w:pPr>
              <w:pStyle w:val="TableParagraph"/>
              <w:spacing w:before="157"/>
              <w:ind w:left="119"/>
              <w:rPr>
                <w:sz w:val="24"/>
              </w:rPr>
            </w:pPr>
            <w:r>
              <w:rPr>
                <w:spacing w:val="-2"/>
                <w:sz w:val="24"/>
              </w:rPr>
              <w:t>1.059</w:t>
            </w:r>
          </w:p>
        </w:tc>
        <w:tc>
          <w:tcPr>
            <w:tcW w:w="1178" w:type="dxa"/>
          </w:tcPr>
          <w:p w:rsidR="00487D64" w:rsidRDefault="006F0D93">
            <w:pPr>
              <w:pStyle w:val="TableParagraph"/>
              <w:spacing w:before="157"/>
              <w:ind w:left="119"/>
              <w:rPr>
                <w:sz w:val="24"/>
              </w:rPr>
            </w:pPr>
            <w:r>
              <w:rPr>
                <w:spacing w:val="-2"/>
                <w:sz w:val="24"/>
              </w:rPr>
              <w:t>0.841</w:t>
            </w:r>
          </w:p>
        </w:tc>
      </w:tr>
      <w:tr w:rsidR="00487D64">
        <w:trPr>
          <w:trHeight w:val="635"/>
        </w:trPr>
        <w:tc>
          <w:tcPr>
            <w:tcW w:w="651" w:type="dxa"/>
          </w:tcPr>
          <w:p w:rsidR="00487D64" w:rsidRDefault="006F0D93">
            <w:pPr>
              <w:pStyle w:val="TableParagraph"/>
              <w:spacing w:line="275" w:lineRule="exact"/>
              <w:ind w:left="119"/>
              <w:rPr>
                <w:sz w:val="24"/>
              </w:rPr>
            </w:pPr>
            <w:r>
              <w:rPr>
                <w:spacing w:val="-5"/>
                <w:sz w:val="24"/>
              </w:rPr>
              <w:t>SC</w:t>
            </w:r>
          </w:p>
          <w:p w:rsidR="00487D64" w:rsidRDefault="006F0D93">
            <w:pPr>
              <w:pStyle w:val="TableParagraph"/>
              <w:spacing w:before="43"/>
              <w:ind w:left="119"/>
              <w:rPr>
                <w:sz w:val="24"/>
              </w:rPr>
            </w:pPr>
            <w:r>
              <w:rPr>
                <w:spacing w:val="-10"/>
                <w:sz w:val="24"/>
              </w:rPr>
              <w:t>2</w:t>
            </w:r>
          </w:p>
        </w:tc>
        <w:tc>
          <w:tcPr>
            <w:tcW w:w="1224" w:type="dxa"/>
          </w:tcPr>
          <w:p w:rsidR="00487D64" w:rsidRDefault="006F0D93">
            <w:pPr>
              <w:pStyle w:val="TableParagraph"/>
              <w:spacing w:before="159"/>
              <w:ind w:left="119"/>
              <w:rPr>
                <w:sz w:val="24"/>
              </w:rPr>
            </w:pPr>
            <w:r>
              <w:rPr>
                <w:spacing w:val="-2"/>
                <w:sz w:val="24"/>
              </w:rPr>
              <w:t>0.386</w:t>
            </w:r>
          </w:p>
        </w:tc>
        <w:tc>
          <w:tcPr>
            <w:tcW w:w="1563" w:type="dxa"/>
          </w:tcPr>
          <w:p w:rsidR="00487D64" w:rsidRDefault="006F0D93">
            <w:pPr>
              <w:pStyle w:val="TableParagraph"/>
              <w:spacing w:before="159"/>
              <w:ind w:left="119"/>
              <w:rPr>
                <w:sz w:val="24"/>
              </w:rPr>
            </w:pPr>
            <w:r>
              <w:rPr>
                <w:spacing w:val="-2"/>
                <w:sz w:val="24"/>
              </w:rPr>
              <w:t>0.778</w:t>
            </w:r>
          </w:p>
        </w:tc>
        <w:tc>
          <w:tcPr>
            <w:tcW w:w="1428" w:type="dxa"/>
          </w:tcPr>
          <w:p w:rsidR="00487D64" w:rsidRDefault="006F0D93">
            <w:pPr>
              <w:pStyle w:val="TableParagraph"/>
              <w:spacing w:before="159"/>
              <w:ind w:left="119"/>
              <w:rPr>
                <w:sz w:val="24"/>
              </w:rPr>
            </w:pPr>
            <w:r>
              <w:rPr>
                <w:spacing w:val="-2"/>
                <w:sz w:val="24"/>
              </w:rPr>
              <w:t>0.546</w:t>
            </w:r>
          </w:p>
        </w:tc>
        <w:tc>
          <w:tcPr>
            <w:tcW w:w="1431" w:type="dxa"/>
          </w:tcPr>
          <w:p w:rsidR="00487D64" w:rsidRDefault="006F0D93">
            <w:pPr>
              <w:pStyle w:val="TableParagraph"/>
              <w:spacing w:before="159"/>
              <w:ind w:left="119"/>
              <w:rPr>
                <w:sz w:val="24"/>
              </w:rPr>
            </w:pPr>
            <w:r>
              <w:rPr>
                <w:spacing w:val="-2"/>
                <w:sz w:val="24"/>
              </w:rPr>
              <w:t>0.796</w:t>
            </w:r>
          </w:p>
        </w:tc>
        <w:tc>
          <w:tcPr>
            <w:tcW w:w="1296" w:type="dxa"/>
          </w:tcPr>
          <w:p w:rsidR="00487D64" w:rsidRDefault="006F0D93">
            <w:pPr>
              <w:pStyle w:val="TableParagraph"/>
              <w:spacing w:before="159"/>
              <w:ind w:left="119"/>
              <w:rPr>
                <w:sz w:val="24"/>
              </w:rPr>
            </w:pPr>
            <w:r>
              <w:rPr>
                <w:spacing w:val="-2"/>
                <w:sz w:val="24"/>
              </w:rPr>
              <w:t>0.542</w:t>
            </w:r>
          </w:p>
        </w:tc>
        <w:tc>
          <w:tcPr>
            <w:tcW w:w="1313" w:type="dxa"/>
          </w:tcPr>
          <w:p w:rsidR="00487D64" w:rsidRDefault="006F0D93">
            <w:pPr>
              <w:pStyle w:val="TableParagraph"/>
              <w:spacing w:before="159"/>
              <w:ind w:left="119"/>
              <w:rPr>
                <w:sz w:val="24"/>
              </w:rPr>
            </w:pPr>
            <w:r>
              <w:rPr>
                <w:spacing w:val="-2"/>
                <w:sz w:val="24"/>
              </w:rPr>
              <w:t>0.993</w:t>
            </w:r>
          </w:p>
        </w:tc>
        <w:tc>
          <w:tcPr>
            <w:tcW w:w="1178" w:type="dxa"/>
          </w:tcPr>
          <w:p w:rsidR="00487D64" w:rsidRDefault="006F0D93">
            <w:pPr>
              <w:pStyle w:val="TableParagraph"/>
              <w:spacing w:before="159"/>
              <w:ind w:left="119"/>
              <w:rPr>
                <w:sz w:val="24"/>
              </w:rPr>
            </w:pPr>
            <w:r>
              <w:rPr>
                <w:spacing w:val="-2"/>
                <w:sz w:val="24"/>
              </w:rPr>
              <w:t>0.804</w:t>
            </w:r>
          </w:p>
        </w:tc>
      </w:tr>
      <w:tr w:rsidR="00487D64">
        <w:trPr>
          <w:trHeight w:val="635"/>
        </w:trPr>
        <w:tc>
          <w:tcPr>
            <w:tcW w:w="651" w:type="dxa"/>
          </w:tcPr>
          <w:p w:rsidR="00487D64" w:rsidRDefault="006F0D93">
            <w:pPr>
              <w:pStyle w:val="TableParagraph"/>
              <w:spacing w:line="275" w:lineRule="exact"/>
              <w:ind w:left="119"/>
              <w:rPr>
                <w:sz w:val="24"/>
              </w:rPr>
            </w:pPr>
            <w:r>
              <w:rPr>
                <w:spacing w:val="-5"/>
                <w:sz w:val="24"/>
              </w:rPr>
              <w:t>SC</w:t>
            </w:r>
          </w:p>
          <w:p w:rsidR="00487D64" w:rsidRDefault="006F0D93">
            <w:pPr>
              <w:pStyle w:val="TableParagraph"/>
              <w:spacing w:before="41"/>
              <w:ind w:left="119"/>
              <w:rPr>
                <w:sz w:val="24"/>
              </w:rPr>
            </w:pPr>
            <w:r>
              <w:rPr>
                <w:spacing w:val="-10"/>
                <w:sz w:val="24"/>
              </w:rPr>
              <w:t>3</w:t>
            </w:r>
          </w:p>
        </w:tc>
        <w:tc>
          <w:tcPr>
            <w:tcW w:w="1224" w:type="dxa"/>
          </w:tcPr>
          <w:p w:rsidR="00487D64" w:rsidRDefault="006F0D93">
            <w:pPr>
              <w:pStyle w:val="TableParagraph"/>
              <w:spacing w:before="157"/>
              <w:ind w:left="119"/>
              <w:rPr>
                <w:sz w:val="24"/>
              </w:rPr>
            </w:pPr>
            <w:r>
              <w:rPr>
                <w:spacing w:val="-2"/>
                <w:sz w:val="24"/>
              </w:rPr>
              <w:t>0.565</w:t>
            </w:r>
          </w:p>
        </w:tc>
        <w:tc>
          <w:tcPr>
            <w:tcW w:w="1563" w:type="dxa"/>
          </w:tcPr>
          <w:p w:rsidR="00487D64" w:rsidRDefault="006F0D93">
            <w:pPr>
              <w:pStyle w:val="TableParagraph"/>
              <w:spacing w:before="157"/>
              <w:ind w:left="119"/>
              <w:rPr>
                <w:sz w:val="24"/>
              </w:rPr>
            </w:pPr>
            <w:r>
              <w:rPr>
                <w:spacing w:val="-2"/>
                <w:sz w:val="24"/>
              </w:rPr>
              <w:t>0.571</w:t>
            </w:r>
          </w:p>
        </w:tc>
        <w:tc>
          <w:tcPr>
            <w:tcW w:w="1428" w:type="dxa"/>
          </w:tcPr>
          <w:p w:rsidR="00487D64" w:rsidRDefault="006F0D93">
            <w:pPr>
              <w:pStyle w:val="TableParagraph"/>
              <w:spacing w:before="157"/>
              <w:ind w:left="119"/>
              <w:rPr>
                <w:sz w:val="24"/>
              </w:rPr>
            </w:pPr>
            <w:r>
              <w:rPr>
                <w:spacing w:val="-2"/>
                <w:sz w:val="24"/>
              </w:rPr>
              <w:t>0.408</w:t>
            </w:r>
          </w:p>
        </w:tc>
        <w:tc>
          <w:tcPr>
            <w:tcW w:w="1431" w:type="dxa"/>
          </w:tcPr>
          <w:p w:rsidR="00487D64" w:rsidRDefault="006F0D93">
            <w:pPr>
              <w:pStyle w:val="TableParagraph"/>
              <w:spacing w:before="157"/>
              <w:ind w:left="119"/>
              <w:rPr>
                <w:sz w:val="24"/>
              </w:rPr>
            </w:pPr>
            <w:r>
              <w:rPr>
                <w:spacing w:val="-2"/>
                <w:sz w:val="24"/>
              </w:rPr>
              <w:t>0.575</w:t>
            </w:r>
          </w:p>
        </w:tc>
        <w:tc>
          <w:tcPr>
            <w:tcW w:w="1296" w:type="dxa"/>
          </w:tcPr>
          <w:p w:rsidR="00487D64" w:rsidRDefault="006F0D93">
            <w:pPr>
              <w:pStyle w:val="TableParagraph"/>
              <w:spacing w:before="157"/>
              <w:ind w:left="119"/>
              <w:rPr>
                <w:sz w:val="24"/>
              </w:rPr>
            </w:pPr>
            <w:r>
              <w:rPr>
                <w:spacing w:val="-2"/>
                <w:sz w:val="24"/>
              </w:rPr>
              <w:t>0.414</w:t>
            </w:r>
          </w:p>
        </w:tc>
        <w:tc>
          <w:tcPr>
            <w:tcW w:w="1313" w:type="dxa"/>
          </w:tcPr>
          <w:p w:rsidR="00487D64" w:rsidRDefault="006F0D93">
            <w:pPr>
              <w:pStyle w:val="TableParagraph"/>
              <w:spacing w:before="157"/>
              <w:ind w:left="119"/>
              <w:rPr>
                <w:sz w:val="24"/>
              </w:rPr>
            </w:pPr>
            <w:r>
              <w:rPr>
                <w:spacing w:val="-2"/>
                <w:sz w:val="24"/>
              </w:rPr>
              <w:t>0.865</w:t>
            </w:r>
          </w:p>
        </w:tc>
        <w:tc>
          <w:tcPr>
            <w:tcW w:w="1178" w:type="dxa"/>
          </w:tcPr>
          <w:p w:rsidR="00487D64" w:rsidRDefault="006F0D93">
            <w:pPr>
              <w:pStyle w:val="TableParagraph"/>
              <w:spacing w:before="157"/>
              <w:ind w:left="119"/>
              <w:rPr>
                <w:sz w:val="24"/>
              </w:rPr>
            </w:pPr>
            <w:r>
              <w:rPr>
                <w:spacing w:val="-2"/>
                <w:sz w:val="24"/>
              </w:rPr>
              <w:t>0.705</w:t>
            </w:r>
          </w:p>
        </w:tc>
      </w:tr>
      <w:tr w:rsidR="00487D64">
        <w:trPr>
          <w:trHeight w:val="633"/>
        </w:trPr>
        <w:tc>
          <w:tcPr>
            <w:tcW w:w="651" w:type="dxa"/>
          </w:tcPr>
          <w:p w:rsidR="00487D64" w:rsidRDefault="006F0D93">
            <w:pPr>
              <w:pStyle w:val="TableParagraph"/>
              <w:spacing w:line="275" w:lineRule="exact"/>
              <w:ind w:left="119"/>
              <w:rPr>
                <w:sz w:val="24"/>
              </w:rPr>
            </w:pPr>
            <w:r>
              <w:rPr>
                <w:spacing w:val="-5"/>
                <w:sz w:val="24"/>
              </w:rPr>
              <w:t>SC</w:t>
            </w:r>
          </w:p>
          <w:p w:rsidR="00487D64" w:rsidRDefault="006F0D93">
            <w:pPr>
              <w:pStyle w:val="TableParagraph"/>
              <w:spacing w:before="41"/>
              <w:ind w:left="119"/>
              <w:rPr>
                <w:sz w:val="24"/>
              </w:rPr>
            </w:pPr>
            <w:r>
              <w:rPr>
                <w:spacing w:val="-10"/>
                <w:sz w:val="24"/>
              </w:rPr>
              <w:t>4</w:t>
            </w:r>
          </w:p>
        </w:tc>
        <w:tc>
          <w:tcPr>
            <w:tcW w:w="1224" w:type="dxa"/>
          </w:tcPr>
          <w:p w:rsidR="00487D64" w:rsidRDefault="006F0D93">
            <w:pPr>
              <w:pStyle w:val="TableParagraph"/>
              <w:spacing w:before="157"/>
              <w:ind w:left="119"/>
              <w:rPr>
                <w:sz w:val="24"/>
              </w:rPr>
            </w:pPr>
            <w:r>
              <w:rPr>
                <w:spacing w:val="-2"/>
                <w:sz w:val="24"/>
              </w:rPr>
              <w:t>0.199</w:t>
            </w:r>
          </w:p>
        </w:tc>
        <w:tc>
          <w:tcPr>
            <w:tcW w:w="1563" w:type="dxa"/>
          </w:tcPr>
          <w:p w:rsidR="00487D64" w:rsidRDefault="006F0D93">
            <w:pPr>
              <w:pStyle w:val="TableParagraph"/>
              <w:spacing w:before="157"/>
              <w:ind w:left="119"/>
              <w:rPr>
                <w:sz w:val="24"/>
              </w:rPr>
            </w:pPr>
            <w:r>
              <w:rPr>
                <w:spacing w:val="-2"/>
                <w:sz w:val="24"/>
              </w:rPr>
              <w:t>1.117</w:t>
            </w:r>
          </w:p>
        </w:tc>
        <w:tc>
          <w:tcPr>
            <w:tcW w:w="1428" w:type="dxa"/>
          </w:tcPr>
          <w:p w:rsidR="00487D64" w:rsidRDefault="006F0D93">
            <w:pPr>
              <w:pStyle w:val="TableParagraph"/>
              <w:spacing w:before="157"/>
              <w:ind w:left="119"/>
              <w:rPr>
                <w:sz w:val="24"/>
              </w:rPr>
            </w:pPr>
            <w:r>
              <w:rPr>
                <w:spacing w:val="-2"/>
                <w:sz w:val="24"/>
              </w:rPr>
              <w:t>0.791</w:t>
            </w:r>
          </w:p>
        </w:tc>
        <w:tc>
          <w:tcPr>
            <w:tcW w:w="1431" w:type="dxa"/>
          </w:tcPr>
          <w:p w:rsidR="00487D64" w:rsidRDefault="006F0D93">
            <w:pPr>
              <w:pStyle w:val="TableParagraph"/>
              <w:spacing w:before="157"/>
              <w:ind w:left="119"/>
              <w:rPr>
                <w:sz w:val="24"/>
              </w:rPr>
            </w:pPr>
            <w:r>
              <w:rPr>
                <w:spacing w:val="-2"/>
                <w:sz w:val="24"/>
              </w:rPr>
              <w:t>1.135</w:t>
            </w:r>
          </w:p>
        </w:tc>
        <w:tc>
          <w:tcPr>
            <w:tcW w:w="1296" w:type="dxa"/>
          </w:tcPr>
          <w:p w:rsidR="00487D64" w:rsidRDefault="006F0D93">
            <w:pPr>
              <w:pStyle w:val="TableParagraph"/>
              <w:spacing w:before="157"/>
              <w:ind w:left="119"/>
              <w:rPr>
                <w:sz w:val="24"/>
              </w:rPr>
            </w:pPr>
            <w:r>
              <w:rPr>
                <w:spacing w:val="-2"/>
                <w:sz w:val="24"/>
              </w:rPr>
              <w:t>0.787</w:t>
            </w:r>
          </w:p>
        </w:tc>
        <w:tc>
          <w:tcPr>
            <w:tcW w:w="1313" w:type="dxa"/>
          </w:tcPr>
          <w:p w:rsidR="00487D64" w:rsidRDefault="006F0D93">
            <w:pPr>
              <w:pStyle w:val="TableParagraph"/>
              <w:spacing w:before="157"/>
              <w:ind w:left="119"/>
              <w:rPr>
                <w:sz w:val="24"/>
              </w:rPr>
            </w:pPr>
            <w:r>
              <w:rPr>
                <w:spacing w:val="-2"/>
                <w:sz w:val="24"/>
              </w:rPr>
              <w:t>1.249</w:t>
            </w:r>
          </w:p>
        </w:tc>
        <w:tc>
          <w:tcPr>
            <w:tcW w:w="1178" w:type="dxa"/>
          </w:tcPr>
          <w:p w:rsidR="00487D64" w:rsidRDefault="006F0D93">
            <w:pPr>
              <w:pStyle w:val="TableParagraph"/>
              <w:spacing w:before="157"/>
              <w:ind w:left="119"/>
              <w:rPr>
                <w:sz w:val="24"/>
              </w:rPr>
            </w:pPr>
            <w:r>
              <w:rPr>
                <w:spacing w:val="-2"/>
                <w:sz w:val="24"/>
              </w:rPr>
              <w:t>0.965</w:t>
            </w:r>
          </w:p>
        </w:tc>
      </w:tr>
      <w:tr w:rsidR="00487D64">
        <w:trPr>
          <w:trHeight w:val="635"/>
        </w:trPr>
        <w:tc>
          <w:tcPr>
            <w:tcW w:w="651" w:type="dxa"/>
          </w:tcPr>
          <w:p w:rsidR="00487D64" w:rsidRDefault="006F0D93">
            <w:pPr>
              <w:pStyle w:val="TableParagraph"/>
              <w:spacing w:line="275" w:lineRule="exact"/>
              <w:ind w:left="119"/>
              <w:rPr>
                <w:sz w:val="24"/>
              </w:rPr>
            </w:pPr>
            <w:r>
              <w:rPr>
                <w:spacing w:val="-5"/>
                <w:sz w:val="24"/>
              </w:rPr>
              <w:t>SC</w:t>
            </w:r>
          </w:p>
          <w:p w:rsidR="00487D64" w:rsidRDefault="006F0D93">
            <w:pPr>
              <w:pStyle w:val="TableParagraph"/>
              <w:spacing w:before="43"/>
              <w:ind w:left="119"/>
              <w:rPr>
                <w:sz w:val="24"/>
              </w:rPr>
            </w:pPr>
            <w:r>
              <w:rPr>
                <w:spacing w:val="-10"/>
                <w:sz w:val="24"/>
              </w:rPr>
              <w:t>5</w:t>
            </w:r>
          </w:p>
        </w:tc>
        <w:tc>
          <w:tcPr>
            <w:tcW w:w="1224" w:type="dxa"/>
          </w:tcPr>
          <w:p w:rsidR="00487D64" w:rsidRDefault="006F0D93">
            <w:pPr>
              <w:pStyle w:val="TableParagraph"/>
              <w:spacing w:before="157"/>
              <w:ind w:left="119"/>
              <w:rPr>
                <w:sz w:val="24"/>
              </w:rPr>
            </w:pPr>
            <w:r>
              <w:rPr>
                <w:spacing w:val="-2"/>
                <w:sz w:val="24"/>
              </w:rPr>
              <w:t>0.337</w:t>
            </w:r>
          </w:p>
        </w:tc>
        <w:tc>
          <w:tcPr>
            <w:tcW w:w="1563" w:type="dxa"/>
          </w:tcPr>
          <w:p w:rsidR="00487D64" w:rsidRDefault="006F0D93">
            <w:pPr>
              <w:pStyle w:val="TableParagraph"/>
              <w:spacing w:before="157"/>
              <w:ind w:left="119"/>
              <w:rPr>
                <w:sz w:val="24"/>
              </w:rPr>
            </w:pPr>
            <w:r>
              <w:rPr>
                <w:spacing w:val="-2"/>
                <w:sz w:val="24"/>
              </w:rPr>
              <w:t>0.815</w:t>
            </w:r>
          </w:p>
        </w:tc>
        <w:tc>
          <w:tcPr>
            <w:tcW w:w="1428" w:type="dxa"/>
          </w:tcPr>
          <w:p w:rsidR="00487D64" w:rsidRDefault="006F0D93">
            <w:pPr>
              <w:pStyle w:val="TableParagraph"/>
              <w:spacing w:before="157"/>
              <w:ind w:left="119"/>
              <w:rPr>
                <w:sz w:val="24"/>
              </w:rPr>
            </w:pPr>
            <w:r>
              <w:rPr>
                <w:spacing w:val="-2"/>
                <w:sz w:val="24"/>
              </w:rPr>
              <w:t>0.595</w:t>
            </w:r>
          </w:p>
        </w:tc>
        <w:tc>
          <w:tcPr>
            <w:tcW w:w="1431" w:type="dxa"/>
          </w:tcPr>
          <w:p w:rsidR="00487D64" w:rsidRDefault="006F0D93">
            <w:pPr>
              <w:pStyle w:val="TableParagraph"/>
              <w:spacing w:before="157"/>
              <w:ind w:left="119"/>
              <w:rPr>
                <w:sz w:val="24"/>
              </w:rPr>
            </w:pPr>
            <w:r>
              <w:rPr>
                <w:spacing w:val="-2"/>
                <w:sz w:val="24"/>
              </w:rPr>
              <w:t>0.836</w:t>
            </w:r>
          </w:p>
        </w:tc>
        <w:tc>
          <w:tcPr>
            <w:tcW w:w="1296" w:type="dxa"/>
          </w:tcPr>
          <w:p w:rsidR="00487D64" w:rsidRDefault="006F0D93">
            <w:pPr>
              <w:pStyle w:val="TableParagraph"/>
              <w:spacing w:before="157"/>
              <w:ind w:left="119"/>
              <w:rPr>
                <w:sz w:val="24"/>
              </w:rPr>
            </w:pPr>
            <w:r>
              <w:rPr>
                <w:spacing w:val="-2"/>
                <w:sz w:val="24"/>
              </w:rPr>
              <w:t>0.585</w:t>
            </w:r>
          </w:p>
        </w:tc>
        <w:tc>
          <w:tcPr>
            <w:tcW w:w="1313" w:type="dxa"/>
          </w:tcPr>
          <w:p w:rsidR="00487D64" w:rsidRDefault="006F0D93">
            <w:pPr>
              <w:pStyle w:val="TableParagraph"/>
              <w:spacing w:before="157"/>
              <w:ind w:left="119"/>
              <w:rPr>
                <w:sz w:val="24"/>
              </w:rPr>
            </w:pPr>
            <w:r>
              <w:rPr>
                <w:spacing w:val="-2"/>
                <w:sz w:val="24"/>
              </w:rPr>
              <w:t>1.001</w:t>
            </w:r>
          </w:p>
        </w:tc>
        <w:tc>
          <w:tcPr>
            <w:tcW w:w="1178" w:type="dxa"/>
          </w:tcPr>
          <w:p w:rsidR="00487D64" w:rsidRDefault="006F0D93">
            <w:pPr>
              <w:pStyle w:val="TableParagraph"/>
              <w:spacing w:before="157"/>
              <w:ind w:left="119"/>
              <w:rPr>
                <w:sz w:val="24"/>
              </w:rPr>
            </w:pPr>
            <w:r>
              <w:rPr>
                <w:spacing w:val="-2"/>
                <w:sz w:val="24"/>
              </w:rPr>
              <w:t>0.824</w:t>
            </w:r>
          </w:p>
        </w:tc>
      </w:tr>
    </w:tbl>
    <w:p w:rsidR="00487D64" w:rsidRDefault="006F0D93">
      <w:pPr>
        <w:spacing w:before="1"/>
        <w:ind w:left="70" w:right="355"/>
        <w:jc w:val="center"/>
        <w:rPr>
          <w:b/>
          <w:sz w:val="24"/>
        </w:rPr>
      </w:pPr>
      <w:r>
        <w:rPr>
          <w:b/>
          <w:sz w:val="24"/>
        </w:rPr>
        <w:t>Source:</w:t>
      </w:r>
      <w:r>
        <w:rPr>
          <w:b/>
          <w:spacing w:val="-3"/>
          <w:sz w:val="24"/>
        </w:rPr>
        <w:t xml:space="preserve"> </w:t>
      </w:r>
      <w:r>
        <w:rPr>
          <w:b/>
          <w:sz w:val="24"/>
        </w:rPr>
        <w:t>Data</w:t>
      </w:r>
      <w:r>
        <w:rPr>
          <w:b/>
          <w:spacing w:val="-2"/>
          <w:sz w:val="24"/>
        </w:rPr>
        <w:t xml:space="preserve"> </w:t>
      </w:r>
      <w:r>
        <w:rPr>
          <w:b/>
          <w:sz w:val="24"/>
        </w:rPr>
        <w:t>analysis</w:t>
      </w:r>
      <w:r>
        <w:rPr>
          <w:b/>
          <w:spacing w:val="-2"/>
          <w:sz w:val="24"/>
        </w:rPr>
        <w:t xml:space="preserve"> (2025)</w:t>
      </w:r>
    </w:p>
    <w:p w:rsidR="00487D64" w:rsidRDefault="00487D64">
      <w:pPr>
        <w:pStyle w:val="BodyText"/>
        <w:spacing w:before="82"/>
        <w:rPr>
          <w:b/>
          <w:sz w:val="24"/>
        </w:rPr>
      </w:pPr>
    </w:p>
    <w:p w:rsidR="00487D64" w:rsidRDefault="006F0D93">
      <w:pPr>
        <w:spacing w:before="1" w:line="276" w:lineRule="auto"/>
        <w:ind w:left="57" w:right="340"/>
        <w:jc w:val="both"/>
        <w:rPr>
          <w:sz w:val="24"/>
        </w:rPr>
      </w:pPr>
      <w:r>
        <w:rPr>
          <w:sz w:val="24"/>
        </w:rPr>
        <w:t>Q² was assessed using the PLSpredict/CVPAT approach, which showed positive Q²predict values for all Sustainable</w:t>
      </w:r>
      <w:r>
        <w:rPr>
          <w:spacing w:val="-6"/>
          <w:sz w:val="24"/>
        </w:rPr>
        <w:t xml:space="preserve"> </w:t>
      </w:r>
      <w:r>
        <w:rPr>
          <w:sz w:val="24"/>
        </w:rPr>
        <w:t>Competitiveness</w:t>
      </w:r>
      <w:r>
        <w:rPr>
          <w:spacing w:val="-5"/>
          <w:sz w:val="24"/>
        </w:rPr>
        <w:t xml:space="preserve"> </w:t>
      </w:r>
      <w:r>
        <w:rPr>
          <w:sz w:val="24"/>
        </w:rPr>
        <w:t>indicators</w:t>
      </w:r>
      <w:r>
        <w:rPr>
          <w:spacing w:val="-6"/>
          <w:sz w:val="24"/>
        </w:rPr>
        <w:t xml:space="preserve"> </w:t>
      </w:r>
      <w:r>
        <w:rPr>
          <w:sz w:val="24"/>
        </w:rPr>
        <w:t>(SC1–SC5),</w:t>
      </w:r>
      <w:r>
        <w:rPr>
          <w:spacing w:val="-7"/>
          <w:sz w:val="24"/>
        </w:rPr>
        <w:t xml:space="preserve"> </w:t>
      </w:r>
      <w:r>
        <w:rPr>
          <w:sz w:val="24"/>
        </w:rPr>
        <w:t>ranging</w:t>
      </w:r>
      <w:r>
        <w:rPr>
          <w:spacing w:val="-5"/>
          <w:sz w:val="24"/>
        </w:rPr>
        <w:t xml:space="preserve"> </w:t>
      </w:r>
      <w:r>
        <w:rPr>
          <w:sz w:val="24"/>
        </w:rPr>
        <w:t>from</w:t>
      </w:r>
      <w:r>
        <w:rPr>
          <w:spacing w:val="-5"/>
          <w:sz w:val="24"/>
        </w:rPr>
        <w:t xml:space="preserve"> </w:t>
      </w:r>
      <w:r>
        <w:rPr>
          <w:sz w:val="24"/>
        </w:rPr>
        <w:t>0.199</w:t>
      </w:r>
      <w:r>
        <w:rPr>
          <w:spacing w:val="-6"/>
          <w:sz w:val="24"/>
        </w:rPr>
        <w:t xml:space="preserve"> </w:t>
      </w:r>
      <w:r>
        <w:rPr>
          <w:sz w:val="24"/>
        </w:rPr>
        <w:t>to</w:t>
      </w:r>
      <w:r>
        <w:rPr>
          <w:spacing w:val="-8"/>
          <w:sz w:val="24"/>
        </w:rPr>
        <w:t xml:space="preserve"> </w:t>
      </w:r>
      <w:r>
        <w:rPr>
          <w:sz w:val="24"/>
        </w:rPr>
        <w:t>0.565,</w:t>
      </w:r>
      <w:r>
        <w:rPr>
          <w:spacing w:val="-6"/>
          <w:sz w:val="24"/>
        </w:rPr>
        <w:t xml:space="preserve"> </w:t>
      </w:r>
      <w:r>
        <w:rPr>
          <w:sz w:val="24"/>
        </w:rPr>
        <w:t>while</w:t>
      </w:r>
      <w:r>
        <w:rPr>
          <w:spacing w:val="-6"/>
          <w:sz w:val="24"/>
        </w:rPr>
        <w:t xml:space="preserve"> </w:t>
      </w:r>
      <w:r>
        <w:rPr>
          <w:sz w:val="24"/>
        </w:rPr>
        <w:t>RMSE</w:t>
      </w:r>
      <w:r>
        <w:rPr>
          <w:spacing w:val="-6"/>
          <w:sz w:val="24"/>
        </w:rPr>
        <w:t xml:space="preserve"> </w:t>
      </w:r>
      <w:r>
        <w:rPr>
          <w:sz w:val="24"/>
        </w:rPr>
        <w:t>and</w:t>
      </w:r>
      <w:r>
        <w:rPr>
          <w:spacing w:val="-8"/>
          <w:sz w:val="24"/>
        </w:rPr>
        <w:t xml:space="preserve"> </w:t>
      </w:r>
      <w:r>
        <w:rPr>
          <w:sz w:val="24"/>
        </w:rPr>
        <w:t xml:space="preserve">MAE comparisons showed that the PLS-SEM model performs similarly to or better than the linear model and exceeds the idealistic benchmark, thereby demonstrating robust predictive accuracy and practical </w:t>
      </w:r>
      <w:r>
        <w:rPr>
          <w:sz w:val="24"/>
        </w:rPr>
        <w:t>utility (Hair et al., 2019).</w:t>
      </w:r>
    </w:p>
    <w:p w:rsidR="00487D64" w:rsidRDefault="00487D64">
      <w:pPr>
        <w:pStyle w:val="BodyText"/>
        <w:spacing w:before="42"/>
        <w:rPr>
          <w:sz w:val="24"/>
        </w:rPr>
      </w:pPr>
    </w:p>
    <w:p w:rsidR="00487D64" w:rsidRDefault="006F0D93">
      <w:pPr>
        <w:ind w:left="57"/>
        <w:jc w:val="both"/>
        <w:rPr>
          <w:b/>
          <w:sz w:val="24"/>
        </w:rPr>
      </w:pPr>
      <w:r>
        <w:rPr>
          <w:b/>
          <w:sz w:val="24"/>
        </w:rPr>
        <w:t>Path</w:t>
      </w:r>
      <w:r>
        <w:rPr>
          <w:b/>
          <w:spacing w:val="-6"/>
          <w:sz w:val="24"/>
        </w:rPr>
        <w:t xml:space="preserve"> </w:t>
      </w:r>
      <w:r>
        <w:rPr>
          <w:b/>
          <w:sz w:val="24"/>
        </w:rPr>
        <w:t>Coefficient</w:t>
      </w:r>
      <w:r>
        <w:rPr>
          <w:b/>
          <w:spacing w:val="-3"/>
          <w:sz w:val="24"/>
        </w:rPr>
        <w:t xml:space="preserve"> </w:t>
      </w:r>
      <w:r>
        <w:rPr>
          <w:b/>
          <w:sz w:val="24"/>
        </w:rPr>
        <w:t>and</w:t>
      </w:r>
      <w:r>
        <w:rPr>
          <w:b/>
          <w:spacing w:val="-3"/>
          <w:sz w:val="24"/>
        </w:rPr>
        <w:t xml:space="preserve"> </w:t>
      </w:r>
      <w:r>
        <w:rPr>
          <w:b/>
          <w:sz w:val="24"/>
        </w:rPr>
        <w:t>Hypothesis</w:t>
      </w:r>
      <w:r>
        <w:rPr>
          <w:b/>
          <w:spacing w:val="-4"/>
          <w:sz w:val="24"/>
        </w:rPr>
        <w:t xml:space="preserve"> </w:t>
      </w:r>
      <w:r>
        <w:rPr>
          <w:b/>
          <w:spacing w:val="-2"/>
          <w:sz w:val="24"/>
        </w:rPr>
        <w:t>testing</w:t>
      </w:r>
    </w:p>
    <w:p w:rsidR="00487D64" w:rsidRDefault="006F0D93">
      <w:pPr>
        <w:spacing w:before="41"/>
        <w:ind w:left="57"/>
        <w:jc w:val="both"/>
        <w:rPr>
          <w:sz w:val="24"/>
        </w:rPr>
      </w:pPr>
      <w:r>
        <w:rPr>
          <w:sz w:val="24"/>
        </w:rPr>
        <w:t>The</w:t>
      </w:r>
      <w:r>
        <w:rPr>
          <w:spacing w:val="-6"/>
          <w:sz w:val="24"/>
        </w:rPr>
        <w:t xml:space="preserve"> </w:t>
      </w:r>
      <w:r>
        <w:rPr>
          <w:sz w:val="24"/>
        </w:rPr>
        <w:t>final</w:t>
      </w:r>
      <w:r>
        <w:rPr>
          <w:spacing w:val="-1"/>
          <w:sz w:val="24"/>
        </w:rPr>
        <w:t xml:space="preserve"> </w:t>
      </w:r>
      <w:r>
        <w:rPr>
          <w:sz w:val="24"/>
        </w:rPr>
        <w:t>structural</w:t>
      </w:r>
      <w:r>
        <w:rPr>
          <w:spacing w:val="-1"/>
          <w:sz w:val="24"/>
        </w:rPr>
        <w:t xml:space="preserve"> </w:t>
      </w:r>
      <w:r>
        <w:rPr>
          <w:sz w:val="24"/>
        </w:rPr>
        <w:t>model</w:t>
      </w:r>
      <w:r>
        <w:rPr>
          <w:spacing w:val="-2"/>
          <w:sz w:val="24"/>
        </w:rPr>
        <w:t xml:space="preserve"> </w:t>
      </w:r>
      <w:r>
        <w:rPr>
          <w:sz w:val="24"/>
        </w:rPr>
        <w:t>evaluation</w:t>
      </w:r>
      <w:r>
        <w:rPr>
          <w:spacing w:val="-1"/>
          <w:sz w:val="24"/>
        </w:rPr>
        <w:t xml:space="preserve"> </w:t>
      </w:r>
      <w:r>
        <w:rPr>
          <w:sz w:val="24"/>
        </w:rPr>
        <w:t>involved</w:t>
      </w:r>
      <w:r>
        <w:rPr>
          <w:spacing w:val="-1"/>
          <w:sz w:val="24"/>
        </w:rPr>
        <w:t xml:space="preserve"> </w:t>
      </w:r>
      <w:r>
        <w:rPr>
          <w:sz w:val="24"/>
        </w:rPr>
        <w:t>analyzing</w:t>
      </w:r>
      <w:r>
        <w:rPr>
          <w:spacing w:val="-2"/>
          <w:sz w:val="24"/>
        </w:rPr>
        <w:t xml:space="preserve"> </w:t>
      </w:r>
      <w:r>
        <w:rPr>
          <w:sz w:val="24"/>
        </w:rPr>
        <w:t>path</w:t>
      </w:r>
      <w:r>
        <w:rPr>
          <w:spacing w:val="-1"/>
          <w:sz w:val="24"/>
        </w:rPr>
        <w:t xml:space="preserve"> </w:t>
      </w:r>
      <w:r>
        <w:rPr>
          <w:sz w:val="24"/>
        </w:rPr>
        <w:t>coefficients</w:t>
      </w:r>
      <w:r>
        <w:rPr>
          <w:spacing w:val="-2"/>
          <w:sz w:val="24"/>
        </w:rPr>
        <w:t xml:space="preserve"> </w:t>
      </w:r>
      <w:r>
        <w:rPr>
          <w:sz w:val="24"/>
        </w:rPr>
        <w:t>to</w:t>
      </w:r>
      <w:r>
        <w:rPr>
          <w:spacing w:val="-2"/>
          <w:sz w:val="24"/>
        </w:rPr>
        <w:t xml:space="preserve"> </w:t>
      </w:r>
      <w:r>
        <w:rPr>
          <w:sz w:val="24"/>
        </w:rPr>
        <w:t>test</w:t>
      </w:r>
      <w:r>
        <w:rPr>
          <w:spacing w:val="-1"/>
          <w:sz w:val="24"/>
        </w:rPr>
        <w:t xml:space="preserve"> </w:t>
      </w:r>
      <w:r>
        <w:rPr>
          <w:sz w:val="24"/>
        </w:rPr>
        <w:t>hypothesized</w:t>
      </w:r>
      <w:r>
        <w:rPr>
          <w:spacing w:val="3"/>
          <w:sz w:val="24"/>
        </w:rPr>
        <w:t xml:space="preserve"> </w:t>
      </w:r>
      <w:r>
        <w:rPr>
          <w:spacing w:val="-2"/>
          <w:sz w:val="24"/>
        </w:rPr>
        <w:t>relations</w:t>
      </w:r>
    </w:p>
    <w:p w:rsidR="00487D64" w:rsidRDefault="00487D64">
      <w:pPr>
        <w:jc w:val="both"/>
        <w:rPr>
          <w:sz w:val="24"/>
        </w:rPr>
        <w:sectPr w:rsidR="00487D64">
          <w:pgSz w:w="11910" w:h="16840"/>
          <w:pgMar w:top="1680" w:right="563" w:bottom="800" w:left="850" w:header="677" w:footer="608" w:gutter="0"/>
          <w:cols w:space="720"/>
        </w:sectPr>
      </w:pPr>
    </w:p>
    <w:p w:rsidR="00487D64" w:rsidRDefault="006F0D93">
      <w:pPr>
        <w:spacing w:before="254" w:line="276" w:lineRule="auto"/>
        <w:ind w:left="57" w:right="339"/>
        <w:jc w:val="both"/>
        <w:rPr>
          <w:sz w:val="24"/>
        </w:rPr>
      </w:pPr>
      <w:r>
        <w:rPr>
          <w:sz w:val="24"/>
        </w:rPr>
        <w:lastRenderedPageBreak/>
        <w:t>hips, using a non-parametric bootstrapping procedure with 5,000 resamples to estimate significance metrics, where coefficients closer to ±1 indicate stronger effects and relationships with T-values above 1.645</w:t>
      </w:r>
      <w:r>
        <w:rPr>
          <w:spacing w:val="-12"/>
          <w:sz w:val="24"/>
        </w:rPr>
        <w:t xml:space="preserve"> </w:t>
      </w:r>
      <w:r>
        <w:rPr>
          <w:sz w:val="24"/>
        </w:rPr>
        <w:t>or</w:t>
      </w:r>
      <w:r>
        <w:rPr>
          <w:spacing w:val="-13"/>
          <w:sz w:val="24"/>
        </w:rPr>
        <w:t xml:space="preserve"> </w:t>
      </w:r>
      <w:r>
        <w:rPr>
          <w:sz w:val="24"/>
        </w:rPr>
        <w:t>1.96</w:t>
      </w:r>
      <w:r>
        <w:rPr>
          <w:spacing w:val="-12"/>
          <w:sz w:val="24"/>
        </w:rPr>
        <w:t xml:space="preserve"> </w:t>
      </w:r>
      <w:r>
        <w:rPr>
          <w:sz w:val="24"/>
        </w:rPr>
        <w:t>and</w:t>
      </w:r>
      <w:r>
        <w:rPr>
          <w:spacing w:val="-12"/>
          <w:sz w:val="24"/>
        </w:rPr>
        <w:t xml:space="preserve"> </w:t>
      </w:r>
      <w:r>
        <w:rPr>
          <w:sz w:val="24"/>
        </w:rPr>
        <w:t>P-values</w:t>
      </w:r>
      <w:r>
        <w:rPr>
          <w:spacing w:val="-12"/>
          <w:sz w:val="24"/>
        </w:rPr>
        <w:t xml:space="preserve"> </w:t>
      </w:r>
      <w:r>
        <w:rPr>
          <w:sz w:val="24"/>
        </w:rPr>
        <w:t>below</w:t>
      </w:r>
      <w:r>
        <w:rPr>
          <w:spacing w:val="-12"/>
          <w:sz w:val="24"/>
        </w:rPr>
        <w:t xml:space="preserve"> </w:t>
      </w:r>
      <w:r>
        <w:rPr>
          <w:sz w:val="24"/>
        </w:rPr>
        <w:t>0.05</w:t>
      </w:r>
      <w:r>
        <w:rPr>
          <w:spacing w:val="-12"/>
          <w:sz w:val="24"/>
        </w:rPr>
        <w:t xml:space="preserve"> </w:t>
      </w:r>
      <w:r>
        <w:rPr>
          <w:sz w:val="24"/>
        </w:rPr>
        <w:t>were</w:t>
      </w:r>
      <w:r>
        <w:rPr>
          <w:spacing w:val="-13"/>
          <w:sz w:val="24"/>
        </w:rPr>
        <w:t xml:space="preserve"> </w:t>
      </w:r>
      <w:r>
        <w:rPr>
          <w:sz w:val="24"/>
        </w:rPr>
        <w:t>deemed</w:t>
      </w:r>
      <w:r>
        <w:rPr>
          <w:spacing w:val="-12"/>
          <w:sz w:val="24"/>
        </w:rPr>
        <w:t xml:space="preserve"> </w:t>
      </w:r>
      <w:r>
        <w:rPr>
          <w:sz w:val="24"/>
        </w:rPr>
        <w:t>st</w:t>
      </w:r>
      <w:r>
        <w:rPr>
          <w:sz w:val="24"/>
        </w:rPr>
        <w:t>atistically</w:t>
      </w:r>
      <w:r>
        <w:rPr>
          <w:spacing w:val="-12"/>
          <w:sz w:val="24"/>
        </w:rPr>
        <w:t xml:space="preserve"> </w:t>
      </w:r>
      <w:r>
        <w:rPr>
          <w:sz w:val="24"/>
        </w:rPr>
        <w:t>significant,</w:t>
      </w:r>
      <w:r>
        <w:rPr>
          <w:spacing w:val="-12"/>
          <w:sz w:val="24"/>
        </w:rPr>
        <w:t xml:space="preserve"> </w:t>
      </w:r>
      <w:r>
        <w:rPr>
          <w:sz w:val="24"/>
        </w:rPr>
        <w:t>thus</w:t>
      </w:r>
      <w:r>
        <w:rPr>
          <w:spacing w:val="-11"/>
          <w:sz w:val="24"/>
        </w:rPr>
        <w:t xml:space="preserve"> </w:t>
      </w:r>
      <w:r>
        <w:rPr>
          <w:sz w:val="24"/>
        </w:rPr>
        <w:t>validating</w:t>
      </w:r>
      <w:r>
        <w:rPr>
          <w:spacing w:val="-12"/>
          <w:sz w:val="24"/>
        </w:rPr>
        <w:t xml:space="preserve"> </w:t>
      </w:r>
      <w:r>
        <w:rPr>
          <w:sz w:val="24"/>
        </w:rPr>
        <w:t>the</w:t>
      </w:r>
      <w:r>
        <w:rPr>
          <w:spacing w:val="-13"/>
          <w:sz w:val="24"/>
        </w:rPr>
        <w:t xml:space="preserve"> </w:t>
      </w:r>
      <w:r>
        <w:rPr>
          <w:sz w:val="24"/>
        </w:rPr>
        <w:t>theoretical model as shown in Figure 3.</w:t>
      </w:r>
    </w:p>
    <w:p w:rsidR="00487D64" w:rsidRDefault="006F0D93">
      <w:pPr>
        <w:pStyle w:val="BodyText"/>
        <w:spacing w:before="63"/>
        <w:rPr>
          <w:sz w:val="20"/>
        </w:rPr>
      </w:pPr>
      <w:r>
        <w:rPr>
          <w:noProof/>
          <w:sz w:val="20"/>
        </w:rPr>
        <w:drawing>
          <wp:anchor distT="0" distB="0" distL="0" distR="0" simplePos="0" relativeHeight="487596544" behindDoc="1" locked="0" layoutInCell="1" allowOverlap="1">
            <wp:simplePos x="0" y="0"/>
            <wp:positionH relativeFrom="page">
              <wp:posOffset>808355</wp:posOffset>
            </wp:positionH>
            <wp:positionV relativeFrom="paragraph">
              <wp:posOffset>201744</wp:posOffset>
            </wp:positionV>
            <wp:extent cx="5959656" cy="4242435"/>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8" cstate="print"/>
                    <a:stretch>
                      <a:fillRect/>
                    </a:stretch>
                  </pic:blipFill>
                  <pic:spPr>
                    <a:xfrm>
                      <a:off x="0" y="0"/>
                      <a:ext cx="5959656" cy="4242435"/>
                    </a:xfrm>
                    <a:prstGeom prst="rect">
                      <a:avLst/>
                    </a:prstGeom>
                  </pic:spPr>
                </pic:pic>
              </a:graphicData>
            </a:graphic>
          </wp:anchor>
        </w:drawing>
      </w:r>
    </w:p>
    <w:p w:rsidR="00487D64" w:rsidRDefault="006F0D93">
      <w:pPr>
        <w:spacing w:before="24"/>
        <w:ind w:left="68" w:right="355"/>
        <w:jc w:val="center"/>
        <w:rPr>
          <w:b/>
          <w:sz w:val="24"/>
        </w:rPr>
      </w:pPr>
      <w:r>
        <w:rPr>
          <w:b/>
          <w:sz w:val="24"/>
        </w:rPr>
        <w:t>Figure</w:t>
      </w:r>
      <w:r>
        <w:rPr>
          <w:b/>
          <w:spacing w:val="-4"/>
          <w:sz w:val="24"/>
        </w:rPr>
        <w:t xml:space="preserve"> </w:t>
      </w:r>
      <w:r>
        <w:rPr>
          <w:b/>
          <w:sz w:val="24"/>
        </w:rPr>
        <w:t>3:</w:t>
      </w:r>
      <w:r>
        <w:rPr>
          <w:b/>
          <w:spacing w:val="-3"/>
          <w:sz w:val="24"/>
        </w:rPr>
        <w:t xml:space="preserve"> </w:t>
      </w:r>
      <w:r>
        <w:rPr>
          <w:b/>
          <w:sz w:val="24"/>
        </w:rPr>
        <w:t>Bootstrapping;</w:t>
      </w:r>
      <w:r>
        <w:rPr>
          <w:b/>
          <w:spacing w:val="-4"/>
          <w:sz w:val="24"/>
        </w:rPr>
        <w:t xml:space="preserve"> </w:t>
      </w:r>
      <w:r>
        <w:rPr>
          <w:b/>
          <w:sz w:val="24"/>
        </w:rPr>
        <w:t>T</w:t>
      </w:r>
      <w:r>
        <w:rPr>
          <w:b/>
          <w:spacing w:val="-3"/>
          <w:sz w:val="24"/>
        </w:rPr>
        <w:t xml:space="preserve"> </w:t>
      </w:r>
      <w:r>
        <w:rPr>
          <w:b/>
          <w:sz w:val="24"/>
        </w:rPr>
        <w:t>Statistics</w:t>
      </w:r>
      <w:r>
        <w:rPr>
          <w:b/>
          <w:spacing w:val="-3"/>
          <w:sz w:val="24"/>
        </w:rPr>
        <w:t xml:space="preserve"> </w:t>
      </w:r>
      <w:r>
        <w:rPr>
          <w:b/>
          <w:spacing w:val="-2"/>
          <w:sz w:val="24"/>
        </w:rPr>
        <w:t>(|O/STDEV|)</w:t>
      </w:r>
    </w:p>
    <w:p w:rsidR="00487D64" w:rsidRDefault="00487D64">
      <w:pPr>
        <w:pStyle w:val="BodyText"/>
        <w:spacing w:before="17"/>
        <w:rPr>
          <w:b/>
          <w:sz w:val="24"/>
        </w:rPr>
      </w:pPr>
    </w:p>
    <w:p w:rsidR="00487D64" w:rsidRDefault="006F0D93">
      <w:pPr>
        <w:spacing w:line="276" w:lineRule="auto"/>
        <w:ind w:left="57" w:right="342"/>
        <w:jc w:val="both"/>
        <w:rPr>
          <w:sz w:val="24"/>
        </w:rPr>
      </w:pPr>
      <w:r>
        <w:rPr>
          <w:sz w:val="24"/>
        </w:rPr>
        <w:t>After confirming that the measurement model met the required psychometric standards, the analysis advanced</w:t>
      </w:r>
      <w:r>
        <w:rPr>
          <w:spacing w:val="-11"/>
          <w:sz w:val="24"/>
        </w:rPr>
        <w:t xml:space="preserve"> </w:t>
      </w:r>
      <w:r>
        <w:rPr>
          <w:sz w:val="24"/>
        </w:rPr>
        <w:t>to</w:t>
      </w:r>
      <w:r>
        <w:rPr>
          <w:spacing w:val="-8"/>
          <w:sz w:val="24"/>
        </w:rPr>
        <w:t xml:space="preserve"> </w:t>
      </w:r>
      <w:r>
        <w:rPr>
          <w:sz w:val="24"/>
        </w:rPr>
        <w:t>evaluati</w:t>
      </w:r>
      <w:r>
        <w:rPr>
          <w:sz w:val="24"/>
        </w:rPr>
        <w:t>ng</w:t>
      </w:r>
      <w:r>
        <w:rPr>
          <w:spacing w:val="-10"/>
          <w:sz w:val="24"/>
        </w:rPr>
        <w:t xml:space="preserve"> </w:t>
      </w:r>
      <w:r>
        <w:rPr>
          <w:sz w:val="24"/>
        </w:rPr>
        <w:t>the</w:t>
      </w:r>
      <w:r>
        <w:rPr>
          <w:spacing w:val="-12"/>
          <w:sz w:val="24"/>
        </w:rPr>
        <w:t xml:space="preserve"> </w:t>
      </w:r>
      <w:r>
        <w:rPr>
          <w:sz w:val="24"/>
        </w:rPr>
        <w:t>structural</w:t>
      </w:r>
      <w:r>
        <w:rPr>
          <w:spacing w:val="-10"/>
          <w:sz w:val="24"/>
        </w:rPr>
        <w:t xml:space="preserve"> </w:t>
      </w:r>
      <w:r>
        <w:rPr>
          <w:sz w:val="24"/>
        </w:rPr>
        <w:t>model,</w:t>
      </w:r>
      <w:r>
        <w:rPr>
          <w:spacing w:val="-8"/>
          <w:sz w:val="24"/>
        </w:rPr>
        <w:t xml:space="preserve"> </w:t>
      </w:r>
      <w:r>
        <w:rPr>
          <w:sz w:val="24"/>
        </w:rPr>
        <w:t>where</w:t>
      </w:r>
      <w:r>
        <w:rPr>
          <w:spacing w:val="-9"/>
          <w:sz w:val="24"/>
        </w:rPr>
        <w:t xml:space="preserve"> </w:t>
      </w:r>
      <w:r>
        <w:rPr>
          <w:sz w:val="24"/>
        </w:rPr>
        <w:t>the</w:t>
      </w:r>
      <w:r>
        <w:rPr>
          <w:spacing w:val="-11"/>
          <w:sz w:val="24"/>
        </w:rPr>
        <w:t xml:space="preserve"> </w:t>
      </w:r>
      <w:r>
        <w:rPr>
          <w:sz w:val="24"/>
        </w:rPr>
        <w:t>significance</w:t>
      </w:r>
      <w:r>
        <w:rPr>
          <w:spacing w:val="-9"/>
          <w:sz w:val="24"/>
        </w:rPr>
        <w:t xml:space="preserve"> </w:t>
      </w:r>
      <w:r>
        <w:rPr>
          <w:sz w:val="24"/>
        </w:rPr>
        <w:t>of</w:t>
      </w:r>
      <w:r>
        <w:rPr>
          <w:spacing w:val="-9"/>
          <w:sz w:val="24"/>
        </w:rPr>
        <w:t xml:space="preserve"> </w:t>
      </w:r>
      <w:r>
        <w:rPr>
          <w:sz w:val="24"/>
        </w:rPr>
        <w:t>direct</w:t>
      </w:r>
      <w:r>
        <w:rPr>
          <w:spacing w:val="-8"/>
          <w:sz w:val="24"/>
        </w:rPr>
        <w:t xml:space="preserve"> </w:t>
      </w:r>
      <w:r>
        <w:rPr>
          <w:sz w:val="24"/>
        </w:rPr>
        <w:t>effect</w:t>
      </w:r>
      <w:r>
        <w:rPr>
          <w:spacing w:val="-8"/>
          <w:sz w:val="24"/>
        </w:rPr>
        <w:t xml:space="preserve"> </w:t>
      </w:r>
      <w:r>
        <w:rPr>
          <w:sz w:val="24"/>
        </w:rPr>
        <w:t>hypotheses</w:t>
      </w:r>
      <w:r>
        <w:rPr>
          <w:spacing w:val="-8"/>
          <w:sz w:val="24"/>
        </w:rPr>
        <w:t xml:space="preserve"> </w:t>
      </w:r>
      <w:r>
        <w:rPr>
          <w:sz w:val="24"/>
        </w:rPr>
        <w:t>(H1</w:t>
      </w:r>
      <w:r>
        <w:rPr>
          <w:spacing w:val="-11"/>
          <w:sz w:val="24"/>
        </w:rPr>
        <w:t xml:space="preserve"> </w:t>
      </w:r>
      <w:r>
        <w:rPr>
          <w:sz w:val="24"/>
        </w:rPr>
        <w:t>to</w:t>
      </w:r>
      <w:r>
        <w:rPr>
          <w:spacing w:val="-6"/>
          <w:sz w:val="24"/>
        </w:rPr>
        <w:t xml:space="preserve"> </w:t>
      </w:r>
      <w:r>
        <w:rPr>
          <w:sz w:val="24"/>
        </w:rPr>
        <w:t>H4) was assessed through the structural path model, with results presented in Figure 3 and Table 7.</w:t>
      </w:r>
    </w:p>
    <w:p w:rsidR="00487D64" w:rsidRDefault="00487D64">
      <w:pPr>
        <w:pStyle w:val="BodyText"/>
        <w:spacing w:before="42"/>
        <w:rPr>
          <w:sz w:val="24"/>
        </w:rPr>
      </w:pPr>
    </w:p>
    <w:p w:rsidR="00487D64" w:rsidRDefault="006F0D93">
      <w:pPr>
        <w:spacing w:after="44"/>
        <w:ind w:left="68" w:right="355"/>
        <w:jc w:val="center"/>
        <w:rPr>
          <w:b/>
          <w:sz w:val="24"/>
        </w:rPr>
      </w:pPr>
      <w:r>
        <w:rPr>
          <w:b/>
          <w:sz w:val="24"/>
        </w:rPr>
        <w:t>Table</w:t>
      </w:r>
      <w:r>
        <w:rPr>
          <w:b/>
          <w:spacing w:val="-5"/>
          <w:sz w:val="24"/>
        </w:rPr>
        <w:t xml:space="preserve"> </w:t>
      </w:r>
      <w:r>
        <w:rPr>
          <w:b/>
          <w:sz w:val="24"/>
        </w:rPr>
        <w:t>7:</w:t>
      </w:r>
      <w:r>
        <w:rPr>
          <w:b/>
          <w:spacing w:val="-4"/>
          <w:sz w:val="24"/>
        </w:rPr>
        <w:t xml:space="preserve"> </w:t>
      </w:r>
      <w:r>
        <w:rPr>
          <w:b/>
          <w:sz w:val="24"/>
        </w:rPr>
        <w:t>Assessment</w:t>
      </w:r>
      <w:r>
        <w:rPr>
          <w:b/>
          <w:spacing w:val="-3"/>
          <w:sz w:val="24"/>
        </w:rPr>
        <w:t xml:space="preserve"> </w:t>
      </w:r>
      <w:r>
        <w:rPr>
          <w:b/>
          <w:sz w:val="24"/>
        </w:rPr>
        <w:t>of</w:t>
      </w:r>
      <w:r>
        <w:rPr>
          <w:b/>
          <w:spacing w:val="-4"/>
          <w:sz w:val="24"/>
        </w:rPr>
        <w:t xml:space="preserve"> </w:t>
      </w:r>
      <w:r>
        <w:rPr>
          <w:b/>
          <w:sz w:val="24"/>
        </w:rPr>
        <w:t>Structural</w:t>
      </w:r>
      <w:r>
        <w:rPr>
          <w:b/>
          <w:spacing w:val="-2"/>
          <w:sz w:val="24"/>
        </w:rPr>
        <w:t xml:space="preserve"> </w:t>
      </w:r>
      <w:r>
        <w:rPr>
          <w:b/>
          <w:sz w:val="24"/>
        </w:rPr>
        <w:t>Model</w:t>
      </w:r>
      <w:r>
        <w:rPr>
          <w:b/>
          <w:spacing w:val="-3"/>
          <w:sz w:val="24"/>
        </w:rPr>
        <w:t xml:space="preserve"> </w:t>
      </w:r>
      <w:r>
        <w:rPr>
          <w:b/>
          <w:sz w:val="24"/>
        </w:rPr>
        <w:t>Direct</w:t>
      </w:r>
      <w:r>
        <w:rPr>
          <w:b/>
          <w:spacing w:val="-2"/>
          <w:sz w:val="24"/>
        </w:rPr>
        <w:t xml:space="preserve"> </w:t>
      </w:r>
      <w:r>
        <w:rPr>
          <w:b/>
          <w:sz w:val="24"/>
        </w:rPr>
        <w:t>Relationships</w:t>
      </w:r>
      <w:r>
        <w:rPr>
          <w:b/>
          <w:spacing w:val="-4"/>
          <w:sz w:val="24"/>
        </w:rPr>
        <w:t xml:space="preserve"> </w:t>
      </w:r>
      <w:r>
        <w:rPr>
          <w:b/>
          <w:sz w:val="24"/>
        </w:rPr>
        <w:t>and</w:t>
      </w:r>
      <w:r>
        <w:rPr>
          <w:b/>
          <w:spacing w:val="-2"/>
          <w:sz w:val="24"/>
        </w:rPr>
        <w:t xml:space="preserve"> </w:t>
      </w:r>
      <w:r>
        <w:rPr>
          <w:b/>
          <w:sz w:val="24"/>
        </w:rPr>
        <w:t>Moderating</w:t>
      </w:r>
      <w:r>
        <w:rPr>
          <w:b/>
          <w:spacing w:val="-2"/>
          <w:sz w:val="24"/>
        </w:rPr>
        <w:t xml:space="preserve"> Variables</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709"/>
        <w:gridCol w:w="1156"/>
        <w:gridCol w:w="2044"/>
        <w:gridCol w:w="1972"/>
        <w:gridCol w:w="925"/>
      </w:tblGrid>
      <w:tr w:rsidR="00487D64">
        <w:trPr>
          <w:trHeight w:val="981"/>
        </w:trPr>
        <w:tc>
          <w:tcPr>
            <w:tcW w:w="1262" w:type="dxa"/>
          </w:tcPr>
          <w:p w:rsidR="00487D64" w:rsidRDefault="006F0D93">
            <w:pPr>
              <w:pStyle w:val="TableParagraph"/>
              <w:spacing w:before="13"/>
              <w:ind w:left="16"/>
              <w:rPr>
                <w:b/>
                <w:sz w:val="24"/>
              </w:rPr>
            </w:pPr>
            <w:r>
              <w:rPr>
                <w:b/>
                <w:spacing w:val="-2"/>
                <w:sz w:val="24"/>
              </w:rPr>
              <w:t>Hypothesis</w:t>
            </w:r>
          </w:p>
        </w:tc>
        <w:tc>
          <w:tcPr>
            <w:tcW w:w="1709" w:type="dxa"/>
          </w:tcPr>
          <w:p w:rsidR="00487D64" w:rsidRDefault="006F0D93">
            <w:pPr>
              <w:pStyle w:val="TableParagraph"/>
              <w:spacing w:before="171" w:line="276" w:lineRule="auto"/>
              <w:ind w:left="120"/>
              <w:rPr>
                <w:b/>
                <w:sz w:val="24"/>
              </w:rPr>
            </w:pPr>
            <w:r>
              <w:rPr>
                <w:b/>
                <w:spacing w:val="-4"/>
                <w:sz w:val="24"/>
              </w:rPr>
              <w:t xml:space="preserve">Path </w:t>
            </w:r>
            <w:r>
              <w:rPr>
                <w:b/>
                <w:spacing w:val="-2"/>
                <w:sz w:val="24"/>
              </w:rPr>
              <w:t>relationship</w:t>
            </w:r>
          </w:p>
        </w:tc>
        <w:tc>
          <w:tcPr>
            <w:tcW w:w="1156" w:type="dxa"/>
          </w:tcPr>
          <w:p w:rsidR="00487D64" w:rsidRDefault="006F0D93">
            <w:pPr>
              <w:pStyle w:val="TableParagraph"/>
              <w:spacing w:before="13" w:line="276" w:lineRule="auto"/>
              <w:ind w:left="122" w:right="255"/>
              <w:rPr>
                <w:b/>
                <w:sz w:val="24"/>
              </w:rPr>
            </w:pPr>
            <w:r>
              <w:rPr>
                <w:b/>
                <w:spacing w:val="-2"/>
                <w:sz w:val="24"/>
              </w:rPr>
              <w:t xml:space="preserve">Sample </w:t>
            </w:r>
            <w:r>
              <w:rPr>
                <w:b/>
                <w:spacing w:val="-4"/>
                <w:sz w:val="24"/>
              </w:rPr>
              <w:t>mean</w:t>
            </w:r>
          </w:p>
          <w:p w:rsidR="00487D64" w:rsidRDefault="006F0D93">
            <w:pPr>
              <w:pStyle w:val="TableParagraph"/>
              <w:spacing w:line="275" w:lineRule="exact"/>
              <w:ind w:left="122"/>
              <w:rPr>
                <w:b/>
                <w:sz w:val="24"/>
              </w:rPr>
            </w:pPr>
            <w:r>
              <w:rPr>
                <w:b/>
                <w:spacing w:val="-5"/>
                <w:sz w:val="24"/>
              </w:rPr>
              <w:t>(M)</w:t>
            </w:r>
          </w:p>
        </w:tc>
        <w:tc>
          <w:tcPr>
            <w:tcW w:w="2044" w:type="dxa"/>
          </w:tcPr>
          <w:p w:rsidR="00487D64" w:rsidRDefault="006F0D93">
            <w:pPr>
              <w:pStyle w:val="TableParagraph"/>
              <w:spacing w:before="13" w:line="276" w:lineRule="auto"/>
              <w:ind w:left="121" w:right="948"/>
              <w:rPr>
                <w:b/>
                <w:sz w:val="24"/>
              </w:rPr>
            </w:pPr>
            <w:r>
              <w:rPr>
                <w:b/>
                <w:spacing w:val="-2"/>
                <w:sz w:val="24"/>
              </w:rPr>
              <w:t>Standard deviation</w:t>
            </w:r>
          </w:p>
          <w:p w:rsidR="00487D64" w:rsidRDefault="006F0D93">
            <w:pPr>
              <w:pStyle w:val="TableParagraph"/>
              <w:spacing w:line="275" w:lineRule="exact"/>
              <w:ind w:left="121"/>
              <w:rPr>
                <w:b/>
                <w:sz w:val="24"/>
              </w:rPr>
            </w:pPr>
            <w:r>
              <w:rPr>
                <w:b/>
                <w:spacing w:val="-2"/>
                <w:sz w:val="24"/>
              </w:rPr>
              <w:t>(STDEV)</w:t>
            </w:r>
          </w:p>
        </w:tc>
        <w:tc>
          <w:tcPr>
            <w:tcW w:w="1972" w:type="dxa"/>
          </w:tcPr>
          <w:p w:rsidR="00487D64" w:rsidRDefault="006F0D93">
            <w:pPr>
              <w:pStyle w:val="TableParagraph"/>
              <w:tabs>
                <w:tab w:val="left" w:pos="976"/>
              </w:tabs>
              <w:spacing w:before="171" w:line="276" w:lineRule="auto"/>
              <w:ind w:left="124" w:right="105"/>
              <w:rPr>
                <w:b/>
                <w:sz w:val="24"/>
              </w:rPr>
            </w:pPr>
            <w:r>
              <w:rPr>
                <w:b/>
                <w:spacing w:val="-10"/>
                <w:sz w:val="24"/>
              </w:rPr>
              <w:t>T</w:t>
            </w:r>
            <w:r>
              <w:rPr>
                <w:b/>
                <w:sz w:val="24"/>
              </w:rPr>
              <w:tab/>
            </w:r>
            <w:r>
              <w:rPr>
                <w:b/>
                <w:spacing w:val="-2"/>
                <w:sz w:val="24"/>
              </w:rPr>
              <w:t>statistics (|O/STDEV|)</w:t>
            </w:r>
          </w:p>
        </w:tc>
        <w:tc>
          <w:tcPr>
            <w:tcW w:w="925" w:type="dxa"/>
          </w:tcPr>
          <w:p w:rsidR="00487D64" w:rsidRDefault="006F0D93">
            <w:pPr>
              <w:pStyle w:val="TableParagraph"/>
              <w:spacing w:before="171"/>
              <w:ind w:left="123"/>
              <w:rPr>
                <w:b/>
                <w:sz w:val="24"/>
              </w:rPr>
            </w:pPr>
            <w:r>
              <w:rPr>
                <w:b/>
                <w:spacing w:val="-10"/>
                <w:sz w:val="24"/>
              </w:rPr>
              <w:t>P</w:t>
            </w:r>
          </w:p>
          <w:p w:rsidR="00487D64" w:rsidRDefault="006F0D93">
            <w:pPr>
              <w:pStyle w:val="TableParagraph"/>
              <w:spacing w:before="42"/>
              <w:ind w:left="123"/>
              <w:rPr>
                <w:b/>
                <w:sz w:val="24"/>
              </w:rPr>
            </w:pPr>
            <w:r>
              <w:rPr>
                <w:b/>
                <w:spacing w:val="-2"/>
                <w:sz w:val="24"/>
              </w:rPr>
              <w:t>values</w:t>
            </w:r>
          </w:p>
        </w:tc>
      </w:tr>
      <w:tr w:rsidR="00487D64">
        <w:trPr>
          <w:trHeight w:val="347"/>
        </w:trPr>
        <w:tc>
          <w:tcPr>
            <w:tcW w:w="1262" w:type="dxa"/>
          </w:tcPr>
          <w:p w:rsidR="00487D64" w:rsidRDefault="006F0D93">
            <w:pPr>
              <w:pStyle w:val="TableParagraph"/>
              <w:spacing w:before="13"/>
              <w:ind w:left="16"/>
              <w:rPr>
                <w:sz w:val="24"/>
              </w:rPr>
            </w:pPr>
            <w:r>
              <w:rPr>
                <w:spacing w:val="-5"/>
                <w:sz w:val="24"/>
              </w:rPr>
              <w:t>H1</w:t>
            </w:r>
          </w:p>
        </w:tc>
        <w:tc>
          <w:tcPr>
            <w:tcW w:w="1709" w:type="dxa"/>
          </w:tcPr>
          <w:p w:rsidR="00487D64" w:rsidRDefault="006F0D93">
            <w:pPr>
              <w:pStyle w:val="TableParagraph"/>
              <w:spacing w:before="13"/>
              <w:ind w:left="120"/>
              <w:rPr>
                <w:sz w:val="24"/>
              </w:rPr>
            </w:pPr>
            <w:r>
              <w:rPr>
                <w:sz w:val="24"/>
              </w:rPr>
              <w:t>CU</w:t>
            </w:r>
            <w:r>
              <w:rPr>
                <w:spacing w:val="-2"/>
                <w:sz w:val="24"/>
              </w:rPr>
              <w:t xml:space="preserve"> </w:t>
            </w:r>
            <w:r>
              <w:rPr>
                <w:sz w:val="24"/>
              </w:rPr>
              <w:t>-&gt;</w:t>
            </w:r>
            <w:r>
              <w:rPr>
                <w:spacing w:val="-1"/>
                <w:sz w:val="24"/>
              </w:rPr>
              <w:t xml:space="preserve"> </w:t>
            </w:r>
            <w:r>
              <w:rPr>
                <w:spacing w:val="-5"/>
                <w:sz w:val="24"/>
              </w:rPr>
              <w:t>SC</w:t>
            </w:r>
          </w:p>
        </w:tc>
        <w:tc>
          <w:tcPr>
            <w:tcW w:w="1156" w:type="dxa"/>
          </w:tcPr>
          <w:p w:rsidR="00487D64" w:rsidRDefault="006F0D93">
            <w:pPr>
              <w:pStyle w:val="TableParagraph"/>
              <w:spacing w:before="13"/>
              <w:ind w:left="122"/>
              <w:rPr>
                <w:sz w:val="24"/>
              </w:rPr>
            </w:pPr>
            <w:r>
              <w:rPr>
                <w:spacing w:val="-2"/>
                <w:sz w:val="24"/>
              </w:rPr>
              <w:t>0.216</w:t>
            </w:r>
          </w:p>
        </w:tc>
        <w:tc>
          <w:tcPr>
            <w:tcW w:w="2044" w:type="dxa"/>
          </w:tcPr>
          <w:p w:rsidR="00487D64" w:rsidRDefault="006F0D93">
            <w:pPr>
              <w:pStyle w:val="TableParagraph"/>
              <w:spacing w:before="13"/>
              <w:ind w:left="121"/>
              <w:rPr>
                <w:sz w:val="24"/>
              </w:rPr>
            </w:pPr>
            <w:r>
              <w:rPr>
                <w:spacing w:val="-2"/>
                <w:sz w:val="24"/>
              </w:rPr>
              <w:t>0.039</w:t>
            </w:r>
          </w:p>
        </w:tc>
        <w:tc>
          <w:tcPr>
            <w:tcW w:w="1972" w:type="dxa"/>
          </w:tcPr>
          <w:p w:rsidR="00487D64" w:rsidRDefault="006F0D93">
            <w:pPr>
              <w:pStyle w:val="TableParagraph"/>
              <w:spacing w:before="13"/>
              <w:ind w:left="124"/>
              <w:rPr>
                <w:sz w:val="24"/>
              </w:rPr>
            </w:pPr>
            <w:r>
              <w:rPr>
                <w:spacing w:val="-2"/>
                <w:sz w:val="24"/>
              </w:rPr>
              <w:t>5.438</w:t>
            </w:r>
          </w:p>
        </w:tc>
        <w:tc>
          <w:tcPr>
            <w:tcW w:w="925" w:type="dxa"/>
          </w:tcPr>
          <w:p w:rsidR="00487D64" w:rsidRDefault="006F0D93">
            <w:pPr>
              <w:pStyle w:val="TableParagraph"/>
              <w:spacing w:before="13"/>
              <w:ind w:left="123"/>
              <w:rPr>
                <w:sz w:val="24"/>
              </w:rPr>
            </w:pPr>
            <w:r>
              <w:rPr>
                <w:spacing w:val="-2"/>
                <w:sz w:val="24"/>
              </w:rPr>
              <w:t>0.000</w:t>
            </w:r>
          </w:p>
        </w:tc>
      </w:tr>
      <w:tr w:rsidR="00487D64">
        <w:trPr>
          <w:trHeight w:val="347"/>
        </w:trPr>
        <w:tc>
          <w:tcPr>
            <w:tcW w:w="1262" w:type="dxa"/>
          </w:tcPr>
          <w:p w:rsidR="00487D64" w:rsidRDefault="006F0D93">
            <w:pPr>
              <w:pStyle w:val="TableParagraph"/>
              <w:spacing w:before="13"/>
              <w:ind w:left="16"/>
              <w:rPr>
                <w:sz w:val="24"/>
              </w:rPr>
            </w:pPr>
            <w:r>
              <w:rPr>
                <w:spacing w:val="-5"/>
                <w:sz w:val="24"/>
              </w:rPr>
              <w:t>H2</w:t>
            </w:r>
          </w:p>
        </w:tc>
        <w:tc>
          <w:tcPr>
            <w:tcW w:w="1709" w:type="dxa"/>
          </w:tcPr>
          <w:p w:rsidR="00487D64" w:rsidRDefault="006F0D93">
            <w:pPr>
              <w:pStyle w:val="TableParagraph"/>
              <w:spacing w:before="13"/>
              <w:ind w:left="120"/>
              <w:rPr>
                <w:sz w:val="24"/>
              </w:rPr>
            </w:pPr>
            <w:r>
              <w:rPr>
                <w:sz w:val="24"/>
              </w:rPr>
              <w:t>CO</w:t>
            </w:r>
            <w:r>
              <w:rPr>
                <w:spacing w:val="-2"/>
                <w:sz w:val="24"/>
              </w:rPr>
              <w:t xml:space="preserve"> </w:t>
            </w:r>
            <w:r>
              <w:rPr>
                <w:sz w:val="24"/>
              </w:rPr>
              <w:t>-&gt;</w:t>
            </w:r>
            <w:r>
              <w:rPr>
                <w:spacing w:val="-1"/>
                <w:sz w:val="24"/>
              </w:rPr>
              <w:t xml:space="preserve"> </w:t>
            </w:r>
            <w:r>
              <w:rPr>
                <w:spacing w:val="-5"/>
                <w:sz w:val="24"/>
              </w:rPr>
              <w:t>SC</w:t>
            </w:r>
          </w:p>
        </w:tc>
        <w:tc>
          <w:tcPr>
            <w:tcW w:w="1156" w:type="dxa"/>
          </w:tcPr>
          <w:p w:rsidR="00487D64" w:rsidRDefault="006F0D93">
            <w:pPr>
              <w:pStyle w:val="TableParagraph"/>
              <w:spacing w:before="13"/>
              <w:ind w:left="122"/>
              <w:rPr>
                <w:sz w:val="24"/>
              </w:rPr>
            </w:pPr>
            <w:r>
              <w:rPr>
                <w:spacing w:val="-2"/>
                <w:sz w:val="24"/>
              </w:rPr>
              <w:t>0.262</w:t>
            </w:r>
          </w:p>
        </w:tc>
        <w:tc>
          <w:tcPr>
            <w:tcW w:w="2044" w:type="dxa"/>
          </w:tcPr>
          <w:p w:rsidR="00487D64" w:rsidRDefault="006F0D93">
            <w:pPr>
              <w:pStyle w:val="TableParagraph"/>
              <w:spacing w:before="13"/>
              <w:ind w:left="121"/>
              <w:rPr>
                <w:sz w:val="24"/>
              </w:rPr>
            </w:pPr>
            <w:r>
              <w:rPr>
                <w:spacing w:val="-2"/>
                <w:sz w:val="24"/>
              </w:rPr>
              <w:t>0.037</w:t>
            </w:r>
          </w:p>
        </w:tc>
        <w:tc>
          <w:tcPr>
            <w:tcW w:w="1972" w:type="dxa"/>
          </w:tcPr>
          <w:p w:rsidR="00487D64" w:rsidRDefault="006F0D93">
            <w:pPr>
              <w:pStyle w:val="TableParagraph"/>
              <w:spacing w:before="13"/>
              <w:ind w:left="124"/>
              <w:rPr>
                <w:sz w:val="24"/>
              </w:rPr>
            </w:pPr>
            <w:r>
              <w:rPr>
                <w:spacing w:val="-2"/>
                <w:sz w:val="24"/>
              </w:rPr>
              <w:t>6.999</w:t>
            </w:r>
          </w:p>
        </w:tc>
        <w:tc>
          <w:tcPr>
            <w:tcW w:w="925" w:type="dxa"/>
          </w:tcPr>
          <w:p w:rsidR="00487D64" w:rsidRDefault="006F0D93">
            <w:pPr>
              <w:pStyle w:val="TableParagraph"/>
              <w:spacing w:before="13"/>
              <w:ind w:left="123"/>
              <w:rPr>
                <w:sz w:val="24"/>
              </w:rPr>
            </w:pPr>
            <w:r>
              <w:rPr>
                <w:spacing w:val="-2"/>
                <w:sz w:val="24"/>
              </w:rPr>
              <w:t>0.000</w:t>
            </w:r>
          </w:p>
        </w:tc>
      </w:tr>
      <w:tr w:rsidR="00487D64">
        <w:trPr>
          <w:trHeight w:val="347"/>
        </w:trPr>
        <w:tc>
          <w:tcPr>
            <w:tcW w:w="1262" w:type="dxa"/>
          </w:tcPr>
          <w:p w:rsidR="00487D64" w:rsidRDefault="006F0D93">
            <w:pPr>
              <w:pStyle w:val="TableParagraph"/>
              <w:spacing w:before="13"/>
              <w:ind w:left="16"/>
              <w:rPr>
                <w:sz w:val="24"/>
              </w:rPr>
            </w:pPr>
            <w:r>
              <w:rPr>
                <w:spacing w:val="-5"/>
                <w:sz w:val="24"/>
              </w:rPr>
              <w:t>H3</w:t>
            </w:r>
          </w:p>
        </w:tc>
        <w:tc>
          <w:tcPr>
            <w:tcW w:w="1709" w:type="dxa"/>
          </w:tcPr>
          <w:p w:rsidR="00487D64" w:rsidRDefault="006F0D93">
            <w:pPr>
              <w:pStyle w:val="TableParagraph"/>
              <w:spacing w:before="13"/>
              <w:ind w:left="120"/>
              <w:rPr>
                <w:sz w:val="24"/>
              </w:rPr>
            </w:pPr>
            <w:r>
              <w:rPr>
                <w:sz w:val="24"/>
              </w:rPr>
              <w:t>SF</w:t>
            </w:r>
            <w:r>
              <w:rPr>
                <w:spacing w:val="-3"/>
                <w:sz w:val="24"/>
              </w:rPr>
              <w:t xml:space="preserve"> </w:t>
            </w:r>
            <w:r>
              <w:rPr>
                <w:sz w:val="24"/>
              </w:rPr>
              <w:t>x CU</w:t>
            </w:r>
            <w:r>
              <w:rPr>
                <w:spacing w:val="-1"/>
                <w:sz w:val="24"/>
              </w:rPr>
              <w:t xml:space="preserve"> </w:t>
            </w:r>
            <w:r>
              <w:rPr>
                <w:sz w:val="24"/>
              </w:rPr>
              <w:t>-&gt;</w:t>
            </w:r>
            <w:r>
              <w:rPr>
                <w:spacing w:val="-1"/>
                <w:sz w:val="24"/>
              </w:rPr>
              <w:t xml:space="preserve"> </w:t>
            </w:r>
            <w:r>
              <w:rPr>
                <w:spacing w:val="-5"/>
                <w:sz w:val="24"/>
              </w:rPr>
              <w:t>SC</w:t>
            </w:r>
          </w:p>
        </w:tc>
        <w:tc>
          <w:tcPr>
            <w:tcW w:w="1156" w:type="dxa"/>
          </w:tcPr>
          <w:p w:rsidR="00487D64" w:rsidRDefault="006F0D93">
            <w:pPr>
              <w:pStyle w:val="TableParagraph"/>
              <w:spacing w:before="13"/>
              <w:ind w:left="122"/>
              <w:rPr>
                <w:sz w:val="24"/>
              </w:rPr>
            </w:pPr>
            <w:r>
              <w:rPr>
                <w:spacing w:val="-2"/>
                <w:sz w:val="24"/>
              </w:rPr>
              <w:t>-0.051</w:t>
            </w:r>
          </w:p>
        </w:tc>
        <w:tc>
          <w:tcPr>
            <w:tcW w:w="2044" w:type="dxa"/>
          </w:tcPr>
          <w:p w:rsidR="00487D64" w:rsidRDefault="006F0D93">
            <w:pPr>
              <w:pStyle w:val="TableParagraph"/>
              <w:spacing w:before="13"/>
              <w:ind w:left="121"/>
              <w:rPr>
                <w:sz w:val="24"/>
              </w:rPr>
            </w:pPr>
            <w:r>
              <w:rPr>
                <w:spacing w:val="-2"/>
                <w:sz w:val="24"/>
              </w:rPr>
              <w:t>0.034</w:t>
            </w:r>
          </w:p>
        </w:tc>
        <w:tc>
          <w:tcPr>
            <w:tcW w:w="1972" w:type="dxa"/>
          </w:tcPr>
          <w:p w:rsidR="00487D64" w:rsidRDefault="006F0D93">
            <w:pPr>
              <w:pStyle w:val="TableParagraph"/>
              <w:spacing w:before="13"/>
              <w:ind w:left="124"/>
              <w:rPr>
                <w:sz w:val="24"/>
              </w:rPr>
            </w:pPr>
            <w:r>
              <w:rPr>
                <w:spacing w:val="-2"/>
                <w:sz w:val="24"/>
              </w:rPr>
              <w:t>1.464</w:t>
            </w:r>
          </w:p>
        </w:tc>
        <w:tc>
          <w:tcPr>
            <w:tcW w:w="925" w:type="dxa"/>
          </w:tcPr>
          <w:p w:rsidR="00487D64" w:rsidRDefault="006F0D93">
            <w:pPr>
              <w:pStyle w:val="TableParagraph"/>
              <w:spacing w:before="13"/>
              <w:ind w:left="123"/>
              <w:rPr>
                <w:sz w:val="24"/>
              </w:rPr>
            </w:pPr>
            <w:r>
              <w:rPr>
                <w:spacing w:val="-2"/>
                <w:sz w:val="24"/>
              </w:rPr>
              <w:t>0.143</w:t>
            </w:r>
          </w:p>
        </w:tc>
      </w:tr>
      <w:tr w:rsidR="00487D64">
        <w:trPr>
          <w:trHeight w:val="347"/>
        </w:trPr>
        <w:tc>
          <w:tcPr>
            <w:tcW w:w="1262" w:type="dxa"/>
          </w:tcPr>
          <w:p w:rsidR="00487D64" w:rsidRDefault="006F0D93">
            <w:pPr>
              <w:pStyle w:val="TableParagraph"/>
              <w:spacing w:before="13"/>
              <w:ind w:left="16"/>
              <w:rPr>
                <w:sz w:val="24"/>
              </w:rPr>
            </w:pPr>
            <w:r>
              <w:rPr>
                <w:spacing w:val="-5"/>
                <w:sz w:val="24"/>
              </w:rPr>
              <w:t>H4</w:t>
            </w:r>
          </w:p>
        </w:tc>
        <w:tc>
          <w:tcPr>
            <w:tcW w:w="1709" w:type="dxa"/>
          </w:tcPr>
          <w:p w:rsidR="00487D64" w:rsidRDefault="006F0D93">
            <w:pPr>
              <w:pStyle w:val="TableParagraph"/>
              <w:spacing w:before="13"/>
              <w:ind w:left="120"/>
              <w:rPr>
                <w:sz w:val="24"/>
              </w:rPr>
            </w:pPr>
            <w:r>
              <w:rPr>
                <w:sz w:val="24"/>
              </w:rPr>
              <w:t>SF</w:t>
            </w:r>
            <w:r>
              <w:rPr>
                <w:spacing w:val="-3"/>
                <w:sz w:val="24"/>
              </w:rPr>
              <w:t xml:space="preserve"> </w:t>
            </w:r>
            <w:r>
              <w:rPr>
                <w:sz w:val="24"/>
              </w:rPr>
              <w:t>x CO</w:t>
            </w:r>
            <w:r>
              <w:rPr>
                <w:spacing w:val="-1"/>
                <w:sz w:val="24"/>
              </w:rPr>
              <w:t xml:space="preserve"> </w:t>
            </w:r>
            <w:r>
              <w:rPr>
                <w:sz w:val="24"/>
              </w:rPr>
              <w:t>-&gt;</w:t>
            </w:r>
            <w:r>
              <w:rPr>
                <w:spacing w:val="-1"/>
                <w:sz w:val="24"/>
              </w:rPr>
              <w:t xml:space="preserve"> </w:t>
            </w:r>
            <w:r>
              <w:rPr>
                <w:spacing w:val="-5"/>
                <w:sz w:val="24"/>
              </w:rPr>
              <w:t>SC</w:t>
            </w:r>
          </w:p>
        </w:tc>
        <w:tc>
          <w:tcPr>
            <w:tcW w:w="1156" w:type="dxa"/>
          </w:tcPr>
          <w:p w:rsidR="00487D64" w:rsidRDefault="006F0D93">
            <w:pPr>
              <w:pStyle w:val="TableParagraph"/>
              <w:spacing w:before="13"/>
              <w:ind w:left="122"/>
              <w:rPr>
                <w:sz w:val="24"/>
              </w:rPr>
            </w:pPr>
            <w:r>
              <w:rPr>
                <w:spacing w:val="-2"/>
                <w:sz w:val="24"/>
              </w:rPr>
              <w:t>-0.139</w:t>
            </w:r>
          </w:p>
        </w:tc>
        <w:tc>
          <w:tcPr>
            <w:tcW w:w="2044" w:type="dxa"/>
          </w:tcPr>
          <w:p w:rsidR="00487D64" w:rsidRDefault="006F0D93">
            <w:pPr>
              <w:pStyle w:val="TableParagraph"/>
              <w:spacing w:before="13"/>
              <w:ind w:left="121"/>
              <w:rPr>
                <w:sz w:val="24"/>
              </w:rPr>
            </w:pPr>
            <w:r>
              <w:rPr>
                <w:spacing w:val="-2"/>
                <w:sz w:val="24"/>
              </w:rPr>
              <w:t>0.040</w:t>
            </w:r>
          </w:p>
        </w:tc>
        <w:tc>
          <w:tcPr>
            <w:tcW w:w="1972" w:type="dxa"/>
          </w:tcPr>
          <w:p w:rsidR="00487D64" w:rsidRDefault="006F0D93">
            <w:pPr>
              <w:pStyle w:val="TableParagraph"/>
              <w:spacing w:before="13"/>
              <w:ind w:left="124"/>
              <w:rPr>
                <w:sz w:val="24"/>
              </w:rPr>
            </w:pPr>
            <w:r>
              <w:rPr>
                <w:spacing w:val="-2"/>
                <w:sz w:val="24"/>
              </w:rPr>
              <w:t>3.369</w:t>
            </w:r>
          </w:p>
        </w:tc>
        <w:tc>
          <w:tcPr>
            <w:tcW w:w="925" w:type="dxa"/>
          </w:tcPr>
          <w:p w:rsidR="00487D64" w:rsidRDefault="006F0D93">
            <w:pPr>
              <w:pStyle w:val="TableParagraph"/>
              <w:spacing w:before="13"/>
              <w:ind w:left="123"/>
              <w:rPr>
                <w:sz w:val="24"/>
              </w:rPr>
            </w:pPr>
            <w:r>
              <w:rPr>
                <w:spacing w:val="-2"/>
                <w:sz w:val="24"/>
              </w:rPr>
              <w:t>0.001</w:t>
            </w:r>
          </w:p>
        </w:tc>
      </w:tr>
    </w:tbl>
    <w:p w:rsidR="00487D64" w:rsidRDefault="006F0D93">
      <w:pPr>
        <w:spacing w:before="2"/>
        <w:ind w:left="70" w:right="355"/>
        <w:jc w:val="center"/>
        <w:rPr>
          <w:b/>
          <w:sz w:val="24"/>
        </w:rPr>
      </w:pPr>
      <w:r>
        <w:rPr>
          <w:b/>
          <w:sz w:val="24"/>
        </w:rPr>
        <w:t>Source:</w:t>
      </w:r>
      <w:r>
        <w:rPr>
          <w:b/>
          <w:spacing w:val="-3"/>
          <w:sz w:val="24"/>
        </w:rPr>
        <w:t xml:space="preserve"> </w:t>
      </w:r>
      <w:r>
        <w:rPr>
          <w:b/>
          <w:sz w:val="24"/>
        </w:rPr>
        <w:t>Data</w:t>
      </w:r>
      <w:r>
        <w:rPr>
          <w:b/>
          <w:spacing w:val="-2"/>
          <w:sz w:val="24"/>
        </w:rPr>
        <w:t xml:space="preserve"> </w:t>
      </w:r>
      <w:r>
        <w:rPr>
          <w:b/>
          <w:sz w:val="24"/>
        </w:rPr>
        <w:t>analysis</w:t>
      </w:r>
      <w:r>
        <w:rPr>
          <w:b/>
          <w:spacing w:val="-2"/>
          <w:sz w:val="24"/>
        </w:rPr>
        <w:t xml:space="preserve"> (2025)</w:t>
      </w:r>
    </w:p>
    <w:p w:rsidR="00487D64" w:rsidRDefault="00487D64">
      <w:pPr>
        <w:jc w:val="center"/>
        <w:rPr>
          <w:b/>
          <w:sz w:val="24"/>
        </w:rPr>
        <w:sectPr w:rsidR="00487D64">
          <w:pgSz w:w="11910" w:h="16840"/>
          <w:pgMar w:top="1680" w:right="563" w:bottom="800" w:left="850" w:header="677" w:footer="608" w:gutter="0"/>
          <w:cols w:space="720"/>
        </w:sectPr>
      </w:pPr>
    </w:p>
    <w:p w:rsidR="00487D64" w:rsidRDefault="006F0D93">
      <w:pPr>
        <w:spacing w:before="254"/>
        <w:ind w:left="57"/>
        <w:rPr>
          <w:b/>
          <w:sz w:val="24"/>
        </w:rPr>
      </w:pPr>
      <w:r>
        <w:rPr>
          <w:b/>
          <w:spacing w:val="-5"/>
          <w:sz w:val="24"/>
        </w:rPr>
        <w:lastRenderedPageBreak/>
        <w:t>Key</w:t>
      </w:r>
    </w:p>
    <w:p w:rsidR="00487D64" w:rsidRDefault="006F0D93">
      <w:pPr>
        <w:spacing w:before="40" w:line="276" w:lineRule="auto"/>
        <w:ind w:left="57" w:right="343"/>
        <w:jc w:val="both"/>
        <w:rPr>
          <w:sz w:val="24"/>
        </w:rPr>
      </w:pPr>
      <w:r>
        <w:rPr>
          <w:b/>
          <w:sz w:val="24"/>
        </w:rPr>
        <w:t>H1:</w:t>
      </w:r>
      <w:r>
        <w:rPr>
          <w:b/>
          <w:spacing w:val="-6"/>
          <w:sz w:val="24"/>
        </w:rPr>
        <w:t xml:space="preserve"> </w:t>
      </w:r>
      <w:r>
        <w:rPr>
          <w:sz w:val="24"/>
        </w:rPr>
        <w:t>Customer</w:t>
      </w:r>
      <w:r>
        <w:rPr>
          <w:spacing w:val="-6"/>
          <w:sz w:val="24"/>
        </w:rPr>
        <w:t xml:space="preserve"> </w:t>
      </w:r>
      <w:r>
        <w:rPr>
          <w:sz w:val="24"/>
        </w:rPr>
        <w:t>orientation</w:t>
      </w:r>
      <w:r>
        <w:rPr>
          <w:spacing w:val="-5"/>
          <w:sz w:val="24"/>
        </w:rPr>
        <w:t xml:space="preserve"> </w:t>
      </w:r>
      <w:r>
        <w:rPr>
          <w:sz w:val="24"/>
        </w:rPr>
        <w:t>positively</w:t>
      </w:r>
      <w:r>
        <w:rPr>
          <w:spacing w:val="-5"/>
          <w:sz w:val="24"/>
        </w:rPr>
        <w:t xml:space="preserve"> </w:t>
      </w:r>
      <w:r>
        <w:rPr>
          <w:sz w:val="24"/>
        </w:rPr>
        <w:t>influences</w:t>
      </w:r>
      <w:r>
        <w:rPr>
          <w:spacing w:val="-6"/>
          <w:sz w:val="24"/>
        </w:rPr>
        <w:t xml:space="preserve"> </w:t>
      </w:r>
      <w:r>
        <w:rPr>
          <w:sz w:val="24"/>
        </w:rPr>
        <w:t>the</w:t>
      </w:r>
      <w:r>
        <w:rPr>
          <w:spacing w:val="-6"/>
          <w:sz w:val="24"/>
        </w:rPr>
        <w:t xml:space="preserve"> </w:t>
      </w:r>
      <w:r>
        <w:rPr>
          <w:sz w:val="24"/>
        </w:rPr>
        <w:t>sustainable</w:t>
      </w:r>
      <w:r>
        <w:rPr>
          <w:spacing w:val="-6"/>
          <w:sz w:val="24"/>
        </w:rPr>
        <w:t xml:space="preserve"> </w:t>
      </w:r>
      <w:r>
        <w:rPr>
          <w:sz w:val="24"/>
        </w:rPr>
        <w:t>competitiveness</w:t>
      </w:r>
      <w:r>
        <w:rPr>
          <w:spacing w:val="-5"/>
          <w:sz w:val="24"/>
        </w:rPr>
        <w:t xml:space="preserve"> </w:t>
      </w:r>
      <w:r>
        <w:rPr>
          <w:sz w:val="24"/>
        </w:rPr>
        <w:t>of</w:t>
      </w:r>
      <w:r>
        <w:rPr>
          <w:spacing w:val="-6"/>
          <w:sz w:val="24"/>
        </w:rPr>
        <w:t xml:space="preserve"> </w:t>
      </w:r>
      <w:r>
        <w:rPr>
          <w:sz w:val="24"/>
        </w:rPr>
        <w:t>special</w:t>
      </w:r>
      <w:r>
        <w:rPr>
          <w:spacing w:val="-5"/>
          <w:sz w:val="24"/>
        </w:rPr>
        <w:t xml:space="preserve"> </w:t>
      </w:r>
      <w:r>
        <w:rPr>
          <w:sz w:val="24"/>
        </w:rPr>
        <w:t>group</w:t>
      </w:r>
      <w:r>
        <w:rPr>
          <w:spacing w:val="-6"/>
          <w:sz w:val="24"/>
        </w:rPr>
        <w:t xml:space="preserve"> </w:t>
      </w:r>
      <w:r>
        <w:rPr>
          <w:sz w:val="24"/>
        </w:rPr>
        <w:t>SMEs</w:t>
      </w:r>
      <w:r>
        <w:rPr>
          <w:spacing w:val="-6"/>
          <w:sz w:val="24"/>
        </w:rPr>
        <w:t xml:space="preserve"> </w:t>
      </w:r>
      <w:r>
        <w:rPr>
          <w:sz w:val="24"/>
        </w:rPr>
        <w:t>in public procurement.</w:t>
      </w:r>
    </w:p>
    <w:p w:rsidR="00487D64" w:rsidRDefault="006F0D93">
      <w:pPr>
        <w:spacing w:before="2" w:line="276" w:lineRule="auto"/>
        <w:ind w:left="57" w:right="345"/>
        <w:jc w:val="both"/>
        <w:rPr>
          <w:sz w:val="24"/>
        </w:rPr>
      </w:pPr>
      <w:r>
        <w:rPr>
          <w:b/>
          <w:sz w:val="24"/>
        </w:rPr>
        <w:t xml:space="preserve">H2: </w:t>
      </w:r>
      <w:r>
        <w:rPr>
          <w:sz w:val="24"/>
        </w:rPr>
        <w:t>Competitor orientation positively affects the sustainable competitiveness of special group SMEs in public procurement.</w:t>
      </w:r>
    </w:p>
    <w:p w:rsidR="00487D64" w:rsidRDefault="006F0D93">
      <w:pPr>
        <w:spacing w:line="276" w:lineRule="auto"/>
        <w:ind w:left="57" w:right="343"/>
        <w:jc w:val="both"/>
        <w:rPr>
          <w:sz w:val="24"/>
        </w:rPr>
      </w:pPr>
      <w:r>
        <w:rPr>
          <w:b/>
          <w:sz w:val="24"/>
        </w:rPr>
        <w:t xml:space="preserve">H3: </w:t>
      </w:r>
      <w:r>
        <w:rPr>
          <w:sz w:val="24"/>
        </w:rPr>
        <w:t>Strategic flexibility moderates the relationship between customer orientation and sustainable competitiveness of special group SMEs i</w:t>
      </w:r>
      <w:r>
        <w:rPr>
          <w:sz w:val="24"/>
        </w:rPr>
        <w:t>n public procurement.</w:t>
      </w:r>
    </w:p>
    <w:p w:rsidR="00487D64" w:rsidRDefault="006F0D93">
      <w:pPr>
        <w:spacing w:line="276" w:lineRule="auto"/>
        <w:ind w:left="57" w:right="344"/>
        <w:jc w:val="both"/>
        <w:rPr>
          <w:sz w:val="24"/>
        </w:rPr>
      </w:pPr>
      <w:r>
        <w:rPr>
          <w:b/>
          <w:sz w:val="24"/>
        </w:rPr>
        <w:t xml:space="preserve">H4: </w:t>
      </w:r>
      <w:r>
        <w:rPr>
          <w:sz w:val="24"/>
        </w:rPr>
        <w:t>Strategic flexibility moderates the relationship between competitor orientation and sustainable competitiveness of special group SMEs in public procurement.</w:t>
      </w:r>
    </w:p>
    <w:p w:rsidR="00487D64" w:rsidRDefault="006F0D93">
      <w:pPr>
        <w:spacing w:line="276" w:lineRule="auto"/>
        <w:ind w:left="57" w:right="338"/>
        <w:jc w:val="both"/>
        <w:rPr>
          <w:sz w:val="24"/>
        </w:rPr>
      </w:pPr>
      <w:r>
        <w:rPr>
          <w:sz w:val="24"/>
        </w:rPr>
        <w:t>The study on the sustainable competitiveness of special group SMEs in public procurement employed a structural model to test four hypotheses, Bringing out underlying complexities dynamics across market orientation dimensions. Findings confirmed a significa</w:t>
      </w:r>
      <w:r>
        <w:rPr>
          <w:sz w:val="24"/>
        </w:rPr>
        <w:t>nt positive effect of customer orientation on sustainable competitiveness (M = 0.216, T=5.438, p = 0.000), supporting Hypothesis 1, and similarly validated</w:t>
      </w:r>
      <w:r>
        <w:rPr>
          <w:spacing w:val="-13"/>
          <w:sz w:val="24"/>
        </w:rPr>
        <w:t xml:space="preserve"> </w:t>
      </w:r>
      <w:r>
        <w:rPr>
          <w:sz w:val="24"/>
        </w:rPr>
        <w:t>Hypothesis</w:t>
      </w:r>
      <w:r>
        <w:rPr>
          <w:spacing w:val="-11"/>
          <w:sz w:val="24"/>
        </w:rPr>
        <w:t xml:space="preserve"> </w:t>
      </w:r>
      <w:r>
        <w:rPr>
          <w:sz w:val="24"/>
        </w:rPr>
        <w:t>2</w:t>
      </w:r>
      <w:r>
        <w:rPr>
          <w:spacing w:val="-12"/>
          <w:sz w:val="24"/>
        </w:rPr>
        <w:t xml:space="preserve"> </w:t>
      </w:r>
      <w:r>
        <w:rPr>
          <w:sz w:val="24"/>
        </w:rPr>
        <w:t>with</w:t>
      </w:r>
      <w:r>
        <w:rPr>
          <w:spacing w:val="-12"/>
          <w:sz w:val="24"/>
        </w:rPr>
        <w:t xml:space="preserve"> </w:t>
      </w:r>
      <w:r>
        <w:rPr>
          <w:sz w:val="24"/>
        </w:rPr>
        <w:t>a</w:t>
      </w:r>
      <w:r>
        <w:rPr>
          <w:spacing w:val="-13"/>
          <w:sz w:val="24"/>
        </w:rPr>
        <w:t xml:space="preserve"> </w:t>
      </w:r>
      <w:r>
        <w:rPr>
          <w:sz w:val="24"/>
        </w:rPr>
        <w:t>strong</w:t>
      </w:r>
      <w:r>
        <w:rPr>
          <w:spacing w:val="-12"/>
          <w:sz w:val="24"/>
        </w:rPr>
        <w:t xml:space="preserve"> </w:t>
      </w:r>
      <w:r>
        <w:rPr>
          <w:sz w:val="24"/>
        </w:rPr>
        <w:t>link</w:t>
      </w:r>
      <w:r>
        <w:rPr>
          <w:spacing w:val="-12"/>
          <w:sz w:val="24"/>
        </w:rPr>
        <w:t xml:space="preserve"> </w:t>
      </w:r>
      <w:r>
        <w:rPr>
          <w:sz w:val="24"/>
        </w:rPr>
        <w:t>between</w:t>
      </w:r>
      <w:r>
        <w:rPr>
          <w:spacing w:val="-10"/>
          <w:sz w:val="24"/>
        </w:rPr>
        <w:t xml:space="preserve"> </w:t>
      </w:r>
      <w:r>
        <w:rPr>
          <w:sz w:val="24"/>
        </w:rPr>
        <w:t>competitor</w:t>
      </w:r>
      <w:r>
        <w:rPr>
          <w:spacing w:val="-13"/>
          <w:sz w:val="24"/>
        </w:rPr>
        <w:t xml:space="preserve"> </w:t>
      </w:r>
      <w:r>
        <w:rPr>
          <w:sz w:val="24"/>
        </w:rPr>
        <w:t>orientation</w:t>
      </w:r>
      <w:r>
        <w:rPr>
          <w:spacing w:val="-12"/>
          <w:sz w:val="24"/>
        </w:rPr>
        <w:t xml:space="preserve"> </w:t>
      </w:r>
      <w:r>
        <w:rPr>
          <w:sz w:val="24"/>
        </w:rPr>
        <w:t>and</w:t>
      </w:r>
      <w:r>
        <w:rPr>
          <w:spacing w:val="-12"/>
          <w:sz w:val="24"/>
        </w:rPr>
        <w:t xml:space="preserve"> </w:t>
      </w:r>
      <w:r>
        <w:rPr>
          <w:sz w:val="24"/>
        </w:rPr>
        <w:t>competitiveness</w:t>
      </w:r>
      <w:r>
        <w:rPr>
          <w:spacing w:val="-12"/>
          <w:sz w:val="24"/>
        </w:rPr>
        <w:t xml:space="preserve"> </w:t>
      </w:r>
      <w:r>
        <w:rPr>
          <w:sz w:val="24"/>
        </w:rPr>
        <w:t>(M</w:t>
      </w:r>
      <w:r>
        <w:rPr>
          <w:spacing w:val="-13"/>
          <w:sz w:val="24"/>
        </w:rPr>
        <w:t xml:space="preserve"> </w:t>
      </w:r>
      <w:r>
        <w:rPr>
          <w:sz w:val="24"/>
        </w:rPr>
        <w:t>=</w:t>
      </w:r>
      <w:r>
        <w:rPr>
          <w:spacing w:val="-13"/>
          <w:sz w:val="24"/>
        </w:rPr>
        <w:t xml:space="preserve"> </w:t>
      </w:r>
      <w:r>
        <w:rPr>
          <w:sz w:val="24"/>
        </w:rPr>
        <w:t>0.262, T= 6.</w:t>
      </w:r>
      <w:r>
        <w:rPr>
          <w:sz w:val="24"/>
        </w:rPr>
        <w:t>999, p = 0.000). Regarding moderation effects, Hypothesis 3 was not supported due to the non- significant interaction between strategic flexibility and customer orientation (M = –0.051, T=1.464, p = 0.143), suggesting that strategic flexibility does not al</w:t>
      </w:r>
      <w:r>
        <w:rPr>
          <w:sz w:val="24"/>
        </w:rPr>
        <w:t>ter this relationship. In contrast, Hypothesis 4 was accepted, with strategic flexibility significantly moderating the link between competitor orientation and sustainable competitiveness (M = –0.166, T= 3.369, p = 0.001), indicating its critical role in en</w:t>
      </w:r>
      <w:r>
        <w:rPr>
          <w:sz w:val="24"/>
        </w:rPr>
        <w:t>hancing strategic responses to competitive pressures.</w:t>
      </w:r>
    </w:p>
    <w:p w:rsidR="00487D64" w:rsidRDefault="006F0D93">
      <w:pPr>
        <w:spacing w:line="276" w:lineRule="auto"/>
        <w:ind w:left="57" w:right="340"/>
        <w:jc w:val="both"/>
        <w:rPr>
          <w:sz w:val="24"/>
        </w:rPr>
      </w:pPr>
      <w:r>
        <w:rPr>
          <w:sz w:val="24"/>
        </w:rPr>
        <w:t>Findings confirmed a significant positive effect of customer orientation on sustainable competitiveness (T=5.438, p=0.000), supporting H1, and similarly validated H2 with a strong link between competito</w:t>
      </w:r>
      <w:r>
        <w:rPr>
          <w:sz w:val="24"/>
        </w:rPr>
        <w:t>r orientation and competitiveness (T= 6.999, p = 0.000). Regarding moderation effects, H3 was not supported due to the non-significant interaction between strategic flexibility and customer orientation (T=1.464, p = 0.143), suggesting that strategic flexib</w:t>
      </w:r>
      <w:r>
        <w:rPr>
          <w:sz w:val="24"/>
        </w:rPr>
        <w:t>ility does not alter this relationship. In contrast, H4 was accepted, with strategic flexibility significantly moderating the link between competitor orientation and sustainable competitiveness (T= 3.369, p = 0.001), indicating its critical role in enhanci</w:t>
      </w:r>
      <w:r>
        <w:rPr>
          <w:sz w:val="24"/>
        </w:rPr>
        <w:t>ng strategic responses to competitive pressures.</w:t>
      </w:r>
    </w:p>
    <w:p w:rsidR="00487D64" w:rsidRDefault="006F0D93">
      <w:pPr>
        <w:spacing w:before="1" w:line="276" w:lineRule="auto"/>
        <w:ind w:left="57" w:right="336"/>
        <w:jc w:val="both"/>
        <w:rPr>
          <w:sz w:val="24"/>
        </w:rPr>
      </w:pPr>
      <w:r>
        <w:rPr>
          <w:sz w:val="24"/>
        </w:rPr>
        <w:t>The</w:t>
      </w:r>
      <w:r>
        <w:rPr>
          <w:spacing w:val="-7"/>
          <w:sz w:val="24"/>
        </w:rPr>
        <w:t xml:space="preserve"> </w:t>
      </w:r>
      <w:r>
        <w:rPr>
          <w:sz w:val="24"/>
        </w:rPr>
        <w:t>empirical</w:t>
      </w:r>
      <w:r>
        <w:rPr>
          <w:spacing w:val="-5"/>
          <w:sz w:val="24"/>
        </w:rPr>
        <w:t xml:space="preserve"> </w:t>
      </w:r>
      <w:r>
        <w:rPr>
          <w:sz w:val="24"/>
        </w:rPr>
        <w:t>results</w:t>
      </w:r>
      <w:r>
        <w:rPr>
          <w:spacing w:val="-6"/>
          <w:sz w:val="24"/>
        </w:rPr>
        <w:t xml:space="preserve"> </w:t>
      </w:r>
      <w:r>
        <w:rPr>
          <w:sz w:val="24"/>
        </w:rPr>
        <w:t>of</w:t>
      </w:r>
      <w:r>
        <w:rPr>
          <w:spacing w:val="-7"/>
          <w:sz w:val="24"/>
        </w:rPr>
        <w:t xml:space="preserve"> </w:t>
      </w:r>
      <w:r>
        <w:rPr>
          <w:sz w:val="24"/>
        </w:rPr>
        <w:t>this</w:t>
      </w:r>
      <w:r>
        <w:rPr>
          <w:spacing w:val="-5"/>
          <w:sz w:val="24"/>
        </w:rPr>
        <w:t xml:space="preserve"> </w:t>
      </w:r>
      <w:r>
        <w:rPr>
          <w:sz w:val="24"/>
        </w:rPr>
        <w:t>study</w:t>
      </w:r>
      <w:r>
        <w:rPr>
          <w:spacing w:val="-8"/>
          <w:sz w:val="24"/>
        </w:rPr>
        <w:t xml:space="preserve"> </w:t>
      </w:r>
      <w:r>
        <w:rPr>
          <w:sz w:val="24"/>
        </w:rPr>
        <w:t>indicate</w:t>
      </w:r>
      <w:r>
        <w:rPr>
          <w:spacing w:val="-6"/>
          <w:sz w:val="24"/>
        </w:rPr>
        <w:t xml:space="preserve"> </w:t>
      </w:r>
      <w:r>
        <w:rPr>
          <w:sz w:val="24"/>
        </w:rPr>
        <w:t>that</w:t>
      </w:r>
      <w:r>
        <w:rPr>
          <w:spacing w:val="-6"/>
          <w:sz w:val="24"/>
        </w:rPr>
        <w:t xml:space="preserve"> </w:t>
      </w:r>
      <w:r>
        <w:rPr>
          <w:sz w:val="24"/>
        </w:rPr>
        <w:t>sustainable</w:t>
      </w:r>
      <w:r>
        <w:rPr>
          <w:spacing w:val="-6"/>
          <w:sz w:val="24"/>
        </w:rPr>
        <w:t xml:space="preserve"> </w:t>
      </w:r>
      <w:r>
        <w:rPr>
          <w:sz w:val="24"/>
        </w:rPr>
        <w:t>competitiveness</w:t>
      </w:r>
      <w:r>
        <w:rPr>
          <w:spacing w:val="-5"/>
          <w:sz w:val="24"/>
        </w:rPr>
        <w:t xml:space="preserve"> </w:t>
      </w:r>
      <w:r>
        <w:rPr>
          <w:sz w:val="24"/>
        </w:rPr>
        <w:t>is</w:t>
      </w:r>
      <w:r>
        <w:rPr>
          <w:spacing w:val="-5"/>
          <w:sz w:val="24"/>
        </w:rPr>
        <w:t xml:space="preserve"> </w:t>
      </w:r>
      <w:r>
        <w:rPr>
          <w:sz w:val="24"/>
        </w:rPr>
        <w:t>significantly</w:t>
      </w:r>
      <w:r>
        <w:rPr>
          <w:spacing w:val="-6"/>
          <w:sz w:val="24"/>
        </w:rPr>
        <w:t xml:space="preserve"> </w:t>
      </w:r>
      <w:r>
        <w:rPr>
          <w:sz w:val="24"/>
        </w:rPr>
        <w:t>and</w:t>
      </w:r>
      <w:r>
        <w:rPr>
          <w:spacing w:val="-6"/>
          <w:sz w:val="24"/>
        </w:rPr>
        <w:t xml:space="preserve"> </w:t>
      </w:r>
      <w:r>
        <w:rPr>
          <w:sz w:val="24"/>
        </w:rPr>
        <w:t>positively influenced by customer orientation in the special group of small and medium-sized enterprises (SMEs) that participate in public procurement. This finding provides strong support for the first hypothesis and validates the core idea of Market Orie</w:t>
      </w:r>
      <w:r>
        <w:rPr>
          <w:sz w:val="24"/>
        </w:rPr>
        <w:t xml:space="preserve">ntation Theory, which holds that a company's capacity to predict, comprehend, and successfully address consumer wants is a key component of sustainable competitive </w:t>
      </w:r>
      <w:r>
        <w:rPr>
          <w:spacing w:val="-2"/>
          <w:sz w:val="24"/>
        </w:rPr>
        <w:t>advantage.</w:t>
      </w:r>
    </w:p>
    <w:p w:rsidR="00487D64" w:rsidRDefault="006F0D93">
      <w:pPr>
        <w:spacing w:line="276" w:lineRule="auto"/>
        <w:ind w:left="57" w:right="338"/>
        <w:jc w:val="both"/>
        <w:rPr>
          <w:sz w:val="24"/>
        </w:rPr>
      </w:pPr>
      <w:r>
        <w:rPr>
          <w:sz w:val="24"/>
        </w:rPr>
        <w:t>Positioned as a dynamic organizational capability, customer orientation helps SME</w:t>
      </w:r>
      <w:r>
        <w:rPr>
          <w:sz w:val="24"/>
        </w:rPr>
        <w:t>s to improve service delivery, maintain strategic alignment with market expectations, and demonstrate flexibility in changing procurement</w:t>
      </w:r>
      <w:r>
        <w:rPr>
          <w:spacing w:val="-3"/>
          <w:sz w:val="24"/>
        </w:rPr>
        <w:t xml:space="preserve"> </w:t>
      </w:r>
      <w:r>
        <w:rPr>
          <w:sz w:val="24"/>
        </w:rPr>
        <w:t>environments.</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complex</w:t>
      </w:r>
      <w:r>
        <w:rPr>
          <w:spacing w:val="-3"/>
          <w:sz w:val="24"/>
        </w:rPr>
        <w:t xml:space="preserve"> </w:t>
      </w:r>
      <w:r>
        <w:rPr>
          <w:sz w:val="24"/>
        </w:rPr>
        <w:t>regulatory</w:t>
      </w:r>
      <w:r>
        <w:rPr>
          <w:spacing w:val="-3"/>
          <w:sz w:val="24"/>
        </w:rPr>
        <w:t xml:space="preserve"> </w:t>
      </w:r>
      <w:r>
        <w:rPr>
          <w:sz w:val="24"/>
        </w:rPr>
        <w:t>structures</w:t>
      </w:r>
      <w:r>
        <w:rPr>
          <w:spacing w:val="-1"/>
          <w:sz w:val="24"/>
        </w:rPr>
        <w:t xml:space="preserve"> </w:t>
      </w:r>
      <w:r>
        <w:rPr>
          <w:sz w:val="24"/>
        </w:rPr>
        <w:t>and</w:t>
      </w:r>
      <w:r>
        <w:rPr>
          <w:spacing w:val="-3"/>
          <w:sz w:val="24"/>
        </w:rPr>
        <w:t xml:space="preserve"> </w:t>
      </w:r>
      <w:r>
        <w:rPr>
          <w:sz w:val="24"/>
        </w:rPr>
        <w:t>performance</w:t>
      </w:r>
      <w:r>
        <w:rPr>
          <w:spacing w:val="-4"/>
          <w:sz w:val="24"/>
        </w:rPr>
        <w:t xml:space="preserve"> </w:t>
      </w:r>
      <w:r>
        <w:rPr>
          <w:sz w:val="24"/>
        </w:rPr>
        <w:t>requirements</w:t>
      </w:r>
      <w:r>
        <w:rPr>
          <w:spacing w:val="-4"/>
          <w:sz w:val="24"/>
        </w:rPr>
        <w:t xml:space="preserve"> </w:t>
      </w:r>
      <w:r>
        <w:rPr>
          <w:sz w:val="24"/>
        </w:rPr>
        <w:t>of</w:t>
      </w:r>
      <w:r>
        <w:rPr>
          <w:spacing w:val="-3"/>
          <w:sz w:val="24"/>
        </w:rPr>
        <w:t xml:space="preserve"> </w:t>
      </w:r>
      <w:r>
        <w:rPr>
          <w:sz w:val="24"/>
        </w:rPr>
        <w:t>public sector procurement, where re</w:t>
      </w:r>
      <w:r>
        <w:rPr>
          <w:sz w:val="24"/>
        </w:rPr>
        <w:t>sponsiveness to end-user needs can be a leading competitive factor, these qualities are particularly important for SMEs.</w:t>
      </w:r>
    </w:p>
    <w:p w:rsidR="00487D64" w:rsidRDefault="006F0D93">
      <w:pPr>
        <w:spacing w:line="276" w:lineRule="auto"/>
        <w:ind w:left="57" w:right="341"/>
        <w:jc w:val="both"/>
        <w:rPr>
          <w:sz w:val="24"/>
        </w:rPr>
      </w:pPr>
      <w:r>
        <w:rPr>
          <w:sz w:val="24"/>
        </w:rPr>
        <w:t xml:space="preserve">The findings are consistent with an earlier empirical study by Tseng et al. (2018), which highlights how customer orientation improves </w:t>
      </w:r>
      <w:r>
        <w:rPr>
          <w:sz w:val="24"/>
        </w:rPr>
        <w:t>overall performance and environmental sustainability by balancing organizational actions with stakeholder expectations. Similarly, Woo et al. (2021) demonstrate that customer-focused</w:t>
      </w:r>
      <w:r>
        <w:rPr>
          <w:spacing w:val="28"/>
          <w:sz w:val="24"/>
        </w:rPr>
        <w:t xml:space="preserve"> </w:t>
      </w:r>
      <w:r>
        <w:rPr>
          <w:sz w:val="24"/>
        </w:rPr>
        <w:t>strategies</w:t>
      </w:r>
      <w:r>
        <w:rPr>
          <w:spacing w:val="31"/>
          <w:sz w:val="24"/>
        </w:rPr>
        <w:t xml:space="preserve"> </w:t>
      </w:r>
      <w:r>
        <w:rPr>
          <w:sz w:val="24"/>
        </w:rPr>
        <w:t>significantly</w:t>
      </w:r>
      <w:r>
        <w:rPr>
          <w:spacing w:val="31"/>
          <w:sz w:val="24"/>
        </w:rPr>
        <w:t xml:space="preserve"> </w:t>
      </w:r>
      <w:r>
        <w:rPr>
          <w:sz w:val="24"/>
        </w:rPr>
        <w:t>improve</w:t>
      </w:r>
      <w:r>
        <w:rPr>
          <w:spacing w:val="30"/>
          <w:sz w:val="24"/>
        </w:rPr>
        <w:t xml:space="preserve"> </w:t>
      </w:r>
      <w:r>
        <w:rPr>
          <w:sz w:val="24"/>
        </w:rPr>
        <w:t>innovation</w:t>
      </w:r>
      <w:r>
        <w:rPr>
          <w:spacing w:val="30"/>
          <w:sz w:val="24"/>
        </w:rPr>
        <w:t xml:space="preserve"> </w:t>
      </w:r>
      <w:r>
        <w:rPr>
          <w:sz w:val="24"/>
        </w:rPr>
        <w:t>capacity,</w:t>
      </w:r>
      <w:r>
        <w:rPr>
          <w:spacing w:val="31"/>
          <w:sz w:val="24"/>
        </w:rPr>
        <w:t xml:space="preserve"> </w:t>
      </w:r>
      <w:r>
        <w:rPr>
          <w:sz w:val="24"/>
        </w:rPr>
        <w:t>which</w:t>
      </w:r>
      <w:r>
        <w:rPr>
          <w:spacing w:val="31"/>
          <w:sz w:val="24"/>
        </w:rPr>
        <w:t xml:space="preserve"> </w:t>
      </w:r>
      <w:r>
        <w:rPr>
          <w:sz w:val="24"/>
        </w:rPr>
        <w:t>in</w:t>
      </w:r>
      <w:r>
        <w:rPr>
          <w:spacing w:val="31"/>
          <w:sz w:val="24"/>
        </w:rPr>
        <w:t xml:space="preserve"> </w:t>
      </w:r>
      <w:r>
        <w:rPr>
          <w:sz w:val="24"/>
        </w:rPr>
        <w:t>turn</w:t>
      </w:r>
      <w:r>
        <w:rPr>
          <w:spacing w:val="31"/>
          <w:sz w:val="24"/>
        </w:rPr>
        <w:t xml:space="preserve"> </w:t>
      </w:r>
      <w:r>
        <w:rPr>
          <w:sz w:val="24"/>
        </w:rPr>
        <w:t>stren</w:t>
      </w:r>
      <w:r>
        <w:rPr>
          <w:sz w:val="24"/>
        </w:rPr>
        <w:t>gthens</w:t>
      </w:r>
      <w:r>
        <w:rPr>
          <w:spacing w:val="29"/>
          <w:sz w:val="24"/>
        </w:rPr>
        <w:t xml:space="preserve"> </w:t>
      </w:r>
      <w:r>
        <w:rPr>
          <w:spacing w:val="-4"/>
          <w:sz w:val="24"/>
        </w:rPr>
        <w:t>firm</w:t>
      </w:r>
    </w:p>
    <w:p w:rsidR="00487D64" w:rsidRDefault="00487D64">
      <w:pPr>
        <w:spacing w:line="276" w:lineRule="auto"/>
        <w:jc w:val="both"/>
        <w:rPr>
          <w:sz w:val="24"/>
        </w:rPr>
        <w:sectPr w:rsidR="00487D64">
          <w:pgSz w:w="11910" w:h="16840"/>
          <w:pgMar w:top="1680" w:right="563" w:bottom="800" w:left="850" w:header="677" w:footer="608" w:gutter="0"/>
          <w:cols w:space="720"/>
        </w:sectPr>
      </w:pPr>
    </w:p>
    <w:p w:rsidR="00487D64" w:rsidRDefault="006F0D93">
      <w:pPr>
        <w:spacing w:before="254" w:line="276" w:lineRule="auto"/>
        <w:ind w:left="57" w:right="337"/>
        <w:jc w:val="both"/>
        <w:rPr>
          <w:sz w:val="24"/>
        </w:rPr>
      </w:pPr>
      <w:r>
        <w:rPr>
          <w:sz w:val="24"/>
        </w:rPr>
        <w:lastRenderedPageBreak/>
        <w:t>performance and resilience. Padmanaaban et al. (2024) extend this perspective by validating the innovation as a mediating role in the customer orientation competitiveness nexus, particularly within the context</w:t>
      </w:r>
      <w:r>
        <w:rPr>
          <w:spacing w:val="-15"/>
          <w:sz w:val="24"/>
        </w:rPr>
        <w:t xml:space="preserve"> </w:t>
      </w:r>
      <w:r>
        <w:rPr>
          <w:sz w:val="24"/>
        </w:rPr>
        <w:t>of</w:t>
      </w:r>
      <w:r>
        <w:rPr>
          <w:spacing w:val="-15"/>
          <w:sz w:val="24"/>
        </w:rPr>
        <w:t xml:space="preserve"> </w:t>
      </w:r>
      <w:r>
        <w:rPr>
          <w:sz w:val="24"/>
        </w:rPr>
        <w:t>emerging</w:t>
      </w:r>
      <w:r>
        <w:rPr>
          <w:spacing w:val="-15"/>
          <w:sz w:val="24"/>
        </w:rPr>
        <w:t xml:space="preserve"> </w:t>
      </w:r>
      <w:r>
        <w:rPr>
          <w:sz w:val="24"/>
        </w:rPr>
        <w:t>mark</w:t>
      </w:r>
      <w:r>
        <w:rPr>
          <w:sz w:val="24"/>
        </w:rPr>
        <w:t>ets</w:t>
      </w:r>
      <w:r>
        <w:rPr>
          <w:spacing w:val="-15"/>
          <w:sz w:val="24"/>
        </w:rPr>
        <w:t xml:space="preserve"> </w:t>
      </w:r>
      <w:r>
        <w:rPr>
          <w:sz w:val="24"/>
        </w:rPr>
        <w:t>characterized</w:t>
      </w:r>
      <w:r>
        <w:rPr>
          <w:spacing w:val="-15"/>
          <w:sz w:val="24"/>
        </w:rPr>
        <w:t xml:space="preserve"> </w:t>
      </w:r>
      <w:r>
        <w:rPr>
          <w:sz w:val="24"/>
        </w:rPr>
        <w:t>by</w:t>
      </w:r>
      <w:r>
        <w:rPr>
          <w:spacing w:val="-15"/>
          <w:sz w:val="24"/>
        </w:rPr>
        <w:t xml:space="preserve"> </w:t>
      </w:r>
      <w:r>
        <w:rPr>
          <w:sz w:val="24"/>
        </w:rPr>
        <w:t>volatility</w:t>
      </w:r>
      <w:r>
        <w:rPr>
          <w:spacing w:val="-15"/>
          <w:sz w:val="24"/>
        </w:rPr>
        <w:t xml:space="preserve"> </w:t>
      </w:r>
      <w:r>
        <w:rPr>
          <w:sz w:val="24"/>
        </w:rPr>
        <w:t>and</w:t>
      </w:r>
      <w:r>
        <w:rPr>
          <w:spacing w:val="-15"/>
          <w:sz w:val="24"/>
        </w:rPr>
        <w:t xml:space="preserve"> </w:t>
      </w:r>
      <w:r>
        <w:rPr>
          <w:sz w:val="24"/>
        </w:rPr>
        <w:t>constrained</w:t>
      </w:r>
      <w:r>
        <w:rPr>
          <w:spacing w:val="-15"/>
          <w:sz w:val="24"/>
        </w:rPr>
        <w:t xml:space="preserve"> </w:t>
      </w:r>
      <w:r>
        <w:rPr>
          <w:sz w:val="24"/>
        </w:rPr>
        <w:t>institutional</w:t>
      </w:r>
      <w:r>
        <w:rPr>
          <w:spacing w:val="-15"/>
          <w:sz w:val="24"/>
        </w:rPr>
        <w:t xml:space="preserve"> </w:t>
      </w:r>
      <w:r>
        <w:rPr>
          <w:sz w:val="24"/>
        </w:rPr>
        <w:t>support.</w:t>
      </w:r>
      <w:r>
        <w:rPr>
          <w:spacing w:val="-15"/>
          <w:sz w:val="24"/>
        </w:rPr>
        <w:t xml:space="preserve"> </w:t>
      </w:r>
      <w:r>
        <w:rPr>
          <w:sz w:val="24"/>
        </w:rPr>
        <w:t>Furthermore, Mahmood and Khan (2023) emphasize the benefits of combining consumer orientation with corporate social responsibility. They point out that this combination strengthens stakeholder loyalty and trust, both of which are necessary for establishing</w:t>
      </w:r>
      <w:r>
        <w:rPr>
          <w:sz w:val="24"/>
        </w:rPr>
        <w:t xml:space="preserve"> long-term competitive balance.</w:t>
      </w:r>
    </w:p>
    <w:p w:rsidR="00487D64" w:rsidRDefault="006F0D93">
      <w:pPr>
        <w:spacing w:line="276" w:lineRule="auto"/>
        <w:ind w:left="57" w:right="340"/>
        <w:jc w:val="both"/>
        <w:rPr>
          <w:sz w:val="24"/>
        </w:rPr>
      </w:pPr>
      <w:r>
        <w:rPr>
          <w:sz w:val="24"/>
        </w:rPr>
        <w:t>The study found out that</w:t>
      </w:r>
      <w:r>
        <w:rPr>
          <w:spacing w:val="-3"/>
          <w:sz w:val="24"/>
        </w:rPr>
        <w:t xml:space="preserve"> </w:t>
      </w:r>
      <w:r>
        <w:rPr>
          <w:sz w:val="24"/>
        </w:rPr>
        <w:t>the second hypothesis substantiates and reinforces the proposition</w:t>
      </w:r>
      <w:r>
        <w:rPr>
          <w:spacing w:val="-1"/>
          <w:sz w:val="24"/>
        </w:rPr>
        <w:t xml:space="preserve"> </w:t>
      </w:r>
      <w:r>
        <w:rPr>
          <w:sz w:val="24"/>
        </w:rPr>
        <w:t>that strategic attentiveness to competitive dynamics is essential for achieving and sustaining a competitive edge, particularly</w:t>
      </w:r>
      <w:r>
        <w:rPr>
          <w:spacing w:val="-6"/>
          <w:sz w:val="24"/>
        </w:rPr>
        <w:t xml:space="preserve"> </w:t>
      </w:r>
      <w:r>
        <w:rPr>
          <w:sz w:val="24"/>
        </w:rPr>
        <w:t>in</w:t>
      </w:r>
      <w:r>
        <w:rPr>
          <w:spacing w:val="-6"/>
          <w:sz w:val="24"/>
        </w:rPr>
        <w:t xml:space="preserve"> </w:t>
      </w:r>
      <w:r>
        <w:rPr>
          <w:sz w:val="24"/>
        </w:rPr>
        <w:t>h</w:t>
      </w:r>
      <w:r>
        <w:rPr>
          <w:sz w:val="24"/>
        </w:rPr>
        <w:t>ighly</w:t>
      </w:r>
      <w:r>
        <w:rPr>
          <w:spacing w:val="-7"/>
          <w:sz w:val="24"/>
        </w:rPr>
        <w:t xml:space="preserve"> </w:t>
      </w:r>
      <w:r>
        <w:rPr>
          <w:sz w:val="24"/>
        </w:rPr>
        <w:t>regulated</w:t>
      </w:r>
      <w:r>
        <w:rPr>
          <w:spacing w:val="-7"/>
          <w:sz w:val="24"/>
        </w:rPr>
        <w:t xml:space="preserve"> </w:t>
      </w:r>
      <w:r>
        <w:rPr>
          <w:sz w:val="24"/>
        </w:rPr>
        <w:t>and</w:t>
      </w:r>
      <w:r>
        <w:rPr>
          <w:spacing w:val="-7"/>
          <w:sz w:val="24"/>
        </w:rPr>
        <w:t xml:space="preserve"> </w:t>
      </w:r>
      <w:r>
        <w:rPr>
          <w:sz w:val="24"/>
        </w:rPr>
        <w:t>performance-sensitive</w:t>
      </w:r>
      <w:r>
        <w:rPr>
          <w:spacing w:val="-7"/>
          <w:sz w:val="24"/>
        </w:rPr>
        <w:t xml:space="preserve"> </w:t>
      </w:r>
      <w:r>
        <w:rPr>
          <w:sz w:val="24"/>
        </w:rPr>
        <w:t>procurement</w:t>
      </w:r>
      <w:r>
        <w:rPr>
          <w:spacing w:val="-7"/>
          <w:sz w:val="24"/>
        </w:rPr>
        <w:t xml:space="preserve"> </w:t>
      </w:r>
      <w:r>
        <w:rPr>
          <w:sz w:val="24"/>
        </w:rPr>
        <w:t>environments.</w:t>
      </w:r>
      <w:r>
        <w:rPr>
          <w:spacing w:val="-6"/>
          <w:sz w:val="24"/>
        </w:rPr>
        <w:t xml:space="preserve"> </w:t>
      </w:r>
      <w:r>
        <w:rPr>
          <w:sz w:val="24"/>
        </w:rPr>
        <w:t>From</w:t>
      </w:r>
      <w:r>
        <w:rPr>
          <w:spacing w:val="-7"/>
          <w:sz w:val="24"/>
        </w:rPr>
        <w:t xml:space="preserve"> </w:t>
      </w:r>
      <w:r>
        <w:rPr>
          <w:sz w:val="24"/>
        </w:rPr>
        <w:t>a</w:t>
      </w:r>
      <w:r>
        <w:rPr>
          <w:spacing w:val="-8"/>
          <w:sz w:val="24"/>
        </w:rPr>
        <w:t xml:space="preserve"> </w:t>
      </w:r>
      <w:r>
        <w:rPr>
          <w:sz w:val="24"/>
        </w:rPr>
        <w:t>conceptual standpoint, competitor</w:t>
      </w:r>
      <w:r>
        <w:rPr>
          <w:spacing w:val="-1"/>
          <w:sz w:val="24"/>
        </w:rPr>
        <w:t xml:space="preserve"> </w:t>
      </w:r>
      <w:r>
        <w:rPr>
          <w:sz w:val="24"/>
        </w:rPr>
        <w:t>orientation serves as a</w:t>
      </w:r>
      <w:r>
        <w:rPr>
          <w:spacing w:val="-1"/>
          <w:sz w:val="24"/>
        </w:rPr>
        <w:t xml:space="preserve"> </w:t>
      </w:r>
      <w:r>
        <w:rPr>
          <w:sz w:val="24"/>
        </w:rPr>
        <w:t>strategic</w:t>
      </w:r>
      <w:r>
        <w:rPr>
          <w:spacing w:val="-1"/>
          <w:sz w:val="24"/>
        </w:rPr>
        <w:t xml:space="preserve"> </w:t>
      </w:r>
      <w:r>
        <w:rPr>
          <w:sz w:val="24"/>
        </w:rPr>
        <w:t>capacity that empowers</w:t>
      </w:r>
      <w:r>
        <w:rPr>
          <w:spacing w:val="-1"/>
          <w:sz w:val="24"/>
        </w:rPr>
        <w:t xml:space="preserve"> </w:t>
      </w:r>
      <w:r>
        <w:rPr>
          <w:sz w:val="24"/>
        </w:rPr>
        <w:t>businesses</w:t>
      </w:r>
      <w:r>
        <w:rPr>
          <w:spacing w:val="-1"/>
          <w:sz w:val="24"/>
        </w:rPr>
        <w:t xml:space="preserve"> </w:t>
      </w:r>
      <w:r>
        <w:rPr>
          <w:sz w:val="24"/>
        </w:rPr>
        <w:t>to deliberately observe, analyze, and react to market trends and competitor act</w:t>
      </w:r>
      <w:r>
        <w:rPr>
          <w:sz w:val="24"/>
        </w:rPr>
        <w:t>ions. Such an approach improves market foresight, helps SMEs make better strategic decisions, and maximizes success in competitive bidding procedures as they navigate the complexities of public procurement. These capabilities collectively contribute to lon</w:t>
      </w:r>
      <w:r>
        <w:rPr>
          <w:sz w:val="24"/>
        </w:rPr>
        <w:t>g-term organizational resilience and competitiveness.</w:t>
      </w:r>
    </w:p>
    <w:p w:rsidR="00487D64" w:rsidRDefault="006F0D93">
      <w:pPr>
        <w:spacing w:line="276" w:lineRule="auto"/>
        <w:ind w:left="57" w:right="341"/>
        <w:jc w:val="both"/>
        <w:rPr>
          <w:sz w:val="24"/>
        </w:rPr>
      </w:pPr>
      <w:r>
        <w:rPr>
          <w:sz w:val="24"/>
        </w:rPr>
        <w:t>The</w:t>
      </w:r>
      <w:r>
        <w:rPr>
          <w:spacing w:val="-14"/>
          <w:sz w:val="24"/>
        </w:rPr>
        <w:t xml:space="preserve"> </w:t>
      </w:r>
      <w:r>
        <w:rPr>
          <w:sz w:val="24"/>
        </w:rPr>
        <w:t>results</w:t>
      </w:r>
      <w:r>
        <w:rPr>
          <w:spacing w:val="-13"/>
          <w:sz w:val="24"/>
        </w:rPr>
        <w:t xml:space="preserve"> </w:t>
      </w:r>
      <w:r>
        <w:rPr>
          <w:sz w:val="24"/>
        </w:rPr>
        <w:t>align</w:t>
      </w:r>
      <w:r>
        <w:rPr>
          <w:spacing w:val="-13"/>
          <w:sz w:val="24"/>
        </w:rPr>
        <w:t xml:space="preserve"> </w:t>
      </w:r>
      <w:r>
        <w:rPr>
          <w:sz w:val="24"/>
        </w:rPr>
        <w:t>with</w:t>
      </w:r>
      <w:r>
        <w:rPr>
          <w:spacing w:val="-13"/>
          <w:sz w:val="24"/>
        </w:rPr>
        <w:t xml:space="preserve"> </w:t>
      </w:r>
      <w:r>
        <w:rPr>
          <w:sz w:val="24"/>
        </w:rPr>
        <w:t>prevailing</w:t>
      </w:r>
      <w:r>
        <w:rPr>
          <w:spacing w:val="-13"/>
          <w:sz w:val="24"/>
        </w:rPr>
        <w:t xml:space="preserve"> </w:t>
      </w:r>
      <w:r>
        <w:rPr>
          <w:sz w:val="24"/>
        </w:rPr>
        <w:t>trends</w:t>
      </w:r>
      <w:r>
        <w:rPr>
          <w:spacing w:val="-13"/>
          <w:sz w:val="24"/>
        </w:rPr>
        <w:t xml:space="preserve"> </w:t>
      </w:r>
      <w:r>
        <w:rPr>
          <w:sz w:val="24"/>
        </w:rPr>
        <w:t>in</w:t>
      </w:r>
      <w:r>
        <w:rPr>
          <w:spacing w:val="-13"/>
          <w:sz w:val="24"/>
        </w:rPr>
        <w:t xml:space="preserve"> </w:t>
      </w:r>
      <w:r>
        <w:rPr>
          <w:sz w:val="24"/>
        </w:rPr>
        <w:t>current</w:t>
      </w:r>
      <w:r>
        <w:rPr>
          <w:spacing w:val="-13"/>
          <w:sz w:val="24"/>
        </w:rPr>
        <w:t xml:space="preserve"> </w:t>
      </w:r>
      <w:r>
        <w:rPr>
          <w:sz w:val="24"/>
        </w:rPr>
        <w:t>research.</w:t>
      </w:r>
      <w:r>
        <w:rPr>
          <w:spacing w:val="-13"/>
          <w:sz w:val="24"/>
        </w:rPr>
        <w:t xml:space="preserve"> </w:t>
      </w:r>
      <w:r>
        <w:rPr>
          <w:sz w:val="24"/>
        </w:rPr>
        <w:t>For</w:t>
      </w:r>
      <w:r>
        <w:rPr>
          <w:spacing w:val="-14"/>
          <w:sz w:val="24"/>
        </w:rPr>
        <w:t xml:space="preserve"> </w:t>
      </w:r>
      <w:r>
        <w:rPr>
          <w:sz w:val="24"/>
        </w:rPr>
        <w:t>instance,</w:t>
      </w:r>
      <w:r>
        <w:rPr>
          <w:spacing w:val="-13"/>
          <w:sz w:val="24"/>
        </w:rPr>
        <w:t xml:space="preserve"> </w:t>
      </w:r>
      <w:r>
        <w:rPr>
          <w:sz w:val="24"/>
        </w:rPr>
        <w:t>according</w:t>
      </w:r>
      <w:r>
        <w:rPr>
          <w:spacing w:val="-13"/>
          <w:sz w:val="24"/>
        </w:rPr>
        <w:t xml:space="preserve"> </w:t>
      </w:r>
      <w:r>
        <w:rPr>
          <w:sz w:val="24"/>
        </w:rPr>
        <w:t>to</w:t>
      </w:r>
      <w:r>
        <w:rPr>
          <w:spacing w:val="-13"/>
          <w:sz w:val="24"/>
        </w:rPr>
        <w:t xml:space="preserve"> </w:t>
      </w:r>
      <w:r>
        <w:rPr>
          <w:sz w:val="24"/>
        </w:rPr>
        <w:t>Njoroge</w:t>
      </w:r>
      <w:r>
        <w:rPr>
          <w:spacing w:val="-14"/>
          <w:sz w:val="24"/>
        </w:rPr>
        <w:t xml:space="preserve"> </w:t>
      </w:r>
      <w:r>
        <w:rPr>
          <w:sz w:val="24"/>
        </w:rPr>
        <w:t>and</w:t>
      </w:r>
      <w:r>
        <w:rPr>
          <w:spacing w:val="-13"/>
          <w:sz w:val="24"/>
        </w:rPr>
        <w:t xml:space="preserve"> </w:t>
      </w:r>
      <w:r>
        <w:rPr>
          <w:sz w:val="24"/>
        </w:rPr>
        <w:t>Kinyua (2025), competitor awareness is a crucial facilitator of organizational growth and profitability, underscoring the importance of strategic orientation in generating competitive advantage. At the same time, Lopez-Torres (2023) shows that SMEs focused</w:t>
      </w:r>
      <w:r>
        <w:rPr>
          <w:sz w:val="24"/>
        </w:rPr>
        <w:t xml:space="preserve"> on sustainability outperform their less responsive competitors when they incorporate competitive knowledge into their operational frameworks. Furthermore, Isoghom and Worgu (2025) contend that improving supply chain competitiveness in the context of publi</w:t>
      </w:r>
      <w:r>
        <w:rPr>
          <w:sz w:val="24"/>
        </w:rPr>
        <w:t>c procurement requires environmental responsiveness and market knowledge, both of which include aspects of competitor orientation.</w:t>
      </w:r>
    </w:p>
    <w:p w:rsidR="00487D64" w:rsidRDefault="006F0D93">
      <w:pPr>
        <w:spacing w:line="276" w:lineRule="auto"/>
        <w:ind w:left="57" w:right="339"/>
        <w:jc w:val="both"/>
        <w:rPr>
          <w:sz w:val="24"/>
        </w:rPr>
      </w:pPr>
      <w:r>
        <w:rPr>
          <w:sz w:val="24"/>
        </w:rPr>
        <w:t>The</w:t>
      </w:r>
      <w:r>
        <w:rPr>
          <w:spacing w:val="-15"/>
          <w:sz w:val="24"/>
        </w:rPr>
        <w:t xml:space="preserve"> </w:t>
      </w:r>
      <w:r>
        <w:rPr>
          <w:sz w:val="24"/>
        </w:rPr>
        <w:t>findings</w:t>
      </w:r>
      <w:r>
        <w:rPr>
          <w:spacing w:val="-15"/>
          <w:sz w:val="24"/>
        </w:rPr>
        <w:t xml:space="preserve"> </w:t>
      </w:r>
      <w:r>
        <w:rPr>
          <w:sz w:val="24"/>
        </w:rPr>
        <w:t>showed</w:t>
      </w:r>
      <w:r>
        <w:rPr>
          <w:spacing w:val="-15"/>
          <w:sz w:val="24"/>
        </w:rPr>
        <w:t xml:space="preserve"> </w:t>
      </w:r>
      <w:r>
        <w:rPr>
          <w:sz w:val="24"/>
        </w:rPr>
        <w:t>a</w:t>
      </w:r>
      <w:r>
        <w:rPr>
          <w:spacing w:val="-15"/>
          <w:sz w:val="24"/>
        </w:rPr>
        <w:t xml:space="preserve"> </w:t>
      </w:r>
      <w:r>
        <w:rPr>
          <w:sz w:val="24"/>
        </w:rPr>
        <w:t>complex</w:t>
      </w:r>
      <w:r>
        <w:rPr>
          <w:spacing w:val="-15"/>
          <w:sz w:val="24"/>
        </w:rPr>
        <w:t xml:space="preserve"> </w:t>
      </w:r>
      <w:r>
        <w:rPr>
          <w:sz w:val="24"/>
        </w:rPr>
        <w:t>pattern</w:t>
      </w:r>
      <w:r>
        <w:rPr>
          <w:spacing w:val="-15"/>
          <w:sz w:val="24"/>
        </w:rPr>
        <w:t xml:space="preserve"> </w:t>
      </w:r>
      <w:r>
        <w:rPr>
          <w:sz w:val="24"/>
        </w:rPr>
        <w:t>of</w:t>
      </w:r>
      <w:r>
        <w:rPr>
          <w:spacing w:val="-15"/>
          <w:sz w:val="24"/>
        </w:rPr>
        <w:t xml:space="preserve"> </w:t>
      </w:r>
      <w:r>
        <w:rPr>
          <w:sz w:val="24"/>
        </w:rPr>
        <w:t>moderation:</w:t>
      </w:r>
      <w:r>
        <w:rPr>
          <w:spacing w:val="-15"/>
          <w:sz w:val="24"/>
        </w:rPr>
        <w:t xml:space="preserve"> </w:t>
      </w:r>
      <w:r>
        <w:rPr>
          <w:sz w:val="24"/>
        </w:rPr>
        <w:t>SF</w:t>
      </w:r>
      <w:r>
        <w:rPr>
          <w:spacing w:val="-15"/>
          <w:sz w:val="24"/>
        </w:rPr>
        <w:t xml:space="preserve"> </w:t>
      </w:r>
      <w:r>
        <w:rPr>
          <w:sz w:val="24"/>
        </w:rPr>
        <w:t>significantly</w:t>
      </w:r>
      <w:r>
        <w:rPr>
          <w:spacing w:val="-15"/>
          <w:sz w:val="24"/>
        </w:rPr>
        <w:t xml:space="preserve"> </w:t>
      </w:r>
      <w:r>
        <w:rPr>
          <w:sz w:val="24"/>
        </w:rPr>
        <w:t>influenced</w:t>
      </w:r>
      <w:r>
        <w:rPr>
          <w:spacing w:val="-15"/>
          <w:sz w:val="24"/>
        </w:rPr>
        <w:t xml:space="preserve"> </w:t>
      </w:r>
      <w:r>
        <w:rPr>
          <w:sz w:val="24"/>
        </w:rPr>
        <w:t>the</w:t>
      </w:r>
      <w:r>
        <w:rPr>
          <w:spacing w:val="-15"/>
          <w:sz w:val="24"/>
        </w:rPr>
        <w:t xml:space="preserve"> </w:t>
      </w:r>
      <w:r>
        <w:rPr>
          <w:sz w:val="24"/>
        </w:rPr>
        <w:t>CO–SC</w:t>
      </w:r>
      <w:r>
        <w:rPr>
          <w:spacing w:val="-15"/>
          <w:sz w:val="24"/>
        </w:rPr>
        <w:t xml:space="preserve"> </w:t>
      </w:r>
      <w:r>
        <w:rPr>
          <w:sz w:val="24"/>
        </w:rPr>
        <w:t>connection, but its interaction wi</w:t>
      </w:r>
      <w:r>
        <w:rPr>
          <w:sz w:val="24"/>
        </w:rPr>
        <w:t>th CU was not statistically significant, suggesting that the two strategic orientations had</w:t>
      </w:r>
      <w:r>
        <w:rPr>
          <w:spacing w:val="-12"/>
          <w:sz w:val="24"/>
        </w:rPr>
        <w:t xml:space="preserve"> </w:t>
      </w:r>
      <w:r>
        <w:rPr>
          <w:sz w:val="24"/>
        </w:rPr>
        <w:t>distinct</w:t>
      </w:r>
      <w:r>
        <w:rPr>
          <w:spacing w:val="-12"/>
          <w:sz w:val="24"/>
        </w:rPr>
        <w:t xml:space="preserve"> </w:t>
      </w:r>
      <w:r>
        <w:rPr>
          <w:sz w:val="24"/>
        </w:rPr>
        <w:t>effects.</w:t>
      </w:r>
      <w:r>
        <w:rPr>
          <w:spacing w:val="-9"/>
          <w:sz w:val="24"/>
        </w:rPr>
        <w:t xml:space="preserve"> </w:t>
      </w:r>
      <w:r>
        <w:rPr>
          <w:sz w:val="24"/>
        </w:rPr>
        <w:t>This</w:t>
      </w:r>
      <w:r>
        <w:rPr>
          <w:spacing w:val="-12"/>
          <w:sz w:val="24"/>
        </w:rPr>
        <w:t xml:space="preserve"> </w:t>
      </w:r>
      <w:r>
        <w:rPr>
          <w:sz w:val="24"/>
        </w:rPr>
        <w:t>implies</w:t>
      </w:r>
      <w:r>
        <w:rPr>
          <w:spacing w:val="-12"/>
          <w:sz w:val="24"/>
        </w:rPr>
        <w:t xml:space="preserve"> </w:t>
      </w:r>
      <w:r>
        <w:rPr>
          <w:sz w:val="24"/>
        </w:rPr>
        <w:t>that</w:t>
      </w:r>
      <w:r>
        <w:rPr>
          <w:spacing w:val="-12"/>
          <w:sz w:val="24"/>
        </w:rPr>
        <w:t xml:space="preserve"> </w:t>
      </w:r>
      <w:r>
        <w:rPr>
          <w:sz w:val="24"/>
        </w:rPr>
        <w:t>although</w:t>
      </w:r>
      <w:r>
        <w:rPr>
          <w:spacing w:val="-12"/>
          <w:sz w:val="24"/>
        </w:rPr>
        <w:t xml:space="preserve"> </w:t>
      </w:r>
      <w:r>
        <w:rPr>
          <w:sz w:val="24"/>
        </w:rPr>
        <w:t>customer</w:t>
      </w:r>
      <w:r>
        <w:rPr>
          <w:spacing w:val="-13"/>
          <w:sz w:val="24"/>
        </w:rPr>
        <w:t xml:space="preserve"> </w:t>
      </w:r>
      <w:r>
        <w:rPr>
          <w:sz w:val="24"/>
        </w:rPr>
        <w:t>orientation</w:t>
      </w:r>
      <w:r>
        <w:rPr>
          <w:spacing w:val="-12"/>
          <w:sz w:val="24"/>
        </w:rPr>
        <w:t xml:space="preserve"> </w:t>
      </w:r>
      <w:r>
        <w:rPr>
          <w:sz w:val="24"/>
        </w:rPr>
        <w:t>remains</w:t>
      </w:r>
      <w:r>
        <w:rPr>
          <w:spacing w:val="-7"/>
          <w:sz w:val="24"/>
        </w:rPr>
        <w:t xml:space="preserve"> </w:t>
      </w:r>
      <w:r>
        <w:rPr>
          <w:sz w:val="24"/>
        </w:rPr>
        <w:t>a</w:t>
      </w:r>
      <w:r>
        <w:rPr>
          <w:spacing w:val="-13"/>
          <w:sz w:val="24"/>
        </w:rPr>
        <w:t xml:space="preserve"> </w:t>
      </w:r>
      <w:r>
        <w:rPr>
          <w:sz w:val="24"/>
        </w:rPr>
        <w:t>valuable</w:t>
      </w:r>
      <w:r>
        <w:rPr>
          <w:spacing w:val="-13"/>
          <w:sz w:val="24"/>
        </w:rPr>
        <w:t xml:space="preserve"> </w:t>
      </w:r>
      <w:r>
        <w:rPr>
          <w:sz w:val="24"/>
        </w:rPr>
        <w:t>internal</w:t>
      </w:r>
      <w:r>
        <w:rPr>
          <w:spacing w:val="-12"/>
          <w:sz w:val="24"/>
        </w:rPr>
        <w:t xml:space="preserve"> </w:t>
      </w:r>
      <w:r>
        <w:rPr>
          <w:sz w:val="24"/>
        </w:rPr>
        <w:t>capability, its</w:t>
      </w:r>
      <w:r>
        <w:rPr>
          <w:spacing w:val="-6"/>
          <w:sz w:val="24"/>
        </w:rPr>
        <w:t xml:space="preserve"> </w:t>
      </w:r>
      <w:r>
        <w:rPr>
          <w:sz w:val="24"/>
        </w:rPr>
        <w:t>competitive</w:t>
      </w:r>
      <w:r>
        <w:rPr>
          <w:spacing w:val="-6"/>
          <w:sz w:val="24"/>
        </w:rPr>
        <w:t xml:space="preserve"> </w:t>
      </w:r>
      <w:r>
        <w:rPr>
          <w:sz w:val="24"/>
        </w:rPr>
        <w:t>impact</w:t>
      </w:r>
      <w:r>
        <w:rPr>
          <w:spacing w:val="-5"/>
          <w:sz w:val="24"/>
        </w:rPr>
        <w:t xml:space="preserve"> </w:t>
      </w:r>
      <w:r>
        <w:rPr>
          <w:sz w:val="24"/>
        </w:rPr>
        <w:t>is</w:t>
      </w:r>
      <w:r>
        <w:rPr>
          <w:spacing w:val="-8"/>
          <w:sz w:val="24"/>
        </w:rPr>
        <w:t xml:space="preserve"> </w:t>
      </w:r>
      <w:r>
        <w:rPr>
          <w:sz w:val="24"/>
        </w:rPr>
        <w:t>not</w:t>
      </w:r>
      <w:r>
        <w:rPr>
          <w:spacing w:val="-5"/>
          <w:sz w:val="24"/>
        </w:rPr>
        <w:t xml:space="preserve"> </w:t>
      </w:r>
      <w:r>
        <w:rPr>
          <w:sz w:val="24"/>
        </w:rPr>
        <w:t>necessarily</w:t>
      </w:r>
      <w:r>
        <w:rPr>
          <w:spacing w:val="-6"/>
          <w:sz w:val="24"/>
        </w:rPr>
        <w:t xml:space="preserve"> </w:t>
      </w:r>
      <w:r>
        <w:rPr>
          <w:sz w:val="24"/>
        </w:rPr>
        <w:t>enhanced</w:t>
      </w:r>
      <w:r>
        <w:rPr>
          <w:spacing w:val="-6"/>
          <w:sz w:val="24"/>
        </w:rPr>
        <w:t xml:space="preserve"> </w:t>
      </w:r>
      <w:r>
        <w:rPr>
          <w:sz w:val="24"/>
        </w:rPr>
        <w:t>by</w:t>
      </w:r>
      <w:r>
        <w:rPr>
          <w:spacing w:val="-6"/>
          <w:sz w:val="24"/>
        </w:rPr>
        <w:t xml:space="preserve"> </w:t>
      </w:r>
      <w:r>
        <w:rPr>
          <w:sz w:val="24"/>
        </w:rPr>
        <w:t>stra</w:t>
      </w:r>
      <w:r>
        <w:rPr>
          <w:sz w:val="24"/>
        </w:rPr>
        <w:t>tegic</w:t>
      </w:r>
      <w:r>
        <w:rPr>
          <w:spacing w:val="-7"/>
          <w:sz w:val="24"/>
        </w:rPr>
        <w:t xml:space="preserve"> </w:t>
      </w:r>
      <w:r>
        <w:rPr>
          <w:sz w:val="24"/>
        </w:rPr>
        <w:t>flexibility</w:t>
      </w:r>
      <w:r>
        <w:rPr>
          <w:spacing w:val="-5"/>
          <w:sz w:val="24"/>
        </w:rPr>
        <w:t xml:space="preserve"> </w:t>
      </w:r>
      <w:r>
        <w:rPr>
          <w:sz w:val="24"/>
        </w:rPr>
        <w:t>in</w:t>
      </w:r>
      <w:r>
        <w:rPr>
          <w:spacing w:val="-10"/>
          <w:sz w:val="24"/>
        </w:rPr>
        <w:t xml:space="preserve"> </w:t>
      </w:r>
      <w:r>
        <w:rPr>
          <w:sz w:val="24"/>
        </w:rPr>
        <w:t>highly</w:t>
      </w:r>
      <w:r>
        <w:rPr>
          <w:spacing w:val="-6"/>
          <w:sz w:val="24"/>
        </w:rPr>
        <w:t xml:space="preserve"> </w:t>
      </w:r>
      <w:r>
        <w:rPr>
          <w:sz w:val="24"/>
        </w:rPr>
        <w:t>regulated</w:t>
      </w:r>
      <w:r>
        <w:rPr>
          <w:spacing w:val="-6"/>
          <w:sz w:val="24"/>
        </w:rPr>
        <w:t xml:space="preserve"> </w:t>
      </w:r>
      <w:r>
        <w:rPr>
          <w:sz w:val="24"/>
        </w:rPr>
        <w:t>procurement contexts. This finding echoes prior studies (e.g., Pekovic &amp; Rolland, 2016), which argue that the effectiveness of customer orientation may depend on contextual enablers such as technological infrastructure, market fluidity, and institutional a</w:t>
      </w:r>
      <w:r>
        <w:rPr>
          <w:sz w:val="24"/>
        </w:rPr>
        <w:t>utonomy factors often limited in SMEs operating under public procurement constraints.</w:t>
      </w:r>
    </w:p>
    <w:p w:rsidR="00487D64" w:rsidRDefault="006F0D93">
      <w:pPr>
        <w:spacing w:line="276" w:lineRule="auto"/>
        <w:ind w:left="57" w:right="340"/>
        <w:jc w:val="both"/>
        <w:rPr>
          <w:sz w:val="24"/>
        </w:rPr>
      </w:pPr>
      <w:r>
        <w:rPr>
          <w:sz w:val="24"/>
        </w:rPr>
        <w:t>On the other hand, the moderation effect of SF on the CO-SC relationship was statistically significant, supporting Hypothesis 4. This suggests that SMEs possessing higher</w:t>
      </w:r>
      <w:r>
        <w:rPr>
          <w:sz w:val="24"/>
        </w:rPr>
        <w:t xml:space="preserve"> levels of strategic flexibility are better positioned to transform competitor insights into adaptive strategies, thereby achieving sustainable competitive advantage. This outcome aligns with the work of Khan et al. (2022) and Yang et al. (2022), who posit</w:t>
      </w:r>
      <w:r>
        <w:rPr>
          <w:sz w:val="24"/>
        </w:rPr>
        <w:t>ion SF as a dynamic capability that enhances the responsiveness and resource reconfiguration needed</w:t>
      </w:r>
      <w:r>
        <w:rPr>
          <w:spacing w:val="-3"/>
          <w:sz w:val="24"/>
        </w:rPr>
        <w:t xml:space="preserve"> </w:t>
      </w:r>
      <w:r>
        <w:rPr>
          <w:sz w:val="24"/>
        </w:rPr>
        <w:t>to</w:t>
      </w:r>
      <w:r>
        <w:rPr>
          <w:spacing w:val="-4"/>
          <w:sz w:val="24"/>
        </w:rPr>
        <w:t xml:space="preserve"> </w:t>
      </w:r>
      <w:r>
        <w:rPr>
          <w:sz w:val="24"/>
        </w:rPr>
        <w:t>capitalize</w:t>
      </w:r>
      <w:r>
        <w:rPr>
          <w:spacing w:val="-6"/>
          <w:sz w:val="24"/>
        </w:rPr>
        <w:t xml:space="preserve"> </w:t>
      </w:r>
      <w:r>
        <w:rPr>
          <w:sz w:val="24"/>
        </w:rPr>
        <w:t>on</w:t>
      </w:r>
      <w:r>
        <w:rPr>
          <w:spacing w:val="-3"/>
          <w:sz w:val="24"/>
        </w:rPr>
        <w:t xml:space="preserve"> </w:t>
      </w:r>
      <w:r>
        <w:rPr>
          <w:sz w:val="24"/>
        </w:rPr>
        <w:t>market</w:t>
      </w:r>
      <w:r>
        <w:rPr>
          <w:spacing w:val="-4"/>
          <w:sz w:val="24"/>
        </w:rPr>
        <w:t xml:space="preserve"> </w:t>
      </w:r>
      <w:r>
        <w:rPr>
          <w:sz w:val="24"/>
        </w:rPr>
        <w:t>intelligence.</w:t>
      </w:r>
      <w:r>
        <w:rPr>
          <w:spacing w:val="-5"/>
          <w:sz w:val="24"/>
        </w:rPr>
        <w:t xml:space="preserve"> </w:t>
      </w:r>
      <w:r>
        <w:rPr>
          <w:sz w:val="24"/>
        </w:rPr>
        <w:t>Moreover,</w:t>
      </w:r>
      <w:r>
        <w:rPr>
          <w:spacing w:val="-6"/>
          <w:sz w:val="24"/>
        </w:rPr>
        <w:t xml:space="preserve"> </w:t>
      </w:r>
      <w:r>
        <w:rPr>
          <w:sz w:val="24"/>
        </w:rPr>
        <w:t>in</w:t>
      </w:r>
      <w:r>
        <w:rPr>
          <w:spacing w:val="-4"/>
          <w:sz w:val="24"/>
        </w:rPr>
        <w:t xml:space="preserve"> </w:t>
      </w:r>
      <w:r>
        <w:rPr>
          <w:sz w:val="24"/>
        </w:rPr>
        <w:t>public</w:t>
      </w:r>
      <w:r>
        <w:rPr>
          <w:spacing w:val="-4"/>
          <w:sz w:val="24"/>
        </w:rPr>
        <w:t xml:space="preserve"> </w:t>
      </w:r>
      <w:r>
        <w:rPr>
          <w:sz w:val="24"/>
        </w:rPr>
        <w:t>procurement</w:t>
      </w:r>
      <w:r>
        <w:rPr>
          <w:spacing w:val="-4"/>
          <w:sz w:val="24"/>
        </w:rPr>
        <w:t xml:space="preserve"> </w:t>
      </w:r>
      <w:r>
        <w:rPr>
          <w:sz w:val="24"/>
        </w:rPr>
        <w:t>settings,</w:t>
      </w:r>
      <w:r>
        <w:rPr>
          <w:spacing w:val="-4"/>
          <w:sz w:val="24"/>
        </w:rPr>
        <w:t xml:space="preserve"> </w:t>
      </w:r>
      <w:r>
        <w:rPr>
          <w:sz w:val="24"/>
        </w:rPr>
        <w:t>where</w:t>
      </w:r>
      <w:r>
        <w:rPr>
          <w:spacing w:val="-4"/>
          <w:sz w:val="24"/>
        </w:rPr>
        <w:t xml:space="preserve"> </w:t>
      </w:r>
      <w:r>
        <w:rPr>
          <w:sz w:val="24"/>
        </w:rPr>
        <w:t>competitive benchmarking and agile response are critical, SF enables S</w:t>
      </w:r>
      <w:r>
        <w:rPr>
          <w:sz w:val="24"/>
        </w:rPr>
        <w:t>MEs to recalibrate bids and strategies more effectively (Tammi et al., 2014). These results reinforce broader theoretical assertions (e.g., Brozovic, 2023; Morgan et al., 2019) that strategic flexibility is instrumental in enabling firms to navigate enviro</w:t>
      </w:r>
      <w:r>
        <w:rPr>
          <w:sz w:val="24"/>
        </w:rPr>
        <w:t>nmental uncertainty, particularly when paired with competitive awareness.</w:t>
      </w:r>
    </w:p>
    <w:p w:rsidR="00487D64" w:rsidRDefault="00487D64">
      <w:pPr>
        <w:pStyle w:val="BodyText"/>
        <w:spacing w:before="43"/>
        <w:rPr>
          <w:sz w:val="24"/>
        </w:rPr>
      </w:pPr>
    </w:p>
    <w:p w:rsidR="00487D64" w:rsidRDefault="006F0D93">
      <w:pPr>
        <w:ind w:left="57"/>
        <w:rPr>
          <w:b/>
          <w:sz w:val="24"/>
        </w:rPr>
      </w:pPr>
      <w:r>
        <w:rPr>
          <w:b/>
          <w:sz w:val="24"/>
        </w:rPr>
        <w:t xml:space="preserve">IV. </w:t>
      </w:r>
      <w:r>
        <w:rPr>
          <w:b/>
          <w:spacing w:val="-2"/>
          <w:sz w:val="24"/>
        </w:rPr>
        <w:t>CONCLUSION</w:t>
      </w:r>
    </w:p>
    <w:p w:rsidR="00487D64" w:rsidRDefault="006F0D93">
      <w:pPr>
        <w:spacing w:before="41"/>
        <w:ind w:left="57"/>
        <w:jc w:val="both"/>
        <w:rPr>
          <w:sz w:val="24"/>
        </w:rPr>
      </w:pPr>
      <w:r>
        <w:rPr>
          <w:sz w:val="24"/>
        </w:rPr>
        <w:t>This</w:t>
      </w:r>
      <w:r>
        <w:rPr>
          <w:spacing w:val="16"/>
          <w:sz w:val="24"/>
        </w:rPr>
        <w:t xml:space="preserve"> </w:t>
      </w:r>
      <w:r>
        <w:rPr>
          <w:sz w:val="24"/>
        </w:rPr>
        <w:t>study</w:t>
      </w:r>
      <w:r>
        <w:rPr>
          <w:spacing w:val="18"/>
          <w:sz w:val="24"/>
        </w:rPr>
        <w:t xml:space="preserve"> </w:t>
      </w:r>
      <w:r>
        <w:rPr>
          <w:sz w:val="24"/>
        </w:rPr>
        <w:t>confirms</w:t>
      </w:r>
      <w:r>
        <w:rPr>
          <w:spacing w:val="18"/>
          <w:sz w:val="24"/>
        </w:rPr>
        <w:t xml:space="preserve"> </w:t>
      </w:r>
      <w:r>
        <w:rPr>
          <w:sz w:val="24"/>
        </w:rPr>
        <w:t>that</w:t>
      </w:r>
      <w:r>
        <w:rPr>
          <w:spacing w:val="21"/>
          <w:sz w:val="24"/>
        </w:rPr>
        <w:t xml:space="preserve"> </w:t>
      </w:r>
      <w:r>
        <w:rPr>
          <w:sz w:val="24"/>
        </w:rPr>
        <w:t>both</w:t>
      </w:r>
      <w:r>
        <w:rPr>
          <w:spacing w:val="18"/>
          <w:sz w:val="24"/>
        </w:rPr>
        <w:t xml:space="preserve"> </w:t>
      </w:r>
      <w:r>
        <w:rPr>
          <w:sz w:val="24"/>
        </w:rPr>
        <w:t>customer</w:t>
      </w:r>
      <w:r>
        <w:rPr>
          <w:spacing w:val="19"/>
          <w:sz w:val="24"/>
        </w:rPr>
        <w:t xml:space="preserve"> </w:t>
      </w:r>
      <w:r>
        <w:rPr>
          <w:sz w:val="24"/>
        </w:rPr>
        <w:t>and</w:t>
      </w:r>
      <w:r>
        <w:rPr>
          <w:spacing w:val="21"/>
          <w:sz w:val="24"/>
        </w:rPr>
        <w:t xml:space="preserve"> </w:t>
      </w:r>
      <w:r>
        <w:rPr>
          <w:sz w:val="24"/>
        </w:rPr>
        <w:t>competitor</w:t>
      </w:r>
      <w:r>
        <w:rPr>
          <w:spacing w:val="17"/>
          <w:sz w:val="24"/>
        </w:rPr>
        <w:t xml:space="preserve"> </w:t>
      </w:r>
      <w:r>
        <w:rPr>
          <w:sz w:val="24"/>
        </w:rPr>
        <w:t>orientation</w:t>
      </w:r>
      <w:r>
        <w:rPr>
          <w:spacing w:val="18"/>
          <w:sz w:val="24"/>
        </w:rPr>
        <w:t xml:space="preserve"> </w:t>
      </w:r>
      <w:r>
        <w:rPr>
          <w:sz w:val="24"/>
        </w:rPr>
        <w:t>are</w:t>
      </w:r>
      <w:r>
        <w:rPr>
          <w:spacing w:val="19"/>
          <w:sz w:val="24"/>
        </w:rPr>
        <w:t xml:space="preserve"> </w:t>
      </w:r>
      <w:r>
        <w:rPr>
          <w:sz w:val="24"/>
        </w:rPr>
        <w:t>essential</w:t>
      </w:r>
      <w:r>
        <w:rPr>
          <w:spacing w:val="18"/>
          <w:sz w:val="24"/>
        </w:rPr>
        <w:t xml:space="preserve"> </w:t>
      </w:r>
      <w:r>
        <w:rPr>
          <w:sz w:val="24"/>
        </w:rPr>
        <w:t>for</w:t>
      </w:r>
      <w:r>
        <w:rPr>
          <w:spacing w:val="16"/>
          <w:sz w:val="24"/>
        </w:rPr>
        <w:t xml:space="preserve"> </w:t>
      </w:r>
      <w:r>
        <w:rPr>
          <w:sz w:val="24"/>
        </w:rPr>
        <w:t>driving</w:t>
      </w:r>
      <w:r>
        <w:rPr>
          <w:spacing w:val="19"/>
          <w:sz w:val="24"/>
        </w:rPr>
        <w:t xml:space="preserve"> </w:t>
      </w:r>
      <w:r>
        <w:rPr>
          <w:spacing w:val="-2"/>
          <w:sz w:val="24"/>
        </w:rPr>
        <w:t>sustainable</w:t>
      </w:r>
    </w:p>
    <w:p w:rsidR="00487D64" w:rsidRDefault="00487D64">
      <w:pPr>
        <w:jc w:val="both"/>
        <w:rPr>
          <w:sz w:val="24"/>
        </w:rPr>
        <w:sectPr w:rsidR="00487D64">
          <w:pgSz w:w="11910" w:h="16840"/>
          <w:pgMar w:top="1680" w:right="563" w:bottom="800" w:left="850" w:header="677" w:footer="608" w:gutter="0"/>
          <w:cols w:space="720"/>
        </w:sectPr>
      </w:pPr>
    </w:p>
    <w:p w:rsidR="00487D64" w:rsidRDefault="006F0D93">
      <w:pPr>
        <w:spacing w:before="254" w:line="276" w:lineRule="auto"/>
        <w:ind w:left="57" w:right="341"/>
        <w:jc w:val="both"/>
        <w:rPr>
          <w:sz w:val="24"/>
        </w:rPr>
      </w:pPr>
      <w:r>
        <w:rPr>
          <w:sz w:val="24"/>
        </w:rPr>
        <w:lastRenderedPageBreak/>
        <w:t>competitiveness among special group SMEs in public procurement. Customer orientation enhances service delivery and market alignment, while competitor orientation supports adaptability and strategic decision-making. Strategic</w:t>
      </w:r>
      <w:r>
        <w:rPr>
          <w:spacing w:val="-1"/>
          <w:sz w:val="24"/>
        </w:rPr>
        <w:t xml:space="preserve"> </w:t>
      </w:r>
      <w:r>
        <w:rPr>
          <w:sz w:val="24"/>
        </w:rPr>
        <w:t>flexibility plays</w:t>
      </w:r>
      <w:r>
        <w:rPr>
          <w:spacing w:val="-1"/>
          <w:sz w:val="24"/>
        </w:rPr>
        <w:t xml:space="preserve"> </w:t>
      </w:r>
      <w:r>
        <w:rPr>
          <w:sz w:val="24"/>
        </w:rPr>
        <w:t>a</w:t>
      </w:r>
      <w:r>
        <w:rPr>
          <w:spacing w:val="-1"/>
          <w:sz w:val="24"/>
        </w:rPr>
        <w:t xml:space="preserve"> </w:t>
      </w:r>
      <w:r>
        <w:rPr>
          <w:sz w:val="24"/>
        </w:rPr>
        <w:t>key moderat</w:t>
      </w:r>
      <w:r>
        <w:rPr>
          <w:sz w:val="24"/>
        </w:rPr>
        <w:t>ing role, significantly strengthening the</w:t>
      </w:r>
      <w:r>
        <w:rPr>
          <w:spacing w:val="-1"/>
          <w:sz w:val="24"/>
        </w:rPr>
        <w:t xml:space="preserve"> </w:t>
      </w:r>
      <w:r>
        <w:rPr>
          <w:sz w:val="24"/>
        </w:rPr>
        <w:t>impact of competitor orientation but not customer orientation likely due to institutional and technological constraints. SMEs should prioritize integrating competitor orientation with strategic flexibility, while p</w:t>
      </w:r>
      <w:r>
        <w:rPr>
          <w:sz w:val="24"/>
        </w:rPr>
        <w:t>olicymakers</w:t>
      </w:r>
      <w:r>
        <w:rPr>
          <w:spacing w:val="-9"/>
          <w:sz w:val="24"/>
        </w:rPr>
        <w:t xml:space="preserve"> </w:t>
      </w:r>
      <w:r>
        <w:rPr>
          <w:sz w:val="24"/>
        </w:rPr>
        <w:t>are</w:t>
      </w:r>
      <w:r>
        <w:rPr>
          <w:spacing w:val="-9"/>
          <w:sz w:val="24"/>
        </w:rPr>
        <w:t xml:space="preserve"> </w:t>
      </w:r>
      <w:r>
        <w:rPr>
          <w:sz w:val="24"/>
        </w:rPr>
        <w:t>encouraged</w:t>
      </w:r>
      <w:r>
        <w:rPr>
          <w:spacing w:val="-8"/>
          <w:sz w:val="24"/>
        </w:rPr>
        <w:t xml:space="preserve"> </w:t>
      </w:r>
      <w:r>
        <w:rPr>
          <w:sz w:val="24"/>
        </w:rPr>
        <w:t>to</w:t>
      </w:r>
      <w:r>
        <w:rPr>
          <w:spacing w:val="-8"/>
          <w:sz w:val="24"/>
        </w:rPr>
        <w:t xml:space="preserve"> </w:t>
      </w:r>
      <w:r>
        <w:rPr>
          <w:sz w:val="24"/>
        </w:rPr>
        <w:t>reduce</w:t>
      </w:r>
      <w:r>
        <w:rPr>
          <w:spacing w:val="-9"/>
          <w:sz w:val="24"/>
        </w:rPr>
        <w:t xml:space="preserve"> </w:t>
      </w:r>
      <w:r>
        <w:rPr>
          <w:sz w:val="24"/>
        </w:rPr>
        <w:t>structural</w:t>
      </w:r>
      <w:r>
        <w:rPr>
          <w:spacing w:val="-8"/>
          <w:sz w:val="24"/>
        </w:rPr>
        <w:t xml:space="preserve"> </w:t>
      </w:r>
      <w:r>
        <w:rPr>
          <w:sz w:val="24"/>
        </w:rPr>
        <w:t>barriers</w:t>
      </w:r>
      <w:r>
        <w:rPr>
          <w:spacing w:val="-7"/>
          <w:sz w:val="24"/>
        </w:rPr>
        <w:t xml:space="preserve"> </w:t>
      </w:r>
      <w:r>
        <w:rPr>
          <w:sz w:val="24"/>
        </w:rPr>
        <w:t>and</w:t>
      </w:r>
      <w:r>
        <w:rPr>
          <w:spacing w:val="-8"/>
          <w:sz w:val="24"/>
        </w:rPr>
        <w:t xml:space="preserve"> </w:t>
      </w:r>
      <w:r>
        <w:rPr>
          <w:sz w:val="24"/>
        </w:rPr>
        <w:t>enhance</w:t>
      </w:r>
      <w:r>
        <w:rPr>
          <w:spacing w:val="-9"/>
          <w:sz w:val="24"/>
        </w:rPr>
        <w:t xml:space="preserve"> </w:t>
      </w:r>
      <w:r>
        <w:rPr>
          <w:sz w:val="24"/>
        </w:rPr>
        <w:t>technological</w:t>
      </w:r>
      <w:r>
        <w:rPr>
          <w:spacing w:val="-8"/>
          <w:sz w:val="24"/>
        </w:rPr>
        <w:t xml:space="preserve"> </w:t>
      </w:r>
      <w:r>
        <w:rPr>
          <w:sz w:val="24"/>
        </w:rPr>
        <w:t>support</w:t>
      </w:r>
      <w:r>
        <w:rPr>
          <w:spacing w:val="-8"/>
          <w:sz w:val="24"/>
        </w:rPr>
        <w:t xml:space="preserve"> </w:t>
      </w:r>
      <w:r>
        <w:rPr>
          <w:sz w:val="24"/>
        </w:rPr>
        <w:t>to</w:t>
      </w:r>
      <w:r>
        <w:rPr>
          <w:spacing w:val="-8"/>
          <w:sz w:val="24"/>
        </w:rPr>
        <w:t xml:space="preserve"> </w:t>
      </w:r>
      <w:r>
        <w:rPr>
          <w:sz w:val="24"/>
        </w:rPr>
        <w:t>maximize the benefits of customer orientation. Future studies should examine how senior management may help SMEs</w:t>
      </w:r>
      <w:r>
        <w:rPr>
          <w:spacing w:val="-15"/>
          <w:sz w:val="24"/>
        </w:rPr>
        <w:t xml:space="preserve"> </w:t>
      </w:r>
      <w:r>
        <w:rPr>
          <w:sz w:val="24"/>
        </w:rPr>
        <w:t>with</w:t>
      </w:r>
      <w:r>
        <w:rPr>
          <w:spacing w:val="-15"/>
          <w:sz w:val="24"/>
        </w:rPr>
        <w:t xml:space="preserve"> </w:t>
      </w:r>
      <w:r>
        <w:rPr>
          <w:sz w:val="24"/>
        </w:rPr>
        <w:t>limited</w:t>
      </w:r>
      <w:r>
        <w:rPr>
          <w:spacing w:val="-15"/>
          <w:sz w:val="24"/>
        </w:rPr>
        <w:t xml:space="preserve"> </w:t>
      </w:r>
      <w:r>
        <w:rPr>
          <w:sz w:val="24"/>
        </w:rPr>
        <w:t>resources</w:t>
      </w:r>
      <w:r>
        <w:rPr>
          <w:spacing w:val="-15"/>
          <w:sz w:val="24"/>
        </w:rPr>
        <w:t xml:space="preserve"> </w:t>
      </w:r>
      <w:r>
        <w:rPr>
          <w:sz w:val="24"/>
        </w:rPr>
        <w:t>build</w:t>
      </w:r>
      <w:r>
        <w:rPr>
          <w:spacing w:val="-15"/>
          <w:sz w:val="24"/>
        </w:rPr>
        <w:t xml:space="preserve"> </w:t>
      </w:r>
      <w:r>
        <w:rPr>
          <w:sz w:val="24"/>
        </w:rPr>
        <w:t>dynamic</w:t>
      </w:r>
      <w:r>
        <w:rPr>
          <w:spacing w:val="-15"/>
          <w:sz w:val="24"/>
        </w:rPr>
        <w:t xml:space="preserve"> </w:t>
      </w:r>
      <w:r>
        <w:rPr>
          <w:sz w:val="24"/>
        </w:rPr>
        <w:t>skills.</w:t>
      </w:r>
      <w:r>
        <w:rPr>
          <w:spacing w:val="-15"/>
          <w:sz w:val="24"/>
        </w:rPr>
        <w:t xml:space="preserve"> </w:t>
      </w:r>
      <w:r>
        <w:rPr>
          <w:sz w:val="24"/>
        </w:rPr>
        <w:t>This</w:t>
      </w:r>
      <w:r>
        <w:rPr>
          <w:spacing w:val="-15"/>
          <w:sz w:val="24"/>
        </w:rPr>
        <w:t xml:space="preserve"> </w:t>
      </w:r>
      <w:r>
        <w:rPr>
          <w:sz w:val="24"/>
        </w:rPr>
        <w:t>includes</w:t>
      </w:r>
      <w:r>
        <w:rPr>
          <w:spacing w:val="-15"/>
          <w:sz w:val="24"/>
        </w:rPr>
        <w:t xml:space="preserve"> </w:t>
      </w:r>
      <w:r>
        <w:rPr>
          <w:sz w:val="24"/>
        </w:rPr>
        <w:t>how</w:t>
      </w:r>
      <w:r>
        <w:rPr>
          <w:spacing w:val="-15"/>
          <w:sz w:val="24"/>
        </w:rPr>
        <w:t xml:space="preserve"> </w:t>
      </w:r>
      <w:r>
        <w:rPr>
          <w:sz w:val="24"/>
        </w:rPr>
        <w:t>leadership</w:t>
      </w:r>
      <w:r>
        <w:rPr>
          <w:spacing w:val="-15"/>
          <w:sz w:val="24"/>
        </w:rPr>
        <w:t xml:space="preserve"> </w:t>
      </w:r>
      <w:r>
        <w:rPr>
          <w:sz w:val="24"/>
        </w:rPr>
        <w:t>development</w:t>
      </w:r>
      <w:r>
        <w:rPr>
          <w:spacing w:val="-15"/>
          <w:sz w:val="24"/>
        </w:rPr>
        <w:t xml:space="preserve"> </w:t>
      </w:r>
      <w:r>
        <w:rPr>
          <w:sz w:val="24"/>
        </w:rPr>
        <w:t>can</w:t>
      </w:r>
      <w:r>
        <w:rPr>
          <w:spacing w:val="-15"/>
          <w:sz w:val="24"/>
        </w:rPr>
        <w:t xml:space="preserve"> </w:t>
      </w:r>
      <w:r>
        <w:rPr>
          <w:sz w:val="24"/>
        </w:rPr>
        <w:t>improve agility, innovation, and change management. Longitudinal and comparative research across industries or geographical</w:t>
      </w:r>
      <w:r>
        <w:rPr>
          <w:spacing w:val="-15"/>
          <w:sz w:val="24"/>
        </w:rPr>
        <w:t xml:space="preserve"> </w:t>
      </w:r>
      <w:r>
        <w:rPr>
          <w:sz w:val="24"/>
        </w:rPr>
        <w:t>areas</w:t>
      </w:r>
      <w:r>
        <w:rPr>
          <w:spacing w:val="-15"/>
          <w:sz w:val="24"/>
        </w:rPr>
        <w:t xml:space="preserve"> </w:t>
      </w:r>
      <w:r>
        <w:rPr>
          <w:sz w:val="24"/>
        </w:rPr>
        <w:t>may</w:t>
      </w:r>
      <w:r>
        <w:rPr>
          <w:spacing w:val="-15"/>
          <w:sz w:val="24"/>
        </w:rPr>
        <w:t xml:space="preserve"> </w:t>
      </w:r>
      <w:r>
        <w:rPr>
          <w:sz w:val="24"/>
        </w:rPr>
        <w:t>also</w:t>
      </w:r>
      <w:r>
        <w:rPr>
          <w:spacing w:val="-15"/>
          <w:sz w:val="24"/>
        </w:rPr>
        <w:t xml:space="preserve"> </w:t>
      </w:r>
      <w:r>
        <w:rPr>
          <w:sz w:val="24"/>
        </w:rPr>
        <w:t>provide</w:t>
      </w:r>
      <w:r>
        <w:rPr>
          <w:spacing w:val="-15"/>
          <w:sz w:val="24"/>
        </w:rPr>
        <w:t xml:space="preserve"> </w:t>
      </w:r>
      <w:r>
        <w:rPr>
          <w:sz w:val="24"/>
        </w:rPr>
        <w:t>information</w:t>
      </w:r>
      <w:r>
        <w:rPr>
          <w:spacing w:val="-15"/>
          <w:sz w:val="24"/>
        </w:rPr>
        <w:t xml:space="preserve"> </w:t>
      </w:r>
      <w:r>
        <w:rPr>
          <w:sz w:val="24"/>
        </w:rPr>
        <w:t>about</w:t>
      </w:r>
      <w:r>
        <w:rPr>
          <w:spacing w:val="-15"/>
          <w:sz w:val="24"/>
        </w:rPr>
        <w:t xml:space="preserve"> </w:t>
      </w:r>
      <w:r>
        <w:rPr>
          <w:sz w:val="24"/>
        </w:rPr>
        <w:t>environmental</w:t>
      </w:r>
      <w:r>
        <w:rPr>
          <w:spacing w:val="-15"/>
          <w:sz w:val="24"/>
        </w:rPr>
        <w:t xml:space="preserve"> </w:t>
      </w:r>
      <w:r>
        <w:rPr>
          <w:sz w:val="24"/>
        </w:rPr>
        <w:t>influences</w:t>
      </w:r>
      <w:r>
        <w:rPr>
          <w:spacing w:val="-15"/>
          <w:sz w:val="24"/>
        </w:rPr>
        <w:t xml:space="preserve"> </w:t>
      </w:r>
      <w:r>
        <w:rPr>
          <w:sz w:val="24"/>
        </w:rPr>
        <w:t>and</w:t>
      </w:r>
      <w:r>
        <w:rPr>
          <w:spacing w:val="-15"/>
          <w:sz w:val="24"/>
        </w:rPr>
        <w:t xml:space="preserve"> </w:t>
      </w:r>
      <w:r>
        <w:rPr>
          <w:sz w:val="24"/>
        </w:rPr>
        <w:t>the</w:t>
      </w:r>
      <w:r>
        <w:rPr>
          <w:spacing w:val="-15"/>
          <w:sz w:val="24"/>
        </w:rPr>
        <w:t xml:space="preserve"> </w:t>
      </w:r>
      <w:r>
        <w:rPr>
          <w:sz w:val="24"/>
        </w:rPr>
        <w:t>long-term</w:t>
      </w:r>
      <w:r>
        <w:rPr>
          <w:spacing w:val="-15"/>
          <w:sz w:val="24"/>
        </w:rPr>
        <w:t xml:space="preserve"> </w:t>
      </w:r>
      <w:r>
        <w:rPr>
          <w:sz w:val="24"/>
        </w:rPr>
        <w:t>effects</w:t>
      </w:r>
      <w:r>
        <w:rPr>
          <w:sz w:val="24"/>
        </w:rPr>
        <w:t xml:space="preserve"> of these capacities on the sustainability and resilience of SMEs.</w:t>
      </w:r>
    </w:p>
    <w:p w:rsidR="00487D64" w:rsidRDefault="00487D64">
      <w:pPr>
        <w:pStyle w:val="BodyText"/>
        <w:spacing w:before="42"/>
        <w:rPr>
          <w:sz w:val="24"/>
        </w:rPr>
      </w:pPr>
    </w:p>
    <w:p w:rsidR="00487D64" w:rsidRDefault="006F0D93">
      <w:pPr>
        <w:ind w:left="57"/>
        <w:jc w:val="both"/>
        <w:rPr>
          <w:b/>
          <w:sz w:val="24"/>
        </w:rPr>
      </w:pPr>
      <w:r>
        <w:rPr>
          <w:b/>
          <w:sz w:val="24"/>
        </w:rPr>
        <w:t xml:space="preserve">V. </w:t>
      </w:r>
      <w:r>
        <w:rPr>
          <w:b/>
          <w:spacing w:val="-2"/>
          <w:sz w:val="24"/>
        </w:rPr>
        <w:t>REFERENCES</w:t>
      </w:r>
    </w:p>
    <w:p w:rsidR="00487D64" w:rsidRDefault="006F0D93">
      <w:pPr>
        <w:pStyle w:val="ListParagraph"/>
        <w:numPr>
          <w:ilvl w:val="0"/>
          <w:numId w:val="1"/>
        </w:numPr>
        <w:tabs>
          <w:tab w:val="left" w:pos="417"/>
        </w:tabs>
        <w:spacing w:before="41" w:line="276" w:lineRule="auto"/>
        <w:ind w:right="346"/>
        <w:jc w:val="both"/>
        <w:rPr>
          <w:sz w:val="24"/>
        </w:rPr>
      </w:pPr>
      <w:r>
        <w:rPr>
          <w:sz w:val="24"/>
        </w:rPr>
        <w:t>Aabo, T., Pantzalis, C., Park, J. C., Trigeorgis, L., and Wulff, J. N. (2024). CEO personality traits, strategic flexibility, and firm dynamics. Journal of Corporate Finance,</w:t>
      </w:r>
      <w:r>
        <w:rPr>
          <w:sz w:val="24"/>
        </w:rPr>
        <w:t xml:space="preserve"> 84, 102524.</w:t>
      </w:r>
    </w:p>
    <w:p w:rsidR="00487D64" w:rsidRDefault="006F0D93">
      <w:pPr>
        <w:pStyle w:val="ListParagraph"/>
        <w:numPr>
          <w:ilvl w:val="0"/>
          <w:numId w:val="1"/>
        </w:numPr>
        <w:tabs>
          <w:tab w:val="left" w:pos="417"/>
        </w:tabs>
        <w:spacing w:before="1" w:line="276" w:lineRule="auto"/>
        <w:ind w:right="343"/>
        <w:jc w:val="both"/>
        <w:rPr>
          <w:sz w:val="24"/>
        </w:rPr>
      </w:pPr>
      <w:r>
        <w:rPr>
          <w:sz w:val="24"/>
        </w:rPr>
        <w:t>Adefare, T., Adeola, O., Mogaji, E., Nguyen, N. P., and Mogaji, S. A. (2024). Empowering women agriculture entrepreneurs: banks' role in achieving sustainable development goals. International Journal of Bank Marketing.</w:t>
      </w:r>
    </w:p>
    <w:p w:rsidR="00487D64" w:rsidRDefault="006F0D93">
      <w:pPr>
        <w:pStyle w:val="ListParagraph"/>
        <w:numPr>
          <w:ilvl w:val="0"/>
          <w:numId w:val="1"/>
        </w:numPr>
        <w:tabs>
          <w:tab w:val="left" w:pos="417"/>
        </w:tabs>
        <w:spacing w:line="276" w:lineRule="auto"/>
        <w:ind w:right="344"/>
        <w:jc w:val="both"/>
        <w:rPr>
          <w:sz w:val="24"/>
        </w:rPr>
      </w:pPr>
      <w:r>
        <w:rPr>
          <w:sz w:val="24"/>
        </w:rPr>
        <w:t>Agbedahin,</w:t>
      </w:r>
      <w:r>
        <w:rPr>
          <w:spacing w:val="-1"/>
          <w:sz w:val="24"/>
        </w:rPr>
        <w:t xml:space="preserve"> </w:t>
      </w:r>
      <w:r>
        <w:rPr>
          <w:sz w:val="24"/>
        </w:rPr>
        <w:t>A. V.</w:t>
      </w:r>
      <w:r>
        <w:rPr>
          <w:spacing w:val="-2"/>
          <w:sz w:val="24"/>
        </w:rPr>
        <w:t xml:space="preserve"> </w:t>
      </w:r>
      <w:r>
        <w:rPr>
          <w:sz w:val="24"/>
        </w:rPr>
        <w:t>(2019).</w:t>
      </w:r>
      <w:r>
        <w:rPr>
          <w:spacing w:val="-1"/>
          <w:sz w:val="24"/>
        </w:rPr>
        <w:t xml:space="preserve"> </w:t>
      </w:r>
      <w:r>
        <w:rPr>
          <w:sz w:val="24"/>
        </w:rPr>
        <w:t>Sustainable</w:t>
      </w:r>
      <w:r>
        <w:rPr>
          <w:spacing w:val="-2"/>
          <w:sz w:val="24"/>
        </w:rPr>
        <w:t xml:space="preserve"> </w:t>
      </w:r>
      <w:r>
        <w:rPr>
          <w:sz w:val="24"/>
        </w:rPr>
        <w:t>development,</w:t>
      </w:r>
      <w:r>
        <w:rPr>
          <w:spacing w:val="-1"/>
          <w:sz w:val="24"/>
        </w:rPr>
        <w:t xml:space="preserve"> </w:t>
      </w:r>
      <w:r>
        <w:rPr>
          <w:sz w:val="24"/>
        </w:rPr>
        <w:t>Education</w:t>
      </w:r>
      <w:r>
        <w:rPr>
          <w:spacing w:val="-1"/>
          <w:sz w:val="24"/>
        </w:rPr>
        <w:t xml:space="preserve"> </w:t>
      </w:r>
      <w:r>
        <w:rPr>
          <w:sz w:val="24"/>
        </w:rPr>
        <w:t>for</w:t>
      </w:r>
      <w:r>
        <w:rPr>
          <w:spacing w:val="-1"/>
          <w:sz w:val="24"/>
        </w:rPr>
        <w:t xml:space="preserve"> </w:t>
      </w:r>
      <w:r>
        <w:rPr>
          <w:sz w:val="24"/>
        </w:rPr>
        <w:t>Sustainable</w:t>
      </w:r>
      <w:r>
        <w:rPr>
          <w:spacing w:val="-2"/>
          <w:sz w:val="24"/>
        </w:rPr>
        <w:t xml:space="preserve"> </w:t>
      </w:r>
      <w:r>
        <w:rPr>
          <w:sz w:val="24"/>
        </w:rPr>
        <w:t>Development,</w:t>
      </w:r>
      <w:r>
        <w:rPr>
          <w:spacing w:val="-1"/>
          <w:sz w:val="24"/>
        </w:rPr>
        <w:t xml:space="preserve"> </w:t>
      </w:r>
      <w:r>
        <w:rPr>
          <w:sz w:val="24"/>
        </w:rPr>
        <w:t>and the 2030 Agenda for Sustainable Development: Emergence, efficacy, eminence, and future. Sustainable development, 27(4), 669-680.</w:t>
      </w:r>
    </w:p>
    <w:p w:rsidR="00487D64" w:rsidRDefault="006F0D93">
      <w:pPr>
        <w:pStyle w:val="ListParagraph"/>
        <w:numPr>
          <w:ilvl w:val="0"/>
          <w:numId w:val="1"/>
        </w:numPr>
        <w:tabs>
          <w:tab w:val="left" w:pos="417"/>
        </w:tabs>
        <w:spacing w:line="276" w:lineRule="auto"/>
        <w:ind w:right="346"/>
        <w:jc w:val="both"/>
        <w:rPr>
          <w:sz w:val="24"/>
        </w:rPr>
      </w:pPr>
      <w:r>
        <w:rPr>
          <w:sz w:val="24"/>
        </w:rPr>
        <w:t>Awais, M., Afzal, A., Firdousi, S., and Hasnaoui, A. (2023</w:t>
      </w:r>
      <w:r>
        <w:rPr>
          <w:sz w:val="24"/>
        </w:rPr>
        <w:t>). Is fintech the new path to sustainable resource utilisation and economic development?. Resources Policy, 81, 103309.</w:t>
      </w:r>
    </w:p>
    <w:p w:rsidR="00487D64" w:rsidRDefault="006F0D93">
      <w:pPr>
        <w:pStyle w:val="ListParagraph"/>
        <w:numPr>
          <w:ilvl w:val="0"/>
          <w:numId w:val="1"/>
        </w:numPr>
        <w:tabs>
          <w:tab w:val="left" w:pos="417"/>
        </w:tabs>
        <w:spacing w:line="278" w:lineRule="auto"/>
        <w:ind w:right="346"/>
        <w:jc w:val="both"/>
        <w:rPr>
          <w:sz w:val="24"/>
        </w:rPr>
      </w:pPr>
      <w:r>
        <w:rPr>
          <w:sz w:val="24"/>
        </w:rPr>
        <w:t>Bashir, M. (2023). The influence of strategic flexibility on SME performance: is business model innovation the missing link?. Internatio</w:t>
      </w:r>
      <w:r>
        <w:rPr>
          <w:sz w:val="24"/>
        </w:rPr>
        <w:t>nal Journal of Innovation Science, 15(5), 799-816.</w:t>
      </w:r>
    </w:p>
    <w:p w:rsidR="00487D64" w:rsidRDefault="006F0D93">
      <w:pPr>
        <w:pStyle w:val="ListParagraph"/>
        <w:numPr>
          <w:ilvl w:val="0"/>
          <w:numId w:val="1"/>
        </w:numPr>
        <w:tabs>
          <w:tab w:val="left" w:pos="417"/>
        </w:tabs>
        <w:spacing w:line="276" w:lineRule="auto"/>
        <w:ind w:right="338"/>
        <w:jc w:val="both"/>
        <w:rPr>
          <w:sz w:val="24"/>
        </w:rPr>
      </w:pPr>
      <w:r>
        <w:rPr>
          <w:sz w:val="24"/>
        </w:rPr>
        <w:t>Brozović,</w:t>
      </w:r>
      <w:r>
        <w:rPr>
          <w:spacing w:val="-13"/>
          <w:sz w:val="24"/>
        </w:rPr>
        <w:t xml:space="preserve"> </w:t>
      </w:r>
      <w:r>
        <w:rPr>
          <w:sz w:val="24"/>
        </w:rPr>
        <w:t>D.,</w:t>
      </w:r>
      <w:r>
        <w:rPr>
          <w:spacing w:val="-13"/>
          <w:sz w:val="24"/>
        </w:rPr>
        <w:t xml:space="preserve"> </w:t>
      </w:r>
      <w:r>
        <w:rPr>
          <w:sz w:val="24"/>
        </w:rPr>
        <w:t>Jansson,</w:t>
      </w:r>
      <w:r>
        <w:rPr>
          <w:spacing w:val="-12"/>
          <w:sz w:val="24"/>
        </w:rPr>
        <w:t xml:space="preserve"> </w:t>
      </w:r>
      <w:r>
        <w:rPr>
          <w:sz w:val="24"/>
        </w:rPr>
        <w:t>C.,</w:t>
      </w:r>
      <w:r>
        <w:rPr>
          <w:spacing w:val="-12"/>
          <w:sz w:val="24"/>
        </w:rPr>
        <w:t xml:space="preserve"> </w:t>
      </w:r>
      <w:r>
        <w:rPr>
          <w:sz w:val="24"/>
        </w:rPr>
        <w:t>and</w:t>
      </w:r>
      <w:r>
        <w:rPr>
          <w:spacing w:val="-12"/>
          <w:sz w:val="24"/>
        </w:rPr>
        <w:t xml:space="preserve"> </w:t>
      </w:r>
      <w:r>
        <w:rPr>
          <w:sz w:val="24"/>
        </w:rPr>
        <w:t>Boers,</w:t>
      </w:r>
      <w:r>
        <w:rPr>
          <w:spacing w:val="-10"/>
          <w:sz w:val="24"/>
        </w:rPr>
        <w:t xml:space="preserve"> </w:t>
      </w:r>
      <w:r>
        <w:rPr>
          <w:sz w:val="24"/>
        </w:rPr>
        <w:t>B.</w:t>
      </w:r>
      <w:r>
        <w:rPr>
          <w:spacing w:val="-12"/>
          <w:sz w:val="24"/>
        </w:rPr>
        <w:t xml:space="preserve"> </w:t>
      </w:r>
      <w:r>
        <w:rPr>
          <w:sz w:val="24"/>
        </w:rPr>
        <w:t>(2023).</w:t>
      </w:r>
      <w:r>
        <w:rPr>
          <w:spacing w:val="-11"/>
          <w:sz w:val="24"/>
        </w:rPr>
        <w:t xml:space="preserve"> </w:t>
      </w:r>
      <w:r>
        <w:rPr>
          <w:sz w:val="24"/>
        </w:rPr>
        <w:t>Strategic</w:t>
      </w:r>
      <w:r>
        <w:rPr>
          <w:spacing w:val="-11"/>
          <w:sz w:val="24"/>
        </w:rPr>
        <w:t xml:space="preserve"> </w:t>
      </w:r>
      <w:r>
        <w:rPr>
          <w:sz w:val="24"/>
        </w:rPr>
        <w:t>flexibility</w:t>
      </w:r>
      <w:r>
        <w:rPr>
          <w:spacing w:val="-12"/>
          <w:sz w:val="24"/>
        </w:rPr>
        <w:t xml:space="preserve"> </w:t>
      </w:r>
      <w:r>
        <w:rPr>
          <w:sz w:val="24"/>
        </w:rPr>
        <w:t>and</w:t>
      </w:r>
      <w:r>
        <w:rPr>
          <w:spacing w:val="-12"/>
          <w:sz w:val="24"/>
        </w:rPr>
        <w:t xml:space="preserve"> </w:t>
      </w:r>
      <w:r>
        <w:rPr>
          <w:sz w:val="24"/>
        </w:rPr>
        <w:t>growth</w:t>
      </w:r>
      <w:r>
        <w:rPr>
          <w:spacing w:val="-12"/>
          <w:sz w:val="24"/>
        </w:rPr>
        <w:t xml:space="preserve"> </w:t>
      </w:r>
      <w:r>
        <w:rPr>
          <w:sz w:val="24"/>
        </w:rPr>
        <w:t>of</w:t>
      </w:r>
      <w:r>
        <w:rPr>
          <w:spacing w:val="-13"/>
          <w:sz w:val="24"/>
        </w:rPr>
        <w:t xml:space="preserve"> </w:t>
      </w:r>
      <w:r>
        <w:rPr>
          <w:sz w:val="24"/>
        </w:rPr>
        <w:t>small</w:t>
      </w:r>
      <w:r>
        <w:rPr>
          <w:spacing w:val="-11"/>
          <w:sz w:val="24"/>
        </w:rPr>
        <w:t xml:space="preserve"> </w:t>
      </w:r>
      <w:r>
        <w:rPr>
          <w:sz w:val="24"/>
        </w:rPr>
        <w:t>and</w:t>
      </w:r>
      <w:r>
        <w:rPr>
          <w:spacing w:val="-10"/>
          <w:sz w:val="24"/>
        </w:rPr>
        <w:t xml:space="preserve"> </w:t>
      </w:r>
      <w:r>
        <w:rPr>
          <w:sz w:val="24"/>
        </w:rPr>
        <w:t>medium- sized enterprises: a study of enablers and barriers. Management Decision.</w:t>
      </w:r>
    </w:p>
    <w:p w:rsidR="00487D64" w:rsidRDefault="006F0D93">
      <w:pPr>
        <w:pStyle w:val="ListParagraph"/>
        <w:numPr>
          <w:ilvl w:val="0"/>
          <w:numId w:val="1"/>
        </w:numPr>
        <w:tabs>
          <w:tab w:val="left" w:pos="417"/>
        </w:tabs>
        <w:spacing w:line="278" w:lineRule="auto"/>
        <w:ind w:right="344"/>
        <w:jc w:val="both"/>
        <w:rPr>
          <w:sz w:val="24"/>
        </w:rPr>
      </w:pPr>
      <w:r>
        <w:rPr>
          <w:sz w:val="24"/>
        </w:rPr>
        <w:t>Cohen,</w:t>
      </w:r>
      <w:r>
        <w:rPr>
          <w:spacing w:val="-2"/>
          <w:sz w:val="24"/>
        </w:rPr>
        <w:t xml:space="preserve"> </w:t>
      </w:r>
      <w:r>
        <w:rPr>
          <w:sz w:val="24"/>
        </w:rPr>
        <w:t>J.</w:t>
      </w:r>
      <w:r>
        <w:rPr>
          <w:spacing w:val="-2"/>
          <w:sz w:val="24"/>
        </w:rPr>
        <w:t xml:space="preserve"> </w:t>
      </w:r>
      <w:r>
        <w:rPr>
          <w:sz w:val="24"/>
        </w:rPr>
        <w:t>(1988).</w:t>
      </w:r>
      <w:r>
        <w:rPr>
          <w:spacing w:val="-3"/>
          <w:sz w:val="24"/>
        </w:rPr>
        <w:t xml:space="preserve"> </w:t>
      </w:r>
      <w:r>
        <w:rPr>
          <w:sz w:val="24"/>
        </w:rPr>
        <w:t>Set</w:t>
      </w:r>
      <w:r>
        <w:rPr>
          <w:spacing w:val="-2"/>
          <w:sz w:val="24"/>
        </w:rPr>
        <w:t xml:space="preserve"> </w:t>
      </w:r>
      <w:r>
        <w:rPr>
          <w:sz w:val="24"/>
        </w:rPr>
        <w:t>correlation</w:t>
      </w:r>
      <w:r>
        <w:rPr>
          <w:spacing w:val="-2"/>
          <w:sz w:val="24"/>
        </w:rPr>
        <w:t xml:space="preserve"> </w:t>
      </w:r>
      <w:r>
        <w:rPr>
          <w:sz w:val="24"/>
        </w:rPr>
        <w:t>and</w:t>
      </w:r>
      <w:r>
        <w:rPr>
          <w:spacing w:val="-2"/>
          <w:sz w:val="24"/>
        </w:rPr>
        <w:t xml:space="preserve"> </w:t>
      </w:r>
      <w:r>
        <w:rPr>
          <w:sz w:val="24"/>
        </w:rPr>
        <w:t>contingency tables.</w:t>
      </w:r>
      <w:r>
        <w:rPr>
          <w:spacing w:val="-2"/>
          <w:sz w:val="24"/>
        </w:rPr>
        <w:t xml:space="preserve"> </w:t>
      </w:r>
      <w:r>
        <w:rPr>
          <w:sz w:val="24"/>
        </w:rPr>
        <w:t>Applied</w:t>
      </w:r>
      <w:r>
        <w:rPr>
          <w:spacing w:val="-3"/>
          <w:sz w:val="24"/>
        </w:rPr>
        <w:t xml:space="preserve"> </w:t>
      </w:r>
      <w:r>
        <w:rPr>
          <w:sz w:val="24"/>
        </w:rPr>
        <w:t>psychological</w:t>
      </w:r>
      <w:r>
        <w:rPr>
          <w:spacing w:val="-2"/>
          <w:sz w:val="24"/>
        </w:rPr>
        <w:t xml:space="preserve"> </w:t>
      </w:r>
      <w:r>
        <w:rPr>
          <w:sz w:val="24"/>
        </w:rPr>
        <w:t>measurement,</w:t>
      </w:r>
      <w:r>
        <w:rPr>
          <w:spacing w:val="-2"/>
          <w:sz w:val="24"/>
        </w:rPr>
        <w:t xml:space="preserve"> </w:t>
      </w:r>
      <w:r>
        <w:rPr>
          <w:sz w:val="24"/>
        </w:rPr>
        <w:t xml:space="preserve">12(4), </w:t>
      </w:r>
      <w:r>
        <w:rPr>
          <w:spacing w:val="-2"/>
          <w:sz w:val="24"/>
        </w:rPr>
        <w:t>425-434.</w:t>
      </w:r>
    </w:p>
    <w:p w:rsidR="00487D64" w:rsidRDefault="006F0D93">
      <w:pPr>
        <w:pStyle w:val="ListParagraph"/>
        <w:numPr>
          <w:ilvl w:val="0"/>
          <w:numId w:val="1"/>
        </w:numPr>
        <w:tabs>
          <w:tab w:val="left" w:pos="417"/>
        </w:tabs>
        <w:spacing w:line="276" w:lineRule="auto"/>
        <w:ind w:right="344"/>
        <w:jc w:val="both"/>
        <w:rPr>
          <w:sz w:val="24"/>
        </w:rPr>
      </w:pPr>
      <w:r>
        <w:rPr>
          <w:sz w:val="24"/>
        </w:rPr>
        <w:t>Crick, J. M., Friske, W., and Morgan, T. A. (2024). The relationship between coopetition strategies and company performance under different levels of competitive intensi</w:t>
      </w:r>
      <w:r>
        <w:rPr>
          <w:sz w:val="24"/>
        </w:rPr>
        <w:t>ty, market dynamism, and technological turbulence. Industrial Marketing Management, 118, 56-77.</w:t>
      </w:r>
    </w:p>
    <w:p w:rsidR="00487D64" w:rsidRDefault="006F0D93">
      <w:pPr>
        <w:pStyle w:val="ListParagraph"/>
        <w:numPr>
          <w:ilvl w:val="0"/>
          <w:numId w:val="1"/>
        </w:numPr>
        <w:tabs>
          <w:tab w:val="left" w:pos="417"/>
        </w:tabs>
        <w:spacing w:line="276" w:lineRule="auto"/>
        <w:ind w:right="344"/>
        <w:jc w:val="both"/>
        <w:rPr>
          <w:sz w:val="24"/>
        </w:rPr>
      </w:pPr>
      <w:r>
        <w:rPr>
          <w:sz w:val="24"/>
        </w:rPr>
        <w:t>Frambach,</w:t>
      </w:r>
      <w:r>
        <w:rPr>
          <w:spacing w:val="-2"/>
          <w:sz w:val="24"/>
        </w:rPr>
        <w:t xml:space="preserve"> </w:t>
      </w:r>
      <w:r>
        <w:rPr>
          <w:sz w:val="24"/>
        </w:rPr>
        <w:t>R.</w:t>
      </w:r>
      <w:r>
        <w:rPr>
          <w:spacing w:val="-2"/>
          <w:sz w:val="24"/>
        </w:rPr>
        <w:t xml:space="preserve"> </w:t>
      </w:r>
      <w:r>
        <w:rPr>
          <w:sz w:val="24"/>
        </w:rPr>
        <w:t>T.,</w:t>
      </w:r>
      <w:r>
        <w:rPr>
          <w:spacing w:val="-1"/>
          <w:sz w:val="24"/>
        </w:rPr>
        <w:t xml:space="preserve"> </w:t>
      </w:r>
      <w:r>
        <w:rPr>
          <w:sz w:val="24"/>
        </w:rPr>
        <w:t>Fiss,</w:t>
      </w:r>
      <w:r>
        <w:rPr>
          <w:spacing w:val="-2"/>
          <w:sz w:val="24"/>
        </w:rPr>
        <w:t xml:space="preserve"> </w:t>
      </w:r>
      <w:r>
        <w:rPr>
          <w:sz w:val="24"/>
        </w:rPr>
        <w:t>P. C.,</w:t>
      </w:r>
      <w:r>
        <w:rPr>
          <w:spacing w:val="-2"/>
          <w:sz w:val="24"/>
        </w:rPr>
        <w:t xml:space="preserve"> </w:t>
      </w:r>
      <w:r>
        <w:rPr>
          <w:sz w:val="24"/>
        </w:rPr>
        <w:t>and Ingenbleek,</w:t>
      </w:r>
      <w:r>
        <w:rPr>
          <w:spacing w:val="-2"/>
          <w:sz w:val="24"/>
        </w:rPr>
        <w:t xml:space="preserve"> </w:t>
      </w:r>
      <w:r>
        <w:rPr>
          <w:sz w:val="24"/>
        </w:rPr>
        <w:t>P.</w:t>
      </w:r>
      <w:r>
        <w:rPr>
          <w:spacing w:val="-2"/>
          <w:sz w:val="24"/>
        </w:rPr>
        <w:t xml:space="preserve"> </w:t>
      </w:r>
      <w:r>
        <w:rPr>
          <w:sz w:val="24"/>
        </w:rPr>
        <w:t>T.</w:t>
      </w:r>
      <w:r>
        <w:rPr>
          <w:spacing w:val="-1"/>
          <w:sz w:val="24"/>
        </w:rPr>
        <w:t xml:space="preserve"> </w:t>
      </w:r>
      <w:r>
        <w:rPr>
          <w:sz w:val="24"/>
        </w:rPr>
        <w:t>(2016).</w:t>
      </w:r>
      <w:r>
        <w:rPr>
          <w:spacing w:val="-1"/>
          <w:sz w:val="24"/>
        </w:rPr>
        <w:t xml:space="preserve"> </w:t>
      </w:r>
      <w:r>
        <w:rPr>
          <w:sz w:val="24"/>
        </w:rPr>
        <w:t>How</w:t>
      </w:r>
      <w:r>
        <w:rPr>
          <w:spacing w:val="-3"/>
          <w:sz w:val="24"/>
        </w:rPr>
        <w:t xml:space="preserve"> </w:t>
      </w:r>
      <w:r>
        <w:rPr>
          <w:sz w:val="24"/>
        </w:rPr>
        <w:t>important</w:t>
      </w:r>
      <w:r>
        <w:rPr>
          <w:spacing w:val="-2"/>
          <w:sz w:val="24"/>
        </w:rPr>
        <w:t xml:space="preserve"> </w:t>
      </w:r>
      <w:r>
        <w:rPr>
          <w:sz w:val="24"/>
        </w:rPr>
        <w:t>is</w:t>
      </w:r>
      <w:r>
        <w:rPr>
          <w:spacing w:val="-3"/>
          <w:sz w:val="24"/>
        </w:rPr>
        <w:t xml:space="preserve"> </w:t>
      </w:r>
      <w:r>
        <w:rPr>
          <w:sz w:val="24"/>
        </w:rPr>
        <w:t>customer</w:t>
      </w:r>
      <w:r>
        <w:rPr>
          <w:spacing w:val="-2"/>
          <w:sz w:val="24"/>
        </w:rPr>
        <w:t xml:space="preserve"> </w:t>
      </w:r>
      <w:r>
        <w:rPr>
          <w:sz w:val="24"/>
        </w:rPr>
        <w:t>orientation</w:t>
      </w:r>
      <w:r>
        <w:rPr>
          <w:spacing w:val="-2"/>
          <w:sz w:val="24"/>
        </w:rPr>
        <w:t xml:space="preserve"> </w:t>
      </w:r>
      <w:r>
        <w:rPr>
          <w:sz w:val="24"/>
        </w:rPr>
        <w:t>for firm performance? A fuzzy set analysis of orientations, strategies, and environments. Journal of Business Research, 69(4), 1428-1436.</w:t>
      </w:r>
    </w:p>
    <w:p w:rsidR="00487D64" w:rsidRDefault="006F0D93">
      <w:pPr>
        <w:pStyle w:val="ListParagraph"/>
        <w:numPr>
          <w:ilvl w:val="0"/>
          <w:numId w:val="1"/>
        </w:numPr>
        <w:tabs>
          <w:tab w:val="left" w:pos="417"/>
        </w:tabs>
        <w:spacing w:line="275" w:lineRule="exact"/>
        <w:ind w:hanging="360"/>
        <w:jc w:val="both"/>
        <w:rPr>
          <w:sz w:val="24"/>
        </w:rPr>
      </w:pPr>
      <w:r>
        <w:rPr>
          <w:sz w:val="24"/>
        </w:rPr>
        <w:t>Geisser,</w:t>
      </w:r>
      <w:r>
        <w:rPr>
          <w:spacing w:val="-1"/>
          <w:sz w:val="24"/>
        </w:rPr>
        <w:t xml:space="preserve"> </w:t>
      </w:r>
      <w:r>
        <w:rPr>
          <w:sz w:val="24"/>
        </w:rPr>
        <w:t>S.</w:t>
      </w:r>
      <w:r>
        <w:rPr>
          <w:spacing w:val="-1"/>
          <w:sz w:val="24"/>
        </w:rPr>
        <w:t xml:space="preserve"> </w:t>
      </w:r>
      <w:r>
        <w:rPr>
          <w:sz w:val="24"/>
        </w:rPr>
        <w:t>(1973).</w:t>
      </w:r>
      <w:r>
        <w:rPr>
          <w:spacing w:val="-1"/>
          <w:sz w:val="24"/>
        </w:rPr>
        <w:t xml:space="preserve"> </w:t>
      </w:r>
      <w:r>
        <w:rPr>
          <w:sz w:val="24"/>
        </w:rPr>
        <w:t>The</w:t>
      </w:r>
      <w:r>
        <w:rPr>
          <w:spacing w:val="-2"/>
          <w:sz w:val="24"/>
        </w:rPr>
        <w:t xml:space="preserve"> </w:t>
      </w:r>
      <w:r>
        <w:rPr>
          <w:sz w:val="24"/>
        </w:rPr>
        <w:t>predictive sample</w:t>
      </w:r>
      <w:r>
        <w:rPr>
          <w:spacing w:val="-2"/>
          <w:sz w:val="24"/>
        </w:rPr>
        <w:t xml:space="preserve"> </w:t>
      </w:r>
      <w:r>
        <w:rPr>
          <w:sz w:val="24"/>
        </w:rPr>
        <w:t>reuse</w:t>
      </w:r>
      <w:r>
        <w:rPr>
          <w:spacing w:val="-2"/>
          <w:sz w:val="24"/>
        </w:rPr>
        <w:t xml:space="preserve"> </w:t>
      </w:r>
      <w:r>
        <w:rPr>
          <w:sz w:val="24"/>
        </w:rPr>
        <w:t>meth.</w:t>
      </w:r>
      <w:r>
        <w:rPr>
          <w:spacing w:val="-1"/>
          <w:sz w:val="24"/>
        </w:rPr>
        <w:t xml:space="preserve"> </w:t>
      </w:r>
      <w:r>
        <w:rPr>
          <w:sz w:val="24"/>
        </w:rPr>
        <w:t>University</w:t>
      </w:r>
      <w:r>
        <w:rPr>
          <w:spacing w:val="-1"/>
          <w:sz w:val="24"/>
        </w:rPr>
        <w:t xml:space="preserve"> </w:t>
      </w:r>
      <w:r>
        <w:rPr>
          <w:sz w:val="24"/>
        </w:rPr>
        <w:t xml:space="preserve">of </w:t>
      </w:r>
      <w:r>
        <w:rPr>
          <w:spacing w:val="-2"/>
          <w:sz w:val="24"/>
        </w:rPr>
        <w:t>Minnesota.</w:t>
      </w:r>
    </w:p>
    <w:p w:rsidR="00487D64" w:rsidRDefault="006F0D93">
      <w:pPr>
        <w:pStyle w:val="ListParagraph"/>
        <w:numPr>
          <w:ilvl w:val="0"/>
          <w:numId w:val="1"/>
        </w:numPr>
        <w:tabs>
          <w:tab w:val="left" w:pos="417"/>
        </w:tabs>
        <w:spacing w:before="32" w:line="276" w:lineRule="auto"/>
        <w:ind w:right="346"/>
        <w:jc w:val="both"/>
        <w:rPr>
          <w:sz w:val="24"/>
        </w:rPr>
      </w:pPr>
      <w:r>
        <w:rPr>
          <w:sz w:val="24"/>
        </w:rPr>
        <w:t>Gligor, D. M., Gölgeci, I., Newman, C.,</w:t>
      </w:r>
      <w:r>
        <w:rPr>
          <w:sz w:val="24"/>
        </w:rPr>
        <w:t xml:space="preserve"> and Bozkurt, S. (2021). Performance implications of the buyer-supplier market orientation fit. Industrial Marketing Management, 93, 161-173.</w:t>
      </w:r>
    </w:p>
    <w:p w:rsidR="00487D64" w:rsidRDefault="006F0D93">
      <w:pPr>
        <w:pStyle w:val="ListParagraph"/>
        <w:numPr>
          <w:ilvl w:val="0"/>
          <w:numId w:val="1"/>
        </w:numPr>
        <w:tabs>
          <w:tab w:val="left" w:pos="417"/>
        </w:tabs>
        <w:spacing w:line="276" w:lineRule="auto"/>
        <w:ind w:right="345"/>
        <w:jc w:val="both"/>
        <w:rPr>
          <w:sz w:val="24"/>
        </w:rPr>
      </w:pPr>
      <w:r>
        <w:rPr>
          <w:sz w:val="24"/>
        </w:rPr>
        <w:t>Guerra, R. M. D. A., and Camargo, M. E. (2024). Mediation of learning orientation on market orientation and busine</w:t>
      </w:r>
      <w:r>
        <w:rPr>
          <w:sz w:val="24"/>
        </w:rPr>
        <w:t>ss performance: evidence from Brazilian Small and Medium Enterprises (SMEs). Benchmarking: An International Journal, 31(2), 590-610.</w:t>
      </w:r>
    </w:p>
    <w:p w:rsidR="00487D64" w:rsidRDefault="006F0D93">
      <w:pPr>
        <w:pStyle w:val="ListParagraph"/>
        <w:numPr>
          <w:ilvl w:val="0"/>
          <w:numId w:val="1"/>
        </w:numPr>
        <w:tabs>
          <w:tab w:val="left" w:pos="417"/>
        </w:tabs>
        <w:ind w:hanging="360"/>
        <w:jc w:val="both"/>
        <w:rPr>
          <w:sz w:val="24"/>
        </w:rPr>
      </w:pPr>
      <w:r>
        <w:rPr>
          <w:sz w:val="24"/>
        </w:rPr>
        <w:t>Hair</w:t>
      </w:r>
      <w:r>
        <w:rPr>
          <w:spacing w:val="-4"/>
          <w:sz w:val="24"/>
        </w:rPr>
        <w:t xml:space="preserve"> </w:t>
      </w:r>
      <w:r>
        <w:rPr>
          <w:sz w:val="24"/>
        </w:rPr>
        <w:t>Jr,</w:t>
      </w:r>
      <w:r>
        <w:rPr>
          <w:spacing w:val="-2"/>
          <w:sz w:val="24"/>
        </w:rPr>
        <w:t xml:space="preserve"> </w:t>
      </w:r>
      <w:r>
        <w:rPr>
          <w:sz w:val="24"/>
        </w:rPr>
        <w:t>J.,</w:t>
      </w:r>
      <w:r>
        <w:rPr>
          <w:spacing w:val="-1"/>
          <w:sz w:val="24"/>
        </w:rPr>
        <w:t xml:space="preserve"> </w:t>
      </w:r>
      <w:r>
        <w:rPr>
          <w:sz w:val="24"/>
        </w:rPr>
        <w:t>Page,</w:t>
      </w:r>
      <w:r>
        <w:rPr>
          <w:spacing w:val="-1"/>
          <w:sz w:val="24"/>
        </w:rPr>
        <w:t xml:space="preserve"> </w:t>
      </w:r>
      <w:r>
        <w:rPr>
          <w:sz w:val="24"/>
        </w:rPr>
        <w:t>M.,</w:t>
      </w:r>
      <w:r>
        <w:rPr>
          <w:spacing w:val="1"/>
          <w:sz w:val="24"/>
        </w:rPr>
        <w:t xml:space="preserve"> </w:t>
      </w:r>
      <w:r>
        <w:rPr>
          <w:sz w:val="24"/>
        </w:rPr>
        <w:t>and</w:t>
      </w:r>
      <w:r>
        <w:rPr>
          <w:spacing w:val="1"/>
          <w:sz w:val="24"/>
        </w:rPr>
        <w:t xml:space="preserve"> </w:t>
      </w:r>
      <w:r>
        <w:rPr>
          <w:sz w:val="24"/>
        </w:rPr>
        <w:t>Brunsveld,</w:t>
      </w:r>
      <w:r>
        <w:rPr>
          <w:spacing w:val="-1"/>
          <w:sz w:val="24"/>
        </w:rPr>
        <w:t xml:space="preserve"> </w:t>
      </w:r>
      <w:r>
        <w:rPr>
          <w:sz w:val="24"/>
        </w:rPr>
        <w:t>N.</w:t>
      </w:r>
      <w:r>
        <w:rPr>
          <w:spacing w:val="-1"/>
          <w:sz w:val="24"/>
        </w:rPr>
        <w:t xml:space="preserve"> </w:t>
      </w:r>
      <w:r>
        <w:rPr>
          <w:sz w:val="24"/>
        </w:rPr>
        <w:t>(2019).</w:t>
      </w:r>
      <w:r>
        <w:rPr>
          <w:spacing w:val="-1"/>
          <w:sz w:val="24"/>
        </w:rPr>
        <w:t xml:space="preserve"> </w:t>
      </w:r>
      <w:r>
        <w:rPr>
          <w:sz w:val="24"/>
        </w:rPr>
        <w:t>Essentials</w:t>
      </w:r>
      <w:r>
        <w:rPr>
          <w:spacing w:val="-2"/>
          <w:sz w:val="24"/>
        </w:rPr>
        <w:t xml:space="preserve"> </w:t>
      </w:r>
      <w:r>
        <w:rPr>
          <w:sz w:val="24"/>
        </w:rPr>
        <w:t>of</w:t>
      </w:r>
      <w:r>
        <w:rPr>
          <w:spacing w:val="-1"/>
          <w:sz w:val="24"/>
        </w:rPr>
        <w:t xml:space="preserve"> </w:t>
      </w:r>
      <w:r>
        <w:rPr>
          <w:sz w:val="24"/>
        </w:rPr>
        <w:t>business</w:t>
      </w:r>
      <w:r>
        <w:rPr>
          <w:spacing w:val="-2"/>
          <w:sz w:val="24"/>
        </w:rPr>
        <w:t xml:space="preserve"> </w:t>
      </w:r>
      <w:r>
        <w:rPr>
          <w:sz w:val="24"/>
        </w:rPr>
        <w:t>research</w:t>
      </w:r>
      <w:r>
        <w:rPr>
          <w:spacing w:val="-1"/>
          <w:sz w:val="24"/>
        </w:rPr>
        <w:t xml:space="preserve"> </w:t>
      </w:r>
      <w:r>
        <w:rPr>
          <w:sz w:val="24"/>
        </w:rPr>
        <w:t>methods.</w:t>
      </w:r>
      <w:r>
        <w:rPr>
          <w:spacing w:val="-1"/>
          <w:sz w:val="24"/>
        </w:rPr>
        <w:t xml:space="preserve"> </w:t>
      </w:r>
      <w:r>
        <w:rPr>
          <w:spacing w:val="-2"/>
          <w:sz w:val="24"/>
        </w:rPr>
        <w:t>Routledge.</w:t>
      </w:r>
    </w:p>
    <w:p w:rsidR="00487D64" w:rsidRDefault="006F0D93">
      <w:pPr>
        <w:pStyle w:val="ListParagraph"/>
        <w:numPr>
          <w:ilvl w:val="0"/>
          <w:numId w:val="1"/>
        </w:numPr>
        <w:tabs>
          <w:tab w:val="left" w:pos="417"/>
        </w:tabs>
        <w:spacing w:before="41"/>
        <w:ind w:hanging="360"/>
        <w:jc w:val="both"/>
        <w:rPr>
          <w:sz w:val="24"/>
        </w:rPr>
      </w:pPr>
      <w:r>
        <w:rPr>
          <w:sz w:val="24"/>
        </w:rPr>
        <w:t>Hair</w:t>
      </w:r>
      <w:r>
        <w:rPr>
          <w:spacing w:val="-4"/>
          <w:sz w:val="24"/>
        </w:rPr>
        <w:t xml:space="preserve"> </w:t>
      </w:r>
      <w:r>
        <w:rPr>
          <w:sz w:val="24"/>
        </w:rPr>
        <w:t>Jr,</w:t>
      </w:r>
      <w:r>
        <w:rPr>
          <w:spacing w:val="-2"/>
          <w:sz w:val="24"/>
        </w:rPr>
        <w:t xml:space="preserve"> </w:t>
      </w:r>
      <w:r>
        <w:rPr>
          <w:sz w:val="24"/>
        </w:rPr>
        <w:t>J.,</w:t>
      </w:r>
      <w:r>
        <w:rPr>
          <w:spacing w:val="-1"/>
          <w:sz w:val="24"/>
        </w:rPr>
        <w:t xml:space="preserve"> </w:t>
      </w:r>
      <w:r>
        <w:rPr>
          <w:sz w:val="24"/>
        </w:rPr>
        <w:t>Page,</w:t>
      </w:r>
      <w:r>
        <w:rPr>
          <w:spacing w:val="-1"/>
          <w:sz w:val="24"/>
        </w:rPr>
        <w:t xml:space="preserve"> </w:t>
      </w:r>
      <w:r>
        <w:rPr>
          <w:sz w:val="24"/>
        </w:rPr>
        <w:t>M.,</w:t>
      </w:r>
      <w:r>
        <w:rPr>
          <w:spacing w:val="1"/>
          <w:sz w:val="24"/>
        </w:rPr>
        <w:t xml:space="preserve"> </w:t>
      </w:r>
      <w:r>
        <w:rPr>
          <w:sz w:val="24"/>
        </w:rPr>
        <w:t>and</w:t>
      </w:r>
      <w:r>
        <w:rPr>
          <w:spacing w:val="1"/>
          <w:sz w:val="24"/>
        </w:rPr>
        <w:t xml:space="preserve"> </w:t>
      </w:r>
      <w:r>
        <w:rPr>
          <w:sz w:val="24"/>
        </w:rPr>
        <w:t>Brunsveld,</w:t>
      </w:r>
      <w:r>
        <w:rPr>
          <w:spacing w:val="-1"/>
          <w:sz w:val="24"/>
        </w:rPr>
        <w:t xml:space="preserve"> </w:t>
      </w:r>
      <w:r>
        <w:rPr>
          <w:sz w:val="24"/>
        </w:rPr>
        <w:t>N.</w:t>
      </w:r>
      <w:r>
        <w:rPr>
          <w:spacing w:val="-1"/>
          <w:sz w:val="24"/>
        </w:rPr>
        <w:t xml:space="preserve"> </w:t>
      </w:r>
      <w:r>
        <w:rPr>
          <w:sz w:val="24"/>
        </w:rPr>
        <w:t>(2022).</w:t>
      </w:r>
      <w:r>
        <w:rPr>
          <w:spacing w:val="-1"/>
          <w:sz w:val="24"/>
        </w:rPr>
        <w:t xml:space="preserve"> </w:t>
      </w:r>
      <w:r>
        <w:rPr>
          <w:sz w:val="24"/>
        </w:rPr>
        <w:t>Essentials</w:t>
      </w:r>
      <w:r>
        <w:rPr>
          <w:spacing w:val="-2"/>
          <w:sz w:val="24"/>
        </w:rPr>
        <w:t xml:space="preserve"> </w:t>
      </w:r>
      <w:r>
        <w:rPr>
          <w:sz w:val="24"/>
        </w:rPr>
        <w:t>of</w:t>
      </w:r>
      <w:r>
        <w:rPr>
          <w:spacing w:val="-1"/>
          <w:sz w:val="24"/>
        </w:rPr>
        <w:t xml:space="preserve"> </w:t>
      </w:r>
      <w:r>
        <w:rPr>
          <w:sz w:val="24"/>
        </w:rPr>
        <w:t>business</w:t>
      </w:r>
      <w:r>
        <w:rPr>
          <w:spacing w:val="-2"/>
          <w:sz w:val="24"/>
        </w:rPr>
        <w:t xml:space="preserve"> </w:t>
      </w:r>
      <w:r>
        <w:rPr>
          <w:sz w:val="24"/>
        </w:rPr>
        <w:t>research</w:t>
      </w:r>
      <w:r>
        <w:rPr>
          <w:spacing w:val="-1"/>
          <w:sz w:val="24"/>
        </w:rPr>
        <w:t xml:space="preserve"> </w:t>
      </w:r>
      <w:r>
        <w:rPr>
          <w:sz w:val="24"/>
        </w:rPr>
        <w:t>methods.</w:t>
      </w:r>
      <w:r>
        <w:rPr>
          <w:spacing w:val="-1"/>
          <w:sz w:val="24"/>
        </w:rPr>
        <w:t xml:space="preserve"> </w:t>
      </w:r>
      <w:r>
        <w:rPr>
          <w:spacing w:val="-2"/>
          <w:sz w:val="24"/>
        </w:rPr>
        <w:t>Routledge.</w:t>
      </w:r>
    </w:p>
    <w:p w:rsidR="00487D64" w:rsidRDefault="00487D64">
      <w:pPr>
        <w:pStyle w:val="ListParagraph"/>
        <w:jc w:val="both"/>
        <w:rPr>
          <w:sz w:val="24"/>
        </w:rPr>
        <w:sectPr w:rsidR="00487D64">
          <w:pgSz w:w="11910" w:h="16840"/>
          <w:pgMar w:top="1680" w:right="563" w:bottom="800" w:left="850" w:header="677" w:footer="608" w:gutter="0"/>
          <w:cols w:space="720"/>
        </w:sectPr>
      </w:pPr>
    </w:p>
    <w:p w:rsidR="00487D64" w:rsidRDefault="006F0D93">
      <w:pPr>
        <w:pStyle w:val="ListParagraph"/>
        <w:numPr>
          <w:ilvl w:val="0"/>
          <w:numId w:val="1"/>
        </w:numPr>
        <w:tabs>
          <w:tab w:val="left" w:pos="417"/>
        </w:tabs>
        <w:spacing w:before="254" w:line="276" w:lineRule="auto"/>
        <w:ind w:right="343"/>
        <w:jc w:val="both"/>
        <w:rPr>
          <w:sz w:val="24"/>
        </w:rPr>
      </w:pPr>
      <w:r>
        <w:rPr>
          <w:sz w:val="24"/>
        </w:rPr>
        <w:lastRenderedPageBreak/>
        <w:t>Hair, J. F., Black, W. C., Babin, B. J., Anderson, R. E., and Tatham, R. (2010). Multivariate data analysis . Uppersaddle River.</w:t>
      </w:r>
    </w:p>
    <w:p w:rsidR="00487D64" w:rsidRDefault="006F0D93">
      <w:pPr>
        <w:pStyle w:val="ListParagraph"/>
        <w:numPr>
          <w:ilvl w:val="0"/>
          <w:numId w:val="1"/>
        </w:numPr>
        <w:tabs>
          <w:tab w:val="left" w:pos="417"/>
        </w:tabs>
        <w:spacing w:line="276" w:lineRule="auto"/>
        <w:ind w:right="338"/>
        <w:jc w:val="both"/>
        <w:rPr>
          <w:sz w:val="24"/>
        </w:rPr>
      </w:pPr>
      <w:r>
        <w:rPr>
          <w:sz w:val="24"/>
        </w:rPr>
        <w:t>Henseler,</w:t>
      </w:r>
      <w:r>
        <w:rPr>
          <w:spacing w:val="-5"/>
          <w:sz w:val="24"/>
        </w:rPr>
        <w:t xml:space="preserve"> </w:t>
      </w:r>
      <w:r>
        <w:rPr>
          <w:sz w:val="24"/>
        </w:rPr>
        <w:t>J.,</w:t>
      </w:r>
      <w:r>
        <w:rPr>
          <w:spacing w:val="-5"/>
          <w:sz w:val="24"/>
        </w:rPr>
        <w:t xml:space="preserve"> </w:t>
      </w:r>
      <w:r>
        <w:rPr>
          <w:sz w:val="24"/>
        </w:rPr>
        <w:t>Ringle,</w:t>
      </w:r>
      <w:r>
        <w:rPr>
          <w:spacing w:val="-5"/>
          <w:sz w:val="24"/>
        </w:rPr>
        <w:t xml:space="preserve"> </w:t>
      </w:r>
      <w:r>
        <w:rPr>
          <w:sz w:val="24"/>
        </w:rPr>
        <w:t>C.</w:t>
      </w:r>
      <w:r>
        <w:rPr>
          <w:spacing w:val="-2"/>
          <w:sz w:val="24"/>
        </w:rPr>
        <w:t xml:space="preserve"> </w:t>
      </w:r>
      <w:r>
        <w:rPr>
          <w:sz w:val="24"/>
        </w:rPr>
        <w:t>M.,</w:t>
      </w:r>
      <w:r>
        <w:rPr>
          <w:spacing w:val="-5"/>
          <w:sz w:val="24"/>
        </w:rPr>
        <w:t xml:space="preserve"> </w:t>
      </w:r>
      <w:r>
        <w:rPr>
          <w:sz w:val="24"/>
        </w:rPr>
        <w:t>&amp;</w:t>
      </w:r>
      <w:r>
        <w:rPr>
          <w:spacing w:val="-4"/>
          <w:sz w:val="24"/>
        </w:rPr>
        <w:t xml:space="preserve"> </w:t>
      </w:r>
      <w:r>
        <w:rPr>
          <w:sz w:val="24"/>
        </w:rPr>
        <w:t>Sarstedt,</w:t>
      </w:r>
      <w:r>
        <w:rPr>
          <w:spacing w:val="-4"/>
          <w:sz w:val="24"/>
        </w:rPr>
        <w:t xml:space="preserve"> </w:t>
      </w:r>
      <w:r>
        <w:rPr>
          <w:sz w:val="24"/>
        </w:rPr>
        <w:t>M.</w:t>
      </w:r>
      <w:r>
        <w:rPr>
          <w:spacing w:val="-5"/>
          <w:sz w:val="24"/>
        </w:rPr>
        <w:t xml:space="preserve"> </w:t>
      </w:r>
      <w:r>
        <w:rPr>
          <w:sz w:val="24"/>
        </w:rPr>
        <w:t>(2015).</w:t>
      </w:r>
      <w:r>
        <w:rPr>
          <w:spacing w:val="-6"/>
          <w:sz w:val="24"/>
        </w:rPr>
        <w:t xml:space="preserve"> </w:t>
      </w:r>
      <w:r>
        <w:rPr>
          <w:sz w:val="24"/>
        </w:rPr>
        <w:t>A</w:t>
      </w:r>
      <w:r>
        <w:rPr>
          <w:spacing w:val="-5"/>
          <w:sz w:val="24"/>
        </w:rPr>
        <w:t xml:space="preserve"> </w:t>
      </w:r>
      <w:r>
        <w:rPr>
          <w:sz w:val="24"/>
        </w:rPr>
        <w:t>new</w:t>
      </w:r>
      <w:r>
        <w:rPr>
          <w:spacing w:val="-3"/>
          <w:sz w:val="24"/>
        </w:rPr>
        <w:t xml:space="preserve"> </w:t>
      </w:r>
      <w:r>
        <w:rPr>
          <w:sz w:val="24"/>
        </w:rPr>
        <w:t>criterion</w:t>
      </w:r>
      <w:r>
        <w:rPr>
          <w:spacing w:val="-2"/>
          <w:sz w:val="24"/>
        </w:rPr>
        <w:t xml:space="preserve"> </w:t>
      </w:r>
      <w:r>
        <w:rPr>
          <w:sz w:val="24"/>
        </w:rPr>
        <w:t>for</w:t>
      </w:r>
      <w:r>
        <w:rPr>
          <w:spacing w:val="-6"/>
          <w:sz w:val="24"/>
        </w:rPr>
        <w:t xml:space="preserve"> </w:t>
      </w:r>
      <w:r>
        <w:rPr>
          <w:sz w:val="24"/>
        </w:rPr>
        <w:t>assessing</w:t>
      </w:r>
      <w:r>
        <w:rPr>
          <w:spacing w:val="-5"/>
          <w:sz w:val="24"/>
        </w:rPr>
        <w:t xml:space="preserve"> </w:t>
      </w:r>
      <w:r>
        <w:rPr>
          <w:sz w:val="24"/>
        </w:rPr>
        <w:t>discriminant</w:t>
      </w:r>
      <w:r>
        <w:rPr>
          <w:spacing w:val="-5"/>
          <w:sz w:val="24"/>
        </w:rPr>
        <w:t xml:space="preserve"> </w:t>
      </w:r>
      <w:r>
        <w:rPr>
          <w:sz w:val="24"/>
        </w:rPr>
        <w:t>validity in</w:t>
      </w:r>
      <w:r>
        <w:rPr>
          <w:spacing w:val="-10"/>
          <w:sz w:val="24"/>
        </w:rPr>
        <w:t xml:space="preserve"> </w:t>
      </w:r>
      <w:r>
        <w:rPr>
          <w:sz w:val="24"/>
        </w:rPr>
        <w:t>variance-based</w:t>
      </w:r>
      <w:r>
        <w:rPr>
          <w:spacing w:val="-11"/>
          <w:sz w:val="24"/>
        </w:rPr>
        <w:t xml:space="preserve"> </w:t>
      </w:r>
      <w:r>
        <w:rPr>
          <w:sz w:val="24"/>
        </w:rPr>
        <w:t>structural</w:t>
      </w:r>
      <w:r>
        <w:rPr>
          <w:spacing w:val="-10"/>
          <w:sz w:val="24"/>
        </w:rPr>
        <w:t xml:space="preserve"> </w:t>
      </w:r>
      <w:r>
        <w:rPr>
          <w:sz w:val="24"/>
        </w:rPr>
        <w:t>equation</w:t>
      </w:r>
      <w:r>
        <w:rPr>
          <w:spacing w:val="-11"/>
          <w:sz w:val="24"/>
        </w:rPr>
        <w:t xml:space="preserve"> </w:t>
      </w:r>
      <w:r>
        <w:rPr>
          <w:sz w:val="24"/>
        </w:rPr>
        <w:t>modeling.</w:t>
      </w:r>
      <w:r>
        <w:rPr>
          <w:spacing w:val="-10"/>
          <w:sz w:val="24"/>
        </w:rPr>
        <w:t xml:space="preserve"> </w:t>
      </w:r>
      <w:r>
        <w:rPr>
          <w:sz w:val="24"/>
        </w:rPr>
        <w:t>Journal</w:t>
      </w:r>
      <w:r>
        <w:rPr>
          <w:spacing w:val="-10"/>
          <w:sz w:val="24"/>
        </w:rPr>
        <w:t xml:space="preserve"> </w:t>
      </w:r>
      <w:r>
        <w:rPr>
          <w:sz w:val="24"/>
        </w:rPr>
        <w:t>of</w:t>
      </w:r>
      <w:r>
        <w:rPr>
          <w:spacing w:val="-11"/>
          <w:sz w:val="24"/>
        </w:rPr>
        <w:t xml:space="preserve"> </w:t>
      </w:r>
      <w:r>
        <w:rPr>
          <w:sz w:val="24"/>
        </w:rPr>
        <w:t>the</w:t>
      </w:r>
      <w:r>
        <w:rPr>
          <w:spacing w:val="-11"/>
          <w:sz w:val="24"/>
        </w:rPr>
        <w:t xml:space="preserve"> </w:t>
      </w:r>
      <w:r>
        <w:rPr>
          <w:sz w:val="24"/>
        </w:rPr>
        <w:t>academy</w:t>
      </w:r>
      <w:r>
        <w:rPr>
          <w:spacing w:val="-10"/>
          <w:sz w:val="24"/>
        </w:rPr>
        <w:t xml:space="preserve"> </w:t>
      </w:r>
      <w:r>
        <w:rPr>
          <w:sz w:val="24"/>
        </w:rPr>
        <w:t>of</w:t>
      </w:r>
      <w:r>
        <w:rPr>
          <w:spacing w:val="-9"/>
          <w:sz w:val="24"/>
        </w:rPr>
        <w:t xml:space="preserve"> </w:t>
      </w:r>
      <w:r>
        <w:rPr>
          <w:sz w:val="24"/>
        </w:rPr>
        <w:t>marketing</w:t>
      </w:r>
      <w:r>
        <w:rPr>
          <w:spacing w:val="-11"/>
          <w:sz w:val="24"/>
        </w:rPr>
        <w:t xml:space="preserve"> </w:t>
      </w:r>
      <w:r>
        <w:rPr>
          <w:sz w:val="24"/>
        </w:rPr>
        <w:t>science,</w:t>
      </w:r>
      <w:r>
        <w:rPr>
          <w:spacing w:val="-11"/>
          <w:sz w:val="24"/>
        </w:rPr>
        <w:t xml:space="preserve"> </w:t>
      </w:r>
      <w:r>
        <w:rPr>
          <w:sz w:val="24"/>
        </w:rPr>
        <w:t>43,</w:t>
      </w:r>
      <w:r>
        <w:rPr>
          <w:spacing w:val="-11"/>
          <w:sz w:val="24"/>
        </w:rPr>
        <w:t xml:space="preserve"> </w:t>
      </w:r>
      <w:r>
        <w:rPr>
          <w:sz w:val="24"/>
        </w:rPr>
        <w:t xml:space="preserve">115- </w:t>
      </w:r>
      <w:r>
        <w:rPr>
          <w:spacing w:val="-4"/>
          <w:sz w:val="24"/>
        </w:rPr>
        <w:t>135.</w:t>
      </w:r>
    </w:p>
    <w:p w:rsidR="00487D64" w:rsidRDefault="006F0D93">
      <w:pPr>
        <w:pStyle w:val="ListParagraph"/>
        <w:numPr>
          <w:ilvl w:val="0"/>
          <w:numId w:val="1"/>
        </w:numPr>
        <w:tabs>
          <w:tab w:val="left" w:pos="417"/>
        </w:tabs>
        <w:spacing w:line="276" w:lineRule="auto"/>
        <w:ind w:right="343"/>
        <w:jc w:val="both"/>
        <w:rPr>
          <w:sz w:val="24"/>
        </w:rPr>
      </w:pPr>
      <w:r>
        <w:rPr>
          <w:sz w:val="24"/>
        </w:rPr>
        <w:t>Isoghom, H. W., &amp; Worgu, P. O. (2025). Sustainable public procurement and supply chain competitiveness of Federal Universities in Nigeria.</w:t>
      </w:r>
    </w:p>
    <w:p w:rsidR="00487D64" w:rsidRDefault="006F0D93">
      <w:pPr>
        <w:pStyle w:val="ListParagraph"/>
        <w:numPr>
          <w:ilvl w:val="0"/>
          <w:numId w:val="1"/>
        </w:numPr>
        <w:tabs>
          <w:tab w:val="left" w:pos="417"/>
        </w:tabs>
        <w:spacing w:line="276" w:lineRule="auto"/>
        <w:ind w:right="346"/>
        <w:jc w:val="both"/>
        <w:rPr>
          <w:sz w:val="24"/>
        </w:rPr>
      </w:pPr>
      <w:r>
        <w:rPr>
          <w:sz w:val="24"/>
        </w:rPr>
        <w:t>Jaworski, B. J., and Kohli, A. K. (1993). Market orientation: antecedents and consequences. Journal of marketing, 57(</w:t>
      </w:r>
      <w:r>
        <w:rPr>
          <w:sz w:val="24"/>
        </w:rPr>
        <w:t>3), 53-70.</w:t>
      </w:r>
    </w:p>
    <w:p w:rsidR="00487D64" w:rsidRDefault="006F0D93">
      <w:pPr>
        <w:pStyle w:val="ListParagraph"/>
        <w:numPr>
          <w:ilvl w:val="0"/>
          <w:numId w:val="1"/>
        </w:numPr>
        <w:tabs>
          <w:tab w:val="left" w:pos="417"/>
        </w:tabs>
        <w:spacing w:line="276" w:lineRule="auto"/>
        <w:ind w:right="340"/>
        <w:jc w:val="both"/>
        <w:rPr>
          <w:sz w:val="24"/>
        </w:rPr>
      </w:pPr>
      <w:r>
        <w:rPr>
          <w:sz w:val="24"/>
        </w:rPr>
        <w:t>Kaliappen, N., and Abdullah, H. H. (2013). Enhancing organizational performance through strategic alignment of cost leadership strategy and competitor orientation. Middle-East Journal of Scientific Research, 18(10), 1411-1416.</w:t>
      </w:r>
    </w:p>
    <w:p w:rsidR="00487D64" w:rsidRDefault="006F0D93">
      <w:pPr>
        <w:pStyle w:val="ListParagraph"/>
        <w:numPr>
          <w:ilvl w:val="0"/>
          <w:numId w:val="1"/>
        </w:numPr>
        <w:tabs>
          <w:tab w:val="left" w:pos="417"/>
        </w:tabs>
        <w:spacing w:before="1" w:line="276" w:lineRule="auto"/>
        <w:ind w:right="343"/>
        <w:jc w:val="both"/>
        <w:rPr>
          <w:sz w:val="24"/>
        </w:rPr>
      </w:pPr>
      <w:r>
        <w:rPr>
          <w:sz w:val="24"/>
        </w:rPr>
        <w:t>Karani,</w:t>
      </w:r>
      <w:r>
        <w:rPr>
          <w:spacing w:val="-3"/>
          <w:sz w:val="24"/>
        </w:rPr>
        <w:t xml:space="preserve"> </w:t>
      </w:r>
      <w:r>
        <w:rPr>
          <w:sz w:val="24"/>
        </w:rPr>
        <w:t>K.,</w:t>
      </w:r>
      <w:r>
        <w:rPr>
          <w:spacing w:val="-3"/>
          <w:sz w:val="24"/>
        </w:rPr>
        <w:t xml:space="preserve"> </w:t>
      </w:r>
      <w:r>
        <w:rPr>
          <w:sz w:val="24"/>
        </w:rPr>
        <w:t>and</w:t>
      </w:r>
      <w:r>
        <w:rPr>
          <w:spacing w:val="-3"/>
          <w:sz w:val="24"/>
        </w:rPr>
        <w:t xml:space="preserve"> </w:t>
      </w:r>
      <w:r>
        <w:rPr>
          <w:sz w:val="24"/>
        </w:rPr>
        <w:t>Mo</w:t>
      </w:r>
      <w:r>
        <w:rPr>
          <w:sz w:val="24"/>
        </w:rPr>
        <w:t>ronge,</w:t>
      </w:r>
      <w:r>
        <w:rPr>
          <w:spacing w:val="-3"/>
          <w:sz w:val="24"/>
        </w:rPr>
        <w:t xml:space="preserve"> </w:t>
      </w:r>
      <w:r>
        <w:rPr>
          <w:sz w:val="24"/>
        </w:rPr>
        <w:t>M.</w:t>
      </w:r>
      <w:r>
        <w:rPr>
          <w:spacing w:val="-3"/>
          <w:sz w:val="24"/>
        </w:rPr>
        <w:t xml:space="preserve"> </w:t>
      </w:r>
      <w:r>
        <w:rPr>
          <w:sz w:val="24"/>
        </w:rPr>
        <w:t>(2017).</w:t>
      </w:r>
      <w:r>
        <w:rPr>
          <w:spacing w:val="-3"/>
          <w:sz w:val="24"/>
        </w:rPr>
        <w:t xml:space="preserve"> </w:t>
      </w:r>
      <w:r>
        <w:rPr>
          <w:sz w:val="24"/>
        </w:rPr>
        <w:t>Determinants</w:t>
      </w:r>
      <w:r>
        <w:rPr>
          <w:spacing w:val="-4"/>
          <w:sz w:val="24"/>
        </w:rPr>
        <w:t xml:space="preserve"> </w:t>
      </w:r>
      <w:r>
        <w:rPr>
          <w:sz w:val="24"/>
        </w:rPr>
        <w:t>of</w:t>
      </w:r>
      <w:r>
        <w:rPr>
          <w:spacing w:val="-3"/>
          <w:sz w:val="24"/>
        </w:rPr>
        <w:t xml:space="preserve"> </w:t>
      </w:r>
      <w:r>
        <w:rPr>
          <w:sz w:val="24"/>
        </w:rPr>
        <w:t>Youth</w:t>
      </w:r>
      <w:r>
        <w:rPr>
          <w:spacing w:val="-3"/>
          <w:sz w:val="24"/>
        </w:rPr>
        <w:t xml:space="preserve"> </w:t>
      </w:r>
      <w:r>
        <w:rPr>
          <w:sz w:val="24"/>
        </w:rPr>
        <w:t>Access</w:t>
      </w:r>
      <w:r>
        <w:rPr>
          <w:spacing w:val="-4"/>
          <w:sz w:val="24"/>
        </w:rPr>
        <w:t xml:space="preserve"> </w:t>
      </w:r>
      <w:r>
        <w:rPr>
          <w:sz w:val="24"/>
        </w:rPr>
        <w:t>to</w:t>
      </w:r>
      <w:r>
        <w:rPr>
          <w:spacing w:val="-3"/>
          <w:sz w:val="24"/>
        </w:rPr>
        <w:t xml:space="preserve"> </w:t>
      </w:r>
      <w:r>
        <w:rPr>
          <w:sz w:val="24"/>
        </w:rPr>
        <w:t>Procurement</w:t>
      </w:r>
      <w:r>
        <w:rPr>
          <w:spacing w:val="-3"/>
          <w:sz w:val="24"/>
        </w:rPr>
        <w:t xml:space="preserve"> </w:t>
      </w:r>
      <w:r>
        <w:rPr>
          <w:sz w:val="24"/>
        </w:rPr>
        <w:t>Opportunities</w:t>
      </w:r>
      <w:r>
        <w:rPr>
          <w:spacing w:val="-4"/>
          <w:sz w:val="24"/>
        </w:rPr>
        <w:t xml:space="preserve"> </w:t>
      </w:r>
      <w:r>
        <w:rPr>
          <w:sz w:val="24"/>
        </w:rPr>
        <w:t>in Public Sector in Kenya: A Case of National Treasury. Strategic Journal of Business and Change Management, 4(2), 1089 - 1107.</w:t>
      </w:r>
    </w:p>
    <w:p w:rsidR="00487D64" w:rsidRDefault="006F0D93">
      <w:pPr>
        <w:pStyle w:val="ListParagraph"/>
        <w:numPr>
          <w:ilvl w:val="0"/>
          <w:numId w:val="1"/>
        </w:numPr>
        <w:tabs>
          <w:tab w:val="left" w:pos="417"/>
        </w:tabs>
        <w:spacing w:line="276" w:lineRule="auto"/>
        <w:ind w:right="339"/>
        <w:jc w:val="both"/>
        <w:rPr>
          <w:sz w:val="24"/>
        </w:rPr>
      </w:pPr>
      <w:r>
        <w:rPr>
          <w:sz w:val="24"/>
        </w:rPr>
        <w:t>Karttunen,</w:t>
      </w:r>
      <w:r>
        <w:rPr>
          <w:spacing w:val="-6"/>
          <w:sz w:val="24"/>
        </w:rPr>
        <w:t xml:space="preserve"> </w:t>
      </w:r>
      <w:r>
        <w:rPr>
          <w:sz w:val="24"/>
        </w:rPr>
        <w:t>E.,</w:t>
      </w:r>
      <w:r>
        <w:rPr>
          <w:spacing w:val="-6"/>
          <w:sz w:val="24"/>
        </w:rPr>
        <w:t xml:space="preserve"> </w:t>
      </w:r>
      <w:r>
        <w:rPr>
          <w:sz w:val="24"/>
        </w:rPr>
        <w:t>Jääskeläinen,</w:t>
      </w:r>
      <w:r>
        <w:rPr>
          <w:spacing w:val="-6"/>
          <w:sz w:val="24"/>
        </w:rPr>
        <w:t xml:space="preserve"> </w:t>
      </w:r>
      <w:r>
        <w:rPr>
          <w:sz w:val="24"/>
        </w:rPr>
        <w:t>A.,</w:t>
      </w:r>
      <w:r>
        <w:rPr>
          <w:spacing w:val="-6"/>
          <w:sz w:val="24"/>
        </w:rPr>
        <w:t xml:space="preserve"> </w:t>
      </w:r>
      <w:r>
        <w:rPr>
          <w:sz w:val="24"/>
        </w:rPr>
        <w:t>Malacina,</w:t>
      </w:r>
      <w:r>
        <w:rPr>
          <w:spacing w:val="-3"/>
          <w:sz w:val="24"/>
        </w:rPr>
        <w:t xml:space="preserve"> </w:t>
      </w:r>
      <w:r>
        <w:rPr>
          <w:sz w:val="24"/>
        </w:rPr>
        <w:t>I.,</w:t>
      </w:r>
      <w:r>
        <w:rPr>
          <w:spacing w:val="-6"/>
          <w:sz w:val="24"/>
        </w:rPr>
        <w:t xml:space="preserve"> </w:t>
      </w:r>
      <w:r>
        <w:rPr>
          <w:sz w:val="24"/>
        </w:rPr>
        <w:t>Lintu</w:t>
      </w:r>
      <w:r>
        <w:rPr>
          <w:sz w:val="24"/>
        </w:rPr>
        <w:t>kangas,</w:t>
      </w:r>
      <w:r>
        <w:rPr>
          <w:spacing w:val="-6"/>
          <w:sz w:val="24"/>
        </w:rPr>
        <w:t xml:space="preserve"> </w:t>
      </w:r>
      <w:r>
        <w:rPr>
          <w:sz w:val="24"/>
        </w:rPr>
        <w:t>K.,</w:t>
      </w:r>
      <w:r>
        <w:rPr>
          <w:spacing w:val="-6"/>
          <w:sz w:val="24"/>
        </w:rPr>
        <w:t xml:space="preserve"> </w:t>
      </w:r>
      <w:r>
        <w:rPr>
          <w:sz w:val="24"/>
        </w:rPr>
        <w:t>Kähkönen,</w:t>
      </w:r>
      <w:r>
        <w:rPr>
          <w:spacing w:val="-3"/>
          <w:sz w:val="24"/>
        </w:rPr>
        <w:t xml:space="preserve"> </w:t>
      </w:r>
      <w:r>
        <w:rPr>
          <w:sz w:val="24"/>
        </w:rPr>
        <w:t>A.</w:t>
      </w:r>
      <w:r>
        <w:rPr>
          <w:spacing w:val="-6"/>
          <w:sz w:val="24"/>
        </w:rPr>
        <w:t xml:space="preserve"> </w:t>
      </w:r>
      <w:r>
        <w:rPr>
          <w:sz w:val="24"/>
        </w:rPr>
        <w:t>K.,</w:t>
      </w:r>
      <w:r>
        <w:rPr>
          <w:spacing w:val="-6"/>
          <w:sz w:val="24"/>
        </w:rPr>
        <w:t xml:space="preserve"> </w:t>
      </w:r>
      <w:r>
        <w:rPr>
          <w:sz w:val="24"/>
        </w:rPr>
        <w:t>&amp;</w:t>
      </w:r>
      <w:r>
        <w:rPr>
          <w:spacing w:val="-5"/>
          <w:sz w:val="24"/>
        </w:rPr>
        <w:t xml:space="preserve"> </w:t>
      </w:r>
      <w:r>
        <w:rPr>
          <w:sz w:val="24"/>
        </w:rPr>
        <w:t>Vos,</w:t>
      </w:r>
      <w:r>
        <w:rPr>
          <w:spacing w:val="-6"/>
          <w:sz w:val="24"/>
        </w:rPr>
        <w:t xml:space="preserve"> </w:t>
      </w:r>
      <w:r>
        <w:rPr>
          <w:sz w:val="24"/>
        </w:rPr>
        <w:t>F.</w:t>
      </w:r>
      <w:r>
        <w:rPr>
          <w:spacing w:val="-6"/>
          <w:sz w:val="24"/>
        </w:rPr>
        <w:t xml:space="preserve"> </w:t>
      </w:r>
      <w:r>
        <w:rPr>
          <w:sz w:val="24"/>
        </w:rPr>
        <w:t>G.</w:t>
      </w:r>
      <w:r>
        <w:rPr>
          <w:spacing w:val="-6"/>
          <w:sz w:val="24"/>
        </w:rPr>
        <w:t xml:space="preserve"> </w:t>
      </w:r>
      <w:r>
        <w:rPr>
          <w:sz w:val="24"/>
        </w:rPr>
        <w:t>(2024). Dynamic capabilities view on value creation in public procurement. Journal of Public Procurement, 24(1), 114-141.</w:t>
      </w:r>
    </w:p>
    <w:p w:rsidR="00487D64" w:rsidRDefault="006F0D93">
      <w:pPr>
        <w:pStyle w:val="ListParagraph"/>
        <w:numPr>
          <w:ilvl w:val="0"/>
          <w:numId w:val="1"/>
        </w:numPr>
        <w:tabs>
          <w:tab w:val="left" w:pos="417"/>
        </w:tabs>
        <w:spacing w:line="276" w:lineRule="auto"/>
        <w:ind w:right="344"/>
        <w:jc w:val="both"/>
        <w:rPr>
          <w:sz w:val="24"/>
        </w:rPr>
      </w:pPr>
      <w:r>
        <w:rPr>
          <w:sz w:val="24"/>
        </w:rPr>
        <w:t>Khan, R. U., Salamzadeh, Y., Abbasi, M. A., Amin, A., &amp; Sahar, N. E. (2022). Strategic orien</w:t>
      </w:r>
      <w:r>
        <w:rPr>
          <w:sz w:val="24"/>
        </w:rPr>
        <w:t>tation and</w:t>
      </w:r>
      <w:r>
        <w:rPr>
          <w:spacing w:val="-6"/>
          <w:sz w:val="24"/>
        </w:rPr>
        <w:t xml:space="preserve"> </w:t>
      </w:r>
      <w:r>
        <w:rPr>
          <w:sz w:val="24"/>
        </w:rPr>
        <w:t>sustainable</w:t>
      </w:r>
      <w:r>
        <w:rPr>
          <w:spacing w:val="-5"/>
          <w:sz w:val="24"/>
        </w:rPr>
        <w:t xml:space="preserve"> </w:t>
      </w:r>
      <w:r>
        <w:rPr>
          <w:sz w:val="24"/>
        </w:rPr>
        <w:t>competitive</w:t>
      </w:r>
      <w:r>
        <w:rPr>
          <w:spacing w:val="-6"/>
          <w:sz w:val="24"/>
        </w:rPr>
        <w:t xml:space="preserve"> </w:t>
      </w:r>
      <w:r>
        <w:rPr>
          <w:sz w:val="24"/>
        </w:rPr>
        <w:t>performance</w:t>
      </w:r>
      <w:r>
        <w:rPr>
          <w:spacing w:val="-7"/>
          <w:sz w:val="24"/>
        </w:rPr>
        <w:t xml:space="preserve"> </w:t>
      </w:r>
      <w:r>
        <w:rPr>
          <w:sz w:val="24"/>
        </w:rPr>
        <w:t>of</w:t>
      </w:r>
      <w:r>
        <w:rPr>
          <w:spacing w:val="-7"/>
          <w:sz w:val="24"/>
        </w:rPr>
        <w:t xml:space="preserve"> </w:t>
      </w:r>
      <w:r>
        <w:rPr>
          <w:sz w:val="24"/>
        </w:rPr>
        <w:t>family</w:t>
      </w:r>
      <w:r>
        <w:rPr>
          <w:spacing w:val="-5"/>
          <w:sz w:val="24"/>
        </w:rPr>
        <w:t xml:space="preserve"> </w:t>
      </w:r>
      <w:r>
        <w:rPr>
          <w:sz w:val="24"/>
        </w:rPr>
        <w:t>firms:</w:t>
      </w:r>
      <w:r>
        <w:rPr>
          <w:spacing w:val="-5"/>
          <w:sz w:val="24"/>
        </w:rPr>
        <w:t xml:space="preserve"> </w:t>
      </w:r>
      <w:r>
        <w:rPr>
          <w:sz w:val="24"/>
        </w:rPr>
        <w:t>Evidence</w:t>
      </w:r>
      <w:r>
        <w:rPr>
          <w:spacing w:val="-7"/>
          <w:sz w:val="24"/>
        </w:rPr>
        <w:t xml:space="preserve"> </w:t>
      </w:r>
      <w:r>
        <w:rPr>
          <w:sz w:val="24"/>
        </w:rPr>
        <w:t>of</w:t>
      </w:r>
      <w:r>
        <w:rPr>
          <w:spacing w:val="-4"/>
          <w:sz w:val="24"/>
        </w:rPr>
        <w:t xml:space="preserve"> </w:t>
      </w:r>
      <w:r>
        <w:rPr>
          <w:sz w:val="24"/>
        </w:rPr>
        <w:t>an</w:t>
      </w:r>
      <w:r>
        <w:rPr>
          <w:spacing w:val="-4"/>
          <w:sz w:val="24"/>
        </w:rPr>
        <w:t xml:space="preserve"> </w:t>
      </w:r>
      <w:r>
        <w:rPr>
          <w:sz w:val="24"/>
        </w:rPr>
        <w:t>emerging</w:t>
      </w:r>
      <w:r>
        <w:rPr>
          <w:spacing w:val="-5"/>
          <w:sz w:val="24"/>
        </w:rPr>
        <w:t xml:space="preserve"> </w:t>
      </w:r>
      <w:r>
        <w:rPr>
          <w:sz w:val="24"/>
        </w:rPr>
        <w:t>economy.</w:t>
      </w:r>
      <w:r>
        <w:rPr>
          <w:spacing w:val="-3"/>
          <w:sz w:val="24"/>
        </w:rPr>
        <w:t xml:space="preserve"> </w:t>
      </w:r>
      <w:r>
        <w:rPr>
          <w:sz w:val="24"/>
        </w:rPr>
        <w:t>Journal of Small Business Strategy, 32(2), 67-82.</w:t>
      </w:r>
    </w:p>
    <w:p w:rsidR="00487D64" w:rsidRDefault="006F0D93">
      <w:pPr>
        <w:pStyle w:val="ListParagraph"/>
        <w:numPr>
          <w:ilvl w:val="0"/>
          <w:numId w:val="1"/>
        </w:numPr>
        <w:tabs>
          <w:tab w:val="left" w:pos="417"/>
        </w:tabs>
        <w:ind w:hanging="360"/>
        <w:jc w:val="both"/>
        <w:rPr>
          <w:sz w:val="24"/>
        </w:rPr>
      </w:pPr>
      <w:r>
        <w:rPr>
          <w:sz w:val="24"/>
        </w:rPr>
        <w:t>Lopez-Torres,</w:t>
      </w:r>
      <w:r>
        <w:rPr>
          <w:spacing w:val="45"/>
          <w:sz w:val="24"/>
        </w:rPr>
        <w:t xml:space="preserve"> </w:t>
      </w:r>
      <w:r>
        <w:rPr>
          <w:sz w:val="24"/>
        </w:rPr>
        <w:t>G.</w:t>
      </w:r>
      <w:r>
        <w:rPr>
          <w:spacing w:val="43"/>
          <w:sz w:val="24"/>
        </w:rPr>
        <w:t xml:space="preserve"> </w:t>
      </w:r>
      <w:r>
        <w:rPr>
          <w:sz w:val="24"/>
        </w:rPr>
        <w:t>C.</w:t>
      </w:r>
      <w:r>
        <w:rPr>
          <w:spacing w:val="45"/>
          <w:sz w:val="24"/>
        </w:rPr>
        <w:t xml:space="preserve"> </w:t>
      </w:r>
      <w:r>
        <w:rPr>
          <w:sz w:val="24"/>
        </w:rPr>
        <w:t>(2023).</w:t>
      </w:r>
      <w:r>
        <w:rPr>
          <w:spacing w:val="43"/>
          <w:sz w:val="24"/>
        </w:rPr>
        <w:t xml:space="preserve"> </w:t>
      </w:r>
      <w:r>
        <w:rPr>
          <w:sz w:val="24"/>
        </w:rPr>
        <w:t>The</w:t>
      </w:r>
      <w:r>
        <w:rPr>
          <w:spacing w:val="44"/>
          <w:sz w:val="24"/>
        </w:rPr>
        <w:t xml:space="preserve"> </w:t>
      </w:r>
      <w:r>
        <w:rPr>
          <w:sz w:val="24"/>
        </w:rPr>
        <w:t>impact</w:t>
      </w:r>
      <w:r>
        <w:rPr>
          <w:spacing w:val="44"/>
          <w:sz w:val="24"/>
        </w:rPr>
        <w:t xml:space="preserve"> </w:t>
      </w:r>
      <w:r>
        <w:rPr>
          <w:sz w:val="24"/>
        </w:rPr>
        <w:t>of</w:t>
      </w:r>
      <w:r>
        <w:rPr>
          <w:spacing w:val="44"/>
          <w:sz w:val="24"/>
        </w:rPr>
        <w:t xml:space="preserve"> </w:t>
      </w:r>
      <w:r>
        <w:rPr>
          <w:sz w:val="24"/>
        </w:rPr>
        <w:t>SMEs’</w:t>
      </w:r>
      <w:r>
        <w:rPr>
          <w:spacing w:val="43"/>
          <w:sz w:val="24"/>
        </w:rPr>
        <w:t xml:space="preserve"> </w:t>
      </w:r>
      <w:r>
        <w:rPr>
          <w:sz w:val="24"/>
        </w:rPr>
        <w:t>sustainability</w:t>
      </w:r>
      <w:r>
        <w:rPr>
          <w:spacing w:val="45"/>
          <w:sz w:val="24"/>
        </w:rPr>
        <w:t xml:space="preserve"> </w:t>
      </w:r>
      <w:r>
        <w:rPr>
          <w:sz w:val="24"/>
        </w:rPr>
        <w:t>on</w:t>
      </w:r>
      <w:r>
        <w:rPr>
          <w:spacing w:val="44"/>
          <w:sz w:val="24"/>
        </w:rPr>
        <w:t xml:space="preserve"> </w:t>
      </w:r>
      <w:r>
        <w:rPr>
          <w:sz w:val="24"/>
        </w:rPr>
        <w:t>competitiveness.</w:t>
      </w:r>
      <w:r>
        <w:rPr>
          <w:spacing w:val="45"/>
          <w:sz w:val="24"/>
        </w:rPr>
        <w:t xml:space="preserve"> </w:t>
      </w:r>
      <w:r>
        <w:rPr>
          <w:spacing w:val="-2"/>
          <w:sz w:val="24"/>
        </w:rPr>
        <w:t>Measuring</w:t>
      </w:r>
    </w:p>
    <w:p w:rsidR="00487D64" w:rsidRDefault="006F0D93">
      <w:pPr>
        <w:spacing w:before="40"/>
        <w:ind w:left="417"/>
        <w:jc w:val="both"/>
        <w:rPr>
          <w:sz w:val="24"/>
        </w:rPr>
      </w:pPr>
      <w:r>
        <w:rPr>
          <w:sz w:val="24"/>
        </w:rPr>
        <w:t>Business</w:t>
      </w:r>
      <w:r>
        <w:rPr>
          <w:spacing w:val="-4"/>
          <w:sz w:val="24"/>
        </w:rPr>
        <w:t xml:space="preserve"> </w:t>
      </w:r>
      <w:r>
        <w:rPr>
          <w:sz w:val="24"/>
        </w:rPr>
        <w:t>Excellence,</w:t>
      </w:r>
      <w:r>
        <w:rPr>
          <w:spacing w:val="-3"/>
          <w:sz w:val="24"/>
        </w:rPr>
        <w:t xml:space="preserve"> </w:t>
      </w:r>
      <w:r>
        <w:rPr>
          <w:sz w:val="24"/>
        </w:rPr>
        <w:t>27(1),</w:t>
      </w:r>
      <w:r>
        <w:rPr>
          <w:spacing w:val="-3"/>
          <w:sz w:val="24"/>
        </w:rPr>
        <w:t xml:space="preserve"> </w:t>
      </w:r>
      <w:r>
        <w:rPr>
          <w:sz w:val="24"/>
        </w:rPr>
        <w:t>107-</w:t>
      </w:r>
      <w:r>
        <w:rPr>
          <w:spacing w:val="-4"/>
          <w:sz w:val="24"/>
        </w:rPr>
        <w:t>120.</w:t>
      </w:r>
    </w:p>
    <w:p w:rsidR="00487D64" w:rsidRDefault="006F0D93">
      <w:pPr>
        <w:pStyle w:val="ListParagraph"/>
        <w:numPr>
          <w:ilvl w:val="0"/>
          <w:numId w:val="1"/>
        </w:numPr>
        <w:tabs>
          <w:tab w:val="left" w:pos="360"/>
          <w:tab w:val="left" w:pos="1675"/>
        </w:tabs>
        <w:spacing w:before="41"/>
        <w:ind w:left="360" w:right="286" w:hanging="360"/>
        <w:jc w:val="center"/>
        <w:rPr>
          <w:sz w:val="24"/>
        </w:rPr>
      </w:pPr>
      <w:r>
        <w:rPr>
          <w:spacing w:val="-2"/>
          <w:sz w:val="24"/>
        </w:rPr>
        <w:t>Mahmood,</w:t>
      </w:r>
      <w:r>
        <w:rPr>
          <w:sz w:val="24"/>
        </w:rPr>
        <w:tab/>
        <w:t>&amp;</w:t>
      </w:r>
      <w:r>
        <w:rPr>
          <w:spacing w:val="71"/>
          <w:sz w:val="24"/>
        </w:rPr>
        <w:t xml:space="preserve"> </w:t>
      </w:r>
      <w:r>
        <w:rPr>
          <w:sz w:val="24"/>
        </w:rPr>
        <w:t>Khan,</w:t>
      </w:r>
      <w:r>
        <w:rPr>
          <w:spacing w:val="75"/>
          <w:sz w:val="24"/>
        </w:rPr>
        <w:t xml:space="preserve"> </w:t>
      </w:r>
      <w:r>
        <w:rPr>
          <w:sz w:val="24"/>
        </w:rPr>
        <w:t>(2023).</w:t>
      </w:r>
      <w:r>
        <w:rPr>
          <w:spacing w:val="73"/>
          <w:sz w:val="24"/>
        </w:rPr>
        <w:t xml:space="preserve"> </w:t>
      </w:r>
      <w:r>
        <w:rPr>
          <w:sz w:val="24"/>
        </w:rPr>
        <w:t>CSR</w:t>
      </w:r>
      <w:r>
        <w:rPr>
          <w:spacing w:val="74"/>
          <w:sz w:val="24"/>
        </w:rPr>
        <w:t xml:space="preserve"> </w:t>
      </w:r>
      <w:r>
        <w:rPr>
          <w:sz w:val="24"/>
        </w:rPr>
        <w:t>and</w:t>
      </w:r>
      <w:r>
        <w:rPr>
          <w:spacing w:val="73"/>
          <w:sz w:val="24"/>
        </w:rPr>
        <w:t xml:space="preserve"> </w:t>
      </w:r>
      <w:r>
        <w:rPr>
          <w:sz w:val="24"/>
        </w:rPr>
        <w:t>customer</w:t>
      </w:r>
      <w:r>
        <w:rPr>
          <w:spacing w:val="71"/>
          <w:sz w:val="24"/>
        </w:rPr>
        <w:t xml:space="preserve"> </w:t>
      </w:r>
      <w:r>
        <w:rPr>
          <w:sz w:val="24"/>
        </w:rPr>
        <w:t>orientation:</w:t>
      </w:r>
      <w:r>
        <w:rPr>
          <w:spacing w:val="74"/>
          <w:sz w:val="24"/>
        </w:rPr>
        <w:t xml:space="preserve"> </w:t>
      </w:r>
      <w:r>
        <w:rPr>
          <w:sz w:val="24"/>
        </w:rPr>
        <w:t>A</w:t>
      </w:r>
      <w:r>
        <w:rPr>
          <w:spacing w:val="74"/>
          <w:sz w:val="24"/>
        </w:rPr>
        <w:t xml:space="preserve"> </w:t>
      </w:r>
      <w:r>
        <w:rPr>
          <w:sz w:val="24"/>
        </w:rPr>
        <w:t>sustainable</w:t>
      </w:r>
      <w:r>
        <w:rPr>
          <w:spacing w:val="72"/>
          <w:sz w:val="24"/>
        </w:rPr>
        <w:t xml:space="preserve"> </w:t>
      </w:r>
      <w:r>
        <w:rPr>
          <w:sz w:val="24"/>
        </w:rPr>
        <w:t>pathway</w:t>
      </w:r>
      <w:r>
        <w:rPr>
          <w:spacing w:val="74"/>
          <w:sz w:val="24"/>
        </w:rPr>
        <w:t xml:space="preserve"> </w:t>
      </w:r>
      <w:r>
        <w:rPr>
          <w:spacing w:val="-2"/>
          <w:sz w:val="24"/>
        </w:rPr>
        <w:t>towards</w:t>
      </w:r>
    </w:p>
    <w:p w:rsidR="00487D64" w:rsidRDefault="006F0D93">
      <w:pPr>
        <w:spacing w:before="43"/>
        <w:ind w:left="68" w:right="400"/>
        <w:jc w:val="center"/>
        <w:rPr>
          <w:sz w:val="24"/>
        </w:rPr>
      </w:pPr>
      <w:r>
        <w:rPr>
          <w:sz w:val="24"/>
        </w:rPr>
        <w:t>competitive</w:t>
      </w:r>
      <w:r>
        <w:rPr>
          <w:spacing w:val="-2"/>
          <w:sz w:val="24"/>
        </w:rPr>
        <w:t xml:space="preserve"> </w:t>
      </w:r>
      <w:r>
        <w:rPr>
          <w:sz w:val="24"/>
        </w:rPr>
        <w:t>advantage?</w:t>
      </w:r>
      <w:r>
        <w:rPr>
          <w:spacing w:val="-1"/>
          <w:sz w:val="24"/>
        </w:rPr>
        <w:t xml:space="preserve"> </w:t>
      </w:r>
      <w:r>
        <w:rPr>
          <w:sz w:val="24"/>
        </w:rPr>
        <w:t>A</w:t>
      </w:r>
      <w:r>
        <w:rPr>
          <w:spacing w:val="-2"/>
          <w:sz w:val="24"/>
        </w:rPr>
        <w:t xml:space="preserve"> </w:t>
      </w:r>
      <w:r>
        <w:rPr>
          <w:sz w:val="24"/>
        </w:rPr>
        <w:t>customer’s</w:t>
      </w:r>
      <w:r>
        <w:rPr>
          <w:spacing w:val="-3"/>
          <w:sz w:val="24"/>
        </w:rPr>
        <w:t xml:space="preserve"> </w:t>
      </w:r>
      <w:r>
        <w:rPr>
          <w:sz w:val="24"/>
        </w:rPr>
        <w:t>perspective.</w:t>
      </w:r>
      <w:r>
        <w:rPr>
          <w:spacing w:val="-2"/>
          <w:sz w:val="24"/>
        </w:rPr>
        <w:t xml:space="preserve"> </w:t>
      </w:r>
      <w:r>
        <w:rPr>
          <w:sz w:val="24"/>
        </w:rPr>
        <w:t>Social</w:t>
      </w:r>
      <w:r>
        <w:rPr>
          <w:spacing w:val="-1"/>
          <w:sz w:val="24"/>
        </w:rPr>
        <w:t xml:space="preserve"> </w:t>
      </w:r>
      <w:r>
        <w:rPr>
          <w:sz w:val="24"/>
        </w:rPr>
        <w:t>Responsibility</w:t>
      </w:r>
      <w:r>
        <w:rPr>
          <w:spacing w:val="-2"/>
          <w:sz w:val="24"/>
        </w:rPr>
        <w:t xml:space="preserve"> </w:t>
      </w:r>
      <w:r>
        <w:rPr>
          <w:sz w:val="24"/>
        </w:rPr>
        <w:t>Journal,</w:t>
      </w:r>
      <w:r>
        <w:rPr>
          <w:spacing w:val="-2"/>
          <w:sz w:val="24"/>
        </w:rPr>
        <w:t xml:space="preserve"> </w:t>
      </w:r>
      <w:r>
        <w:rPr>
          <w:sz w:val="24"/>
        </w:rPr>
        <w:t>19(4),</w:t>
      </w:r>
      <w:r>
        <w:rPr>
          <w:spacing w:val="-1"/>
          <w:sz w:val="24"/>
        </w:rPr>
        <w:t xml:space="preserve"> </w:t>
      </w:r>
      <w:r>
        <w:rPr>
          <w:sz w:val="24"/>
        </w:rPr>
        <w:t>741-</w:t>
      </w:r>
      <w:r>
        <w:rPr>
          <w:spacing w:val="-4"/>
          <w:sz w:val="24"/>
        </w:rPr>
        <w:t>755.</w:t>
      </w:r>
    </w:p>
    <w:p w:rsidR="00487D64" w:rsidRDefault="006F0D93">
      <w:pPr>
        <w:pStyle w:val="ListParagraph"/>
        <w:numPr>
          <w:ilvl w:val="0"/>
          <w:numId w:val="1"/>
        </w:numPr>
        <w:tabs>
          <w:tab w:val="left" w:pos="417"/>
        </w:tabs>
        <w:spacing w:before="41" w:line="276" w:lineRule="auto"/>
        <w:ind w:right="342"/>
        <w:jc w:val="both"/>
        <w:rPr>
          <w:sz w:val="24"/>
        </w:rPr>
      </w:pPr>
      <w:r>
        <w:rPr>
          <w:sz w:val="24"/>
        </w:rPr>
        <w:t>Morgan,</w:t>
      </w:r>
      <w:r>
        <w:rPr>
          <w:spacing w:val="-3"/>
          <w:sz w:val="24"/>
        </w:rPr>
        <w:t xml:space="preserve"> </w:t>
      </w:r>
      <w:r>
        <w:rPr>
          <w:sz w:val="24"/>
        </w:rPr>
        <w:t>T.,</w:t>
      </w:r>
      <w:r>
        <w:rPr>
          <w:spacing w:val="-2"/>
          <w:sz w:val="24"/>
        </w:rPr>
        <w:t xml:space="preserve"> </w:t>
      </w:r>
      <w:r>
        <w:rPr>
          <w:sz w:val="24"/>
        </w:rPr>
        <w:t>Anokhin,</w:t>
      </w:r>
      <w:r>
        <w:rPr>
          <w:spacing w:val="-3"/>
          <w:sz w:val="24"/>
        </w:rPr>
        <w:t xml:space="preserve"> </w:t>
      </w:r>
      <w:r>
        <w:rPr>
          <w:sz w:val="24"/>
        </w:rPr>
        <w:t>S.</w:t>
      </w:r>
      <w:r>
        <w:rPr>
          <w:spacing w:val="-1"/>
          <w:sz w:val="24"/>
        </w:rPr>
        <w:t xml:space="preserve"> </w:t>
      </w:r>
      <w:r>
        <w:rPr>
          <w:sz w:val="24"/>
        </w:rPr>
        <w:t>A.,</w:t>
      </w:r>
      <w:r>
        <w:rPr>
          <w:spacing w:val="-3"/>
          <w:sz w:val="24"/>
        </w:rPr>
        <w:t xml:space="preserve"> </w:t>
      </w:r>
      <w:r>
        <w:rPr>
          <w:sz w:val="24"/>
        </w:rPr>
        <w:t>and</w:t>
      </w:r>
      <w:r>
        <w:rPr>
          <w:spacing w:val="-1"/>
          <w:sz w:val="24"/>
        </w:rPr>
        <w:t xml:space="preserve"> </w:t>
      </w:r>
      <w:r>
        <w:rPr>
          <w:sz w:val="24"/>
        </w:rPr>
        <w:t>Wincent,</w:t>
      </w:r>
      <w:r>
        <w:rPr>
          <w:spacing w:val="-1"/>
          <w:sz w:val="24"/>
        </w:rPr>
        <w:t xml:space="preserve"> </w:t>
      </w:r>
      <w:r>
        <w:rPr>
          <w:sz w:val="24"/>
        </w:rPr>
        <w:t>J.</w:t>
      </w:r>
      <w:r>
        <w:rPr>
          <w:spacing w:val="-3"/>
          <w:sz w:val="24"/>
        </w:rPr>
        <w:t xml:space="preserve"> </w:t>
      </w:r>
      <w:r>
        <w:rPr>
          <w:sz w:val="24"/>
        </w:rPr>
        <w:t>(2019).</w:t>
      </w:r>
      <w:r>
        <w:rPr>
          <w:spacing w:val="-2"/>
          <w:sz w:val="24"/>
        </w:rPr>
        <w:t xml:space="preserve"> </w:t>
      </w:r>
      <w:r>
        <w:rPr>
          <w:sz w:val="24"/>
        </w:rPr>
        <w:t>Influence</w:t>
      </w:r>
      <w:r>
        <w:rPr>
          <w:spacing w:val="-2"/>
          <w:sz w:val="24"/>
        </w:rPr>
        <w:t xml:space="preserve"> </w:t>
      </w:r>
      <w:r>
        <w:rPr>
          <w:sz w:val="24"/>
        </w:rPr>
        <w:t>of</w:t>
      </w:r>
      <w:r>
        <w:rPr>
          <w:spacing w:val="-2"/>
          <w:sz w:val="24"/>
        </w:rPr>
        <w:t xml:space="preserve"> </w:t>
      </w:r>
      <w:r>
        <w:rPr>
          <w:sz w:val="24"/>
        </w:rPr>
        <w:t>market</w:t>
      </w:r>
      <w:r>
        <w:rPr>
          <w:spacing w:val="-1"/>
          <w:sz w:val="24"/>
        </w:rPr>
        <w:t xml:space="preserve"> </w:t>
      </w:r>
      <w:r>
        <w:rPr>
          <w:sz w:val="24"/>
        </w:rPr>
        <w:t>orientation</w:t>
      </w:r>
      <w:r>
        <w:rPr>
          <w:spacing w:val="-3"/>
          <w:sz w:val="24"/>
        </w:rPr>
        <w:t xml:space="preserve"> </w:t>
      </w:r>
      <w:r>
        <w:rPr>
          <w:sz w:val="24"/>
        </w:rPr>
        <w:t>on</w:t>
      </w:r>
      <w:r>
        <w:rPr>
          <w:spacing w:val="-3"/>
          <w:sz w:val="24"/>
        </w:rPr>
        <w:t xml:space="preserve"> </w:t>
      </w:r>
      <w:r>
        <w:rPr>
          <w:sz w:val="24"/>
        </w:rPr>
        <w:t>performance: the moderating roles of customer participation breadth and depth in new product development. Industry and Innovation, 26(9), 1103-1120.</w:t>
      </w:r>
    </w:p>
    <w:p w:rsidR="00487D64" w:rsidRDefault="006F0D93">
      <w:pPr>
        <w:pStyle w:val="ListParagraph"/>
        <w:numPr>
          <w:ilvl w:val="0"/>
          <w:numId w:val="1"/>
        </w:numPr>
        <w:tabs>
          <w:tab w:val="left" w:pos="417"/>
        </w:tabs>
        <w:spacing w:before="1" w:line="276" w:lineRule="auto"/>
        <w:ind w:right="344"/>
        <w:jc w:val="both"/>
        <w:rPr>
          <w:sz w:val="24"/>
        </w:rPr>
      </w:pPr>
      <w:r>
        <w:rPr>
          <w:sz w:val="24"/>
        </w:rPr>
        <w:t>Mugenda, A., and Mugenda, O. (2003). Research methods: Quantitat</w:t>
      </w:r>
      <w:r>
        <w:rPr>
          <w:sz w:val="24"/>
        </w:rPr>
        <w:t>ive and qualitative approaches. Nairobi: African Center for Technology Studies</w:t>
      </w:r>
    </w:p>
    <w:p w:rsidR="00487D64" w:rsidRDefault="006F0D93">
      <w:pPr>
        <w:pStyle w:val="ListParagraph"/>
        <w:numPr>
          <w:ilvl w:val="0"/>
          <w:numId w:val="1"/>
        </w:numPr>
        <w:tabs>
          <w:tab w:val="left" w:pos="417"/>
        </w:tabs>
        <w:spacing w:line="276" w:lineRule="auto"/>
        <w:ind w:right="346"/>
        <w:jc w:val="both"/>
        <w:rPr>
          <w:sz w:val="24"/>
        </w:rPr>
      </w:pPr>
      <w:r>
        <w:rPr>
          <w:sz w:val="24"/>
        </w:rPr>
        <w:t>Narver, J. C., and Slater, S. F. (1990). The effect of a market orientation on business profitability. Journal of marketing, 54(4), 20-35.</w:t>
      </w:r>
    </w:p>
    <w:p w:rsidR="00487D64" w:rsidRDefault="006F0D93">
      <w:pPr>
        <w:pStyle w:val="ListParagraph"/>
        <w:numPr>
          <w:ilvl w:val="0"/>
          <w:numId w:val="1"/>
        </w:numPr>
        <w:tabs>
          <w:tab w:val="left" w:pos="417"/>
        </w:tabs>
        <w:spacing w:line="276" w:lineRule="auto"/>
        <w:ind w:right="344"/>
        <w:jc w:val="both"/>
        <w:rPr>
          <w:sz w:val="24"/>
        </w:rPr>
      </w:pPr>
      <w:r>
        <w:rPr>
          <w:sz w:val="24"/>
        </w:rPr>
        <w:t>Njoroge, N. W., &amp; Kinyua, G. M. (2025)</w:t>
      </w:r>
      <w:r>
        <w:rPr>
          <w:sz w:val="24"/>
        </w:rPr>
        <w:t>. Strategic Orientation as an Antecedent of Competitive Advantage: Evidence from Review of Literature. Int. J. Educ. Res., 13(3), 35-68.</w:t>
      </w:r>
    </w:p>
    <w:p w:rsidR="00487D64" w:rsidRDefault="006F0D93">
      <w:pPr>
        <w:pStyle w:val="ListParagraph"/>
        <w:numPr>
          <w:ilvl w:val="0"/>
          <w:numId w:val="1"/>
        </w:numPr>
        <w:tabs>
          <w:tab w:val="left" w:pos="417"/>
        </w:tabs>
        <w:spacing w:line="276" w:lineRule="auto"/>
        <w:ind w:right="343"/>
        <w:jc w:val="both"/>
        <w:rPr>
          <w:sz w:val="24"/>
        </w:rPr>
      </w:pPr>
      <w:r>
        <w:rPr>
          <w:sz w:val="24"/>
        </w:rPr>
        <w:t>Nkunda, R. M., Marijani, R., &amp; Jarbandhan, D. B. (2024). Inclusive Public Procurement: Special Groups'</w:t>
      </w:r>
      <w:r>
        <w:rPr>
          <w:spacing w:val="-8"/>
          <w:sz w:val="24"/>
        </w:rPr>
        <w:t xml:space="preserve"> </w:t>
      </w:r>
      <w:r>
        <w:rPr>
          <w:sz w:val="24"/>
        </w:rPr>
        <w:t>Financial</w:t>
      </w:r>
      <w:r>
        <w:rPr>
          <w:spacing w:val="-8"/>
          <w:sz w:val="24"/>
        </w:rPr>
        <w:t xml:space="preserve"> </w:t>
      </w:r>
      <w:r>
        <w:rPr>
          <w:sz w:val="24"/>
        </w:rPr>
        <w:t>Suppor</w:t>
      </w:r>
      <w:r>
        <w:rPr>
          <w:sz w:val="24"/>
        </w:rPr>
        <w:t>t</w:t>
      </w:r>
      <w:r>
        <w:rPr>
          <w:spacing w:val="-8"/>
          <w:sz w:val="24"/>
        </w:rPr>
        <w:t xml:space="preserve"> </w:t>
      </w:r>
      <w:r>
        <w:rPr>
          <w:sz w:val="24"/>
        </w:rPr>
        <w:t>and</w:t>
      </w:r>
      <w:r>
        <w:rPr>
          <w:spacing w:val="-8"/>
          <w:sz w:val="24"/>
        </w:rPr>
        <w:t xml:space="preserve"> </w:t>
      </w:r>
      <w:r>
        <w:rPr>
          <w:sz w:val="24"/>
        </w:rPr>
        <w:t>the</w:t>
      </w:r>
      <w:r>
        <w:rPr>
          <w:spacing w:val="-9"/>
          <w:sz w:val="24"/>
        </w:rPr>
        <w:t xml:space="preserve"> </w:t>
      </w:r>
      <w:r>
        <w:rPr>
          <w:sz w:val="24"/>
        </w:rPr>
        <w:t>Supply</w:t>
      </w:r>
      <w:r>
        <w:rPr>
          <w:spacing w:val="-8"/>
          <w:sz w:val="24"/>
        </w:rPr>
        <w:t xml:space="preserve"> </w:t>
      </w:r>
      <w:r>
        <w:rPr>
          <w:sz w:val="24"/>
        </w:rPr>
        <w:t>of</w:t>
      </w:r>
      <w:r>
        <w:rPr>
          <w:spacing w:val="-11"/>
          <w:sz w:val="24"/>
        </w:rPr>
        <w:t xml:space="preserve"> </w:t>
      </w:r>
      <w:r>
        <w:rPr>
          <w:sz w:val="24"/>
        </w:rPr>
        <w:t>Services</w:t>
      </w:r>
      <w:r>
        <w:rPr>
          <w:spacing w:val="-8"/>
          <w:sz w:val="24"/>
        </w:rPr>
        <w:t xml:space="preserve"> </w:t>
      </w:r>
      <w:r>
        <w:rPr>
          <w:sz w:val="24"/>
        </w:rPr>
        <w:t>and</w:t>
      </w:r>
      <w:r>
        <w:rPr>
          <w:spacing w:val="-8"/>
          <w:sz w:val="24"/>
        </w:rPr>
        <w:t xml:space="preserve"> </w:t>
      </w:r>
      <w:r>
        <w:rPr>
          <w:sz w:val="24"/>
        </w:rPr>
        <w:t>Goods</w:t>
      </w:r>
      <w:r>
        <w:rPr>
          <w:spacing w:val="-9"/>
          <w:sz w:val="24"/>
        </w:rPr>
        <w:t xml:space="preserve"> </w:t>
      </w:r>
      <w:r>
        <w:rPr>
          <w:sz w:val="24"/>
        </w:rPr>
        <w:t>to</w:t>
      </w:r>
      <w:r>
        <w:rPr>
          <w:spacing w:val="-8"/>
          <w:sz w:val="24"/>
        </w:rPr>
        <w:t xml:space="preserve"> </w:t>
      </w:r>
      <w:r>
        <w:rPr>
          <w:sz w:val="24"/>
        </w:rPr>
        <w:t>Public</w:t>
      </w:r>
      <w:r>
        <w:rPr>
          <w:spacing w:val="-12"/>
          <w:sz w:val="24"/>
        </w:rPr>
        <w:t xml:space="preserve"> </w:t>
      </w:r>
      <w:r>
        <w:rPr>
          <w:sz w:val="24"/>
        </w:rPr>
        <w:t>Organisations</w:t>
      </w:r>
      <w:r>
        <w:rPr>
          <w:spacing w:val="-8"/>
          <w:sz w:val="24"/>
        </w:rPr>
        <w:t xml:space="preserve"> </w:t>
      </w:r>
      <w:r>
        <w:rPr>
          <w:sz w:val="24"/>
        </w:rPr>
        <w:t>in</w:t>
      </w:r>
      <w:r>
        <w:rPr>
          <w:spacing w:val="-8"/>
          <w:sz w:val="24"/>
        </w:rPr>
        <w:t xml:space="preserve"> </w:t>
      </w:r>
      <w:r>
        <w:rPr>
          <w:sz w:val="24"/>
        </w:rPr>
        <w:t>Tanzania. Administratio Publica, 32(2).</w:t>
      </w:r>
    </w:p>
    <w:p w:rsidR="00487D64" w:rsidRDefault="006F0D93">
      <w:pPr>
        <w:pStyle w:val="ListParagraph"/>
        <w:numPr>
          <w:ilvl w:val="0"/>
          <w:numId w:val="1"/>
        </w:numPr>
        <w:tabs>
          <w:tab w:val="left" w:pos="417"/>
        </w:tabs>
        <w:ind w:hanging="360"/>
        <w:jc w:val="both"/>
        <w:rPr>
          <w:sz w:val="24"/>
        </w:rPr>
      </w:pPr>
      <w:r>
        <w:rPr>
          <w:sz w:val="24"/>
        </w:rPr>
        <w:t>OECD.</w:t>
      </w:r>
      <w:r>
        <w:rPr>
          <w:spacing w:val="24"/>
          <w:sz w:val="24"/>
        </w:rPr>
        <w:t xml:space="preserve"> </w:t>
      </w:r>
      <w:r>
        <w:rPr>
          <w:sz w:val="24"/>
        </w:rPr>
        <w:t>(2023).</w:t>
      </w:r>
      <w:r>
        <w:rPr>
          <w:spacing w:val="26"/>
          <w:sz w:val="24"/>
        </w:rPr>
        <w:t xml:space="preserve"> </w:t>
      </w:r>
      <w:r>
        <w:rPr>
          <w:sz w:val="24"/>
        </w:rPr>
        <w:t>Public</w:t>
      </w:r>
      <w:r>
        <w:rPr>
          <w:spacing w:val="25"/>
          <w:sz w:val="24"/>
        </w:rPr>
        <w:t xml:space="preserve"> </w:t>
      </w:r>
      <w:r>
        <w:rPr>
          <w:sz w:val="24"/>
        </w:rPr>
        <w:t>procurement</w:t>
      </w:r>
      <w:r>
        <w:rPr>
          <w:spacing w:val="25"/>
          <w:sz w:val="24"/>
        </w:rPr>
        <w:t xml:space="preserve"> </w:t>
      </w:r>
      <w:r>
        <w:rPr>
          <w:sz w:val="24"/>
        </w:rPr>
        <w:t>for</w:t>
      </w:r>
      <w:r>
        <w:rPr>
          <w:spacing w:val="26"/>
          <w:sz w:val="24"/>
        </w:rPr>
        <w:t xml:space="preserve"> </w:t>
      </w:r>
      <w:r>
        <w:rPr>
          <w:sz w:val="24"/>
        </w:rPr>
        <w:t>public</w:t>
      </w:r>
      <w:r>
        <w:rPr>
          <w:spacing w:val="24"/>
          <w:sz w:val="24"/>
        </w:rPr>
        <w:t xml:space="preserve"> </w:t>
      </w:r>
      <w:r>
        <w:rPr>
          <w:sz w:val="24"/>
        </w:rPr>
        <w:t>sector</w:t>
      </w:r>
      <w:r>
        <w:rPr>
          <w:spacing w:val="25"/>
          <w:sz w:val="24"/>
        </w:rPr>
        <w:t xml:space="preserve"> </w:t>
      </w:r>
      <w:r>
        <w:rPr>
          <w:sz w:val="24"/>
        </w:rPr>
        <w:t>innovation:</w:t>
      </w:r>
      <w:r>
        <w:rPr>
          <w:spacing w:val="25"/>
          <w:sz w:val="24"/>
        </w:rPr>
        <w:t xml:space="preserve"> </w:t>
      </w:r>
      <w:r>
        <w:rPr>
          <w:sz w:val="24"/>
        </w:rPr>
        <w:t>Facilitating</w:t>
      </w:r>
      <w:r>
        <w:rPr>
          <w:spacing w:val="26"/>
          <w:sz w:val="24"/>
        </w:rPr>
        <w:t xml:space="preserve"> </w:t>
      </w:r>
      <w:r>
        <w:rPr>
          <w:sz w:val="24"/>
        </w:rPr>
        <w:t>innovators’</w:t>
      </w:r>
      <w:r>
        <w:rPr>
          <w:spacing w:val="24"/>
          <w:sz w:val="24"/>
        </w:rPr>
        <w:t xml:space="preserve"> </w:t>
      </w:r>
      <w:r>
        <w:rPr>
          <w:sz w:val="24"/>
        </w:rPr>
        <w:t>access</w:t>
      </w:r>
      <w:r>
        <w:rPr>
          <w:spacing w:val="26"/>
          <w:sz w:val="24"/>
        </w:rPr>
        <w:t xml:space="preserve"> </w:t>
      </w:r>
      <w:r>
        <w:rPr>
          <w:spacing w:val="-5"/>
          <w:sz w:val="24"/>
        </w:rPr>
        <w:t>to</w:t>
      </w:r>
    </w:p>
    <w:p w:rsidR="00487D64" w:rsidRDefault="006F0D93">
      <w:pPr>
        <w:spacing w:before="41"/>
        <w:ind w:left="417"/>
        <w:jc w:val="both"/>
        <w:rPr>
          <w:sz w:val="24"/>
        </w:rPr>
      </w:pPr>
      <w:r>
        <w:rPr>
          <w:sz w:val="24"/>
        </w:rPr>
        <w:t>innovation</w:t>
      </w:r>
      <w:r>
        <w:rPr>
          <w:spacing w:val="-2"/>
          <w:sz w:val="24"/>
        </w:rPr>
        <w:t xml:space="preserve"> </w:t>
      </w:r>
      <w:r>
        <w:rPr>
          <w:sz w:val="24"/>
        </w:rPr>
        <w:t>procurement</w:t>
      </w:r>
      <w:r>
        <w:rPr>
          <w:spacing w:val="-1"/>
          <w:sz w:val="24"/>
        </w:rPr>
        <w:t xml:space="preserve"> </w:t>
      </w:r>
      <w:r>
        <w:rPr>
          <w:sz w:val="24"/>
        </w:rPr>
        <w:t>(OECD</w:t>
      </w:r>
      <w:r>
        <w:rPr>
          <w:spacing w:val="-2"/>
          <w:sz w:val="24"/>
        </w:rPr>
        <w:t xml:space="preserve"> </w:t>
      </w:r>
      <w:r>
        <w:rPr>
          <w:sz w:val="24"/>
        </w:rPr>
        <w:t>Working</w:t>
      </w:r>
      <w:r>
        <w:rPr>
          <w:spacing w:val="-1"/>
          <w:sz w:val="24"/>
        </w:rPr>
        <w:t xml:space="preserve"> </w:t>
      </w:r>
      <w:r>
        <w:rPr>
          <w:sz w:val="24"/>
        </w:rPr>
        <w:t>Papers</w:t>
      </w:r>
      <w:r>
        <w:rPr>
          <w:spacing w:val="-2"/>
          <w:sz w:val="24"/>
        </w:rPr>
        <w:t xml:space="preserve"> </w:t>
      </w:r>
      <w:r>
        <w:rPr>
          <w:sz w:val="24"/>
        </w:rPr>
        <w:t>on</w:t>
      </w:r>
      <w:r>
        <w:rPr>
          <w:spacing w:val="-1"/>
          <w:sz w:val="24"/>
        </w:rPr>
        <w:t xml:space="preserve"> </w:t>
      </w:r>
      <w:r>
        <w:rPr>
          <w:sz w:val="24"/>
        </w:rPr>
        <w:t>Public</w:t>
      </w:r>
      <w:r>
        <w:rPr>
          <w:spacing w:val="-2"/>
          <w:sz w:val="24"/>
        </w:rPr>
        <w:t xml:space="preserve"> </w:t>
      </w:r>
      <w:r>
        <w:rPr>
          <w:sz w:val="24"/>
        </w:rPr>
        <w:t>Governance</w:t>
      </w:r>
      <w:r>
        <w:rPr>
          <w:spacing w:val="-2"/>
          <w:sz w:val="24"/>
        </w:rPr>
        <w:t xml:space="preserve"> </w:t>
      </w:r>
      <w:r>
        <w:rPr>
          <w:sz w:val="24"/>
        </w:rPr>
        <w:t>No. 80).</w:t>
      </w:r>
      <w:r>
        <w:rPr>
          <w:spacing w:val="-2"/>
          <w:sz w:val="24"/>
        </w:rPr>
        <w:t xml:space="preserve"> </w:t>
      </w:r>
      <w:r>
        <w:rPr>
          <w:sz w:val="24"/>
        </w:rPr>
        <w:t>OECD</w:t>
      </w:r>
      <w:r>
        <w:rPr>
          <w:spacing w:val="-2"/>
          <w:sz w:val="24"/>
        </w:rPr>
        <w:t xml:space="preserve"> Publishing.</w:t>
      </w:r>
    </w:p>
    <w:p w:rsidR="00487D64" w:rsidRDefault="006F0D93">
      <w:pPr>
        <w:pStyle w:val="ListParagraph"/>
        <w:numPr>
          <w:ilvl w:val="0"/>
          <w:numId w:val="1"/>
        </w:numPr>
        <w:tabs>
          <w:tab w:val="left" w:pos="417"/>
        </w:tabs>
        <w:spacing w:before="41" w:line="276" w:lineRule="auto"/>
        <w:ind w:right="341"/>
        <w:jc w:val="both"/>
        <w:rPr>
          <w:sz w:val="24"/>
        </w:rPr>
      </w:pPr>
      <w:r>
        <w:rPr>
          <w:sz w:val="24"/>
        </w:rPr>
        <w:t>Padmanaaban,</w:t>
      </w:r>
      <w:r>
        <w:rPr>
          <w:spacing w:val="-10"/>
          <w:sz w:val="24"/>
        </w:rPr>
        <w:t xml:space="preserve"> </w:t>
      </w:r>
      <w:r>
        <w:rPr>
          <w:sz w:val="24"/>
        </w:rPr>
        <w:t>P.,</w:t>
      </w:r>
      <w:r>
        <w:rPr>
          <w:spacing w:val="-12"/>
          <w:sz w:val="24"/>
        </w:rPr>
        <w:t xml:space="preserve"> </w:t>
      </w:r>
      <w:r>
        <w:rPr>
          <w:sz w:val="24"/>
        </w:rPr>
        <w:t>Jha,</w:t>
      </w:r>
      <w:r>
        <w:rPr>
          <w:spacing w:val="-12"/>
          <w:sz w:val="24"/>
        </w:rPr>
        <w:t xml:space="preserve"> </w:t>
      </w:r>
      <w:r>
        <w:rPr>
          <w:sz w:val="24"/>
        </w:rPr>
        <w:t>S.,</w:t>
      </w:r>
      <w:r>
        <w:rPr>
          <w:spacing w:val="-10"/>
          <w:sz w:val="24"/>
        </w:rPr>
        <w:t xml:space="preserve"> </w:t>
      </w:r>
      <w:r>
        <w:rPr>
          <w:sz w:val="24"/>
        </w:rPr>
        <w:t>Emmaniel,</w:t>
      </w:r>
      <w:r>
        <w:rPr>
          <w:spacing w:val="-12"/>
          <w:sz w:val="24"/>
        </w:rPr>
        <w:t xml:space="preserve"> </w:t>
      </w:r>
      <w:r>
        <w:rPr>
          <w:sz w:val="24"/>
        </w:rPr>
        <w:t>R.,</w:t>
      </w:r>
      <w:r>
        <w:rPr>
          <w:spacing w:val="-12"/>
          <w:sz w:val="24"/>
        </w:rPr>
        <w:t xml:space="preserve"> </w:t>
      </w:r>
      <w:r>
        <w:rPr>
          <w:sz w:val="24"/>
        </w:rPr>
        <w:t>Subramanian,</w:t>
      </w:r>
      <w:r>
        <w:rPr>
          <w:spacing w:val="-13"/>
          <w:sz w:val="24"/>
        </w:rPr>
        <w:t xml:space="preserve"> </w:t>
      </w:r>
      <w:r>
        <w:rPr>
          <w:sz w:val="24"/>
        </w:rPr>
        <w:t>N.,</w:t>
      </w:r>
      <w:r>
        <w:rPr>
          <w:spacing w:val="-13"/>
          <w:sz w:val="24"/>
        </w:rPr>
        <w:t xml:space="preserve"> </w:t>
      </w:r>
      <w:r>
        <w:rPr>
          <w:sz w:val="24"/>
        </w:rPr>
        <w:t>Raj,</w:t>
      </w:r>
      <w:r>
        <w:rPr>
          <w:spacing w:val="-12"/>
          <w:sz w:val="24"/>
        </w:rPr>
        <w:t xml:space="preserve"> </w:t>
      </w:r>
      <w:r>
        <w:rPr>
          <w:sz w:val="24"/>
        </w:rPr>
        <w:t>R.,</w:t>
      </w:r>
      <w:r>
        <w:rPr>
          <w:spacing w:val="-12"/>
          <w:sz w:val="24"/>
        </w:rPr>
        <w:t xml:space="preserve"> </w:t>
      </w:r>
      <w:r>
        <w:rPr>
          <w:sz w:val="24"/>
        </w:rPr>
        <w:t>&amp;</w:t>
      </w:r>
      <w:r>
        <w:rPr>
          <w:spacing w:val="-12"/>
          <w:sz w:val="24"/>
        </w:rPr>
        <w:t xml:space="preserve"> </w:t>
      </w:r>
      <w:r>
        <w:rPr>
          <w:sz w:val="24"/>
        </w:rPr>
        <w:t>Agrawal,</w:t>
      </w:r>
      <w:r>
        <w:rPr>
          <w:spacing w:val="-12"/>
          <w:sz w:val="24"/>
        </w:rPr>
        <w:t xml:space="preserve"> </w:t>
      </w:r>
      <w:r>
        <w:rPr>
          <w:sz w:val="24"/>
        </w:rPr>
        <w:t>R.</w:t>
      </w:r>
      <w:r>
        <w:rPr>
          <w:spacing w:val="-12"/>
          <w:sz w:val="24"/>
        </w:rPr>
        <w:t xml:space="preserve"> </w:t>
      </w:r>
      <w:r>
        <w:rPr>
          <w:sz w:val="24"/>
        </w:rPr>
        <w:t>K.</w:t>
      </w:r>
      <w:r>
        <w:rPr>
          <w:spacing w:val="-13"/>
          <w:sz w:val="24"/>
        </w:rPr>
        <w:t xml:space="preserve"> </w:t>
      </w:r>
      <w:r>
        <w:rPr>
          <w:sz w:val="24"/>
        </w:rPr>
        <w:t>(2024).</w:t>
      </w:r>
      <w:r>
        <w:rPr>
          <w:spacing w:val="-13"/>
          <w:sz w:val="24"/>
        </w:rPr>
        <w:t xml:space="preserve"> </w:t>
      </w:r>
      <w:r>
        <w:rPr>
          <w:sz w:val="24"/>
        </w:rPr>
        <w:t xml:space="preserve">Building Stronger Relationships: The Role of Consumer-Centric Marketing Strategies. European Economic </w:t>
      </w:r>
      <w:r>
        <w:rPr>
          <w:spacing w:val="-2"/>
          <w:sz w:val="24"/>
        </w:rPr>
        <w:t>Letters.</w:t>
      </w:r>
    </w:p>
    <w:p w:rsidR="00487D64" w:rsidRDefault="006F0D93">
      <w:pPr>
        <w:pStyle w:val="ListParagraph"/>
        <w:numPr>
          <w:ilvl w:val="0"/>
          <w:numId w:val="1"/>
        </w:numPr>
        <w:tabs>
          <w:tab w:val="left" w:pos="417"/>
        </w:tabs>
        <w:ind w:hanging="360"/>
        <w:jc w:val="both"/>
        <w:rPr>
          <w:sz w:val="24"/>
        </w:rPr>
      </w:pPr>
      <w:r>
        <w:rPr>
          <w:sz w:val="24"/>
        </w:rPr>
        <w:t>Pekovic,</w:t>
      </w:r>
      <w:r>
        <w:rPr>
          <w:spacing w:val="69"/>
          <w:sz w:val="24"/>
        </w:rPr>
        <w:t xml:space="preserve"> </w:t>
      </w:r>
      <w:r>
        <w:rPr>
          <w:sz w:val="24"/>
        </w:rPr>
        <w:t>S.,</w:t>
      </w:r>
      <w:r>
        <w:rPr>
          <w:spacing w:val="69"/>
          <w:sz w:val="24"/>
        </w:rPr>
        <w:t xml:space="preserve"> </w:t>
      </w:r>
      <w:r>
        <w:rPr>
          <w:sz w:val="24"/>
        </w:rPr>
        <w:t>&amp;</w:t>
      </w:r>
      <w:r>
        <w:rPr>
          <w:spacing w:val="67"/>
          <w:sz w:val="24"/>
        </w:rPr>
        <w:t xml:space="preserve"> </w:t>
      </w:r>
      <w:r>
        <w:rPr>
          <w:sz w:val="24"/>
        </w:rPr>
        <w:t>Rolland,</w:t>
      </w:r>
      <w:r>
        <w:rPr>
          <w:spacing w:val="70"/>
          <w:sz w:val="24"/>
        </w:rPr>
        <w:t xml:space="preserve"> </w:t>
      </w:r>
      <w:r>
        <w:rPr>
          <w:sz w:val="24"/>
        </w:rPr>
        <w:t>S.</w:t>
      </w:r>
      <w:r>
        <w:rPr>
          <w:spacing w:val="69"/>
          <w:sz w:val="24"/>
        </w:rPr>
        <w:t xml:space="preserve"> </w:t>
      </w:r>
      <w:r>
        <w:rPr>
          <w:sz w:val="24"/>
        </w:rPr>
        <w:t>(2016).</w:t>
      </w:r>
      <w:r>
        <w:rPr>
          <w:spacing w:val="69"/>
          <w:sz w:val="24"/>
        </w:rPr>
        <w:t xml:space="preserve"> </w:t>
      </w:r>
      <w:r>
        <w:rPr>
          <w:sz w:val="24"/>
        </w:rPr>
        <w:t>Customer</w:t>
      </w:r>
      <w:r>
        <w:rPr>
          <w:spacing w:val="68"/>
          <w:sz w:val="24"/>
        </w:rPr>
        <w:t xml:space="preserve"> </w:t>
      </w:r>
      <w:r>
        <w:rPr>
          <w:sz w:val="24"/>
        </w:rPr>
        <w:t>orientation</w:t>
      </w:r>
      <w:r>
        <w:rPr>
          <w:spacing w:val="71"/>
          <w:sz w:val="24"/>
        </w:rPr>
        <w:t xml:space="preserve"> </w:t>
      </w:r>
      <w:r>
        <w:rPr>
          <w:sz w:val="24"/>
        </w:rPr>
        <w:t>and</w:t>
      </w:r>
      <w:r>
        <w:rPr>
          <w:spacing w:val="69"/>
          <w:sz w:val="24"/>
        </w:rPr>
        <w:t xml:space="preserve"> </w:t>
      </w:r>
      <w:r>
        <w:rPr>
          <w:sz w:val="24"/>
        </w:rPr>
        <w:t>firm’s</w:t>
      </w:r>
      <w:r>
        <w:rPr>
          <w:spacing w:val="69"/>
          <w:sz w:val="24"/>
        </w:rPr>
        <w:t xml:space="preserve"> </w:t>
      </w:r>
      <w:r>
        <w:rPr>
          <w:sz w:val="24"/>
        </w:rPr>
        <w:t>business</w:t>
      </w:r>
      <w:r>
        <w:rPr>
          <w:spacing w:val="70"/>
          <w:sz w:val="24"/>
        </w:rPr>
        <w:t xml:space="preserve"> </w:t>
      </w:r>
      <w:r>
        <w:rPr>
          <w:sz w:val="24"/>
        </w:rPr>
        <w:t>performance:</w:t>
      </w:r>
      <w:r>
        <w:rPr>
          <w:spacing w:val="71"/>
          <w:sz w:val="24"/>
        </w:rPr>
        <w:t xml:space="preserve"> </w:t>
      </w:r>
      <w:r>
        <w:rPr>
          <w:spacing w:val="-10"/>
          <w:sz w:val="24"/>
        </w:rPr>
        <w:t>A</w:t>
      </w:r>
    </w:p>
    <w:p w:rsidR="00487D64" w:rsidRDefault="00487D64">
      <w:pPr>
        <w:pStyle w:val="ListParagraph"/>
        <w:jc w:val="both"/>
        <w:rPr>
          <w:sz w:val="24"/>
        </w:rPr>
        <w:sectPr w:rsidR="00487D64">
          <w:pgSz w:w="11910" w:h="16840"/>
          <w:pgMar w:top="1680" w:right="563" w:bottom="800" w:left="850" w:header="677" w:footer="608" w:gutter="0"/>
          <w:cols w:space="720"/>
        </w:sectPr>
      </w:pPr>
    </w:p>
    <w:p w:rsidR="00487D64" w:rsidRDefault="006F0D93">
      <w:pPr>
        <w:spacing w:before="254" w:line="276" w:lineRule="auto"/>
        <w:ind w:left="417" w:right="344"/>
        <w:jc w:val="both"/>
        <w:rPr>
          <w:sz w:val="24"/>
        </w:rPr>
      </w:pPr>
      <w:r>
        <w:rPr>
          <w:sz w:val="24"/>
        </w:rPr>
        <w:lastRenderedPageBreak/>
        <w:t>moderated mediation model of environmental customer innovation and contextual factors. European Journal of Marketing, 50(12), 2162-2191.</w:t>
      </w:r>
    </w:p>
    <w:p w:rsidR="00487D64" w:rsidRDefault="006F0D93">
      <w:pPr>
        <w:pStyle w:val="ListParagraph"/>
        <w:numPr>
          <w:ilvl w:val="0"/>
          <w:numId w:val="1"/>
        </w:numPr>
        <w:tabs>
          <w:tab w:val="left" w:pos="417"/>
        </w:tabs>
        <w:spacing w:line="278" w:lineRule="auto"/>
        <w:ind w:right="344"/>
        <w:jc w:val="both"/>
        <w:rPr>
          <w:sz w:val="24"/>
        </w:rPr>
      </w:pPr>
      <w:r>
        <w:rPr>
          <w:sz w:val="24"/>
        </w:rPr>
        <w:t xml:space="preserve">Public Procurement </w:t>
      </w:r>
      <w:r>
        <w:rPr>
          <w:sz w:val="24"/>
        </w:rPr>
        <w:t>Regulatory Authority (PPRA). (2023, October). Guidelines for participation of special groups in public procurement.</w:t>
      </w:r>
    </w:p>
    <w:p w:rsidR="00487D64" w:rsidRDefault="006F0D93">
      <w:pPr>
        <w:pStyle w:val="ListParagraph"/>
        <w:numPr>
          <w:ilvl w:val="0"/>
          <w:numId w:val="1"/>
        </w:numPr>
        <w:tabs>
          <w:tab w:val="left" w:pos="417"/>
        </w:tabs>
        <w:spacing w:line="276" w:lineRule="auto"/>
        <w:ind w:right="344"/>
        <w:jc w:val="both"/>
        <w:rPr>
          <w:sz w:val="24"/>
        </w:rPr>
      </w:pPr>
      <w:r>
        <w:rPr>
          <w:sz w:val="24"/>
        </w:rPr>
        <w:t>Rahi,</w:t>
      </w:r>
      <w:r>
        <w:rPr>
          <w:spacing w:val="-1"/>
          <w:sz w:val="24"/>
        </w:rPr>
        <w:t xml:space="preserve"> </w:t>
      </w:r>
      <w:r>
        <w:rPr>
          <w:sz w:val="24"/>
        </w:rPr>
        <w:t>S.</w:t>
      </w:r>
      <w:r>
        <w:rPr>
          <w:spacing w:val="-1"/>
          <w:sz w:val="24"/>
        </w:rPr>
        <w:t xml:space="preserve"> </w:t>
      </w:r>
      <w:r>
        <w:rPr>
          <w:sz w:val="24"/>
        </w:rPr>
        <w:t>(2017).</w:t>
      </w:r>
      <w:r>
        <w:rPr>
          <w:spacing w:val="-2"/>
          <w:sz w:val="24"/>
        </w:rPr>
        <w:t xml:space="preserve"> </w:t>
      </w:r>
      <w:r>
        <w:rPr>
          <w:sz w:val="24"/>
        </w:rPr>
        <w:t>Research</w:t>
      </w:r>
      <w:r>
        <w:rPr>
          <w:spacing w:val="-1"/>
          <w:sz w:val="24"/>
        </w:rPr>
        <w:t xml:space="preserve"> </w:t>
      </w:r>
      <w:r>
        <w:rPr>
          <w:sz w:val="24"/>
        </w:rPr>
        <w:t>design</w:t>
      </w:r>
      <w:r>
        <w:rPr>
          <w:spacing w:val="-1"/>
          <w:sz w:val="24"/>
        </w:rPr>
        <w:t xml:space="preserve"> </w:t>
      </w:r>
      <w:r>
        <w:rPr>
          <w:sz w:val="24"/>
        </w:rPr>
        <w:t>and</w:t>
      </w:r>
      <w:r>
        <w:rPr>
          <w:spacing w:val="-1"/>
          <w:sz w:val="24"/>
        </w:rPr>
        <w:t xml:space="preserve"> </w:t>
      </w:r>
      <w:r>
        <w:rPr>
          <w:sz w:val="24"/>
        </w:rPr>
        <w:t>methods:</w:t>
      </w:r>
      <w:r>
        <w:rPr>
          <w:spacing w:val="-1"/>
          <w:sz w:val="24"/>
        </w:rPr>
        <w:t xml:space="preserve"> </w:t>
      </w:r>
      <w:r>
        <w:rPr>
          <w:sz w:val="24"/>
        </w:rPr>
        <w:t>A systematic</w:t>
      </w:r>
      <w:r>
        <w:rPr>
          <w:spacing w:val="-2"/>
          <w:sz w:val="24"/>
        </w:rPr>
        <w:t xml:space="preserve"> </w:t>
      </w:r>
      <w:r>
        <w:rPr>
          <w:sz w:val="24"/>
        </w:rPr>
        <w:t>review of</w:t>
      </w:r>
      <w:r>
        <w:rPr>
          <w:spacing w:val="-2"/>
          <w:sz w:val="24"/>
        </w:rPr>
        <w:t xml:space="preserve"> </w:t>
      </w:r>
      <w:r>
        <w:rPr>
          <w:sz w:val="24"/>
        </w:rPr>
        <w:t>research paradigms,</w:t>
      </w:r>
      <w:r>
        <w:rPr>
          <w:spacing w:val="-1"/>
          <w:sz w:val="24"/>
        </w:rPr>
        <w:t xml:space="preserve"> </w:t>
      </w:r>
      <w:r>
        <w:rPr>
          <w:sz w:val="24"/>
        </w:rPr>
        <w:t>sampling issues and instruments development. Intern</w:t>
      </w:r>
      <w:r>
        <w:rPr>
          <w:sz w:val="24"/>
        </w:rPr>
        <w:t>ational Journal of Economics &amp; Management Sciences, 6(2), 1-5.</w:t>
      </w:r>
    </w:p>
    <w:p w:rsidR="00487D64" w:rsidRDefault="006F0D93">
      <w:pPr>
        <w:pStyle w:val="ListParagraph"/>
        <w:numPr>
          <w:ilvl w:val="0"/>
          <w:numId w:val="1"/>
        </w:numPr>
        <w:tabs>
          <w:tab w:val="left" w:pos="417"/>
        </w:tabs>
        <w:spacing w:line="276" w:lineRule="auto"/>
        <w:ind w:right="346"/>
        <w:jc w:val="both"/>
        <w:rPr>
          <w:sz w:val="24"/>
        </w:rPr>
      </w:pPr>
      <w:r>
        <w:rPr>
          <w:sz w:val="24"/>
        </w:rPr>
        <w:t>Sen, S., Savitskie, K., Mahto, R. V., Kumar, S., and Khanin, D. (2023). Strategic flexibility in small firms. Journal of Strategic Marketing, 31(5), 1053-1070.</w:t>
      </w:r>
    </w:p>
    <w:p w:rsidR="00487D64" w:rsidRDefault="006F0D93">
      <w:pPr>
        <w:pStyle w:val="ListParagraph"/>
        <w:numPr>
          <w:ilvl w:val="0"/>
          <w:numId w:val="1"/>
        </w:numPr>
        <w:tabs>
          <w:tab w:val="left" w:pos="417"/>
        </w:tabs>
        <w:spacing w:line="275" w:lineRule="exact"/>
        <w:ind w:hanging="360"/>
        <w:jc w:val="both"/>
        <w:rPr>
          <w:sz w:val="24"/>
        </w:rPr>
      </w:pPr>
      <w:r>
        <w:rPr>
          <w:sz w:val="24"/>
        </w:rPr>
        <w:t>Stone,</w:t>
      </w:r>
      <w:r>
        <w:rPr>
          <w:spacing w:val="-4"/>
          <w:sz w:val="24"/>
        </w:rPr>
        <w:t xml:space="preserve"> </w:t>
      </w:r>
      <w:r>
        <w:rPr>
          <w:sz w:val="24"/>
        </w:rPr>
        <w:t>M.</w:t>
      </w:r>
      <w:r>
        <w:rPr>
          <w:spacing w:val="-1"/>
          <w:sz w:val="24"/>
        </w:rPr>
        <w:t xml:space="preserve"> </w:t>
      </w:r>
      <w:r>
        <w:rPr>
          <w:sz w:val="24"/>
        </w:rPr>
        <w:t>(1974).</w:t>
      </w:r>
      <w:r>
        <w:rPr>
          <w:spacing w:val="-1"/>
          <w:sz w:val="24"/>
        </w:rPr>
        <w:t xml:space="preserve"> </w:t>
      </w:r>
      <w:r>
        <w:rPr>
          <w:sz w:val="24"/>
        </w:rPr>
        <w:t>Cross-validatio</w:t>
      </w:r>
      <w:r>
        <w:rPr>
          <w:sz w:val="24"/>
        </w:rPr>
        <w:t>n</w:t>
      </w:r>
      <w:r>
        <w:rPr>
          <w:spacing w:val="-1"/>
          <w:sz w:val="24"/>
        </w:rPr>
        <w:t xml:space="preserve"> </w:t>
      </w:r>
      <w:r>
        <w:rPr>
          <w:sz w:val="24"/>
        </w:rPr>
        <w:t>and</w:t>
      </w:r>
      <w:r>
        <w:rPr>
          <w:spacing w:val="-2"/>
          <w:sz w:val="24"/>
        </w:rPr>
        <w:t xml:space="preserve"> </w:t>
      </w:r>
      <w:r>
        <w:rPr>
          <w:sz w:val="24"/>
        </w:rPr>
        <w:t>multinomial</w:t>
      </w:r>
      <w:r>
        <w:rPr>
          <w:spacing w:val="-1"/>
          <w:sz w:val="24"/>
        </w:rPr>
        <w:t xml:space="preserve"> </w:t>
      </w:r>
      <w:r>
        <w:rPr>
          <w:sz w:val="24"/>
        </w:rPr>
        <w:t>prediction.</w:t>
      </w:r>
      <w:r>
        <w:rPr>
          <w:spacing w:val="-1"/>
          <w:sz w:val="24"/>
        </w:rPr>
        <w:t xml:space="preserve"> </w:t>
      </w:r>
      <w:r>
        <w:rPr>
          <w:sz w:val="24"/>
        </w:rPr>
        <w:t>Biometrika,</w:t>
      </w:r>
      <w:r>
        <w:rPr>
          <w:spacing w:val="-1"/>
          <w:sz w:val="24"/>
        </w:rPr>
        <w:t xml:space="preserve"> </w:t>
      </w:r>
      <w:r>
        <w:rPr>
          <w:sz w:val="24"/>
        </w:rPr>
        <w:t>509-</w:t>
      </w:r>
      <w:r>
        <w:rPr>
          <w:spacing w:val="-4"/>
          <w:sz w:val="24"/>
        </w:rPr>
        <w:t>515.</w:t>
      </w:r>
    </w:p>
    <w:p w:rsidR="00487D64" w:rsidRDefault="006F0D93">
      <w:pPr>
        <w:pStyle w:val="ListParagraph"/>
        <w:numPr>
          <w:ilvl w:val="0"/>
          <w:numId w:val="1"/>
        </w:numPr>
        <w:tabs>
          <w:tab w:val="left" w:pos="417"/>
        </w:tabs>
        <w:spacing w:before="36"/>
        <w:ind w:hanging="360"/>
        <w:jc w:val="both"/>
        <w:rPr>
          <w:sz w:val="24"/>
        </w:rPr>
      </w:pPr>
      <w:r>
        <w:rPr>
          <w:sz w:val="24"/>
        </w:rPr>
        <w:t>Tammi,</w:t>
      </w:r>
      <w:r>
        <w:rPr>
          <w:spacing w:val="-5"/>
          <w:sz w:val="24"/>
        </w:rPr>
        <w:t xml:space="preserve"> </w:t>
      </w:r>
      <w:r>
        <w:rPr>
          <w:sz w:val="24"/>
        </w:rPr>
        <w:t>T.,</w:t>
      </w:r>
      <w:r>
        <w:rPr>
          <w:spacing w:val="-4"/>
          <w:sz w:val="24"/>
        </w:rPr>
        <w:t xml:space="preserve"> </w:t>
      </w:r>
      <w:r>
        <w:rPr>
          <w:sz w:val="24"/>
        </w:rPr>
        <w:t>Saastamoinen,</w:t>
      </w:r>
      <w:r>
        <w:rPr>
          <w:spacing w:val="-4"/>
          <w:sz w:val="24"/>
        </w:rPr>
        <w:t xml:space="preserve"> </w:t>
      </w:r>
      <w:r>
        <w:rPr>
          <w:sz w:val="24"/>
        </w:rPr>
        <w:t>J.,</w:t>
      </w:r>
      <w:r>
        <w:rPr>
          <w:spacing w:val="-4"/>
          <w:sz w:val="24"/>
        </w:rPr>
        <w:t xml:space="preserve"> </w:t>
      </w:r>
      <w:r>
        <w:rPr>
          <w:sz w:val="24"/>
        </w:rPr>
        <w:t>&amp;</w:t>
      </w:r>
      <w:r>
        <w:rPr>
          <w:spacing w:val="-3"/>
          <w:sz w:val="24"/>
        </w:rPr>
        <w:t xml:space="preserve"> </w:t>
      </w:r>
      <w:r>
        <w:rPr>
          <w:sz w:val="24"/>
        </w:rPr>
        <w:t>Reijonen,</w:t>
      </w:r>
      <w:r>
        <w:rPr>
          <w:spacing w:val="-4"/>
          <w:sz w:val="24"/>
        </w:rPr>
        <w:t xml:space="preserve"> </w:t>
      </w:r>
      <w:r>
        <w:rPr>
          <w:sz w:val="24"/>
        </w:rPr>
        <w:t>H.</w:t>
      </w:r>
      <w:r>
        <w:rPr>
          <w:spacing w:val="-3"/>
          <w:sz w:val="24"/>
        </w:rPr>
        <w:t xml:space="preserve"> </w:t>
      </w:r>
      <w:r>
        <w:rPr>
          <w:sz w:val="24"/>
        </w:rPr>
        <w:t>(2014).</w:t>
      </w:r>
      <w:r>
        <w:rPr>
          <w:spacing w:val="-5"/>
          <w:sz w:val="24"/>
        </w:rPr>
        <w:t xml:space="preserve"> </w:t>
      </w:r>
      <w:r>
        <w:rPr>
          <w:sz w:val="24"/>
        </w:rPr>
        <w:t>Market</w:t>
      </w:r>
      <w:r>
        <w:rPr>
          <w:spacing w:val="-3"/>
          <w:sz w:val="24"/>
        </w:rPr>
        <w:t xml:space="preserve"> </w:t>
      </w:r>
      <w:r>
        <w:rPr>
          <w:sz w:val="24"/>
        </w:rPr>
        <w:t>orientation</w:t>
      </w:r>
      <w:r>
        <w:rPr>
          <w:spacing w:val="-3"/>
          <w:sz w:val="24"/>
        </w:rPr>
        <w:t xml:space="preserve"> </w:t>
      </w:r>
      <w:r>
        <w:rPr>
          <w:sz w:val="24"/>
        </w:rPr>
        <w:t>and</w:t>
      </w:r>
      <w:r>
        <w:rPr>
          <w:spacing w:val="-4"/>
          <w:sz w:val="24"/>
        </w:rPr>
        <w:t xml:space="preserve"> </w:t>
      </w:r>
      <w:r>
        <w:rPr>
          <w:sz w:val="24"/>
        </w:rPr>
        <w:t>SMEsʼ</w:t>
      </w:r>
      <w:r>
        <w:rPr>
          <w:spacing w:val="-4"/>
          <w:sz w:val="24"/>
        </w:rPr>
        <w:t xml:space="preserve"> </w:t>
      </w:r>
      <w:r>
        <w:rPr>
          <w:sz w:val="24"/>
        </w:rPr>
        <w:t>activity</w:t>
      </w:r>
      <w:r>
        <w:rPr>
          <w:spacing w:val="-4"/>
          <w:sz w:val="24"/>
        </w:rPr>
        <w:t xml:space="preserve"> </w:t>
      </w:r>
      <w:r>
        <w:rPr>
          <w:sz w:val="24"/>
        </w:rPr>
        <w:t>in</w:t>
      </w:r>
      <w:r>
        <w:rPr>
          <w:spacing w:val="-2"/>
          <w:sz w:val="24"/>
        </w:rPr>
        <w:t xml:space="preserve"> public</w:t>
      </w:r>
    </w:p>
    <w:p w:rsidR="00487D64" w:rsidRDefault="006F0D93">
      <w:pPr>
        <w:spacing w:before="44"/>
        <w:ind w:left="417"/>
        <w:jc w:val="both"/>
        <w:rPr>
          <w:sz w:val="24"/>
        </w:rPr>
      </w:pPr>
      <w:r>
        <w:rPr>
          <w:sz w:val="24"/>
        </w:rPr>
        <w:t>sector</w:t>
      </w:r>
      <w:r>
        <w:rPr>
          <w:spacing w:val="-3"/>
          <w:sz w:val="24"/>
        </w:rPr>
        <w:t xml:space="preserve"> </w:t>
      </w:r>
      <w:r>
        <w:rPr>
          <w:sz w:val="24"/>
        </w:rPr>
        <w:t>procurement participation.</w:t>
      </w:r>
      <w:r>
        <w:rPr>
          <w:spacing w:val="-1"/>
          <w:sz w:val="24"/>
        </w:rPr>
        <w:t xml:space="preserve"> </w:t>
      </w:r>
      <w:r>
        <w:rPr>
          <w:sz w:val="24"/>
        </w:rPr>
        <w:t>Journal of</w:t>
      </w:r>
      <w:r>
        <w:rPr>
          <w:spacing w:val="-1"/>
          <w:sz w:val="24"/>
        </w:rPr>
        <w:t xml:space="preserve"> </w:t>
      </w:r>
      <w:r>
        <w:rPr>
          <w:sz w:val="24"/>
        </w:rPr>
        <w:t>Public</w:t>
      </w:r>
      <w:r>
        <w:rPr>
          <w:spacing w:val="-1"/>
          <w:sz w:val="24"/>
        </w:rPr>
        <w:t xml:space="preserve"> </w:t>
      </w:r>
      <w:r>
        <w:rPr>
          <w:sz w:val="24"/>
        </w:rPr>
        <w:t>Procurement,</w:t>
      </w:r>
      <w:r>
        <w:rPr>
          <w:spacing w:val="-1"/>
          <w:sz w:val="24"/>
        </w:rPr>
        <w:t xml:space="preserve"> </w:t>
      </w:r>
      <w:r>
        <w:rPr>
          <w:sz w:val="24"/>
        </w:rPr>
        <w:t>14(3), 304-</w:t>
      </w:r>
      <w:r>
        <w:rPr>
          <w:spacing w:val="-4"/>
          <w:sz w:val="24"/>
        </w:rPr>
        <w:t>327.</w:t>
      </w:r>
    </w:p>
    <w:p w:rsidR="00487D64" w:rsidRDefault="006F0D93">
      <w:pPr>
        <w:pStyle w:val="ListParagraph"/>
        <w:numPr>
          <w:ilvl w:val="0"/>
          <w:numId w:val="1"/>
        </w:numPr>
        <w:tabs>
          <w:tab w:val="left" w:pos="360"/>
        </w:tabs>
        <w:spacing w:before="40"/>
        <w:ind w:left="360" w:right="342" w:hanging="360"/>
        <w:jc w:val="right"/>
        <w:rPr>
          <w:sz w:val="24"/>
        </w:rPr>
      </w:pPr>
      <w:r>
        <w:rPr>
          <w:sz w:val="24"/>
        </w:rPr>
        <w:t>Tseng,</w:t>
      </w:r>
      <w:r>
        <w:rPr>
          <w:spacing w:val="-12"/>
          <w:sz w:val="24"/>
        </w:rPr>
        <w:t xml:space="preserve"> </w:t>
      </w:r>
      <w:r>
        <w:rPr>
          <w:sz w:val="24"/>
        </w:rPr>
        <w:t>L.</w:t>
      </w:r>
      <w:r>
        <w:rPr>
          <w:spacing w:val="-9"/>
          <w:sz w:val="24"/>
        </w:rPr>
        <w:t xml:space="preserve"> </w:t>
      </w:r>
      <w:r>
        <w:rPr>
          <w:sz w:val="24"/>
        </w:rPr>
        <w:t>M.</w:t>
      </w:r>
      <w:r>
        <w:rPr>
          <w:spacing w:val="-8"/>
          <w:sz w:val="24"/>
        </w:rPr>
        <w:t xml:space="preserve"> </w:t>
      </w:r>
      <w:r>
        <w:rPr>
          <w:sz w:val="24"/>
        </w:rPr>
        <w:t>(2018).</w:t>
      </w:r>
      <w:r>
        <w:rPr>
          <w:spacing w:val="-9"/>
          <w:sz w:val="24"/>
        </w:rPr>
        <w:t xml:space="preserve"> </w:t>
      </w:r>
      <w:r>
        <w:rPr>
          <w:sz w:val="24"/>
        </w:rPr>
        <w:t>How</w:t>
      </w:r>
      <w:r>
        <w:rPr>
          <w:spacing w:val="-10"/>
          <w:sz w:val="24"/>
        </w:rPr>
        <w:t xml:space="preserve"> </w:t>
      </w:r>
      <w:r>
        <w:rPr>
          <w:sz w:val="24"/>
        </w:rPr>
        <w:t>customer</w:t>
      </w:r>
      <w:r>
        <w:rPr>
          <w:spacing w:val="-9"/>
          <w:sz w:val="24"/>
        </w:rPr>
        <w:t xml:space="preserve"> </w:t>
      </w:r>
      <w:r>
        <w:rPr>
          <w:sz w:val="24"/>
        </w:rPr>
        <w:t>orientation</w:t>
      </w:r>
      <w:r>
        <w:rPr>
          <w:spacing w:val="-9"/>
          <w:sz w:val="24"/>
        </w:rPr>
        <w:t xml:space="preserve"> </w:t>
      </w:r>
      <w:r>
        <w:rPr>
          <w:sz w:val="24"/>
        </w:rPr>
        <w:t>leads</w:t>
      </w:r>
      <w:r>
        <w:rPr>
          <w:spacing w:val="-8"/>
          <w:sz w:val="24"/>
        </w:rPr>
        <w:t xml:space="preserve"> </w:t>
      </w:r>
      <w:r>
        <w:rPr>
          <w:sz w:val="24"/>
        </w:rPr>
        <w:t>to</w:t>
      </w:r>
      <w:r>
        <w:rPr>
          <w:spacing w:val="-8"/>
          <w:sz w:val="24"/>
        </w:rPr>
        <w:t xml:space="preserve"> </w:t>
      </w:r>
      <w:r>
        <w:rPr>
          <w:sz w:val="24"/>
        </w:rPr>
        <w:t>customer</w:t>
      </w:r>
      <w:r>
        <w:rPr>
          <w:spacing w:val="-9"/>
          <w:sz w:val="24"/>
        </w:rPr>
        <w:t xml:space="preserve"> </w:t>
      </w:r>
      <w:r>
        <w:rPr>
          <w:sz w:val="24"/>
        </w:rPr>
        <w:t>satisfaction:</w:t>
      </w:r>
      <w:r>
        <w:rPr>
          <w:spacing w:val="-8"/>
          <w:sz w:val="24"/>
        </w:rPr>
        <w:t xml:space="preserve"> </w:t>
      </w:r>
      <w:r>
        <w:rPr>
          <w:sz w:val="24"/>
        </w:rPr>
        <w:t>Mediating</w:t>
      </w:r>
      <w:r>
        <w:rPr>
          <w:spacing w:val="-8"/>
          <w:sz w:val="24"/>
        </w:rPr>
        <w:t xml:space="preserve"> </w:t>
      </w:r>
      <w:r>
        <w:rPr>
          <w:spacing w:val="-2"/>
          <w:sz w:val="24"/>
        </w:rPr>
        <w:t>mechanisms</w:t>
      </w:r>
    </w:p>
    <w:p w:rsidR="00487D64" w:rsidRDefault="006F0D93">
      <w:pPr>
        <w:spacing w:before="41"/>
        <w:ind w:right="339"/>
        <w:jc w:val="right"/>
        <w:rPr>
          <w:sz w:val="24"/>
        </w:rPr>
      </w:pPr>
      <w:r>
        <w:rPr>
          <w:sz w:val="24"/>
        </w:rPr>
        <w:t>of</w:t>
      </w:r>
      <w:r>
        <w:rPr>
          <w:spacing w:val="-2"/>
          <w:sz w:val="24"/>
        </w:rPr>
        <w:t xml:space="preserve"> </w:t>
      </w:r>
      <w:r>
        <w:rPr>
          <w:sz w:val="24"/>
        </w:rPr>
        <w:t>service workers’</w:t>
      </w:r>
      <w:r>
        <w:rPr>
          <w:spacing w:val="-3"/>
          <w:sz w:val="24"/>
        </w:rPr>
        <w:t xml:space="preserve"> </w:t>
      </w:r>
      <w:r>
        <w:rPr>
          <w:sz w:val="24"/>
        </w:rPr>
        <w:t>etiquette</w:t>
      </w:r>
      <w:r>
        <w:rPr>
          <w:spacing w:val="-2"/>
          <w:sz w:val="24"/>
        </w:rPr>
        <w:t xml:space="preserve"> </w:t>
      </w:r>
      <w:r>
        <w:rPr>
          <w:sz w:val="24"/>
        </w:rPr>
        <w:t>and</w:t>
      </w:r>
      <w:r>
        <w:rPr>
          <w:spacing w:val="-2"/>
          <w:sz w:val="24"/>
        </w:rPr>
        <w:t xml:space="preserve"> </w:t>
      </w:r>
      <w:r>
        <w:rPr>
          <w:sz w:val="24"/>
        </w:rPr>
        <w:t>creativity.</w:t>
      </w:r>
      <w:r>
        <w:rPr>
          <w:spacing w:val="1"/>
          <w:sz w:val="24"/>
        </w:rPr>
        <w:t xml:space="preserve"> </w:t>
      </w:r>
      <w:r>
        <w:rPr>
          <w:sz w:val="24"/>
        </w:rPr>
        <w:t>International</w:t>
      </w:r>
      <w:r>
        <w:rPr>
          <w:spacing w:val="-1"/>
          <w:sz w:val="24"/>
        </w:rPr>
        <w:t xml:space="preserve"> </w:t>
      </w:r>
      <w:r>
        <w:rPr>
          <w:sz w:val="24"/>
        </w:rPr>
        <w:t>Journal</w:t>
      </w:r>
      <w:r>
        <w:rPr>
          <w:spacing w:val="-1"/>
          <w:sz w:val="24"/>
        </w:rPr>
        <w:t xml:space="preserve"> </w:t>
      </w:r>
      <w:r>
        <w:rPr>
          <w:sz w:val="24"/>
        </w:rPr>
        <w:t>of</w:t>
      </w:r>
      <w:r>
        <w:rPr>
          <w:spacing w:val="-2"/>
          <w:sz w:val="24"/>
        </w:rPr>
        <w:t xml:space="preserve"> </w:t>
      </w:r>
      <w:r>
        <w:rPr>
          <w:sz w:val="24"/>
        </w:rPr>
        <w:t>Bank Marketing,</w:t>
      </w:r>
      <w:r>
        <w:rPr>
          <w:spacing w:val="-1"/>
          <w:sz w:val="24"/>
        </w:rPr>
        <w:t xml:space="preserve"> </w:t>
      </w:r>
      <w:r>
        <w:rPr>
          <w:sz w:val="24"/>
        </w:rPr>
        <w:t>37(1),</w:t>
      </w:r>
      <w:r>
        <w:rPr>
          <w:spacing w:val="-1"/>
          <w:sz w:val="24"/>
        </w:rPr>
        <w:t xml:space="preserve"> </w:t>
      </w:r>
      <w:r>
        <w:rPr>
          <w:sz w:val="24"/>
        </w:rPr>
        <w:t>210-</w:t>
      </w:r>
      <w:r>
        <w:rPr>
          <w:spacing w:val="-4"/>
          <w:sz w:val="24"/>
        </w:rPr>
        <w:t>225.</w:t>
      </w:r>
    </w:p>
    <w:p w:rsidR="00487D64" w:rsidRDefault="006F0D93">
      <w:pPr>
        <w:pStyle w:val="ListParagraph"/>
        <w:numPr>
          <w:ilvl w:val="0"/>
          <w:numId w:val="1"/>
        </w:numPr>
        <w:tabs>
          <w:tab w:val="left" w:pos="417"/>
        </w:tabs>
        <w:spacing w:before="41" w:line="278" w:lineRule="auto"/>
        <w:ind w:right="346"/>
        <w:jc w:val="both"/>
        <w:rPr>
          <w:sz w:val="24"/>
        </w:rPr>
      </w:pPr>
      <w:r>
        <w:rPr>
          <w:sz w:val="24"/>
        </w:rPr>
        <w:t>Wahyuni, N. M., and Astawa, I. P. (2020). An integrative model of market orientation on innovation performance. Journal of Management and Marketing Review, 5(1), 51–63.</w:t>
      </w:r>
    </w:p>
    <w:p w:rsidR="00487D64" w:rsidRDefault="006F0D93">
      <w:pPr>
        <w:pStyle w:val="ListParagraph"/>
        <w:numPr>
          <w:ilvl w:val="0"/>
          <w:numId w:val="1"/>
        </w:numPr>
        <w:tabs>
          <w:tab w:val="left" w:pos="417"/>
        </w:tabs>
        <w:spacing w:line="276" w:lineRule="auto"/>
        <w:ind w:right="343"/>
        <w:jc w:val="both"/>
        <w:rPr>
          <w:sz w:val="24"/>
        </w:rPr>
      </w:pPr>
      <w:r>
        <w:rPr>
          <w:sz w:val="24"/>
        </w:rPr>
        <w:t>Wang, Y., Xue, X., &amp; Guo, H. (2022). The sustainability of market orientation from a dy</w:t>
      </w:r>
      <w:r>
        <w:rPr>
          <w:sz w:val="24"/>
        </w:rPr>
        <w:t>namic perspective: the mediation of dynamic capability and the moderation of error management climate. Sustainability, 14(7), 3763.</w:t>
      </w:r>
    </w:p>
    <w:p w:rsidR="00487D64" w:rsidRDefault="006F0D93">
      <w:pPr>
        <w:pStyle w:val="ListParagraph"/>
        <w:numPr>
          <w:ilvl w:val="0"/>
          <w:numId w:val="1"/>
        </w:numPr>
        <w:tabs>
          <w:tab w:val="left" w:pos="417"/>
        </w:tabs>
        <w:spacing w:line="276" w:lineRule="auto"/>
        <w:ind w:right="342"/>
        <w:jc w:val="both"/>
        <w:rPr>
          <w:sz w:val="24"/>
        </w:rPr>
      </w:pPr>
      <w:r>
        <w:rPr>
          <w:sz w:val="24"/>
        </w:rPr>
        <w:t>Wang,</w:t>
      </w:r>
      <w:r>
        <w:rPr>
          <w:spacing w:val="-15"/>
          <w:sz w:val="24"/>
        </w:rPr>
        <w:t xml:space="preserve"> </w:t>
      </w:r>
      <w:r>
        <w:rPr>
          <w:sz w:val="24"/>
        </w:rPr>
        <w:t>Z.,</w:t>
      </w:r>
      <w:r>
        <w:rPr>
          <w:spacing w:val="-15"/>
          <w:sz w:val="24"/>
        </w:rPr>
        <w:t xml:space="preserve"> </w:t>
      </w:r>
      <w:r>
        <w:rPr>
          <w:sz w:val="24"/>
        </w:rPr>
        <w:t>Ling,</w:t>
      </w:r>
      <w:r>
        <w:rPr>
          <w:spacing w:val="-15"/>
          <w:sz w:val="24"/>
        </w:rPr>
        <w:t xml:space="preserve"> </w:t>
      </w:r>
      <w:r>
        <w:rPr>
          <w:sz w:val="24"/>
        </w:rPr>
        <w:t>K.</w:t>
      </w:r>
      <w:r>
        <w:rPr>
          <w:spacing w:val="-15"/>
          <w:sz w:val="24"/>
        </w:rPr>
        <w:t xml:space="preserve"> </w:t>
      </w:r>
      <w:r>
        <w:rPr>
          <w:sz w:val="24"/>
        </w:rPr>
        <w:t>C.,</w:t>
      </w:r>
      <w:r>
        <w:rPr>
          <w:spacing w:val="-15"/>
          <w:sz w:val="24"/>
        </w:rPr>
        <w:t xml:space="preserve"> </w:t>
      </w:r>
      <w:r>
        <w:rPr>
          <w:sz w:val="24"/>
        </w:rPr>
        <w:t>and</w:t>
      </w:r>
      <w:r>
        <w:rPr>
          <w:spacing w:val="-15"/>
          <w:sz w:val="24"/>
        </w:rPr>
        <w:t xml:space="preserve"> </w:t>
      </w:r>
      <w:r>
        <w:rPr>
          <w:sz w:val="24"/>
        </w:rPr>
        <w:t>Li,</w:t>
      </w:r>
      <w:r>
        <w:rPr>
          <w:spacing w:val="-15"/>
          <w:sz w:val="24"/>
        </w:rPr>
        <w:t xml:space="preserve"> </w:t>
      </w:r>
      <w:r>
        <w:rPr>
          <w:sz w:val="24"/>
        </w:rPr>
        <w:t>H.</w:t>
      </w:r>
      <w:r>
        <w:rPr>
          <w:spacing w:val="-15"/>
          <w:sz w:val="24"/>
        </w:rPr>
        <w:t xml:space="preserve"> </w:t>
      </w:r>
      <w:r>
        <w:rPr>
          <w:sz w:val="24"/>
        </w:rPr>
        <w:t>(2021).</w:t>
      </w:r>
      <w:r>
        <w:rPr>
          <w:spacing w:val="-15"/>
          <w:sz w:val="24"/>
        </w:rPr>
        <w:t xml:space="preserve"> </w:t>
      </w:r>
      <w:r>
        <w:rPr>
          <w:sz w:val="24"/>
        </w:rPr>
        <w:t>The</w:t>
      </w:r>
      <w:r>
        <w:rPr>
          <w:spacing w:val="-15"/>
          <w:sz w:val="24"/>
        </w:rPr>
        <w:t xml:space="preserve"> </w:t>
      </w:r>
      <w:r>
        <w:rPr>
          <w:sz w:val="24"/>
        </w:rPr>
        <w:t>impact</w:t>
      </w:r>
      <w:r>
        <w:rPr>
          <w:spacing w:val="-15"/>
          <w:sz w:val="24"/>
        </w:rPr>
        <w:t xml:space="preserve"> </w:t>
      </w:r>
      <w:r>
        <w:rPr>
          <w:sz w:val="24"/>
        </w:rPr>
        <w:t>of</w:t>
      </w:r>
      <w:r>
        <w:rPr>
          <w:spacing w:val="-15"/>
          <w:sz w:val="24"/>
        </w:rPr>
        <w:t xml:space="preserve"> </w:t>
      </w:r>
      <w:r>
        <w:rPr>
          <w:sz w:val="24"/>
        </w:rPr>
        <w:t>knowledge</w:t>
      </w:r>
      <w:r>
        <w:rPr>
          <w:spacing w:val="-15"/>
          <w:sz w:val="24"/>
        </w:rPr>
        <w:t xml:space="preserve"> </w:t>
      </w:r>
      <w:r>
        <w:rPr>
          <w:sz w:val="24"/>
        </w:rPr>
        <w:t>sharing</w:t>
      </w:r>
      <w:r>
        <w:rPr>
          <w:spacing w:val="-15"/>
          <w:sz w:val="24"/>
        </w:rPr>
        <w:t xml:space="preserve"> </w:t>
      </w:r>
      <w:r>
        <w:rPr>
          <w:sz w:val="24"/>
        </w:rPr>
        <w:t>on</w:t>
      </w:r>
      <w:r>
        <w:rPr>
          <w:spacing w:val="-14"/>
          <w:sz w:val="24"/>
        </w:rPr>
        <w:t xml:space="preserve"> </w:t>
      </w:r>
      <w:r>
        <w:rPr>
          <w:sz w:val="24"/>
        </w:rPr>
        <w:t>the</w:t>
      </w:r>
      <w:r>
        <w:rPr>
          <w:spacing w:val="-15"/>
          <w:sz w:val="24"/>
        </w:rPr>
        <w:t xml:space="preserve"> </w:t>
      </w:r>
      <w:r>
        <w:rPr>
          <w:sz w:val="24"/>
        </w:rPr>
        <w:t>relationship</w:t>
      </w:r>
      <w:r>
        <w:rPr>
          <w:spacing w:val="-15"/>
          <w:sz w:val="24"/>
        </w:rPr>
        <w:t xml:space="preserve"> </w:t>
      </w:r>
      <w:r>
        <w:rPr>
          <w:sz w:val="24"/>
        </w:rPr>
        <w:t>between market orientation and</w:t>
      </w:r>
      <w:r>
        <w:rPr>
          <w:sz w:val="24"/>
        </w:rPr>
        <w:t xml:space="preserve"> service innovation. International Journal of Knowledge Management, 17(2), </w:t>
      </w:r>
      <w:r>
        <w:rPr>
          <w:spacing w:val="-2"/>
          <w:sz w:val="24"/>
        </w:rPr>
        <w:t>130–154</w:t>
      </w:r>
    </w:p>
    <w:p w:rsidR="00487D64" w:rsidRDefault="006F0D93">
      <w:pPr>
        <w:pStyle w:val="ListParagraph"/>
        <w:numPr>
          <w:ilvl w:val="0"/>
          <w:numId w:val="1"/>
        </w:numPr>
        <w:tabs>
          <w:tab w:val="left" w:pos="417"/>
        </w:tabs>
        <w:spacing w:line="276" w:lineRule="auto"/>
        <w:ind w:right="348"/>
        <w:jc w:val="both"/>
        <w:rPr>
          <w:sz w:val="24"/>
        </w:rPr>
      </w:pPr>
      <w:r>
        <w:rPr>
          <w:sz w:val="24"/>
        </w:rPr>
        <w:t>Woo, H., Kim, S. J., and Wang, H. (2021). Understanding the role of service innovation behavior on business customer performance and loyalty. Industrial Marketing Management</w:t>
      </w:r>
      <w:r>
        <w:rPr>
          <w:sz w:val="24"/>
        </w:rPr>
        <w:t>, 93, 41-51.</w:t>
      </w:r>
    </w:p>
    <w:p w:rsidR="00487D64" w:rsidRDefault="006F0D93">
      <w:pPr>
        <w:pStyle w:val="ListParagraph"/>
        <w:numPr>
          <w:ilvl w:val="0"/>
          <w:numId w:val="1"/>
        </w:numPr>
        <w:tabs>
          <w:tab w:val="left" w:pos="417"/>
        </w:tabs>
        <w:spacing w:line="276" w:lineRule="auto"/>
        <w:ind w:right="337"/>
        <w:jc w:val="both"/>
        <w:rPr>
          <w:sz w:val="24"/>
        </w:rPr>
      </w:pPr>
      <w:r>
        <w:rPr>
          <w:sz w:val="24"/>
        </w:rPr>
        <w:t>Yang,</w:t>
      </w:r>
      <w:r>
        <w:rPr>
          <w:spacing w:val="-15"/>
          <w:sz w:val="24"/>
        </w:rPr>
        <w:t xml:space="preserve"> </w:t>
      </w:r>
      <w:r>
        <w:rPr>
          <w:sz w:val="24"/>
        </w:rPr>
        <w:t>M.,</w:t>
      </w:r>
      <w:r>
        <w:rPr>
          <w:spacing w:val="-15"/>
          <w:sz w:val="24"/>
        </w:rPr>
        <w:t xml:space="preserve"> </w:t>
      </w:r>
      <w:r>
        <w:rPr>
          <w:sz w:val="24"/>
        </w:rPr>
        <w:t>Jaafar,</w:t>
      </w:r>
      <w:r>
        <w:rPr>
          <w:spacing w:val="-15"/>
          <w:sz w:val="24"/>
        </w:rPr>
        <w:t xml:space="preserve"> </w:t>
      </w:r>
      <w:r>
        <w:rPr>
          <w:sz w:val="24"/>
        </w:rPr>
        <w:t>N.,</w:t>
      </w:r>
      <w:r>
        <w:rPr>
          <w:spacing w:val="-15"/>
          <w:sz w:val="24"/>
        </w:rPr>
        <w:t xml:space="preserve"> </w:t>
      </w:r>
      <w:r>
        <w:rPr>
          <w:sz w:val="24"/>
        </w:rPr>
        <w:t>Al</w:t>
      </w:r>
      <w:r>
        <w:rPr>
          <w:spacing w:val="-15"/>
          <w:sz w:val="24"/>
        </w:rPr>
        <w:t xml:space="preserve"> </w:t>
      </w:r>
      <w:r>
        <w:rPr>
          <w:sz w:val="24"/>
        </w:rPr>
        <w:t>Mamun,</w:t>
      </w:r>
      <w:r>
        <w:rPr>
          <w:spacing w:val="-15"/>
          <w:sz w:val="24"/>
        </w:rPr>
        <w:t xml:space="preserve"> </w:t>
      </w:r>
      <w:r>
        <w:rPr>
          <w:sz w:val="24"/>
        </w:rPr>
        <w:t>A.,</w:t>
      </w:r>
      <w:r>
        <w:rPr>
          <w:spacing w:val="-15"/>
          <w:sz w:val="24"/>
        </w:rPr>
        <w:t xml:space="preserve"> </w:t>
      </w:r>
      <w:r>
        <w:rPr>
          <w:sz w:val="24"/>
        </w:rPr>
        <w:t>Salameh,</w:t>
      </w:r>
      <w:r>
        <w:rPr>
          <w:spacing w:val="-15"/>
          <w:sz w:val="24"/>
        </w:rPr>
        <w:t xml:space="preserve"> </w:t>
      </w:r>
      <w:r>
        <w:rPr>
          <w:sz w:val="24"/>
        </w:rPr>
        <w:t>A.</w:t>
      </w:r>
      <w:r>
        <w:rPr>
          <w:spacing w:val="-15"/>
          <w:sz w:val="24"/>
        </w:rPr>
        <w:t xml:space="preserve"> </w:t>
      </w:r>
      <w:r>
        <w:rPr>
          <w:sz w:val="24"/>
        </w:rPr>
        <w:t>A.,</w:t>
      </w:r>
      <w:r>
        <w:rPr>
          <w:spacing w:val="-15"/>
          <w:sz w:val="24"/>
        </w:rPr>
        <w:t xml:space="preserve"> </w:t>
      </w:r>
      <w:r>
        <w:rPr>
          <w:sz w:val="24"/>
        </w:rPr>
        <w:t>&amp;</w:t>
      </w:r>
      <w:r>
        <w:rPr>
          <w:spacing w:val="-15"/>
          <w:sz w:val="24"/>
        </w:rPr>
        <w:t xml:space="preserve"> </w:t>
      </w:r>
      <w:r>
        <w:rPr>
          <w:sz w:val="24"/>
        </w:rPr>
        <w:t>Nawi,</w:t>
      </w:r>
      <w:r>
        <w:rPr>
          <w:spacing w:val="-15"/>
          <w:sz w:val="24"/>
        </w:rPr>
        <w:t xml:space="preserve"> </w:t>
      </w:r>
      <w:r>
        <w:rPr>
          <w:sz w:val="24"/>
        </w:rPr>
        <w:t>N.</w:t>
      </w:r>
      <w:r>
        <w:rPr>
          <w:spacing w:val="-15"/>
          <w:sz w:val="24"/>
        </w:rPr>
        <w:t xml:space="preserve"> </w:t>
      </w:r>
      <w:r>
        <w:rPr>
          <w:sz w:val="24"/>
        </w:rPr>
        <w:t>C.</w:t>
      </w:r>
      <w:r>
        <w:rPr>
          <w:spacing w:val="-15"/>
          <w:sz w:val="24"/>
        </w:rPr>
        <w:t xml:space="preserve"> </w:t>
      </w:r>
      <w:r>
        <w:rPr>
          <w:sz w:val="24"/>
        </w:rPr>
        <w:t>(2022).</w:t>
      </w:r>
      <w:r>
        <w:rPr>
          <w:spacing w:val="-15"/>
          <w:sz w:val="24"/>
        </w:rPr>
        <w:t xml:space="preserve"> </w:t>
      </w:r>
      <w:r>
        <w:rPr>
          <w:sz w:val="24"/>
        </w:rPr>
        <w:t>Modelling</w:t>
      </w:r>
      <w:r>
        <w:rPr>
          <w:spacing w:val="-15"/>
          <w:sz w:val="24"/>
        </w:rPr>
        <w:t xml:space="preserve"> </w:t>
      </w:r>
      <w:r>
        <w:rPr>
          <w:sz w:val="24"/>
        </w:rPr>
        <w:t>the</w:t>
      </w:r>
      <w:r>
        <w:rPr>
          <w:spacing w:val="-15"/>
          <w:sz w:val="24"/>
        </w:rPr>
        <w:t xml:space="preserve"> </w:t>
      </w:r>
      <w:r>
        <w:rPr>
          <w:sz w:val="24"/>
        </w:rPr>
        <w:t>significance of</w:t>
      </w:r>
      <w:r>
        <w:rPr>
          <w:spacing w:val="-15"/>
          <w:sz w:val="24"/>
        </w:rPr>
        <w:t xml:space="preserve"> </w:t>
      </w:r>
      <w:r>
        <w:rPr>
          <w:sz w:val="24"/>
        </w:rPr>
        <w:t>strategic</w:t>
      </w:r>
      <w:r>
        <w:rPr>
          <w:spacing w:val="-15"/>
          <w:sz w:val="24"/>
        </w:rPr>
        <w:t xml:space="preserve"> </w:t>
      </w:r>
      <w:r>
        <w:rPr>
          <w:sz w:val="24"/>
        </w:rPr>
        <w:t>orientation</w:t>
      </w:r>
      <w:r>
        <w:rPr>
          <w:spacing w:val="-15"/>
          <w:sz w:val="24"/>
        </w:rPr>
        <w:t xml:space="preserve"> </w:t>
      </w:r>
      <w:r>
        <w:rPr>
          <w:sz w:val="24"/>
        </w:rPr>
        <w:t>for</w:t>
      </w:r>
      <w:r>
        <w:rPr>
          <w:spacing w:val="-15"/>
          <w:sz w:val="24"/>
        </w:rPr>
        <w:t xml:space="preserve"> </w:t>
      </w:r>
      <w:r>
        <w:rPr>
          <w:sz w:val="24"/>
        </w:rPr>
        <w:t>competitive</w:t>
      </w:r>
      <w:r>
        <w:rPr>
          <w:spacing w:val="-15"/>
          <w:sz w:val="24"/>
        </w:rPr>
        <w:t xml:space="preserve"> </w:t>
      </w:r>
      <w:r>
        <w:rPr>
          <w:sz w:val="24"/>
        </w:rPr>
        <w:t>advantage</w:t>
      </w:r>
      <w:r>
        <w:rPr>
          <w:spacing w:val="-15"/>
          <w:sz w:val="24"/>
        </w:rPr>
        <w:t xml:space="preserve"> </w:t>
      </w:r>
      <w:r>
        <w:rPr>
          <w:sz w:val="24"/>
        </w:rPr>
        <w:t>and</w:t>
      </w:r>
      <w:r>
        <w:rPr>
          <w:spacing w:val="-15"/>
          <w:sz w:val="24"/>
        </w:rPr>
        <w:t xml:space="preserve"> </w:t>
      </w:r>
      <w:r>
        <w:rPr>
          <w:sz w:val="24"/>
        </w:rPr>
        <w:t>economic</w:t>
      </w:r>
      <w:r>
        <w:rPr>
          <w:spacing w:val="-15"/>
          <w:sz w:val="24"/>
        </w:rPr>
        <w:t xml:space="preserve"> </w:t>
      </w:r>
      <w:r>
        <w:rPr>
          <w:sz w:val="24"/>
        </w:rPr>
        <w:t>sustainability:</w:t>
      </w:r>
      <w:r>
        <w:rPr>
          <w:spacing w:val="-15"/>
          <w:sz w:val="24"/>
        </w:rPr>
        <w:t xml:space="preserve"> </w:t>
      </w:r>
      <w:r>
        <w:rPr>
          <w:sz w:val="24"/>
        </w:rPr>
        <w:t>the</w:t>
      </w:r>
      <w:r>
        <w:rPr>
          <w:spacing w:val="-15"/>
          <w:sz w:val="24"/>
        </w:rPr>
        <w:t xml:space="preserve"> </w:t>
      </w:r>
      <w:r>
        <w:rPr>
          <w:sz w:val="24"/>
        </w:rPr>
        <w:t>use</w:t>
      </w:r>
      <w:r>
        <w:rPr>
          <w:spacing w:val="-15"/>
          <w:sz w:val="24"/>
        </w:rPr>
        <w:t xml:space="preserve"> </w:t>
      </w:r>
      <w:r>
        <w:rPr>
          <w:sz w:val="24"/>
        </w:rPr>
        <w:t>of</w:t>
      </w:r>
      <w:r>
        <w:rPr>
          <w:spacing w:val="-15"/>
          <w:sz w:val="24"/>
        </w:rPr>
        <w:t xml:space="preserve"> </w:t>
      </w:r>
      <w:r>
        <w:rPr>
          <w:sz w:val="24"/>
        </w:rPr>
        <w:t>hybrid</w:t>
      </w:r>
      <w:r>
        <w:rPr>
          <w:spacing w:val="-15"/>
          <w:sz w:val="24"/>
        </w:rPr>
        <w:t xml:space="preserve"> </w:t>
      </w:r>
      <w:r>
        <w:rPr>
          <w:sz w:val="24"/>
        </w:rPr>
        <w:t>SEM– neural network analysis. Journal of Innovation and Entrepreneurship, 11(1), 44.</w:t>
      </w:r>
    </w:p>
    <w:p w:rsidR="00487D64" w:rsidRDefault="00487D64">
      <w:pPr>
        <w:pStyle w:val="ListParagraph"/>
        <w:spacing w:line="276" w:lineRule="auto"/>
        <w:jc w:val="both"/>
        <w:rPr>
          <w:sz w:val="24"/>
        </w:rPr>
        <w:sectPr w:rsidR="00487D64">
          <w:pgSz w:w="11910" w:h="16840"/>
          <w:pgMar w:top="1680" w:right="563" w:bottom="800" w:left="850" w:header="677" w:footer="608" w:gutter="0"/>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71" name="Graphic 71"/>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53AA708D" id="Group 70"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">
                <v:shape id="Graphic 71"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" path="m5982335,18288l,18288,,54864r5982335,l5982335,18288xem5982335,l,,,9144r5982335,l5982335,xe" fillcolor="#612322" stroked="f">
                  <v:path arrowok="t"/>
                </v:shape>
                <w10:anchorlock/>
              </v:group>
            </w:pict>
          </mc:Fallback>
        </mc:AlternateContent>
      </w:r>
    </w:p>
    <w:p w:rsidR="00487D64" w:rsidRDefault="006F0D93">
      <w:pPr>
        <w:spacing w:before="271" w:line="242" w:lineRule="auto"/>
        <w:ind w:left="9" w:right="14"/>
        <w:jc w:val="center"/>
        <w:rPr>
          <w:b/>
          <w:sz w:val="24"/>
        </w:rPr>
      </w:pPr>
      <w:r>
        <w:rPr>
          <w:b/>
          <w:sz w:val="24"/>
        </w:rPr>
        <w:t>MARKET ORIENTATION AND SME COMPETITIVENESS IN PUBLIC PROCUREMENT:</w:t>
      </w:r>
      <w:r>
        <w:rPr>
          <w:b/>
          <w:spacing w:val="-6"/>
          <w:sz w:val="24"/>
        </w:rPr>
        <w:t xml:space="preserve"> </w:t>
      </w:r>
      <w:r>
        <w:rPr>
          <w:b/>
          <w:sz w:val="24"/>
        </w:rPr>
        <w:t>THE</w:t>
      </w:r>
      <w:r>
        <w:rPr>
          <w:b/>
          <w:spacing w:val="-8"/>
          <w:sz w:val="24"/>
        </w:rPr>
        <w:t xml:space="preserve"> </w:t>
      </w:r>
      <w:r>
        <w:rPr>
          <w:b/>
          <w:sz w:val="24"/>
        </w:rPr>
        <w:t>MODERATING</w:t>
      </w:r>
      <w:r>
        <w:rPr>
          <w:b/>
          <w:spacing w:val="-7"/>
          <w:sz w:val="24"/>
        </w:rPr>
        <w:t xml:space="preserve"> </w:t>
      </w:r>
      <w:r>
        <w:rPr>
          <w:b/>
          <w:sz w:val="24"/>
        </w:rPr>
        <w:t>ROLE</w:t>
      </w:r>
      <w:r>
        <w:rPr>
          <w:b/>
          <w:spacing w:val="-8"/>
          <w:sz w:val="24"/>
        </w:rPr>
        <w:t xml:space="preserve"> </w:t>
      </w:r>
      <w:r>
        <w:rPr>
          <w:b/>
          <w:sz w:val="24"/>
        </w:rPr>
        <w:t>OF</w:t>
      </w:r>
      <w:r>
        <w:rPr>
          <w:b/>
          <w:spacing w:val="-8"/>
          <w:sz w:val="24"/>
        </w:rPr>
        <w:t xml:space="preserve"> </w:t>
      </w:r>
      <w:r>
        <w:rPr>
          <w:b/>
          <w:sz w:val="24"/>
        </w:rPr>
        <w:t>STRATEGIC</w:t>
      </w:r>
      <w:r>
        <w:rPr>
          <w:b/>
          <w:spacing w:val="-8"/>
          <w:sz w:val="24"/>
        </w:rPr>
        <w:t xml:space="preserve"> </w:t>
      </w:r>
      <w:r>
        <w:rPr>
          <w:b/>
          <w:sz w:val="24"/>
        </w:rPr>
        <w:t>FLEXIBILITY</w:t>
      </w:r>
    </w:p>
    <w:p w:rsidR="00487D64" w:rsidRDefault="00487D64">
      <w:pPr>
        <w:pStyle w:val="BodyText"/>
        <w:spacing w:before="19"/>
        <w:rPr>
          <w:b/>
          <w:sz w:val="24"/>
        </w:rPr>
      </w:pPr>
    </w:p>
    <w:p w:rsidR="00487D64" w:rsidRDefault="006F0D93">
      <w:pPr>
        <w:spacing w:before="1" w:line="252" w:lineRule="exact"/>
        <w:ind w:left="764" w:right="13"/>
        <w:jc w:val="center"/>
        <w:rPr>
          <w:b/>
          <w:sz w:val="20"/>
        </w:rPr>
      </w:pPr>
      <w:r>
        <w:rPr>
          <w:noProof/>
          <w:position w:val="1"/>
        </w:rPr>
        <w:drawing>
          <wp:inline distT="0" distB="0" distL="0" distR="0">
            <wp:extent cx="111025" cy="110830"/>
            <wp:effectExtent l="0" t="0" r="0" b="0"/>
            <wp:docPr id="72" name="Image 72">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hlinkClick r:id="rId49"/>
                    </pic:cNvPr>
                    <pic:cNvPicPr/>
                  </pic:nvPicPr>
                  <pic:blipFill>
                    <a:blip r:embed="rId50" cstate="print"/>
                    <a:stretch>
                      <a:fillRect/>
                    </a:stretch>
                  </pic:blipFill>
                  <pic:spPr>
                    <a:xfrm>
                      <a:off x="0" y="0"/>
                      <a:ext cx="111025" cy="110830"/>
                    </a:xfrm>
                    <a:prstGeom prst="rect">
                      <a:avLst/>
                    </a:prstGeom>
                  </pic:spPr>
                </pic:pic>
              </a:graphicData>
            </a:graphic>
          </wp:inline>
        </w:drawing>
      </w:r>
      <w:r>
        <w:rPr>
          <w:spacing w:val="-14"/>
          <w:sz w:val="20"/>
        </w:rPr>
        <w:t xml:space="preserve"> </w:t>
      </w:r>
      <w:r>
        <w:rPr>
          <w:b/>
          <w:sz w:val="20"/>
        </w:rPr>
        <w:t>Denis</w:t>
      </w:r>
      <w:r>
        <w:rPr>
          <w:b/>
          <w:spacing w:val="-8"/>
          <w:sz w:val="20"/>
        </w:rPr>
        <w:t xml:space="preserve"> </w:t>
      </w:r>
      <w:r>
        <w:rPr>
          <w:b/>
          <w:sz w:val="20"/>
        </w:rPr>
        <w:t>Clement</w:t>
      </w:r>
      <w:r>
        <w:rPr>
          <w:b/>
          <w:spacing w:val="-6"/>
          <w:sz w:val="20"/>
        </w:rPr>
        <w:t xml:space="preserve"> </w:t>
      </w:r>
      <w:r>
        <w:rPr>
          <w:b/>
          <w:sz w:val="20"/>
        </w:rPr>
        <w:t>Kawishe</w:t>
      </w:r>
      <w:r>
        <w:rPr>
          <w:b/>
          <w:sz w:val="20"/>
          <w:vertAlign w:val="superscript"/>
        </w:rPr>
        <w:t>1</w:t>
      </w:r>
      <w:r>
        <w:rPr>
          <w:b/>
          <w:sz w:val="20"/>
        </w:rPr>
        <w:t>,</w:t>
      </w:r>
      <w:r>
        <w:rPr>
          <w:b/>
          <w:spacing w:val="26"/>
          <w:sz w:val="20"/>
        </w:rPr>
        <w:t xml:space="preserve"> </w:t>
      </w:r>
      <w:r>
        <w:rPr>
          <w:b/>
          <w:noProof/>
          <w:spacing w:val="-18"/>
          <w:position w:val="1"/>
          <w:sz w:val="20"/>
        </w:rPr>
        <w:drawing>
          <wp:inline distT="0" distB="0" distL="0" distR="0">
            <wp:extent cx="125112" cy="124889"/>
            <wp:effectExtent l="0" t="0" r="0" b="0"/>
            <wp:docPr id="73" name="Image 73">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hlinkClick r:id="rId51"/>
                    </pic:cNvPr>
                    <pic:cNvPicPr/>
                  </pic:nvPicPr>
                  <pic:blipFill>
                    <a:blip r:embed="rId52" cstate="print"/>
                    <a:stretch>
                      <a:fillRect/>
                    </a:stretch>
                  </pic:blipFill>
                  <pic:spPr>
                    <a:xfrm>
                      <a:off x="0" y="0"/>
                      <a:ext cx="125112" cy="124889"/>
                    </a:xfrm>
                    <a:prstGeom prst="rect">
                      <a:avLst/>
                    </a:prstGeom>
                  </pic:spPr>
                </pic:pic>
              </a:graphicData>
            </a:graphic>
          </wp:inline>
        </w:drawing>
      </w:r>
      <w:r>
        <w:rPr>
          <w:spacing w:val="6"/>
          <w:sz w:val="20"/>
        </w:rPr>
        <w:t xml:space="preserve"> </w:t>
      </w:r>
      <w:r>
        <w:rPr>
          <w:b/>
          <w:sz w:val="20"/>
        </w:rPr>
        <w:t>France</w:t>
      </w:r>
      <w:r>
        <w:rPr>
          <w:b/>
          <w:spacing w:val="-5"/>
          <w:sz w:val="20"/>
        </w:rPr>
        <w:t xml:space="preserve"> </w:t>
      </w:r>
      <w:r>
        <w:rPr>
          <w:b/>
          <w:sz w:val="20"/>
        </w:rPr>
        <w:t>Shayo</w:t>
      </w:r>
      <w:r>
        <w:rPr>
          <w:b/>
          <w:sz w:val="20"/>
          <w:vertAlign w:val="superscript"/>
        </w:rPr>
        <w:t>2</w:t>
      </w:r>
      <w:r>
        <w:rPr>
          <w:b/>
          <w:spacing w:val="1"/>
          <w:sz w:val="20"/>
        </w:rPr>
        <w:t xml:space="preserve"> </w:t>
      </w:r>
      <w:r>
        <w:rPr>
          <w:b/>
          <w:sz w:val="20"/>
        </w:rPr>
        <w:t>and</w:t>
      </w:r>
      <w:r>
        <w:rPr>
          <w:b/>
          <w:spacing w:val="21"/>
          <w:sz w:val="20"/>
        </w:rPr>
        <w:t xml:space="preserve"> </w:t>
      </w:r>
      <w:r>
        <w:rPr>
          <w:b/>
          <w:noProof/>
          <w:spacing w:val="-24"/>
          <w:position w:val="2"/>
          <w:sz w:val="20"/>
        </w:rPr>
        <w:drawing>
          <wp:inline distT="0" distB="0" distL="0" distR="0">
            <wp:extent cx="122063" cy="121851"/>
            <wp:effectExtent l="0" t="0" r="0" b="0"/>
            <wp:docPr id="74" name="Image 74">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hlinkClick r:id="rId53"/>
                    </pic:cNvPr>
                    <pic:cNvPicPr/>
                  </pic:nvPicPr>
                  <pic:blipFill>
                    <a:blip r:embed="rId50" cstate="print"/>
                    <a:stretch>
                      <a:fillRect/>
                    </a:stretch>
                  </pic:blipFill>
                  <pic:spPr>
                    <a:xfrm>
                      <a:off x="0" y="0"/>
                      <a:ext cx="122063" cy="121851"/>
                    </a:xfrm>
                    <a:prstGeom prst="rect">
                      <a:avLst/>
                    </a:prstGeom>
                  </pic:spPr>
                </pic:pic>
              </a:graphicData>
            </a:graphic>
          </wp:inline>
        </w:drawing>
      </w:r>
      <w:r>
        <w:rPr>
          <w:spacing w:val="14"/>
          <w:sz w:val="20"/>
        </w:rPr>
        <w:t xml:space="preserve"> </w:t>
      </w:r>
      <w:r>
        <w:rPr>
          <w:b/>
          <w:sz w:val="20"/>
        </w:rPr>
        <w:t>Alban</w:t>
      </w:r>
      <w:r>
        <w:rPr>
          <w:b/>
          <w:spacing w:val="-7"/>
          <w:sz w:val="20"/>
        </w:rPr>
        <w:t xml:space="preserve"> </w:t>
      </w:r>
      <w:r>
        <w:rPr>
          <w:b/>
          <w:sz w:val="20"/>
        </w:rPr>
        <w:t>Mchopa</w:t>
      </w:r>
      <w:r>
        <w:rPr>
          <w:b/>
          <w:sz w:val="20"/>
          <w:vertAlign w:val="superscript"/>
        </w:rPr>
        <w:t>3</w:t>
      </w:r>
    </w:p>
    <w:p w:rsidR="00487D64" w:rsidRDefault="006F0D93">
      <w:pPr>
        <w:spacing w:line="228" w:lineRule="exact"/>
        <w:ind w:left="751" w:right="31"/>
        <w:jc w:val="center"/>
        <w:rPr>
          <w:sz w:val="20"/>
        </w:rPr>
      </w:pPr>
      <w:r>
        <w:rPr>
          <w:sz w:val="20"/>
          <w:vertAlign w:val="superscript"/>
        </w:rPr>
        <w:t>1</w:t>
      </w:r>
      <w:r>
        <w:rPr>
          <w:sz w:val="20"/>
        </w:rPr>
        <w:t>Department</w:t>
      </w:r>
      <w:r>
        <w:rPr>
          <w:spacing w:val="-7"/>
          <w:sz w:val="20"/>
        </w:rPr>
        <w:t xml:space="preserve"> </w:t>
      </w:r>
      <w:r>
        <w:rPr>
          <w:sz w:val="20"/>
        </w:rPr>
        <w:t>of</w:t>
      </w:r>
      <w:r>
        <w:rPr>
          <w:spacing w:val="-10"/>
          <w:sz w:val="20"/>
        </w:rPr>
        <w:t xml:space="preserve"> </w:t>
      </w:r>
      <w:r>
        <w:rPr>
          <w:sz w:val="20"/>
        </w:rPr>
        <w:t>Marketing,</w:t>
      </w:r>
      <w:r>
        <w:rPr>
          <w:spacing w:val="-8"/>
          <w:sz w:val="20"/>
        </w:rPr>
        <w:t xml:space="preserve"> </w:t>
      </w:r>
      <w:r>
        <w:rPr>
          <w:sz w:val="20"/>
        </w:rPr>
        <w:t>Entrepreneurship</w:t>
      </w:r>
      <w:r>
        <w:rPr>
          <w:spacing w:val="-10"/>
          <w:sz w:val="20"/>
        </w:rPr>
        <w:t xml:space="preserve"> </w:t>
      </w:r>
      <w:r>
        <w:rPr>
          <w:sz w:val="20"/>
        </w:rPr>
        <w:t>and</w:t>
      </w:r>
      <w:r>
        <w:rPr>
          <w:spacing w:val="-10"/>
          <w:sz w:val="20"/>
        </w:rPr>
        <w:t xml:space="preserve"> </w:t>
      </w:r>
      <w:r>
        <w:rPr>
          <w:sz w:val="20"/>
        </w:rPr>
        <w:t>Management,</w:t>
      </w:r>
      <w:r>
        <w:rPr>
          <w:spacing w:val="-8"/>
          <w:sz w:val="20"/>
        </w:rPr>
        <w:t xml:space="preserve"> </w:t>
      </w:r>
      <w:r>
        <w:rPr>
          <w:sz w:val="20"/>
        </w:rPr>
        <w:t>The</w:t>
      </w:r>
      <w:r>
        <w:rPr>
          <w:spacing w:val="-13"/>
          <w:sz w:val="20"/>
        </w:rPr>
        <w:t xml:space="preserve"> </w:t>
      </w:r>
      <w:r>
        <w:rPr>
          <w:sz w:val="20"/>
        </w:rPr>
        <w:t>Open</w:t>
      </w:r>
      <w:r>
        <w:rPr>
          <w:spacing w:val="-6"/>
          <w:sz w:val="20"/>
        </w:rPr>
        <w:t xml:space="preserve"> </w:t>
      </w:r>
      <w:r>
        <w:rPr>
          <w:sz w:val="20"/>
        </w:rPr>
        <w:t>University</w:t>
      </w:r>
      <w:r>
        <w:rPr>
          <w:spacing w:val="-12"/>
          <w:sz w:val="20"/>
        </w:rPr>
        <w:t xml:space="preserve"> </w:t>
      </w:r>
      <w:r>
        <w:rPr>
          <w:sz w:val="20"/>
        </w:rPr>
        <w:t>of</w:t>
      </w:r>
      <w:r>
        <w:rPr>
          <w:spacing w:val="-3"/>
          <w:sz w:val="20"/>
        </w:rPr>
        <w:t xml:space="preserve"> </w:t>
      </w:r>
      <w:r>
        <w:rPr>
          <w:sz w:val="20"/>
        </w:rPr>
        <w:t>Tanzania,</w:t>
      </w:r>
      <w:r>
        <w:rPr>
          <w:spacing w:val="-8"/>
          <w:sz w:val="20"/>
        </w:rPr>
        <w:t xml:space="preserve"> </w:t>
      </w:r>
      <w:r>
        <w:rPr>
          <w:sz w:val="20"/>
        </w:rPr>
        <w:t>Dar</w:t>
      </w:r>
      <w:r>
        <w:rPr>
          <w:spacing w:val="-6"/>
          <w:sz w:val="20"/>
        </w:rPr>
        <w:t xml:space="preserve"> </w:t>
      </w:r>
      <w:r>
        <w:rPr>
          <w:spacing w:val="-5"/>
          <w:sz w:val="20"/>
        </w:rPr>
        <w:t>es</w:t>
      </w:r>
    </w:p>
    <w:p w:rsidR="00487D64" w:rsidRDefault="006F0D93">
      <w:pPr>
        <w:ind w:left="18" w:right="13"/>
        <w:jc w:val="center"/>
        <w:rPr>
          <w:sz w:val="20"/>
        </w:rPr>
      </w:pPr>
      <w:r>
        <w:rPr>
          <w:sz w:val="20"/>
        </w:rPr>
        <w:t>Salaam,</w:t>
      </w:r>
      <w:r>
        <w:rPr>
          <w:spacing w:val="-7"/>
          <w:sz w:val="20"/>
        </w:rPr>
        <w:t xml:space="preserve"> </w:t>
      </w:r>
      <w:r>
        <w:rPr>
          <w:spacing w:val="-2"/>
          <w:sz w:val="20"/>
        </w:rPr>
        <w:t>Tanzania</w:t>
      </w:r>
    </w:p>
    <w:p w:rsidR="00487D64" w:rsidRDefault="006F0D93">
      <w:pPr>
        <w:ind w:left="751" w:right="37"/>
        <w:jc w:val="center"/>
        <w:rPr>
          <w:sz w:val="20"/>
        </w:rPr>
      </w:pPr>
      <w:r>
        <w:rPr>
          <w:sz w:val="20"/>
        </w:rPr>
        <w:t>Email:</w:t>
      </w:r>
      <w:r>
        <w:rPr>
          <w:spacing w:val="-6"/>
          <w:sz w:val="20"/>
        </w:rPr>
        <w:t xml:space="preserve"> </w:t>
      </w:r>
      <w:hyperlink r:id="rId54">
        <w:r>
          <w:rPr>
            <w:spacing w:val="-2"/>
            <w:sz w:val="20"/>
          </w:rPr>
          <w:t>denis.c.kawishe@gmail.com</w:t>
        </w:r>
      </w:hyperlink>
    </w:p>
    <w:p w:rsidR="00487D64" w:rsidRDefault="006F0D93">
      <w:pPr>
        <w:spacing w:before="1"/>
        <w:ind w:left="751" w:right="37"/>
        <w:jc w:val="center"/>
        <w:rPr>
          <w:sz w:val="20"/>
        </w:rPr>
      </w:pPr>
      <w:r>
        <w:rPr>
          <w:sz w:val="20"/>
          <w:vertAlign w:val="superscript"/>
        </w:rPr>
        <w:t>2</w:t>
      </w:r>
      <w:r>
        <w:rPr>
          <w:sz w:val="20"/>
        </w:rPr>
        <w:t>Department</w:t>
      </w:r>
      <w:r>
        <w:rPr>
          <w:spacing w:val="-7"/>
          <w:sz w:val="20"/>
        </w:rPr>
        <w:t xml:space="preserve"> </w:t>
      </w:r>
      <w:r>
        <w:rPr>
          <w:sz w:val="20"/>
        </w:rPr>
        <w:t>of</w:t>
      </w:r>
      <w:r>
        <w:rPr>
          <w:spacing w:val="-11"/>
          <w:sz w:val="20"/>
        </w:rPr>
        <w:t xml:space="preserve"> </w:t>
      </w:r>
      <w:r>
        <w:rPr>
          <w:sz w:val="20"/>
        </w:rPr>
        <w:t>Planning</w:t>
      </w:r>
      <w:r>
        <w:rPr>
          <w:spacing w:val="-12"/>
          <w:sz w:val="20"/>
        </w:rPr>
        <w:t xml:space="preserve"> </w:t>
      </w:r>
      <w:r>
        <w:rPr>
          <w:sz w:val="20"/>
        </w:rPr>
        <w:t>Finance</w:t>
      </w:r>
      <w:r>
        <w:rPr>
          <w:spacing w:val="-10"/>
          <w:sz w:val="20"/>
        </w:rPr>
        <w:t xml:space="preserve"> </w:t>
      </w:r>
      <w:r>
        <w:rPr>
          <w:sz w:val="20"/>
        </w:rPr>
        <w:t>and</w:t>
      </w:r>
      <w:r>
        <w:rPr>
          <w:spacing w:val="-12"/>
          <w:sz w:val="20"/>
        </w:rPr>
        <w:t xml:space="preserve"> </w:t>
      </w:r>
      <w:r>
        <w:rPr>
          <w:sz w:val="20"/>
        </w:rPr>
        <w:t>Administration,</w:t>
      </w:r>
      <w:r>
        <w:rPr>
          <w:spacing w:val="-9"/>
          <w:sz w:val="20"/>
        </w:rPr>
        <w:t xml:space="preserve"> </w:t>
      </w:r>
      <w:r>
        <w:rPr>
          <w:sz w:val="20"/>
        </w:rPr>
        <w:t>Eastern</w:t>
      </w:r>
      <w:r>
        <w:rPr>
          <w:spacing w:val="-8"/>
          <w:sz w:val="20"/>
        </w:rPr>
        <w:t xml:space="preserve"> </w:t>
      </w:r>
      <w:r>
        <w:rPr>
          <w:sz w:val="20"/>
        </w:rPr>
        <w:t>Africa</w:t>
      </w:r>
      <w:r>
        <w:rPr>
          <w:spacing w:val="-10"/>
          <w:sz w:val="20"/>
        </w:rPr>
        <w:t xml:space="preserve"> </w:t>
      </w:r>
      <w:r>
        <w:rPr>
          <w:sz w:val="20"/>
        </w:rPr>
        <w:t>Statistical</w:t>
      </w:r>
      <w:r>
        <w:rPr>
          <w:spacing w:val="-10"/>
          <w:sz w:val="20"/>
        </w:rPr>
        <w:t xml:space="preserve"> </w:t>
      </w:r>
      <w:r>
        <w:rPr>
          <w:sz w:val="20"/>
        </w:rPr>
        <w:t>Training</w:t>
      </w:r>
      <w:r>
        <w:rPr>
          <w:spacing w:val="-12"/>
          <w:sz w:val="20"/>
        </w:rPr>
        <w:t xml:space="preserve"> </w:t>
      </w:r>
      <w:r>
        <w:rPr>
          <w:sz w:val="20"/>
        </w:rPr>
        <w:t>Centre,</w:t>
      </w:r>
      <w:r>
        <w:rPr>
          <w:spacing w:val="-9"/>
          <w:sz w:val="20"/>
        </w:rPr>
        <w:t xml:space="preserve"> </w:t>
      </w:r>
      <w:r>
        <w:rPr>
          <w:spacing w:val="-2"/>
          <w:sz w:val="20"/>
        </w:rPr>
        <w:t>Tanzania</w:t>
      </w:r>
    </w:p>
    <w:p w:rsidR="00487D64" w:rsidRDefault="006F0D93">
      <w:pPr>
        <w:spacing w:before="1"/>
        <w:ind w:left="11" w:right="13"/>
        <w:jc w:val="center"/>
        <w:rPr>
          <w:sz w:val="20"/>
        </w:rPr>
      </w:pPr>
      <w:r>
        <w:rPr>
          <w:sz w:val="20"/>
        </w:rPr>
        <w:t>Email:</w:t>
      </w:r>
      <w:r>
        <w:rPr>
          <w:spacing w:val="-5"/>
          <w:sz w:val="20"/>
        </w:rPr>
        <w:t xml:space="preserve"> </w:t>
      </w:r>
      <w:hyperlink r:id="rId55">
        <w:r>
          <w:rPr>
            <w:spacing w:val="-2"/>
            <w:sz w:val="20"/>
          </w:rPr>
          <w:t>france.shayo@gmail.com</w:t>
        </w:r>
      </w:hyperlink>
    </w:p>
    <w:p w:rsidR="00487D64" w:rsidRDefault="006F0D93">
      <w:pPr>
        <w:spacing w:before="4" w:line="235" w:lineRule="auto"/>
        <w:ind w:left="188" w:right="187"/>
        <w:jc w:val="center"/>
        <w:rPr>
          <w:sz w:val="20"/>
        </w:rPr>
      </w:pPr>
      <w:r>
        <w:rPr>
          <w:sz w:val="20"/>
          <w:vertAlign w:val="superscript"/>
        </w:rPr>
        <w:t>3</w:t>
      </w:r>
      <w:r>
        <w:rPr>
          <w:sz w:val="20"/>
        </w:rPr>
        <w:t>Department of</w:t>
      </w:r>
      <w:r>
        <w:rPr>
          <w:spacing w:val="-6"/>
          <w:sz w:val="20"/>
        </w:rPr>
        <w:t xml:space="preserve"> </w:t>
      </w:r>
      <w:r>
        <w:rPr>
          <w:sz w:val="20"/>
        </w:rPr>
        <w:t>Procurement</w:t>
      </w:r>
      <w:r>
        <w:rPr>
          <w:spacing w:val="-9"/>
          <w:sz w:val="20"/>
        </w:rPr>
        <w:t xml:space="preserve"> </w:t>
      </w:r>
      <w:r>
        <w:rPr>
          <w:sz w:val="20"/>
        </w:rPr>
        <w:t>and</w:t>
      </w:r>
      <w:r>
        <w:rPr>
          <w:spacing w:val="-2"/>
          <w:sz w:val="20"/>
        </w:rPr>
        <w:t xml:space="preserve"> </w:t>
      </w:r>
      <w:r>
        <w:rPr>
          <w:sz w:val="20"/>
        </w:rPr>
        <w:t>Supply</w:t>
      </w:r>
      <w:r>
        <w:rPr>
          <w:spacing w:val="-11"/>
          <w:sz w:val="20"/>
        </w:rPr>
        <w:t xml:space="preserve"> </w:t>
      </w:r>
      <w:r>
        <w:rPr>
          <w:sz w:val="20"/>
        </w:rPr>
        <w:t>Chain Management</w:t>
      </w:r>
      <w:r>
        <w:rPr>
          <w:spacing w:val="-5"/>
          <w:sz w:val="20"/>
        </w:rPr>
        <w:t xml:space="preserve"> </w:t>
      </w:r>
      <w:r>
        <w:rPr>
          <w:sz w:val="20"/>
        </w:rPr>
        <w:t>Moshi</w:t>
      </w:r>
      <w:r>
        <w:rPr>
          <w:spacing w:val="-5"/>
          <w:sz w:val="20"/>
        </w:rPr>
        <w:t xml:space="preserve"> </w:t>
      </w:r>
      <w:r>
        <w:rPr>
          <w:sz w:val="20"/>
        </w:rPr>
        <w:t>Co-operative</w:t>
      </w:r>
      <w:r>
        <w:rPr>
          <w:spacing w:val="-5"/>
          <w:sz w:val="20"/>
        </w:rPr>
        <w:t xml:space="preserve"> </w:t>
      </w:r>
      <w:r>
        <w:rPr>
          <w:sz w:val="20"/>
        </w:rPr>
        <w:t>University, Moshi,</w:t>
      </w:r>
      <w:r>
        <w:rPr>
          <w:spacing w:val="-4"/>
          <w:sz w:val="20"/>
        </w:rPr>
        <w:t xml:space="preserve"> </w:t>
      </w:r>
      <w:r>
        <w:rPr>
          <w:sz w:val="20"/>
        </w:rPr>
        <w:t xml:space="preserve">Tanzania Email: </w:t>
      </w:r>
      <w:hyperlink r:id="rId56">
        <w:r>
          <w:rPr>
            <w:sz w:val="20"/>
          </w:rPr>
          <w:t>albanmchopa@gmail.com</w:t>
        </w:r>
      </w:hyperlink>
    </w:p>
    <w:p w:rsidR="00487D64" w:rsidRDefault="00487D64">
      <w:pPr>
        <w:pStyle w:val="BodyText"/>
        <w:spacing w:before="50"/>
        <w:rPr>
          <w:sz w:val="20"/>
        </w:rPr>
      </w:pPr>
    </w:p>
    <w:p w:rsidR="00487D64" w:rsidRDefault="006F0D93">
      <w:pPr>
        <w:ind w:left="17" w:right="13"/>
        <w:jc w:val="center"/>
        <w:rPr>
          <w:sz w:val="20"/>
        </w:rPr>
      </w:pPr>
      <w:hyperlink r:id="rId57">
        <w:r>
          <w:rPr>
            <w:color w:val="0000FF"/>
            <w:spacing w:val="-2"/>
            <w:sz w:val="20"/>
            <w:u w:val="single" w:color="0000FF"/>
          </w:rPr>
          <w:t>http://doi.org/10.35409/IJBMER.2025.3707</w:t>
        </w:r>
      </w:hyperlink>
    </w:p>
    <w:p w:rsidR="00487D64" w:rsidRDefault="00487D64">
      <w:pPr>
        <w:pStyle w:val="BodyText"/>
        <w:spacing w:before="44"/>
        <w:rPr>
          <w:sz w:val="20"/>
        </w:rPr>
      </w:pPr>
    </w:p>
    <w:p w:rsidR="00487D64" w:rsidRDefault="006F0D93">
      <w:pPr>
        <w:ind w:left="22" w:right="13"/>
        <w:jc w:val="center"/>
        <w:rPr>
          <w:i/>
          <w:sz w:val="20"/>
        </w:rPr>
      </w:pPr>
      <w:r>
        <w:rPr>
          <w:i/>
          <w:sz w:val="20"/>
        </w:rPr>
        <w:t>Received:</w:t>
      </w:r>
      <w:r>
        <w:rPr>
          <w:i/>
          <w:spacing w:val="-8"/>
          <w:sz w:val="20"/>
        </w:rPr>
        <w:t xml:space="preserve"> </w:t>
      </w:r>
      <w:r>
        <w:rPr>
          <w:i/>
          <w:sz w:val="20"/>
        </w:rPr>
        <w:t>20</w:t>
      </w:r>
      <w:r>
        <w:rPr>
          <w:i/>
          <w:spacing w:val="-8"/>
          <w:sz w:val="20"/>
        </w:rPr>
        <w:t xml:space="preserve"> </w:t>
      </w:r>
      <w:r>
        <w:rPr>
          <w:i/>
          <w:sz w:val="20"/>
        </w:rPr>
        <w:t>July</w:t>
      </w:r>
      <w:r>
        <w:rPr>
          <w:i/>
          <w:spacing w:val="-7"/>
          <w:sz w:val="20"/>
        </w:rPr>
        <w:t xml:space="preserve"> </w:t>
      </w:r>
      <w:r>
        <w:rPr>
          <w:i/>
          <w:sz w:val="20"/>
        </w:rPr>
        <w:t>2025/</w:t>
      </w:r>
      <w:r>
        <w:rPr>
          <w:i/>
          <w:spacing w:val="-1"/>
          <w:sz w:val="20"/>
        </w:rPr>
        <w:t xml:space="preserve"> </w:t>
      </w:r>
      <w:r>
        <w:rPr>
          <w:i/>
          <w:sz w:val="20"/>
        </w:rPr>
        <w:t>Published: 3</w:t>
      </w:r>
      <w:r>
        <w:rPr>
          <w:i/>
          <w:spacing w:val="-7"/>
          <w:sz w:val="20"/>
        </w:rPr>
        <w:t xml:space="preserve"> </w:t>
      </w:r>
      <w:r>
        <w:rPr>
          <w:i/>
          <w:sz w:val="20"/>
        </w:rPr>
        <w:t>September</w:t>
      </w:r>
      <w:r>
        <w:rPr>
          <w:i/>
          <w:spacing w:val="-8"/>
          <w:sz w:val="20"/>
        </w:rPr>
        <w:t xml:space="preserve"> </w:t>
      </w:r>
      <w:r>
        <w:rPr>
          <w:i/>
          <w:spacing w:val="-4"/>
          <w:sz w:val="20"/>
        </w:rPr>
        <w:t>2025</w:t>
      </w:r>
    </w:p>
    <w:p w:rsidR="00487D64" w:rsidRDefault="006F0D93">
      <w:pPr>
        <w:spacing w:before="2"/>
        <w:ind w:left="165"/>
        <w:rPr>
          <w:b/>
          <w:sz w:val="24"/>
        </w:rPr>
      </w:pPr>
      <w:r>
        <w:rPr>
          <w:b/>
          <w:spacing w:val="-2"/>
          <w:sz w:val="24"/>
        </w:rPr>
        <w:t>ABSTRACT</w:t>
      </w:r>
    </w:p>
    <w:p w:rsidR="00487D64" w:rsidRDefault="006F0D93">
      <w:pPr>
        <w:ind w:left="165" w:right="155"/>
        <w:jc w:val="both"/>
        <w:rPr>
          <w:sz w:val="24"/>
        </w:rPr>
      </w:pPr>
      <w:r>
        <w:rPr>
          <w:sz w:val="24"/>
        </w:rPr>
        <w:t>This study</w:t>
      </w:r>
      <w:r>
        <w:rPr>
          <w:spacing w:val="-1"/>
          <w:sz w:val="24"/>
        </w:rPr>
        <w:t xml:space="preserve"> </w:t>
      </w:r>
      <w:r>
        <w:rPr>
          <w:sz w:val="24"/>
        </w:rPr>
        <w:t>investigates</w:t>
      </w:r>
      <w:r>
        <w:rPr>
          <w:spacing w:val="-3"/>
          <w:sz w:val="24"/>
        </w:rPr>
        <w:t xml:space="preserve"> </w:t>
      </w:r>
      <w:r>
        <w:rPr>
          <w:sz w:val="24"/>
        </w:rPr>
        <w:t>the effects of</w:t>
      </w:r>
      <w:r>
        <w:rPr>
          <w:spacing w:val="-4"/>
          <w:sz w:val="24"/>
        </w:rPr>
        <w:t xml:space="preserve"> </w:t>
      </w:r>
      <w:r>
        <w:rPr>
          <w:sz w:val="24"/>
        </w:rPr>
        <w:t>customer orientation, competitor</w:t>
      </w:r>
      <w:r>
        <w:rPr>
          <w:spacing w:val="-4"/>
          <w:sz w:val="24"/>
        </w:rPr>
        <w:t xml:space="preserve"> </w:t>
      </w:r>
      <w:r>
        <w:rPr>
          <w:sz w:val="24"/>
        </w:rPr>
        <w:t>orientation, and functional coordination on the sustainable competitiveness of Tanzanian special group Small and Medium Enterprises</w:t>
      </w:r>
      <w:r>
        <w:rPr>
          <w:spacing w:val="-2"/>
          <w:sz w:val="24"/>
        </w:rPr>
        <w:t xml:space="preserve"> </w:t>
      </w:r>
      <w:r>
        <w:rPr>
          <w:sz w:val="24"/>
        </w:rPr>
        <w:t>(SMEs),</w:t>
      </w:r>
      <w:r>
        <w:rPr>
          <w:spacing w:val="-2"/>
          <w:sz w:val="24"/>
        </w:rPr>
        <w:t xml:space="preserve"> </w:t>
      </w:r>
      <w:r>
        <w:rPr>
          <w:sz w:val="24"/>
        </w:rPr>
        <w:t>while</w:t>
      </w:r>
      <w:r>
        <w:rPr>
          <w:spacing w:val="-1"/>
          <w:sz w:val="24"/>
        </w:rPr>
        <w:t xml:space="preserve"> </w:t>
      </w:r>
      <w:r>
        <w:rPr>
          <w:sz w:val="24"/>
        </w:rPr>
        <w:t>assessing</w:t>
      </w:r>
      <w:r>
        <w:rPr>
          <w:spacing w:val="-1"/>
          <w:sz w:val="24"/>
        </w:rPr>
        <w:t xml:space="preserve"> </w:t>
      </w:r>
      <w:r>
        <w:rPr>
          <w:sz w:val="24"/>
        </w:rPr>
        <w:t>the</w:t>
      </w:r>
      <w:r>
        <w:rPr>
          <w:spacing w:val="-1"/>
          <w:sz w:val="24"/>
        </w:rPr>
        <w:t xml:space="preserve"> </w:t>
      </w:r>
      <w:r>
        <w:rPr>
          <w:sz w:val="24"/>
        </w:rPr>
        <w:t>moderating</w:t>
      </w:r>
      <w:r>
        <w:rPr>
          <w:spacing w:val="-1"/>
          <w:sz w:val="24"/>
        </w:rPr>
        <w:t xml:space="preserve"> </w:t>
      </w:r>
      <w:r>
        <w:rPr>
          <w:sz w:val="24"/>
        </w:rPr>
        <w:t>role</w:t>
      </w:r>
      <w:r>
        <w:rPr>
          <w:spacing w:val="-1"/>
          <w:sz w:val="24"/>
        </w:rPr>
        <w:t xml:space="preserve"> </w:t>
      </w:r>
      <w:r>
        <w:rPr>
          <w:sz w:val="24"/>
        </w:rPr>
        <w:t>of</w:t>
      </w:r>
      <w:r>
        <w:rPr>
          <w:spacing w:val="-7"/>
          <w:sz w:val="24"/>
        </w:rPr>
        <w:t xml:space="preserve"> </w:t>
      </w:r>
      <w:r>
        <w:rPr>
          <w:sz w:val="24"/>
        </w:rPr>
        <w:t>strategic flexibility. Although</w:t>
      </w:r>
      <w:r>
        <w:rPr>
          <w:spacing w:val="-1"/>
          <w:sz w:val="24"/>
        </w:rPr>
        <w:t xml:space="preserve"> </w:t>
      </w:r>
      <w:r>
        <w:rPr>
          <w:sz w:val="24"/>
        </w:rPr>
        <w:t>market orientation is often conceptualized as a unified construct, this paper adopts a component-level approach to evaluate the distinct contributions of each dimension within a highly regulated procurement environment. Data</w:t>
      </w:r>
      <w:r>
        <w:rPr>
          <w:sz w:val="24"/>
        </w:rPr>
        <w:t xml:space="preserve"> from 393 SMEs owned by youth, women, and persons with disabilities were analyzed using PLS-SEM. Findings reveal that customer orientation and competitor orientation significantly enhance sustainable competitiveness, whereas functional coordination shows n</w:t>
      </w:r>
      <w:r>
        <w:rPr>
          <w:sz w:val="24"/>
        </w:rPr>
        <w:t>o significant effect. Moreover, strategic flexibility demonstrates a negative moderation on the competitor orientation competitiveness link and an insignificant effect on the customer orientation path, underscoring its complex role in regulated markets. Th</w:t>
      </w:r>
      <w:r>
        <w:rPr>
          <w:sz w:val="24"/>
        </w:rPr>
        <w:t>ese insights highlight the need for strategic interventions that strengthen adaptive capabilities alongside market-driven strategies. The study offers practical implications for SME policy, capacity building, and procurement reform in developing economies.</w:t>
      </w:r>
    </w:p>
    <w:p w:rsidR="00487D64" w:rsidRDefault="006F0D93">
      <w:pPr>
        <w:spacing w:before="272" w:line="242" w:lineRule="auto"/>
        <w:ind w:left="165"/>
        <w:rPr>
          <w:sz w:val="24"/>
        </w:rPr>
      </w:pPr>
      <w:r>
        <w:rPr>
          <w:b/>
          <w:sz w:val="24"/>
        </w:rPr>
        <w:t>Keywords:</w:t>
      </w:r>
      <w:r>
        <w:rPr>
          <w:b/>
          <w:spacing w:val="-5"/>
          <w:sz w:val="24"/>
        </w:rPr>
        <w:t xml:space="preserve"> </w:t>
      </w:r>
      <w:r>
        <w:rPr>
          <w:sz w:val="24"/>
        </w:rPr>
        <w:t>Customer</w:t>
      </w:r>
      <w:r>
        <w:rPr>
          <w:spacing w:val="-6"/>
          <w:sz w:val="24"/>
        </w:rPr>
        <w:t xml:space="preserve"> </w:t>
      </w:r>
      <w:r>
        <w:rPr>
          <w:sz w:val="24"/>
        </w:rPr>
        <w:t>orientation,</w:t>
      </w:r>
      <w:r>
        <w:rPr>
          <w:spacing w:val="-5"/>
          <w:sz w:val="24"/>
        </w:rPr>
        <w:t xml:space="preserve"> </w:t>
      </w:r>
      <w:r>
        <w:rPr>
          <w:sz w:val="24"/>
        </w:rPr>
        <w:t>Competitor</w:t>
      </w:r>
      <w:r>
        <w:rPr>
          <w:spacing w:val="-14"/>
          <w:sz w:val="24"/>
        </w:rPr>
        <w:t xml:space="preserve"> </w:t>
      </w:r>
      <w:r>
        <w:rPr>
          <w:sz w:val="24"/>
        </w:rPr>
        <w:t>orientation,</w:t>
      </w:r>
      <w:r>
        <w:rPr>
          <w:spacing w:val="-5"/>
          <w:sz w:val="24"/>
        </w:rPr>
        <w:t xml:space="preserve"> </w:t>
      </w:r>
      <w:r>
        <w:rPr>
          <w:sz w:val="24"/>
        </w:rPr>
        <w:t>Functional</w:t>
      </w:r>
      <w:r>
        <w:rPr>
          <w:spacing w:val="-15"/>
          <w:sz w:val="24"/>
        </w:rPr>
        <w:t xml:space="preserve"> </w:t>
      </w:r>
      <w:r>
        <w:rPr>
          <w:sz w:val="24"/>
        </w:rPr>
        <w:t>coordination,</w:t>
      </w:r>
      <w:r>
        <w:rPr>
          <w:spacing w:val="-5"/>
          <w:sz w:val="24"/>
        </w:rPr>
        <w:t xml:space="preserve"> </w:t>
      </w:r>
      <w:r>
        <w:rPr>
          <w:sz w:val="24"/>
        </w:rPr>
        <w:t>Strategic flexibility, Sustainable competitiveness, public procurement, Special group SMEs.</w:t>
      </w:r>
    </w:p>
    <w:p w:rsidR="00487D64" w:rsidRDefault="00487D64">
      <w:pPr>
        <w:pStyle w:val="BodyText"/>
        <w:spacing w:before="2"/>
        <w:rPr>
          <w:sz w:val="24"/>
        </w:rPr>
      </w:pPr>
    </w:p>
    <w:p w:rsidR="00487D64" w:rsidRDefault="006F0D93">
      <w:pPr>
        <w:pStyle w:val="ListParagraph"/>
        <w:numPr>
          <w:ilvl w:val="0"/>
          <w:numId w:val="3"/>
        </w:numPr>
        <w:tabs>
          <w:tab w:val="left" w:pos="409"/>
        </w:tabs>
        <w:spacing w:before="1" w:line="272" w:lineRule="exact"/>
        <w:ind w:left="409" w:hanging="244"/>
        <w:rPr>
          <w:b/>
          <w:sz w:val="24"/>
        </w:rPr>
      </w:pPr>
      <w:r>
        <w:rPr>
          <w:b/>
          <w:spacing w:val="-2"/>
          <w:sz w:val="24"/>
        </w:rPr>
        <w:t>INTRODUCTION</w:t>
      </w:r>
    </w:p>
    <w:p w:rsidR="00487D64" w:rsidRDefault="006F0D93">
      <w:pPr>
        <w:ind w:left="165" w:right="161"/>
        <w:jc w:val="both"/>
        <w:rPr>
          <w:sz w:val="24"/>
        </w:rPr>
      </w:pPr>
      <w:r>
        <w:rPr>
          <w:sz w:val="24"/>
        </w:rPr>
        <w:t xml:space="preserve">Small and medium-sized enterprises (SMEs) have long been recognized </w:t>
      </w:r>
      <w:r>
        <w:rPr>
          <w:sz w:val="24"/>
        </w:rPr>
        <w:t>as pivotal actors in fostering inclusive economic development, particularly in developing economies where they contribute significantly to employment, innovation, and local value creation (Muriente, 2025; OECD, 2018). Tanzania has implemented targeted poli</w:t>
      </w:r>
      <w:r>
        <w:rPr>
          <w:sz w:val="24"/>
        </w:rPr>
        <w:t>cy interventions to ensure that women, youth, and persons</w:t>
      </w:r>
      <w:r>
        <w:rPr>
          <w:spacing w:val="-1"/>
          <w:sz w:val="24"/>
        </w:rPr>
        <w:t xml:space="preserve"> </w:t>
      </w:r>
      <w:r>
        <w:rPr>
          <w:sz w:val="24"/>
        </w:rPr>
        <w:t>with</w:t>
      </w:r>
      <w:r>
        <w:rPr>
          <w:spacing w:val="-3"/>
          <w:sz w:val="24"/>
        </w:rPr>
        <w:t xml:space="preserve"> </w:t>
      </w:r>
      <w:r>
        <w:rPr>
          <w:sz w:val="24"/>
        </w:rPr>
        <w:t>disabilities</w:t>
      </w:r>
      <w:r>
        <w:rPr>
          <w:spacing w:val="-1"/>
          <w:sz w:val="24"/>
        </w:rPr>
        <w:t xml:space="preserve"> </w:t>
      </w:r>
      <w:r>
        <w:rPr>
          <w:sz w:val="24"/>
        </w:rPr>
        <w:t>are included in public procurement. Legal</w:t>
      </w:r>
      <w:r>
        <w:rPr>
          <w:spacing w:val="-8"/>
          <w:sz w:val="24"/>
        </w:rPr>
        <w:t xml:space="preserve"> </w:t>
      </w:r>
      <w:r>
        <w:rPr>
          <w:sz w:val="24"/>
        </w:rPr>
        <w:t>reforms, including the amendment of the Public Procurement Act (PPA) in 2016, institutionalized preferential treatment mechanisms to enhan</w:t>
      </w:r>
      <w:r>
        <w:rPr>
          <w:sz w:val="24"/>
        </w:rPr>
        <w:t>ce access to procurement opportunities for these marginalized groups</w:t>
      </w:r>
      <w:r>
        <w:rPr>
          <w:spacing w:val="-9"/>
          <w:sz w:val="24"/>
        </w:rPr>
        <w:t xml:space="preserve"> </w:t>
      </w:r>
      <w:r>
        <w:rPr>
          <w:sz w:val="24"/>
        </w:rPr>
        <w:t>(PPA</w:t>
      </w:r>
      <w:r>
        <w:rPr>
          <w:spacing w:val="-8"/>
          <w:sz w:val="24"/>
        </w:rPr>
        <w:t xml:space="preserve"> </w:t>
      </w:r>
      <w:r>
        <w:rPr>
          <w:sz w:val="24"/>
        </w:rPr>
        <w:t>Act,</w:t>
      </w:r>
      <w:r>
        <w:rPr>
          <w:spacing w:val="-1"/>
          <w:sz w:val="24"/>
        </w:rPr>
        <w:t xml:space="preserve"> </w:t>
      </w:r>
      <w:r>
        <w:rPr>
          <w:sz w:val="24"/>
        </w:rPr>
        <w:t>2016).</w:t>
      </w:r>
      <w:r>
        <w:rPr>
          <w:spacing w:val="-5"/>
          <w:sz w:val="24"/>
        </w:rPr>
        <w:t xml:space="preserve"> </w:t>
      </w:r>
      <w:r>
        <w:rPr>
          <w:sz w:val="24"/>
        </w:rPr>
        <w:t>However,</w:t>
      </w:r>
      <w:r>
        <w:rPr>
          <w:spacing w:val="-1"/>
          <w:sz w:val="24"/>
        </w:rPr>
        <w:t xml:space="preserve"> </w:t>
      </w:r>
      <w:r>
        <w:rPr>
          <w:sz w:val="24"/>
        </w:rPr>
        <w:t>despite</w:t>
      </w:r>
      <w:r>
        <w:rPr>
          <w:spacing w:val="-8"/>
          <w:sz w:val="24"/>
        </w:rPr>
        <w:t xml:space="preserve"> </w:t>
      </w:r>
      <w:r>
        <w:rPr>
          <w:sz w:val="24"/>
        </w:rPr>
        <w:t>these</w:t>
      </w:r>
      <w:r>
        <w:rPr>
          <w:spacing w:val="-4"/>
          <w:sz w:val="24"/>
        </w:rPr>
        <w:t xml:space="preserve"> </w:t>
      </w:r>
      <w:r>
        <w:rPr>
          <w:sz w:val="24"/>
        </w:rPr>
        <w:t>supportive</w:t>
      </w:r>
      <w:r>
        <w:rPr>
          <w:spacing w:val="-4"/>
          <w:sz w:val="24"/>
        </w:rPr>
        <w:t xml:space="preserve"> </w:t>
      </w:r>
      <w:r>
        <w:rPr>
          <w:sz w:val="24"/>
        </w:rPr>
        <w:t>regulatory</w:t>
      </w:r>
      <w:r>
        <w:rPr>
          <w:spacing w:val="-7"/>
          <w:sz w:val="24"/>
        </w:rPr>
        <w:t xml:space="preserve"> </w:t>
      </w:r>
      <w:r>
        <w:rPr>
          <w:sz w:val="24"/>
        </w:rPr>
        <w:t>frameworks,</w:t>
      </w:r>
      <w:r>
        <w:rPr>
          <w:spacing w:val="-1"/>
          <w:sz w:val="24"/>
        </w:rPr>
        <w:t xml:space="preserve"> </w:t>
      </w:r>
      <w:r>
        <w:rPr>
          <w:sz w:val="24"/>
        </w:rPr>
        <w:t>many</w:t>
      </w:r>
      <w:r>
        <w:rPr>
          <w:spacing w:val="-12"/>
          <w:sz w:val="24"/>
        </w:rPr>
        <w:t xml:space="preserve"> </w:t>
      </w:r>
      <w:r>
        <w:rPr>
          <w:sz w:val="24"/>
        </w:rPr>
        <w:t>special group</w:t>
      </w:r>
      <w:r>
        <w:rPr>
          <w:spacing w:val="-7"/>
          <w:sz w:val="24"/>
        </w:rPr>
        <w:t xml:space="preserve"> </w:t>
      </w:r>
      <w:r>
        <w:rPr>
          <w:sz w:val="24"/>
        </w:rPr>
        <w:t>SMEs</w:t>
      </w:r>
      <w:r>
        <w:rPr>
          <w:spacing w:val="-4"/>
          <w:sz w:val="24"/>
        </w:rPr>
        <w:t xml:space="preserve"> </w:t>
      </w:r>
      <w:r>
        <w:rPr>
          <w:sz w:val="24"/>
        </w:rPr>
        <w:t>struggle</w:t>
      </w:r>
      <w:r>
        <w:rPr>
          <w:spacing w:val="-3"/>
          <w:sz w:val="24"/>
        </w:rPr>
        <w:t xml:space="preserve"> </w:t>
      </w:r>
      <w:r>
        <w:rPr>
          <w:sz w:val="24"/>
        </w:rPr>
        <w:t>to</w:t>
      </w:r>
      <w:r>
        <w:rPr>
          <w:spacing w:val="-3"/>
          <w:sz w:val="24"/>
        </w:rPr>
        <w:t xml:space="preserve"> </w:t>
      </w:r>
      <w:r>
        <w:rPr>
          <w:sz w:val="24"/>
        </w:rPr>
        <w:t>achieve long-term</w:t>
      </w:r>
      <w:r>
        <w:rPr>
          <w:spacing w:val="-11"/>
          <w:sz w:val="24"/>
        </w:rPr>
        <w:t xml:space="preserve"> </w:t>
      </w:r>
      <w:r>
        <w:rPr>
          <w:sz w:val="24"/>
        </w:rPr>
        <w:t>growth,</w:t>
      </w:r>
      <w:r>
        <w:rPr>
          <w:spacing w:val="-5"/>
          <w:sz w:val="24"/>
        </w:rPr>
        <w:t xml:space="preserve"> </w:t>
      </w:r>
      <w:r>
        <w:rPr>
          <w:sz w:val="24"/>
        </w:rPr>
        <w:t>competitiveness,</w:t>
      </w:r>
      <w:r>
        <w:rPr>
          <w:spacing w:val="-1"/>
          <w:sz w:val="24"/>
        </w:rPr>
        <w:t xml:space="preserve"> </w:t>
      </w:r>
      <w:r>
        <w:rPr>
          <w:sz w:val="24"/>
        </w:rPr>
        <w:t>and</w:t>
      </w:r>
      <w:r>
        <w:rPr>
          <w:spacing w:val="-3"/>
          <w:sz w:val="24"/>
        </w:rPr>
        <w:t xml:space="preserve"> </w:t>
      </w:r>
      <w:r>
        <w:rPr>
          <w:sz w:val="24"/>
        </w:rPr>
        <w:t>sustainability</w:t>
      </w:r>
      <w:r>
        <w:rPr>
          <w:spacing w:val="-12"/>
          <w:sz w:val="24"/>
        </w:rPr>
        <w:t xml:space="preserve"> </w:t>
      </w:r>
      <w:r>
        <w:rPr>
          <w:sz w:val="24"/>
        </w:rPr>
        <w:t>(Kweka &amp; Sooi, 2020).</w:t>
      </w:r>
    </w:p>
    <w:p w:rsidR="00487D64" w:rsidRDefault="006F0D93">
      <w:pPr>
        <w:pStyle w:val="BodyText"/>
        <w:spacing w:before="2"/>
        <w:rPr>
          <w:sz w:val="9"/>
        </w:rPr>
      </w:pPr>
      <w:r>
        <w:rPr>
          <w:noProof/>
          <w:sz w:val="9"/>
        </w:rPr>
        <mc:AlternateContent>
          <mc:Choice Requires="wps">
            <w:drawing>
              <wp:anchor distT="0" distB="0" distL="0" distR="0" simplePos="0" relativeHeight="487597568" behindDoc="1" locked="0" layoutInCell="1" allowOverlap="1">
                <wp:simplePos x="0" y="0"/>
                <wp:positionH relativeFrom="page">
                  <wp:posOffset>896416</wp:posOffset>
                </wp:positionH>
                <wp:positionV relativeFrom="paragraph">
                  <wp:posOffset>82226</wp:posOffset>
                </wp:positionV>
                <wp:extent cx="5982335" cy="55244"/>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E975DAF" id="Graphic 75" o:spid="_x0000_s1026" style="position:absolute;margin-left:70.6pt;margin-top:6.45pt;width:471.05pt;height:4.35pt;z-index:-15718912;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9"/>
        </w:rPr>
        <w:sectPr w:rsidR="00487D64">
          <w:headerReference w:type="default" r:id="rId58"/>
          <w:footerReference w:type="default" r:id="rId59"/>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77" name="Graphic 77"/>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53A9A1A0" id="Group 76"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">
                <v:shape id="Graphic 77"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" path="m5982335,18288l,18288,,54864r5982335,l5982335,18288xem5982335,l,,,9144r5982335,l5982335,xe" fillcolor="#612322" stroked="f">
                  <v:path arrowok="t"/>
                </v:shape>
                <w10:anchorlock/>
              </v:group>
            </w:pict>
          </mc:Fallback>
        </mc:AlternateContent>
      </w:r>
    </w:p>
    <w:p w:rsidR="00487D64" w:rsidRDefault="006F0D93">
      <w:pPr>
        <w:ind w:left="165" w:right="163"/>
        <w:jc w:val="both"/>
        <w:rPr>
          <w:sz w:val="24"/>
        </w:rPr>
      </w:pPr>
      <w:r>
        <w:rPr>
          <w:sz w:val="24"/>
        </w:rPr>
        <w:t>Strategic orientations, particularly market orientation, are widely</w:t>
      </w:r>
      <w:r>
        <w:rPr>
          <w:spacing w:val="-3"/>
          <w:sz w:val="24"/>
        </w:rPr>
        <w:t xml:space="preserve"> </w:t>
      </w:r>
      <w:r>
        <w:rPr>
          <w:sz w:val="24"/>
        </w:rPr>
        <w:t>cited as</w:t>
      </w:r>
      <w:r>
        <w:rPr>
          <w:spacing w:val="-1"/>
          <w:sz w:val="24"/>
        </w:rPr>
        <w:t xml:space="preserve"> </w:t>
      </w:r>
      <w:r>
        <w:rPr>
          <w:sz w:val="24"/>
        </w:rPr>
        <w:t>essential for improving SME</w:t>
      </w:r>
      <w:r>
        <w:rPr>
          <w:spacing w:val="-9"/>
          <w:sz w:val="24"/>
        </w:rPr>
        <w:t xml:space="preserve"> </w:t>
      </w:r>
      <w:r>
        <w:rPr>
          <w:sz w:val="24"/>
        </w:rPr>
        <w:t>competitiveness.</w:t>
      </w:r>
      <w:r>
        <w:rPr>
          <w:spacing w:val="-7"/>
          <w:sz w:val="24"/>
        </w:rPr>
        <w:t xml:space="preserve"> </w:t>
      </w:r>
      <w:r>
        <w:rPr>
          <w:sz w:val="24"/>
        </w:rPr>
        <w:t>Market</w:t>
      </w:r>
      <w:r>
        <w:rPr>
          <w:spacing w:val="-13"/>
          <w:sz w:val="24"/>
        </w:rPr>
        <w:t xml:space="preserve"> </w:t>
      </w:r>
      <w:r>
        <w:rPr>
          <w:sz w:val="24"/>
        </w:rPr>
        <w:t>orientation</w:t>
      </w:r>
      <w:r>
        <w:rPr>
          <w:spacing w:val="-13"/>
          <w:sz w:val="24"/>
        </w:rPr>
        <w:t xml:space="preserve"> </w:t>
      </w:r>
      <w:r>
        <w:rPr>
          <w:sz w:val="24"/>
        </w:rPr>
        <w:t>(MO)</w:t>
      </w:r>
      <w:r>
        <w:rPr>
          <w:spacing w:val="-12"/>
          <w:sz w:val="24"/>
        </w:rPr>
        <w:t xml:space="preserve"> </w:t>
      </w:r>
      <w:r>
        <w:rPr>
          <w:sz w:val="24"/>
        </w:rPr>
        <w:t>is</w:t>
      </w:r>
      <w:r>
        <w:rPr>
          <w:spacing w:val="-11"/>
          <w:sz w:val="24"/>
        </w:rPr>
        <w:t xml:space="preserve"> </w:t>
      </w:r>
      <w:r>
        <w:rPr>
          <w:sz w:val="24"/>
        </w:rPr>
        <w:t>conceptualized</w:t>
      </w:r>
      <w:r>
        <w:rPr>
          <w:spacing w:val="-9"/>
          <w:sz w:val="24"/>
        </w:rPr>
        <w:t xml:space="preserve"> </w:t>
      </w:r>
      <w:r>
        <w:rPr>
          <w:sz w:val="24"/>
        </w:rPr>
        <w:t>as</w:t>
      </w:r>
      <w:r>
        <w:rPr>
          <w:spacing w:val="-11"/>
          <w:sz w:val="24"/>
        </w:rPr>
        <w:t xml:space="preserve"> </w:t>
      </w:r>
      <w:r>
        <w:rPr>
          <w:sz w:val="24"/>
        </w:rPr>
        <w:t>a</w:t>
      </w:r>
      <w:r>
        <w:rPr>
          <w:spacing w:val="-10"/>
          <w:sz w:val="24"/>
        </w:rPr>
        <w:t xml:space="preserve"> </w:t>
      </w:r>
      <w:r>
        <w:rPr>
          <w:sz w:val="24"/>
        </w:rPr>
        <w:t>firm’s</w:t>
      </w:r>
      <w:r>
        <w:rPr>
          <w:spacing w:val="-11"/>
          <w:sz w:val="24"/>
        </w:rPr>
        <w:t xml:space="preserve"> </w:t>
      </w:r>
      <w:r>
        <w:rPr>
          <w:sz w:val="24"/>
        </w:rPr>
        <w:t>ability</w:t>
      </w:r>
      <w:r>
        <w:rPr>
          <w:spacing w:val="-15"/>
          <w:sz w:val="24"/>
        </w:rPr>
        <w:t xml:space="preserve"> </w:t>
      </w:r>
      <w:r>
        <w:rPr>
          <w:sz w:val="24"/>
        </w:rPr>
        <w:t>to</w:t>
      </w:r>
      <w:r>
        <w:rPr>
          <w:spacing w:val="-9"/>
          <w:sz w:val="24"/>
        </w:rPr>
        <w:t xml:space="preserve"> </w:t>
      </w:r>
      <w:r>
        <w:rPr>
          <w:sz w:val="24"/>
        </w:rPr>
        <w:t>understand and respond to market conditions through customer orientation, competitor orientation, and functional coordination (Narver &amp; Slater, 1990; Kohli &amp; Jaworski, 1990). These dimensions enable firms to align strategies and resource configurations wit</w:t>
      </w:r>
      <w:r>
        <w:rPr>
          <w:sz w:val="24"/>
        </w:rPr>
        <w:t>h changing external demands. Nonetheless,</w:t>
      </w:r>
      <w:r>
        <w:rPr>
          <w:spacing w:val="-1"/>
          <w:sz w:val="24"/>
        </w:rPr>
        <w:t xml:space="preserve"> </w:t>
      </w:r>
      <w:r>
        <w:rPr>
          <w:sz w:val="24"/>
        </w:rPr>
        <w:t>most</w:t>
      </w:r>
      <w:r>
        <w:rPr>
          <w:spacing w:val="-3"/>
          <w:sz w:val="24"/>
        </w:rPr>
        <w:t xml:space="preserve"> </w:t>
      </w:r>
      <w:r>
        <w:rPr>
          <w:sz w:val="24"/>
        </w:rPr>
        <w:t>research</w:t>
      </w:r>
      <w:r>
        <w:rPr>
          <w:spacing w:val="-12"/>
          <w:sz w:val="24"/>
        </w:rPr>
        <w:t xml:space="preserve"> </w:t>
      </w:r>
      <w:r>
        <w:rPr>
          <w:sz w:val="24"/>
        </w:rPr>
        <w:t>treats</w:t>
      </w:r>
      <w:r>
        <w:rPr>
          <w:spacing w:val="-9"/>
          <w:sz w:val="24"/>
        </w:rPr>
        <w:t xml:space="preserve"> </w:t>
      </w:r>
      <w:r>
        <w:rPr>
          <w:sz w:val="24"/>
        </w:rPr>
        <w:t>MO</w:t>
      </w:r>
      <w:r>
        <w:rPr>
          <w:spacing w:val="-3"/>
          <w:sz w:val="24"/>
        </w:rPr>
        <w:t xml:space="preserve"> </w:t>
      </w:r>
      <w:r>
        <w:rPr>
          <w:sz w:val="24"/>
        </w:rPr>
        <w:t>as</w:t>
      </w:r>
      <w:r>
        <w:rPr>
          <w:spacing w:val="-9"/>
          <w:sz w:val="24"/>
        </w:rPr>
        <w:t xml:space="preserve"> </w:t>
      </w:r>
      <w:r>
        <w:rPr>
          <w:sz w:val="24"/>
        </w:rPr>
        <w:t>a</w:t>
      </w:r>
      <w:r>
        <w:rPr>
          <w:spacing w:val="-8"/>
          <w:sz w:val="24"/>
        </w:rPr>
        <w:t xml:space="preserve"> </w:t>
      </w:r>
      <w:r>
        <w:rPr>
          <w:sz w:val="24"/>
        </w:rPr>
        <w:t>unified</w:t>
      </w:r>
      <w:r>
        <w:rPr>
          <w:spacing w:val="-8"/>
          <w:sz w:val="24"/>
        </w:rPr>
        <w:t xml:space="preserve"> </w:t>
      </w:r>
      <w:r>
        <w:rPr>
          <w:sz w:val="24"/>
        </w:rPr>
        <w:t>construct,</w:t>
      </w:r>
      <w:r>
        <w:rPr>
          <w:spacing w:val="-9"/>
          <w:sz w:val="24"/>
        </w:rPr>
        <w:t xml:space="preserve"> </w:t>
      </w:r>
      <w:r>
        <w:rPr>
          <w:sz w:val="24"/>
        </w:rPr>
        <w:t>with</w:t>
      </w:r>
      <w:r>
        <w:rPr>
          <w:spacing w:val="-8"/>
          <w:sz w:val="24"/>
        </w:rPr>
        <w:t xml:space="preserve"> </w:t>
      </w:r>
      <w:r>
        <w:rPr>
          <w:sz w:val="24"/>
        </w:rPr>
        <w:t>limited</w:t>
      </w:r>
      <w:r>
        <w:rPr>
          <w:spacing w:val="-8"/>
          <w:sz w:val="24"/>
        </w:rPr>
        <w:t xml:space="preserve"> </w:t>
      </w:r>
      <w:r>
        <w:rPr>
          <w:sz w:val="24"/>
        </w:rPr>
        <w:t>empirical</w:t>
      </w:r>
      <w:r>
        <w:rPr>
          <w:spacing w:val="-11"/>
          <w:sz w:val="24"/>
        </w:rPr>
        <w:t xml:space="preserve"> </w:t>
      </w:r>
      <w:r>
        <w:rPr>
          <w:sz w:val="24"/>
        </w:rPr>
        <w:t>exploration</w:t>
      </w:r>
      <w:r>
        <w:rPr>
          <w:spacing w:val="-12"/>
          <w:sz w:val="24"/>
        </w:rPr>
        <w:t xml:space="preserve"> </w:t>
      </w:r>
      <w:r>
        <w:rPr>
          <w:sz w:val="24"/>
        </w:rPr>
        <w:t>of its</w:t>
      </w:r>
      <w:r>
        <w:rPr>
          <w:spacing w:val="-6"/>
          <w:sz w:val="24"/>
        </w:rPr>
        <w:t xml:space="preserve"> </w:t>
      </w:r>
      <w:r>
        <w:rPr>
          <w:sz w:val="24"/>
        </w:rPr>
        <w:t>individual</w:t>
      </w:r>
      <w:r>
        <w:rPr>
          <w:spacing w:val="-15"/>
          <w:sz w:val="24"/>
        </w:rPr>
        <w:t xml:space="preserve"> </w:t>
      </w:r>
      <w:r>
        <w:rPr>
          <w:sz w:val="24"/>
        </w:rPr>
        <w:t>components</w:t>
      </w:r>
      <w:r>
        <w:rPr>
          <w:spacing w:val="-10"/>
          <w:sz w:val="24"/>
        </w:rPr>
        <w:t xml:space="preserve"> </w:t>
      </w:r>
      <w:r>
        <w:rPr>
          <w:sz w:val="24"/>
        </w:rPr>
        <w:t>especially</w:t>
      </w:r>
      <w:r>
        <w:rPr>
          <w:spacing w:val="-12"/>
          <w:sz w:val="24"/>
        </w:rPr>
        <w:t xml:space="preserve"> </w:t>
      </w:r>
      <w:r>
        <w:rPr>
          <w:sz w:val="24"/>
        </w:rPr>
        <w:t>in</w:t>
      </w:r>
      <w:r>
        <w:rPr>
          <w:spacing w:val="-8"/>
          <w:sz w:val="24"/>
        </w:rPr>
        <w:t xml:space="preserve"> </w:t>
      </w:r>
      <w:r>
        <w:rPr>
          <w:sz w:val="24"/>
        </w:rPr>
        <w:t>highly</w:t>
      </w:r>
      <w:r>
        <w:rPr>
          <w:spacing w:val="-15"/>
          <w:sz w:val="24"/>
        </w:rPr>
        <w:t xml:space="preserve"> </w:t>
      </w:r>
      <w:r>
        <w:rPr>
          <w:sz w:val="24"/>
        </w:rPr>
        <w:t>regulated</w:t>
      </w:r>
      <w:r>
        <w:rPr>
          <w:spacing w:val="-8"/>
          <w:sz w:val="24"/>
        </w:rPr>
        <w:t xml:space="preserve"> </w:t>
      </w:r>
      <w:r>
        <w:rPr>
          <w:sz w:val="24"/>
        </w:rPr>
        <w:t>environments</w:t>
      </w:r>
      <w:r>
        <w:rPr>
          <w:spacing w:val="-10"/>
          <w:sz w:val="24"/>
        </w:rPr>
        <w:t xml:space="preserve"> </w:t>
      </w:r>
      <w:r>
        <w:rPr>
          <w:sz w:val="24"/>
        </w:rPr>
        <w:t>such</w:t>
      </w:r>
      <w:r>
        <w:rPr>
          <w:spacing w:val="-12"/>
          <w:sz w:val="24"/>
        </w:rPr>
        <w:t xml:space="preserve"> </w:t>
      </w:r>
      <w:r>
        <w:rPr>
          <w:sz w:val="24"/>
        </w:rPr>
        <w:t>as</w:t>
      </w:r>
      <w:r>
        <w:rPr>
          <w:spacing w:val="-10"/>
          <w:sz w:val="24"/>
        </w:rPr>
        <w:t xml:space="preserve"> </w:t>
      </w:r>
      <w:r>
        <w:rPr>
          <w:sz w:val="24"/>
        </w:rPr>
        <w:t>public</w:t>
      </w:r>
      <w:r>
        <w:rPr>
          <w:spacing w:val="-9"/>
          <w:sz w:val="24"/>
        </w:rPr>
        <w:t xml:space="preserve"> </w:t>
      </w:r>
      <w:r>
        <w:rPr>
          <w:sz w:val="24"/>
        </w:rPr>
        <w:t xml:space="preserve">procurement (Grandia &amp; Volker, 2023). This </w:t>
      </w:r>
      <w:r>
        <w:rPr>
          <w:sz w:val="24"/>
        </w:rPr>
        <w:t>simplification overlooks nuanced interactions between strategic behaviors and institutional constraints.</w:t>
      </w:r>
    </w:p>
    <w:p w:rsidR="00487D64" w:rsidRDefault="006F0D93">
      <w:pPr>
        <w:spacing w:before="269"/>
        <w:ind w:left="165" w:right="166"/>
        <w:jc w:val="both"/>
        <w:rPr>
          <w:sz w:val="24"/>
        </w:rPr>
      </w:pPr>
      <w:r>
        <w:rPr>
          <w:sz w:val="24"/>
        </w:rPr>
        <w:t>Public procurement in</w:t>
      </w:r>
      <w:r>
        <w:rPr>
          <w:spacing w:val="-3"/>
          <w:sz w:val="24"/>
        </w:rPr>
        <w:t xml:space="preserve"> </w:t>
      </w:r>
      <w:r>
        <w:rPr>
          <w:sz w:val="24"/>
        </w:rPr>
        <w:t>Tanzania creates</w:t>
      </w:r>
      <w:r>
        <w:rPr>
          <w:spacing w:val="-1"/>
          <w:sz w:val="24"/>
        </w:rPr>
        <w:t xml:space="preserve"> </w:t>
      </w:r>
      <w:r>
        <w:rPr>
          <w:sz w:val="24"/>
        </w:rPr>
        <w:t>a unique context marked by bureaucratic processes, high compliance</w:t>
      </w:r>
      <w:r>
        <w:rPr>
          <w:spacing w:val="-15"/>
          <w:sz w:val="24"/>
        </w:rPr>
        <w:t xml:space="preserve"> </w:t>
      </w:r>
      <w:r>
        <w:rPr>
          <w:sz w:val="24"/>
        </w:rPr>
        <w:t>requirements,</w:t>
      </w:r>
      <w:r>
        <w:rPr>
          <w:spacing w:val="-15"/>
          <w:sz w:val="24"/>
        </w:rPr>
        <w:t xml:space="preserve"> </w:t>
      </w:r>
      <w:r>
        <w:rPr>
          <w:sz w:val="24"/>
        </w:rPr>
        <w:t>and</w:t>
      </w:r>
      <w:r>
        <w:rPr>
          <w:spacing w:val="-15"/>
          <w:sz w:val="24"/>
        </w:rPr>
        <w:t xml:space="preserve"> </w:t>
      </w:r>
      <w:r>
        <w:rPr>
          <w:sz w:val="24"/>
        </w:rPr>
        <w:t>limited</w:t>
      </w:r>
      <w:r>
        <w:rPr>
          <w:spacing w:val="-15"/>
          <w:sz w:val="24"/>
        </w:rPr>
        <w:t xml:space="preserve"> </w:t>
      </w:r>
      <w:r>
        <w:rPr>
          <w:sz w:val="24"/>
        </w:rPr>
        <w:t>strategic</w:t>
      </w:r>
      <w:r>
        <w:rPr>
          <w:spacing w:val="-15"/>
          <w:sz w:val="24"/>
        </w:rPr>
        <w:t xml:space="preserve"> </w:t>
      </w:r>
      <w:r>
        <w:rPr>
          <w:sz w:val="24"/>
        </w:rPr>
        <w:t>discretion</w:t>
      </w:r>
      <w:r>
        <w:rPr>
          <w:spacing w:val="-15"/>
          <w:sz w:val="24"/>
        </w:rPr>
        <w:t xml:space="preserve"> </w:t>
      </w:r>
      <w:r>
        <w:rPr>
          <w:sz w:val="24"/>
        </w:rPr>
        <w:t>for</w:t>
      </w:r>
      <w:r>
        <w:rPr>
          <w:spacing w:val="-15"/>
          <w:sz w:val="24"/>
        </w:rPr>
        <w:t xml:space="preserve"> </w:t>
      </w:r>
      <w:r>
        <w:rPr>
          <w:sz w:val="24"/>
        </w:rPr>
        <w:t>SMEs.</w:t>
      </w:r>
      <w:r>
        <w:rPr>
          <w:spacing w:val="-15"/>
          <w:sz w:val="24"/>
        </w:rPr>
        <w:t xml:space="preserve"> </w:t>
      </w:r>
      <w:r>
        <w:rPr>
          <w:sz w:val="24"/>
        </w:rPr>
        <w:t>In</w:t>
      </w:r>
      <w:r>
        <w:rPr>
          <w:spacing w:val="-15"/>
          <w:sz w:val="24"/>
        </w:rPr>
        <w:t xml:space="preserve"> </w:t>
      </w:r>
      <w:r>
        <w:rPr>
          <w:sz w:val="24"/>
        </w:rPr>
        <w:t>such</w:t>
      </w:r>
      <w:r>
        <w:rPr>
          <w:spacing w:val="-15"/>
          <w:sz w:val="24"/>
        </w:rPr>
        <w:t xml:space="preserve"> </w:t>
      </w:r>
      <w:r>
        <w:rPr>
          <w:sz w:val="24"/>
        </w:rPr>
        <w:t>conditions,</w:t>
      </w:r>
      <w:r>
        <w:rPr>
          <w:spacing w:val="-15"/>
          <w:sz w:val="24"/>
        </w:rPr>
        <w:t xml:space="preserve"> </w:t>
      </w:r>
      <w:r>
        <w:rPr>
          <w:sz w:val="24"/>
        </w:rPr>
        <w:t>the</w:t>
      </w:r>
      <w:r>
        <w:rPr>
          <w:spacing w:val="-14"/>
          <w:sz w:val="24"/>
        </w:rPr>
        <w:t xml:space="preserve"> </w:t>
      </w:r>
      <w:r>
        <w:rPr>
          <w:sz w:val="24"/>
        </w:rPr>
        <w:t>impact of MO dimensions may vary: customer orientation (CU) aligns firms with buyer expectations, competitor orientation (CO) facilitates strategic positioning, while functional coordination (FC) supports intern</w:t>
      </w:r>
      <w:r>
        <w:rPr>
          <w:sz w:val="24"/>
        </w:rPr>
        <w:t>al alignment. However, internal coordination often remains compliance-driven, limiting strategic impact unless complemented by agility and innovation.</w:t>
      </w:r>
    </w:p>
    <w:p w:rsidR="00487D64" w:rsidRDefault="00487D64">
      <w:pPr>
        <w:pStyle w:val="BodyText"/>
        <w:spacing w:before="8"/>
        <w:rPr>
          <w:sz w:val="24"/>
        </w:rPr>
      </w:pPr>
    </w:p>
    <w:p w:rsidR="00487D64" w:rsidRDefault="006F0D93">
      <w:pPr>
        <w:ind w:left="165" w:right="161"/>
        <w:jc w:val="both"/>
        <w:rPr>
          <w:sz w:val="24"/>
        </w:rPr>
      </w:pPr>
      <w:r>
        <w:rPr>
          <w:sz w:val="24"/>
        </w:rPr>
        <w:t xml:space="preserve">To address this, the study incorporates </w:t>
      </w:r>
      <w:r>
        <w:rPr>
          <w:b/>
          <w:sz w:val="24"/>
        </w:rPr>
        <w:t xml:space="preserve">strategic flexibility (SF) </w:t>
      </w:r>
      <w:r>
        <w:rPr>
          <w:sz w:val="24"/>
        </w:rPr>
        <w:t>the firm’s capacity to adapt strategi</w:t>
      </w:r>
      <w:r>
        <w:rPr>
          <w:sz w:val="24"/>
        </w:rPr>
        <w:t>es and operations in response to environmental shifts as a moderating variable. Strategic flexibility is critical in constrained environments, as it enhances responsiveness and dynamic adjustment, potentially amplifying or diminishing the effects of market</w:t>
      </w:r>
      <w:r>
        <w:rPr>
          <w:sz w:val="24"/>
        </w:rPr>
        <w:t xml:space="preserve"> orientation on competitiveness (Zhou &amp; Wu, 2010). Understanding this interaction provides a more comprehensive perspective on how SMEs can sustain competitiveness under regulatory </w:t>
      </w:r>
      <w:r>
        <w:rPr>
          <w:spacing w:val="-2"/>
          <w:sz w:val="24"/>
        </w:rPr>
        <w:t>constraints.</w:t>
      </w:r>
    </w:p>
    <w:p w:rsidR="00487D64" w:rsidRDefault="00487D64">
      <w:pPr>
        <w:pStyle w:val="BodyText"/>
        <w:spacing w:before="6"/>
        <w:rPr>
          <w:sz w:val="24"/>
        </w:rPr>
      </w:pPr>
    </w:p>
    <w:p w:rsidR="00487D64" w:rsidRDefault="006F0D93">
      <w:pPr>
        <w:pStyle w:val="ListParagraph"/>
        <w:numPr>
          <w:ilvl w:val="0"/>
          <w:numId w:val="3"/>
        </w:numPr>
        <w:tabs>
          <w:tab w:val="left" w:pos="409"/>
        </w:tabs>
        <w:ind w:left="409" w:hanging="244"/>
        <w:jc w:val="both"/>
        <w:rPr>
          <w:b/>
          <w:sz w:val="24"/>
        </w:rPr>
      </w:pPr>
      <w:r>
        <w:rPr>
          <w:b/>
          <w:sz w:val="24"/>
        </w:rPr>
        <w:t>LITERATURE</w:t>
      </w:r>
      <w:r>
        <w:rPr>
          <w:b/>
          <w:spacing w:val="-11"/>
          <w:sz w:val="24"/>
        </w:rPr>
        <w:t xml:space="preserve"> </w:t>
      </w:r>
      <w:r>
        <w:rPr>
          <w:b/>
          <w:spacing w:val="-2"/>
          <w:sz w:val="24"/>
        </w:rPr>
        <w:t>REVIEW</w:t>
      </w:r>
    </w:p>
    <w:p w:rsidR="00487D64" w:rsidRDefault="006F0D93">
      <w:pPr>
        <w:pStyle w:val="ListParagraph"/>
        <w:numPr>
          <w:ilvl w:val="1"/>
          <w:numId w:val="3"/>
        </w:numPr>
        <w:tabs>
          <w:tab w:val="left" w:pos="529"/>
        </w:tabs>
        <w:spacing w:before="2" w:line="272" w:lineRule="exact"/>
        <w:ind w:hanging="364"/>
        <w:jc w:val="both"/>
        <w:rPr>
          <w:b/>
          <w:sz w:val="24"/>
        </w:rPr>
      </w:pPr>
      <w:r>
        <w:rPr>
          <w:b/>
          <w:sz w:val="24"/>
        </w:rPr>
        <w:t>Theoretical</w:t>
      </w:r>
      <w:r>
        <w:rPr>
          <w:b/>
          <w:spacing w:val="-10"/>
          <w:sz w:val="24"/>
        </w:rPr>
        <w:t xml:space="preserve"> </w:t>
      </w:r>
      <w:r>
        <w:rPr>
          <w:b/>
          <w:sz w:val="24"/>
        </w:rPr>
        <w:t xml:space="preserve">Literature </w:t>
      </w:r>
      <w:r>
        <w:rPr>
          <w:b/>
          <w:spacing w:val="-2"/>
          <w:sz w:val="24"/>
        </w:rPr>
        <w:t>review</w:t>
      </w:r>
    </w:p>
    <w:p w:rsidR="00487D64" w:rsidRDefault="006F0D93">
      <w:pPr>
        <w:ind w:left="165" w:right="159"/>
        <w:jc w:val="both"/>
        <w:rPr>
          <w:sz w:val="24"/>
        </w:rPr>
      </w:pPr>
      <w:r>
        <w:rPr>
          <w:sz w:val="24"/>
        </w:rPr>
        <w:t>Market Orientation theory (MOT) provides a strategic lens through which firms can achieve superior</w:t>
      </w:r>
      <w:r>
        <w:rPr>
          <w:spacing w:val="-14"/>
          <w:sz w:val="24"/>
        </w:rPr>
        <w:t xml:space="preserve"> </w:t>
      </w:r>
      <w:r>
        <w:rPr>
          <w:sz w:val="24"/>
        </w:rPr>
        <w:t>performance</w:t>
      </w:r>
      <w:r>
        <w:rPr>
          <w:spacing w:val="-7"/>
          <w:sz w:val="24"/>
        </w:rPr>
        <w:t xml:space="preserve"> </w:t>
      </w:r>
      <w:r>
        <w:rPr>
          <w:sz w:val="24"/>
        </w:rPr>
        <w:t>by</w:t>
      </w:r>
      <w:r>
        <w:rPr>
          <w:spacing w:val="-15"/>
          <w:sz w:val="24"/>
        </w:rPr>
        <w:t xml:space="preserve"> </w:t>
      </w:r>
      <w:r>
        <w:rPr>
          <w:sz w:val="24"/>
        </w:rPr>
        <w:t>aligning</w:t>
      </w:r>
      <w:r>
        <w:rPr>
          <w:spacing w:val="-12"/>
          <w:sz w:val="24"/>
        </w:rPr>
        <w:t xml:space="preserve"> </w:t>
      </w:r>
      <w:r>
        <w:rPr>
          <w:sz w:val="24"/>
        </w:rPr>
        <w:t>their</w:t>
      </w:r>
      <w:r>
        <w:rPr>
          <w:spacing w:val="-5"/>
          <w:sz w:val="24"/>
        </w:rPr>
        <w:t xml:space="preserve"> </w:t>
      </w:r>
      <w:r>
        <w:rPr>
          <w:sz w:val="24"/>
        </w:rPr>
        <w:t>internal</w:t>
      </w:r>
      <w:r>
        <w:rPr>
          <w:spacing w:val="-15"/>
          <w:sz w:val="24"/>
        </w:rPr>
        <w:t xml:space="preserve"> </w:t>
      </w:r>
      <w:r>
        <w:rPr>
          <w:sz w:val="24"/>
        </w:rPr>
        <w:t>processes</w:t>
      </w:r>
      <w:r>
        <w:rPr>
          <w:spacing w:val="-13"/>
          <w:sz w:val="24"/>
        </w:rPr>
        <w:t xml:space="preserve"> </w:t>
      </w:r>
      <w:r>
        <w:rPr>
          <w:sz w:val="24"/>
        </w:rPr>
        <w:t>with</w:t>
      </w:r>
      <w:r>
        <w:rPr>
          <w:spacing w:val="-15"/>
          <w:sz w:val="24"/>
        </w:rPr>
        <w:t xml:space="preserve"> </w:t>
      </w:r>
      <w:r>
        <w:rPr>
          <w:sz w:val="24"/>
        </w:rPr>
        <w:t>external</w:t>
      </w:r>
      <w:r>
        <w:rPr>
          <w:spacing w:val="-15"/>
          <w:sz w:val="24"/>
        </w:rPr>
        <w:t xml:space="preserve"> </w:t>
      </w:r>
      <w:r>
        <w:rPr>
          <w:sz w:val="24"/>
        </w:rPr>
        <w:t>market</w:t>
      </w:r>
      <w:r>
        <w:rPr>
          <w:spacing w:val="-7"/>
          <w:sz w:val="24"/>
        </w:rPr>
        <w:t xml:space="preserve"> </w:t>
      </w:r>
      <w:r>
        <w:rPr>
          <w:sz w:val="24"/>
        </w:rPr>
        <w:t>demands,</w:t>
      </w:r>
      <w:r>
        <w:rPr>
          <w:spacing w:val="-10"/>
          <w:sz w:val="24"/>
        </w:rPr>
        <w:t xml:space="preserve"> </w:t>
      </w:r>
      <w:r>
        <w:rPr>
          <w:sz w:val="24"/>
        </w:rPr>
        <w:t>primarily through</w:t>
      </w:r>
      <w:r>
        <w:rPr>
          <w:spacing w:val="-12"/>
          <w:sz w:val="24"/>
        </w:rPr>
        <w:t xml:space="preserve"> </w:t>
      </w:r>
      <w:r>
        <w:rPr>
          <w:sz w:val="24"/>
        </w:rPr>
        <w:t>customer</w:t>
      </w:r>
      <w:r>
        <w:rPr>
          <w:spacing w:val="-6"/>
          <w:sz w:val="24"/>
        </w:rPr>
        <w:t xml:space="preserve"> </w:t>
      </w:r>
      <w:r>
        <w:rPr>
          <w:sz w:val="24"/>
        </w:rPr>
        <w:t>orientation,</w:t>
      </w:r>
      <w:r>
        <w:rPr>
          <w:spacing w:val="-6"/>
          <w:sz w:val="24"/>
        </w:rPr>
        <w:t xml:space="preserve"> </w:t>
      </w:r>
      <w:r>
        <w:rPr>
          <w:sz w:val="24"/>
        </w:rPr>
        <w:t>competitor</w:t>
      </w:r>
      <w:r>
        <w:rPr>
          <w:spacing w:val="-10"/>
          <w:sz w:val="24"/>
        </w:rPr>
        <w:t xml:space="preserve"> </w:t>
      </w:r>
      <w:r>
        <w:rPr>
          <w:sz w:val="24"/>
        </w:rPr>
        <w:t>orientation,</w:t>
      </w:r>
      <w:r>
        <w:rPr>
          <w:spacing w:val="-6"/>
          <w:sz w:val="24"/>
        </w:rPr>
        <w:t xml:space="preserve"> </w:t>
      </w:r>
      <w:r>
        <w:rPr>
          <w:sz w:val="24"/>
        </w:rPr>
        <w:t>and</w:t>
      </w:r>
      <w:r>
        <w:rPr>
          <w:spacing w:val="-3"/>
          <w:sz w:val="24"/>
        </w:rPr>
        <w:t xml:space="preserve"> </w:t>
      </w:r>
      <w:r>
        <w:rPr>
          <w:sz w:val="24"/>
        </w:rPr>
        <w:t>inter-functional</w:t>
      </w:r>
      <w:r>
        <w:rPr>
          <w:spacing w:val="-11"/>
          <w:sz w:val="24"/>
        </w:rPr>
        <w:t xml:space="preserve"> </w:t>
      </w:r>
      <w:r>
        <w:rPr>
          <w:sz w:val="24"/>
        </w:rPr>
        <w:t>coordination</w:t>
      </w:r>
      <w:r>
        <w:rPr>
          <w:spacing w:val="-12"/>
          <w:sz w:val="24"/>
        </w:rPr>
        <w:t xml:space="preserve"> </w:t>
      </w:r>
      <w:r>
        <w:rPr>
          <w:sz w:val="24"/>
        </w:rPr>
        <w:t>(Narver</w:t>
      </w:r>
      <w:r>
        <w:rPr>
          <w:spacing w:val="-2"/>
          <w:sz w:val="24"/>
        </w:rPr>
        <w:t xml:space="preserve"> </w:t>
      </w:r>
      <w:r>
        <w:rPr>
          <w:sz w:val="24"/>
        </w:rPr>
        <w:t>&amp; Slater,</w:t>
      </w:r>
      <w:r>
        <w:rPr>
          <w:spacing w:val="-9"/>
          <w:sz w:val="24"/>
        </w:rPr>
        <w:t xml:space="preserve"> </w:t>
      </w:r>
      <w:r>
        <w:rPr>
          <w:sz w:val="24"/>
        </w:rPr>
        <w:t>1990;</w:t>
      </w:r>
      <w:r>
        <w:rPr>
          <w:spacing w:val="-15"/>
          <w:sz w:val="24"/>
        </w:rPr>
        <w:t xml:space="preserve"> </w:t>
      </w:r>
      <w:r>
        <w:rPr>
          <w:sz w:val="24"/>
        </w:rPr>
        <w:t>Kohli</w:t>
      </w:r>
      <w:r>
        <w:rPr>
          <w:spacing w:val="-10"/>
          <w:sz w:val="24"/>
        </w:rPr>
        <w:t xml:space="preserve"> </w:t>
      </w:r>
      <w:r>
        <w:rPr>
          <w:sz w:val="24"/>
        </w:rPr>
        <w:t>&amp;</w:t>
      </w:r>
      <w:r>
        <w:rPr>
          <w:spacing w:val="-15"/>
          <w:sz w:val="24"/>
        </w:rPr>
        <w:t xml:space="preserve"> </w:t>
      </w:r>
      <w:r>
        <w:rPr>
          <w:sz w:val="24"/>
        </w:rPr>
        <w:t>Jaworski,</w:t>
      </w:r>
      <w:r>
        <w:rPr>
          <w:spacing w:val="-9"/>
          <w:sz w:val="24"/>
        </w:rPr>
        <w:t xml:space="preserve"> </w:t>
      </w:r>
      <w:r>
        <w:rPr>
          <w:sz w:val="24"/>
        </w:rPr>
        <w:t>1990).</w:t>
      </w:r>
      <w:r>
        <w:rPr>
          <w:spacing w:val="-9"/>
          <w:sz w:val="24"/>
        </w:rPr>
        <w:t xml:space="preserve"> </w:t>
      </w:r>
      <w:r>
        <w:rPr>
          <w:sz w:val="24"/>
        </w:rPr>
        <w:t>Traditionally,</w:t>
      </w:r>
      <w:r>
        <w:rPr>
          <w:spacing w:val="-5"/>
          <w:sz w:val="24"/>
        </w:rPr>
        <w:t xml:space="preserve"> </w:t>
      </w:r>
      <w:r>
        <w:rPr>
          <w:sz w:val="24"/>
        </w:rPr>
        <w:t>MOT</w:t>
      </w:r>
      <w:r>
        <w:rPr>
          <w:spacing w:val="-9"/>
          <w:sz w:val="24"/>
        </w:rPr>
        <w:t xml:space="preserve"> </w:t>
      </w:r>
      <w:r>
        <w:rPr>
          <w:sz w:val="24"/>
        </w:rPr>
        <w:t>has</w:t>
      </w:r>
      <w:r>
        <w:rPr>
          <w:spacing w:val="-13"/>
          <w:sz w:val="24"/>
        </w:rPr>
        <w:t xml:space="preserve"> </w:t>
      </w:r>
      <w:r>
        <w:rPr>
          <w:sz w:val="24"/>
        </w:rPr>
        <w:t>been</w:t>
      </w:r>
      <w:r>
        <w:rPr>
          <w:spacing w:val="-15"/>
          <w:sz w:val="24"/>
        </w:rPr>
        <w:t xml:space="preserve"> </w:t>
      </w:r>
      <w:r>
        <w:rPr>
          <w:sz w:val="24"/>
        </w:rPr>
        <w:t>treated</w:t>
      </w:r>
      <w:r>
        <w:rPr>
          <w:spacing w:val="-11"/>
          <w:sz w:val="24"/>
        </w:rPr>
        <w:t xml:space="preserve"> </w:t>
      </w:r>
      <w:r>
        <w:rPr>
          <w:sz w:val="24"/>
        </w:rPr>
        <w:t>as</w:t>
      </w:r>
      <w:r>
        <w:rPr>
          <w:spacing w:val="-13"/>
          <w:sz w:val="24"/>
        </w:rPr>
        <w:t xml:space="preserve"> </w:t>
      </w:r>
      <w:r>
        <w:rPr>
          <w:sz w:val="24"/>
        </w:rPr>
        <w:t>a</w:t>
      </w:r>
      <w:r>
        <w:rPr>
          <w:spacing w:val="-12"/>
          <w:sz w:val="24"/>
        </w:rPr>
        <w:t xml:space="preserve"> </w:t>
      </w:r>
      <w:r>
        <w:rPr>
          <w:sz w:val="24"/>
        </w:rPr>
        <w:t>unified</w:t>
      </w:r>
      <w:r>
        <w:rPr>
          <w:spacing w:val="-11"/>
          <w:sz w:val="24"/>
        </w:rPr>
        <w:t xml:space="preserve"> </w:t>
      </w:r>
      <w:r>
        <w:rPr>
          <w:sz w:val="24"/>
        </w:rPr>
        <w:t>construct; however, emerging scholarship emphasizes the need to disaggregate its dimensions to better understand</w:t>
      </w:r>
      <w:r>
        <w:rPr>
          <w:spacing w:val="-8"/>
          <w:sz w:val="24"/>
        </w:rPr>
        <w:t xml:space="preserve"> </w:t>
      </w:r>
      <w:r>
        <w:rPr>
          <w:sz w:val="24"/>
        </w:rPr>
        <w:t>their</w:t>
      </w:r>
      <w:r>
        <w:rPr>
          <w:spacing w:val="-6"/>
          <w:sz w:val="24"/>
        </w:rPr>
        <w:t xml:space="preserve"> </w:t>
      </w:r>
      <w:r>
        <w:rPr>
          <w:sz w:val="24"/>
        </w:rPr>
        <w:t>distinct</w:t>
      </w:r>
      <w:r>
        <w:rPr>
          <w:spacing w:val="-4"/>
          <w:sz w:val="24"/>
        </w:rPr>
        <w:t xml:space="preserve"> </w:t>
      </w:r>
      <w:r>
        <w:rPr>
          <w:sz w:val="24"/>
        </w:rPr>
        <w:t>strategic</w:t>
      </w:r>
      <w:r>
        <w:rPr>
          <w:spacing w:val="-9"/>
          <w:sz w:val="24"/>
        </w:rPr>
        <w:t xml:space="preserve"> </w:t>
      </w:r>
      <w:r>
        <w:rPr>
          <w:sz w:val="24"/>
        </w:rPr>
        <w:t>roles</w:t>
      </w:r>
      <w:r>
        <w:rPr>
          <w:spacing w:val="-10"/>
          <w:sz w:val="24"/>
        </w:rPr>
        <w:t xml:space="preserve"> </w:t>
      </w:r>
      <w:r>
        <w:rPr>
          <w:sz w:val="24"/>
        </w:rPr>
        <w:t>across</w:t>
      </w:r>
      <w:r>
        <w:rPr>
          <w:spacing w:val="-10"/>
          <w:sz w:val="24"/>
        </w:rPr>
        <w:t xml:space="preserve"> </w:t>
      </w:r>
      <w:r>
        <w:rPr>
          <w:sz w:val="24"/>
        </w:rPr>
        <w:t>varying</w:t>
      </w:r>
      <w:r>
        <w:rPr>
          <w:spacing w:val="-8"/>
          <w:sz w:val="24"/>
        </w:rPr>
        <w:t xml:space="preserve"> </w:t>
      </w:r>
      <w:r>
        <w:rPr>
          <w:sz w:val="24"/>
        </w:rPr>
        <w:t>contexts</w:t>
      </w:r>
      <w:r>
        <w:rPr>
          <w:spacing w:val="-10"/>
          <w:sz w:val="24"/>
        </w:rPr>
        <w:t xml:space="preserve"> </w:t>
      </w:r>
      <w:r>
        <w:rPr>
          <w:sz w:val="24"/>
        </w:rPr>
        <w:t>(Didonet</w:t>
      </w:r>
      <w:r>
        <w:rPr>
          <w:spacing w:val="-4"/>
          <w:sz w:val="24"/>
        </w:rPr>
        <w:t xml:space="preserve"> </w:t>
      </w:r>
      <w:r>
        <w:rPr>
          <w:sz w:val="24"/>
        </w:rPr>
        <w:t>et</w:t>
      </w:r>
      <w:r>
        <w:rPr>
          <w:spacing w:val="-7"/>
          <w:sz w:val="24"/>
        </w:rPr>
        <w:t xml:space="preserve"> </w:t>
      </w:r>
      <w:r>
        <w:rPr>
          <w:sz w:val="24"/>
        </w:rPr>
        <w:t>al.,</w:t>
      </w:r>
      <w:r>
        <w:rPr>
          <w:spacing w:val="-6"/>
          <w:sz w:val="24"/>
        </w:rPr>
        <w:t xml:space="preserve"> </w:t>
      </w:r>
      <w:r>
        <w:rPr>
          <w:sz w:val="24"/>
        </w:rPr>
        <w:t>2016).</w:t>
      </w:r>
      <w:r>
        <w:rPr>
          <w:spacing w:val="-10"/>
          <w:sz w:val="24"/>
        </w:rPr>
        <w:t xml:space="preserve"> </w:t>
      </w:r>
      <w:r>
        <w:rPr>
          <w:sz w:val="24"/>
        </w:rPr>
        <w:t>In</w:t>
      </w:r>
      <w:r>
        <w:rPr>
          <w:spacing w:val="-13"/>
          <w:sz w:val="24"/>
        </w:rPr>
        <w:t xml:space="preserve"> </w:t>
      </w:r>
      <w:r>
        <w:rPr>
          <w:sz w:val="24"/>
        </w:rPr>
        <w:t>regulated environments</w:t>
      </w:r>
      <w:r>
        <w:rPr>
          <w:spacing w:val="-4"/>
          <w:sz w:val="24"/>
        </w:rPr>
        <w:t xml:space="preserve"> </w:t>
      </w:r>
      <w:r>
        <w:rPr>
          <w:sz w:val="24"/>
        </w:rPr>
        <w:t>such</w:t>
      </w:r>
      <w:r>
        <w:rPr>
          <w:spacing w:val="-6"/>
          <w:sz w:val="24"/>
        </w:rPr>
        <w:t xml:space="preserve"> </w:t>
      </w:r>
      <w:r>
        <w:rPr>
          <w:sz w:val="24"/>
        </w:rPr>
        <w:t>as</w:t>
      </w:r>
      <w:r>
        <w:rPr>
          <w:spacing w:val="-5"/>
          <w:sz w:val="24"/>
        </w:rPr>
        <w:t xml:space="preserve"> </w:t>
      </w:r>
      <w:r>
        <w:rPr>
          <w:sz w:val="24"/>
        </w:rPr>
        <w:t>Tanzania’s</w:t>
      </w:r>
      <w:r>
        <w:rPr>
          <w:spacing w:val="-5"/>
          <w:sz w:val="24"/>
        </w:rPr>
        <w:t xml:space="preserve"> </w:t>
      </w:r>
      <w:r>
        <w:rPr>
          <w:sz w:val="24"/>
        </w:rPr>
        <w:t>public</w:t>
      </w:r>
      <w:r>
        <w:rPr>
          <w:spacing w:val="-3"/>
          <w:sz w:val="24"/>
        </w:rPr>
        <w:t xml:space="preserve"> </w:t>
      </w:r>
      <w:r>
        <w:rPr>
          <w:sz w:val="24"/>
        </w:rPr>
        <w:t>procurement system</w:t>
      </w:r>
      <w:r>
        <w:rPr>
          <w:spacing w:val="-10"/>
          <w:sz w:val="24"/>
        </w:rPr>
        <w:t xml:space="preserve"> </w:t>
      </w:r>
      <w:r>
        <w:rPr>
          <w:sz w:val="24"/>
        </w:rPr>
        <w:t>particularly</w:t>
      </w:r>
      <w:r>
        <w:rPr>
          <w:spacing w:val="-6"/>
          <w:sz w:val="24"/>
        </w:rPr>
        <w:t xml:space="preserve"> </w:t>
      </w:r>
      <w:r>
        <w:rPr>
          <w:sz w:val="24"/>
        </w:rPr>
        <w:t>among</w:t>
      </w:r>
      <w:r>
        <w:rPr>
          <w:spacing w:val="-2"/>
          <w:sz w:val="24"/>
        </w:rPr>
        <w:t xml:space="preserve"> </w:t>
      </w:r>
      <w:r>
        <w:rPr>
          <w:sz w:val="24"/>
        </w:rPr>
        <w:t>SMEs</w:t>
      </w:r>
      <w:r>
        <w:rPr>
          <w:spacing w:val="-5"/>
          <w:sz w:val="24"/>
        </w:rPr>
        <w:t xml:space="preserve"> </w:t>
      </w:r>
      <w:r>
        <w:rPr>
          <w:sz w:val="24"/>
        </w:rPr>
        <w:t>owned</w:t>
      </w:r>
      <w:r>
        <w:rPr>
          <w:spacing w:val="-2"/>
          <w:sz w:val="24"/>
        </w:rPr>
        <w:t xml:space="preserve"> </w:t>
      </w:r>
      <w:r>
        <w:rPr>
          <w:sz w:val="24"/>
        </w:rPr>
        <w:t>by special</w:t>
      </w:r>
      <w:r>
        <w:rPr>
          <w:spacing w:val="-6"/>
          <w:sz w:val="24"/>
        </w:rPr>
        <w:t xml:space="preserve"> </w:t>
      </w:r>
      <w:r>
        <w:rPr>
          <w:sz w:val="24"/>
        </w:rPr>
        <w:t>groups MOT</w:t>
      </w:r>
      <w:r>
        <w:rPr>
          <w:spacing w:val="-1"/>
          <w:sz w:val="24"/>
        </w:rPr>
        <w:t xml:space="preserve"> </w:t>
      </w:r>
      <w:r>
        <w:rPr>
          <w:sz w:val="24"/>
        </w:rPr>
        <w:t>offers valuable insights into how</w:t>
      </w:r>
      <w:r>
        <w:rPr>
          <w:spacing w:val="-3"/>
          <w:sz w:val="24"/>
        </w:rPr>
        <w:t xml:space="preserve"> </w:t>
      </w:r>
      <w:r>
        <w:rPr>
          <w:sz w:val="24"/>
        </w:rPr>
        <w:t>firms can navigate institutional</w:t>
      </w:r>
      <w:r>
        <w:rPr>
          <w:spacing w:val="-6"/>
          <w:sz w:val="24"/>
        </w:rPr>
        <w:t xml:space="preserve"> </w:t>
      </w:r>
      <w:r>
        <w:rPr>
          <w:sz w:val="24"/>
        </w:rPr>
        <w:t>constraints to enhance sustainable competitiveness (Israel, 2019; Panga &amp; Kazungu, 2015). For instance, customer orientation</w:t>
      </w:r>
      <w:r>
        <w:rPr>
          <w:spacing w:val="-3"/>
          <w:sz w:val="24"/>
        </w:rPr>
        <w:t xml:space="preserve"> </w:t>
      </w:r>
      <w:r>
        <w:rPr>
          <w:sz w:val="24"/>
        </w:rPr>
        <w:t>enables</w:t>
      </w:r>
      <w:r>
        <w:rPr>
          <w:spacing w:val="-1"/>
          <w:sz w:val="24"/>
        </w:rPr>
        <w:t xml:space="preserve"> </w:t>
      </w:r>
      <w:r>
        <w:rPr>
          <w:sz w:val="24"/>
        </w:rPr>
        <w:t>SMEs</w:t>
      </w:r>
      <w:r>
        <w:rPr>
          <w:spacing w:val="-1"/>
          <w:sz w:val="24"/>
        </w:rPr>
        <w:t xml:space="preserve"> </w:t>
      </w:r>
      <w:r>
        <w:rPr>
          <w:sz w:val="24"/>
        </w:rPr>
        <w:t>to meet procurement expectations</w:t>
      </w:r>
      <w:r>
        <w:rPr>
          <w:spacing w:val="-1"/>
          <w:sz w:val="24"/>
        </w:rPr>
        <w:t xml:space="preserve"> </w:t>
      </w:r>
      <w:r>
        <w:rPr>
          <w:sz w:val="24"/>
        </w:rPr>
        <w:t>and build trust with</w:t>
      </w:r>
      <w:r>
        <w:rPr>
          <w:spacing w:val="-3"/>
          <w:sz w:val="24"/>
        </w:rPr>
        <w:t xml:space="preserve"> </w:t>
      </w:r>
      <w:r>
        <w:rPr>
          <w:sz w:val="24"/>
        </w:rPr>
        <w:t>public entities, competitor orientation informs strategic biddin</w:t>
      </w:r>
      <w:r>
        <w:rPr>
          <w:sz w:val="24"/>
        </w:rPr>
        <w:t>g and positioning, while inter-functional coordination fosters internal synergy though its impact may be muted unless paired with innovation-driven</w:t>
      </w:r>
      <w:r>
        <w:rPr>
          <w:spacing w:val="-13"/>
          <w:sz w:val="24"/>
        </w:rPr>
        <w:t xml:space="preserve"> </w:t>
      </w:r>
      <w:r>
        <w:rPr>
          <w:sz w:val="24"/>
        </w:rPr>
        <w:t>practices</w:t>
      </w:r>
      <w:r>
        <w:rPr>
          <w:spacing w:val="-10"/>
          <w:sz w:val="24"/>
        </w:rPr>
        <w:t xml:space="preserve"> </w:t>
      </w:r>
      <w:r>
        <w:rPr>
          <w:sz w:val="24"/>
        </w:rPr>
        <w:t>(Zehir</w:t>
      </w:r>
      <w:r>
        <w:rPr>
          <w:spacing w:val="-6"/>
          <w:sz w:val="24"/>
        </w:rPr>
        <w:t xml:space="preserve"> </w:t>
      </w:r>
      <w:r>
        <w:rPr>
          <w:sz w:val="24"/>
        </w:rPr>
        <w:t>et</w:t>
      </w:r>
      <w:r>
        <w:rPr>
          <w:spacing w:val="-4"/>
          <w:sz w:val="24"/>
        </w:rPr>
        <w:t xml:space="preserve"> </w:t>
      </w:r>
      <w:r>
        <w:rPr>
          <w:sz w:val="24"/>
        </w:rPr>
        <w:t>al.,</w:t>
      </w:r>
      <w:r>
        <w:rPr>
          <w:spacing w:val="-6"/>
          <w:sz w:val="24"/>
        </w:rPr>
        <w:t xml:space="preserve"> </w:t>
      </w:r>
      <w:r>
        <w:rPr>
          <w:sz w:val="24"/>
        </w:rPr>
        <w:t>2019).</w:t>
      </w:r>
      <w:r>
        <w:rPr>
          <w:spacing w:val="-10"/>
          <w:sz w:val="24"/>
        </w:rPr>
        <w:t xml:space="preserve"> </w:t>
      </w:r>
      <w:r>
        <w:rPr>
          <w:sz w:val="24"/>
        </w:rPr>
        <w:t>By</w:t>
      </w:r>
      <w:r>
        <w:rPr>
          <w:spacing w:val="-13"/>
          <w:sz w:val="24"/>
        </w:rPr>
        <w:t xml:space="preserve"> </w:t>
      </w:r>
      <w:r>
        <w:rPr>
          <w:sz w:val="24"/>
        </w:rPr>
        <w:t>unpacking</w:t>
      </w:r>
      <w:r>
        <w:rPr>
          <w:spacing w:val="-8"/>
          <w:sz w:val="24"/>
        </w:rPr>
        <w:t xml:space="preserve"> </w:t>
      </w:r>
      <w:r>
        <w:rPr>
          <w:sz w:val="24"/>
        </w:rPr>
        <w:t>MOT</w:t>
      </w:r>
      <w:r>
        <w:rPr>
          <w:spacing w:val="-6"/>
          <w:sz w:val="24"/>
        </w:rPr>
        <w:t xml:space="preserve"> </w:t>
      </w:r>
      <w:r>
        <w:rPr>
          <w:sz w:val="24"/>
        </w:rPr>
        <w:t>into</w:t>
      </w:r>
      <w:r>
        <w:rPr>
          <w:spacing w:val="-4"/>
          <w:sz w:val="24"/>
        </w:rPr>
        <w:t xml:space="preserve"> </w:t>
      </w:r>
      <w:r>
        <w:rPr>
          <w:sz w:val="24"/>
        </w:rPr>
        <w:t>its</w:t>
      </w:r>
      <w:r>
        <w:rPr>
          <w:spacing w:val="-10"/>
          <w:sz w:val="24"/>
        </w:rPr>
        <w:t xml:space="preserve"> </w:t>
      </w:r>
      <w:r>
        <w:rPr>
          <w:sz w:val="24"/>
        </w:rPr>
        <w:t>core</w:t>
      </w:r>
      <w:r>
        <w:rPr>
          <w:spacing w:val="-9"/>
          <w:sz w:val="24"/>
        </w:rPr>
        <w:t xml:space="preserve"> </w:t>
      </w:r>
      <w:r>
        <w:rPr>
          <w:sz w:val="24"/>
        </w:rPr>
        <w:t>components,</w:t>
      </w:r>
      <w:r>
        <w:rPr>
          <w:spacing w:val="-11"/>
          <w:sz w:val="24"/>
        </w:rPr>
        <w:t xml:space="preserve"> </w:t>
      </w:r>
      <w:r>
        <w:rPr>
          <w:sz w:val="24"/>
        </w:rPr>
        <w:t xml:space="preserve">this study contributes to theory </w:t>
      </w:r>
      <w:r>
        <w:rPr>
          <w:sz w:val="24"/>
        </w:rPr>
        <w:t>by identifying which strategic behaviors most significantly influence SME performance in</w:t>
      </w:r>
      <w:r>
        <w:rPr>
          <w:spacing w:val="-2"/>
          <w:sz w:val="24"/>
        </w:rPr>
        <w:t xml:space="preserve"> </w:t>
      </w:r>
      <w:r>
        <w:rPr>
          <w:sz w:val="24"/>
        </w:rPr>
        <w:t>policy-driven, inclusion-based economies, thereby</w:t>
      </w:r>
      <w:r>
        <w:rPr>
          <w:spacing w:val="-7"/>
          <w:sz w:val="24"/>
        </w:rPr>
        <w:t xml:space="preserve"> </w:t>
      </w:r>
      <w:r>
        <w:rPr>
          <w:sz w:val="24"/>
        </w:rPr>
        <w:t>addressing a critical</w:t>
      </w:r>
      <w:r>
        <w:rPr>
          <w:spacing w:val="-2"/>
          <w:sz w:val="24"/>
        </w:rPr>
        <w:t xml:space="preserve"> </w:t>
      </w:r>
      <w:r>
        <w:rPr>
          <w:sz w:val="24"/>
        </w:rPr>
        <w:t>gap in the contextual application of MOT.</w:t>
      </w:r>
    </w:p>
    <w:p w:rsidR="00487D64" w:rsidRDefault="00487D64">
      <w:pPr>
        <w:pStyle w:val="BodyText"/>
        <w:rPr>
          <w:sz w:val="20"/>
        </w:rPr>
      </w:pPr>
    </w:p>
    <w:p w:rsidR="00487D64" w:rsidRDefault="006F0D93">
      <w:pPr>
        <w:pStyle w:val="BodyText"/>
        <w:spacing w:before="51"/>
        <w:rPr>
          <w:sz w:val="20"/>
        </w:rPr>
      </w:pPr>
      <w:r>
        <w:rPr>
          <w:noProof/>
          <w:sz w:val="20"/>
        </w:rPr>
        <mc:AlternateContent>
          <mc:Choice Requires="wps">
            <w:drawing>
              <wp:anchor distT="0" distB="0" distL="0" distR="0" simplePos="0" relativeHeight="487598592" behindDoc="1" locked="0" layoutInCell="1" allowOverlap="1">
                <wp:simplePos x="0" y="0"/>
                <wp:positionH relativeFrom="page">
                  <wp:posOffset>896416</wp:posOffset>
                </wp:positionH>
                <wp:positionV relativeFrom="paragraph">
                  <wp:posOffset>193746</wp:posOffset>
                </wp:positionV>
                <wp:extent cx="5982335" cy="55244"/>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2B97A33" id="Graphic 78" o:spid="_x0000_s1026" style="position:absolute;margin-left:70.6pt;margin-top:15.25pt;width:471.05pt;height:4.35pt;z-index:-15717888;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80" name="Graphic 80"/>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1780FE39" id="Group 79"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">
                <v:shape id="Graphic 80"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" path="m5982335,18288l,18288,,54864r5982335,l5982335,18288xem5982335,l,,,9144r5982335,l5982335,xe" fillcolor="#612322" stroked="f">
                  <v:path arrowok="t"/>
                </v:shape>
                <w10:anchorlock/>
              </v:group>
            </w:pict>
          </mc:Fallback>
        </mc:AlternateContent>
      </w:r>
    </w:p>
    <w:p w:rsidR="00487D64" w:rsidRDefault="006F0D93">
      <w:pPr>
        <w:ind w:left="165" w:right="155"/>
        <w:jc w:val="both"/>
        <w:rPr>
          <w:sz w:val="24"/>
        </w:rPr>
      </w:pPr>
      <w:r>
        <w:rPr>
          <w:b/>
          <w:sz w:val="24"/>
        </w:rPr>
        <w:t xml:space="preserve">Dynamic Capability Theory (DCT) </w:t>
      </w:r>
      <w:r>
        <w:rPr>
          <w:sz w:val="24"/>
        </w:rPr>
        <w:t xml:space="preserve">extends this perspective by emphasizing a firm’s ability to </w:t>
      </w:r>
      <w:r>
        <w:rPr>
          <w:b/>
          <w:sz w:val="24"/>
        </w:rPr>
        <w:t xml:space="preserve">integrate, build, and reconfigure internal and external competencies </w:t>
      </w:r>
      <w:r>
        <w:rPr>
          <w:sz w:val="24"/>
        </w:rPr>
        <w:t xml:space="preserve">to address rapidly changing environments (Teece et al., 1997). Dynamic capabilities operate </w:t>
      </w:r>
      <w:r>
        <w:rPr>
          <w:sz w:val="24"/>
        </w:rPr>
        <w:t>through sensing opportunities and threats, seizing opportunities, and transforming resources to sustain long-term performance. In public procurement contexts characterized by compliance demands and bureaucratic</w:t>
      </w:r>
      <w:r>
        <w:rPr>
          <w:spacing w:val="-2"/>
          <w:sz w:val="24"/>
        </w:rPr>
        <w:t xml:space="preserve"> </w:t>
      </w:r>
      <w:r>
        <w:rPr>
          <w:sz w:val="24"/>
        </w:rPr>
        <w:t>rigidity, dynamic</w:t>
      </w:r>
      <w:r>
        <w:rPr>
          <w:spacing w:val="-2"/>
          <w:sz w:val="24"/>
        </w:rPr>
        <w:t xml:space="preserve"> </w:t>
      </w:r>
      <w:r>
        <w:rPr>
          <w:sz w:val="24"/>
        </w:rPr>
        <w:t>capabilities</w:t>
      </w:r>
      <w:r>
        <w:rPr>
          <w:spacing w:val="-3"/>
          <w:sz w:val="24"/>
        </w:rPr>
        <w:t xml:space="preserve"> </w:t>
      </w:r>
      <w:r>
        <w:rPr>
          <w:sz w:val="24"/>
        </w:rPr>
        <w:t>such</w:t>
      </w:r>
      <w:r>
        <w:rPr>
          <w:spacing w:val="-6"/>
          <w:sz w:val="24"/>
        </w:rPr>
        <w:t xml:space="preserve"> </w:t>
      </w:r>
      <w:r>
        <w:rPr>
          <w:sz w:val="24"/>
        </w:rPr>
        <w:t xml:space="preserve">as </w:t>
      </w:r>
      <w:r>
        <w:rPr>
          <w:b/>
          <w:sz w:val="24"/>
        </w:rPr>
        <w:t>SF</w:t>
      </w:r>
      <w:r>
        <w:rPr>
          <w:b/>
          <w:spacing w:val="-4"/>
          <w:sz w:val="24"/>
        </w:rPr>
        <w:t xml:space="preserve"> </w:t>
      </w:r>
      <w:r>
        <w:rPr>
          <w:sz w:val="24"/>
        </w:rPr>
        <w:t>bec</w:t>
      </w:r>
      <w:r>
        <w:rPr>
          <w:sz w:val="24"/>
        </w:rPr>
        <w:t>ome</w:t>
      </w:r>
      <w:r>
        <w:rPr>
          <w:spacing w:val="-2"/>
          <w:sz w:val="24"/>
        </w:rPr>
        <w:t xml:space="preserve"> </w:t>
      </w:r>
      <w:r>
        <w:rPr>
          <w:sz w:val="24"/>
        </w:rPr>
        <w:t>critical</w:t>
      </w:r>
      <w:r>
        <w:rPr>
          <w:spacing w:val="-1"/>
          <w:sz w:val="24"/>
        </w:rPr>
        <w:t xml:space="preserve"> </w:t>
      </w:r>
      <w:r>
        <w:rPr>
          <w:sz w:val="24"/>
        </w:rPr>
        <w:t>in</w:t>
      </w:r>
      <w:r>
        <w:rPr>
          <w:spacing w:val="-1"/>
          <w:sz w:val="24"/>
        </w:rPr>
        <w:t xml:space="preserve"> </w:t>
      </w:r>
      <w:r>
        <w:rPr>
          <w:sz w:val="24"/>
        </w:rPr>
        <w:t>enabling</w:t>
      </w:r>
      <w:r>
        <w:rPr>
          <w:spacing w:val="-1"/>
          <w:sz w:val="24"/>
        </w:rPr>
        <w:t xml:space="preserve"> </w:t>
      </w:r>
      <w:r>
        <w:rPr>
          <w:sz w:val="24"/>
        </w:rPr>
        <w:t>SMEs</w:t>
      </w:r>
      <w:r>
        <w:rPr>
          <w:spacing w:val="-3"/>
          <w:sz w:val="24"/>
        </w:rPr>
        <w:t xml:space="preserve"> </w:t>
      </w:r>
      <w:r>
        <w:rPr>
          <w:sz w:val="24"/>
        </w:rPr>
        <w:t>to adjust strategies, reconfigure resources, and exploit institutional opportunities effectively. Thus, while MO</w:t>
      </w:r>
      <w:r>
        <w:rPr>
          <w:spacing w:val="-8"/>
          <w:sz w:val="24"/>
        </w:rPr>
        <w:t xml:space="preserve"> </w:t>
      </w:r>
      <w:r>
        <w:rPr>
          <w:sz w:val="24"/>
        </w:rPr>
        <w:t>provides</w:t>
      </w:r>
      <w:r>
        <w:rPr>
          <w:spacing w:val="-10"/>
          <w:sz w:val="24"/>
        </w:rPr>
        <w:t xml:space="preserve"> </w:t>
      </w:r>
      <w:r>
        <w:rPr>
          <w:sz w:val="24"/>
        </w:rPr>
        <w:t>the</w:t>
      </w:r>
      <w:r>
        <w:rPr>
          <w:spacing w:val="-9"/>
          <w:sz w:val="24"/>
        </w:rPr>
        <w:t xml:space="preserve"> </w:t>
      </w:r>
      <w:r>
        <w:rPr>
          <w:sz w:val="24"/>
        </w:rPr>
        <w:t>strategic</w:t>
      </w:r>
      <w:r>
        <w:rPr>
          <w:spacing w:val="-4"/>
          <w:sz w:val="24"/>
        </w:rPr>
        <w:t xml:space="preserve"> </w:t>
      </w:r>
      <w:r>
        <w:rPr>
          <w:sz w:val="24"/>
        </w:rPr>
        <w:t>intent</w:t>
      </w:r>
      <w:r>
        <w:rPr>
          <w:spacing w:val="-3"/>
          <w:sz w:val="24"/>
        </w:rPr>
        <w:t xml:space="preserve"> </w:t>
      </w:r>
      <w:r>
        <w:rPr>
          <w:sz w:val="24"/>
        </w:rPr>
        <w:t>to</w:t>
      </w:r>
      <w:r>
        <w:rPr>
          <w:spacing w:val="-7"/>
          <w:sz w:val="24"/>
        </w:rPr>
        <w:t xml:space="preserve"> </w:t>
      </w:r>
      <w:r>
        <w:rPr>
          <w:sz w:val="24"/>
        </w:rPr>
        <w:t>understand</w:t>
      </w:r>
      <w:r>
        <w:rPr>
          <w:spacing w:val="-3"/>
          <w:sz w:val="24"/>
        </w:rPr>
        <w:t xml:space="preserve"> </w:t>
      </w:r>
      <w:r>
        <w:rPr>
          <w:sz w:val="24"/>
        </w:rPr>
        <w:t>markets,</w:t>
      </w:r>
      <w:r>
        <w:rPr>
          <w:spacing w:val="-6"/>
          <w:sz w:val="24"/>
        </w:rPr>
        <w:t xml:space="preserve"> </w:t>
      </w:r>
      <w:r>
        <w:rPr>
          <w:sz w:val="24"/>
        </w:rPr>
        <w:t>dynamic</w:t>
      </w:r>
      <w:r>
        <w:rPr>
          <w:spacing w:val="-9"/>
          <w:sz w:val="24"/>
        </w:rPr>
        <w:t xml:space="preserve"> </w:t>
      </w:r>
      <w:r>
        <w:rPr>
          <w:sz w:val="24"/>
        </w:rPr>
        <w:t>capabilities</w:t>
      </w:r>
      <w:r>
        <w:rPr>
          <w:spacing w:val="-10"/>
          <w:sz w:val="24"/>
        </w:rPr>
        <w:t xml:space="preserve"> </w:t>
      </w:r>
      <w:r>
        <w:rPr>
          <w:sz w:val="24"/>
        </w:rPr>
        <w:t>determine</w:t>
      </w:r>
      <w:r>
        <w:rPr>
          <w:spacing w:val="-9"/>
          <w:sz w:val="24"/>
        </w:rPr>
        <w:t xml:space="preserve"> </w:t>
      </w:r>
      <w:r>
        <w:rPr>
          <w:sz w:val="24"/>
        </w:rPr>
        <w:t>the</w:t>
      </w:r>
      <w:r>
        <w:rPr>
          <w:spacing w:val="-4"/>
          <w:sz w:val="24"/>
        </w:rPr>
        <w:t xml:space="preserve"> </w:t>
      </w:r>
      <w:r>
        <w:rPr>
          <w:sz w:val="24"/>
        </w:rPr>
        <w:t>firm’s capacity</w:t>
      </w:r>
      <w:r>
        <w:rPr>
          <w:spacing w:val="-3"/>
          <w:sz w:val="24"/>
        </w:rPr>
        <w:t xml:space="preserve"> </w:t>
      </w:r>
      <w:r>
        <w:rPr>
          <w:sz w:val="24"/>
        </w:rPr>
        <w:t>to transl</w:t>
      </w:r>
      <w:r>
        <w:rPr>
          <w:sz w:val="24"/>
        </w:rPr>
        <w:t>ate that intent into adaptive actions, ensuring sustainable competitiveness under uncertainty (Zhou &amp; Wu, 2010).</w:t>
      </w:r>
    </w:p>
    <w:p w:rsidR="00487D64" w:rsidRDefault="006F0D93">
      <w:pPr>
        <w:spacing w:before="272"/>
        <w:ind w:left="165" w:right="168"/>
        <w:jc w:val="both"/>
        <w:rPr>
          <w:sz w:val="24"/>
        </w:rPr>
      </w:pPr>
      <w:r>
        <w:rPr>
          <w:sz w:val="24"/>
        </w:rPr>
        <w:t xml:space="preserve">By integrating these theories, the study positions </w:t>
      </w:r>
      <w:r>
        <w:rPr>
          <w:b/>
          <w:sz w:val="24"/>
        </w:rPr>
        <w:t>market orientation as a primary strategic driver</w:t>
      </w:r>
      <w:r>
        <w:rPr>
          <w:b/>
          <w:spacing w:val="-7"/>
          <w:sz w:val="24"/>
        </w:rPr>
        <w:t xml:space="preserve"> </w:t>
      </w:r>
      <w:r>
        <w:rPr>
          <w:sz w:val="24"/>
        </w:rPr>
        <w:t xml:space="preserve">and </w:t>
      </w:r>
      <w:r>
        <w:rPr>
          <w:b/>
          <w:sz w:val="24"/>
        </w:rPr>
        <w:t>strategic flexibility</w:t>
      </w:r>
      <w:r>
        <w:rPr>
          <w:b/>
          <w:spacing w:val="-2"/>
          <w:sz w:val="24"/>
        </w:rPr>
        <w:t xml:space="preserve"> </w:t>
      </w:r>
      <w:r>
        <w:rPr>
          <w:b/>
          <w:sz w:val="24"/>
        </w:rPr>
        <w:t>as</w:t>
      </w:r>
      <w:r>
        <w:rPr>
          <w:b/>
          <w:spacing w:val="-4"/>
          <w:sz w:val="24"/>
        </w:rPr>
        <w:t xml:space="preserve"> </w:t>
      </w:r>
      <w:r>
        <w:rPr>
          <w:b/>
          <w:sz w:val="24"/>
        </w:rPr>
        <w:t>a</w:t>
      </w:r>
      <w:r>
        <w:rPr>
          <w:b/>
          <w:spacing w:val="-2"/>
          <w:sz w:val="24"/>
        </w:rPr>
        <w:t xml:space="preserve"> </w:t>
      </w:r>
      <w:r>
        <w:rPr>
          <w:b/>
          <w:sz w:val="24"/>
        </w:rPr>
        <w:t>dynamic</w:t>
      </w:r>
      <w:r>
        <w:rPr>
          <w:b/>
          <w:spacing w:val="-3"/>
          <w:sz w:val="24"/>
        </w:rPr>
        <w:t xml:space="preserve"> </w:t>
      </w:r>
      <w:r>
        <w:rPr>
          <w:b/>
          <w:sz w:val="24"/>
        </w:rPr>
        <w:t xml:space="preserve">capability </w:t>
      </w:r>
      <w:r>
        <w:rPr>
          <w:sz w:val="24"/>
        </w:rPr>
        <w:t>that conditions</w:t>
      </w:r>
      <w:r>
        <w:rPr>
          <w:spacing w:val="-4"/>
          <w:sz w:val="24"/>
        </w:rPr>
        <w:t xml:space="preserve"> </w:t>
      </w:r>
      <w:r>
        <w:rPr>
          <w:sz w:val="24"/>
        </w:rPr>
        <w:t>the</w:t>
      </w:r>
      <w:r>
        <w:rPr>
          <w:spacing w:val="-3"/>
          <w:sz w:val="24"/>
        </w:rPr>
        <w:t xml:space="preserve"> </w:t>
      </w:r>
      <w:r>
        <w:rPr>
          <w:sz w:val="24"/>
        </w:rPr>
        <w:t>effectiveness</w:t>
      </w:r>
      <w:r>
        <w:rPr>
          <w:spacing w:val="-4"/>
          <w:sz w:val="24"/>
        </w:rPr>
        <w:t xml:space="preserve"> </w:t>
      </w:r>
      <w:r>
        <w:rPr>
          <w:sz w:val="24"/>
        </w:rPr>
        <w:t>of</w:t>
      </w:r>
      <w:r>
        <w:rPr>
          <w:spacing w:val="-5"/>
          <w:sz w:val="24"/>
        </w:rPr>
        <w:t xml:space="preserve"> </w:t>
      </w:r>
      <w:r>
        <w:rPr>
          <w:sz w:val="24"/>
        </w:rPr>
        <w:t xml:space="preserve">MO </w:t>
      </w:r>
      <w:r>
        <w:rPr>
          <w:spacing w:val="-2"/>
          <w:sz w:val="24"/>
        </w:rPr>
        <w:t>dimensions. This</w:t>
      </w:r>
      <w:r>
        <w:rPr>
          <w:spacing w:val="-4"/>
          <w:sz w:val="24"/>
        </w:rPr>
        <w:t xml:space="preserve"> </w:t>
      </w:r>
      <w:r>
        <w:rPr>
          <w:spacing w:val="-2"/>
          <w:sz w:val="24"/>
        </w:rPr>
        <w:t>theoretical</w:t>
      </w:r>
      <w:r>
        <w:rPr>
          <w:spacing w:val="-6"/>
          <w:sz w:val="24"/>
        </w:rPr>
        <w:t xml:space="preserve"> </w:t>
      </w:r>
      <w:r>
        <w:rPr>
          <w:spacing w:val="-2"/>
          <w:sz w:val="24"/>
        </w:rPr>
        <w:t>synthesis</w:t>
      </w:r>
      <w:r>
        <w:rPr>
          <w:spacing w:val="-4"/>
          <w:sz w:val="24"/>
        </w:rPr>
        <w:t xml:space="preserve"> </w:t>
      </w:r>
      <w:r>
        <w:rPr>
          <w:spacing w:val="-2"/>
          <w:sz w:val="24"/>
        </w:rPr>
        <w:t>supports</w:t>
      </w:r>
      <w:r>
        <w:rPr>
          <w:spacing w:val="-4"/>
          <w:sz w:val="24"/>
        </w:rPr>
        <w:t xml:space="preserve"> </w:t>
      </w:r>
      <w:r>
        <w:rPr>
          <w:spacing w:val="-2"/>
          <w:sz w:val="24"/>
        </w:rPr>
        <w:t xml:space="preserve">a contingent view where sustained competitiveness </w:t>
      </w:r>
      <w:r>
        <w:rPr>
          <w:sz w:val="24"/>
        </w:rPr>
        <w:t>depends not only on market sensing and responding but also on the firm’s ability to adapt its resource base</w:t>
      </w:r>
      <w:r>
        <w:rPr>
          <w:sz w:val="24"/>
        </w:rPr>
        <w:t xml:space="preserve"> and operational logic within a regulated procurement system.</w:t>
      </w:r>
    </w:p>
    <w:p w:rsidR="00487D64" w:rsidRDefault="00487D64">
      <w:pPr>
        <w:pStyle w:val="BodyText"/>
        <w:spacing w:before="10"/>
        <w:rPr>
          <w:sz w:val="24"/>
        </w:rPr>
      </w:pPr>
    </w:p>
    <w:p w:rsidR="00487D64" w:rsidRDefault="006F0D93">
      <w:pPr>
        <w:pStyle w:val="ListParagraph"/>
        <w:numPr>
          <w:ilvl w:val="1"/>
          <w:numId w:val="3"/>
        </w:numPr>
        <w:tabs>
          <w:tab w:val="left" w:pos="529"/>
        </w:tabs>
        <w:spacing w:line="275" w:lineRule="exact"/>
        <w:ind w:hanging="364"/>
        <w:jc w:val="both"/>
        <w:rPr>
          <w:b/>
          <w:sz w:val="24"/>
        </w:rPr>
      </w:pPr>
      <w:r>
        <w:rPr>
          <w:b/>
          <w:sz w:val="24"/>
        </w:rPr>
        <w:t>Empirical</w:t>
      </w:r>
      <w:r>
        <w:rPr>
          <w:b/>
          <w:spacing w:val="-8"/>
          <w:sz w:val="24"/>
        </w:rPr>
        <w:t xml:space="preserve"> </w:t>
      </w:r>
      <w:r>
        <w:rPr>
          <w:b/>
          <w:sz w:val="24"/>
        </w:rPr>
        <w:t>literature</w:t>
      </w:r>
      <w:r>
        <w:rPr>
          <w:b/>
          <w:spacing w:val="1"/>
          <w:sz w:val="24"/>
        </w:rPr>
        <w:t xml:space="preserve"> </w:t>
      </w:r>
      <w:r>
        <w:rPr>
          <w:b/>
          <w:sz w:val="24"/>
        </w:rPr>
        <w:t>review</w:t>
      </w:r>
      <w:r>
        <w:rPr>
          <w:b/>
          <w:spacing w:val="-4"/>
          <w:sz w:val="24"/>
        </w:rPr>
        <w:t xml:space="preserve"> </w:t>
      </w:r>
      <w:r>
        <w:rPr>
          <w:b/>
          <w:sz w:val="24"/>
        </w:rPr>
        <w:t>and</w:t>
      </w:r>
      <w:r>
        <w:rPr>
          <w:b/>
          <w:spacing w:val="-3"/>
          <w:sz w:val="24"/>
        </w:rPr>
        <w:t xml:space="preserve"> </w:t>
      </w:r>
      <w:r>
        <w:rPr>
          <w:b/>
          <w:sz w:val="24"/>
        </w:rPr>
        <w:t>Hypothesis</w:t>
      </w:r>
      <w:r>
        <w:rPr>
          <w:b/>
          <w:spacing w:val="-9"/>
          <w:sz w:val="24"/>
        </w:rPr>
        <w:t xml:space="preserve"> </w:t>
      </w:r>
      <w:r>
        <w:rPr>
          <w:b/>
          <w:spacing w:val="-2"/>
          <w:sz w:val="24"/>
        </w:rPr>
        <w:t>Development</w:t>
      </w:r>
    </w:p>
    <w:p w:rsidR="00487D64" w:rsidRDefault="006F0D93">
      <w:pPr>
        <w:pStyle w:val="ListParagraph"/>
        <w:numPr>
          <w:ilvl w:val="2"/>
          <w:numId w:val="3"/>
        </w:numPr>
        <w:tabs>
          <w:tab w:val="left" w:pos="706"/>
        </w:tabs>
        <w:spacing w:line="274" w:lineRule="exact"/>
        <w:ind w:left="706" w:hanging="541"/>
        <w:jc w:val="both"/>
        <w:rPr>
          <w:b/>
          <w:sz w:val="24"/>
        </w:rPr>
      </w:pPr>
      <w:bookmarkStart w:id="261" w:name="2.2.1_Customer_Orientation_and_Sustainab"/>
      <w:bookmarkEnd w:id="261"/>
      <w:r>
        <w:rPr>
          <w:b/>
          <w:sz w:val="24"/>
        </w:rPr>
        <w:t>Customer</w:t>
      </w:r>
      <w:r>
        <w:rPr>
          <w:b/>
          <w:spacing w:val="-6"/>
          <w:sz w:val="24"/>
        </w:rPr>
        <w:t xml:space="preserve"> </w:t>
      </w:r>
      <w:r>
        <w:rPr>
          <w:b/>
          <w:sz w:val="24"/>
        </w:rPr>
        <w:t>Orientation</w:t>
      </w:r>
      <w:r>
        <w:rPr>
          <w:b/>
          <w:spacing w:val="1"/>
          <w:sz w:val="24"/>
        </w:rPr>
        <w:t xml:space="preserve"> </w:t>
      </w:r>
      <w:r>
        <w:rPr>
          <w:b/>
          <w:sz w:val="24"/>
        </w:rPr>
        <w:t>and</w:t>
      </w:r>
      <w:r>
        <w:rPr>
          <w:b/>
          <w:spacing w:val="-4"/>
          <w:sz w:val="24"/>
        </w:rPr>
        <w:t xml:space="preserve"> </w:t>
      </w:r>
      <w:r>
        <w:rPr>
          <w:b/>
          <w:sz w:val="24"/>
        </w:rPr>
        <w:t xml:space="preserve">Sustainable </w:t>
      </w:r>
      <w:r>
        <w:rPr>
          <w:b/>
          <w:spacing w:val="-2"/>
          <w:sz w:val="24"/>
        </w:rPr>
        <w:t>Competitiveness</w:t>
      </w:r>
    </w:p>
    <w:p w:rsidR="00487D64" w:rsidRDefault="006F0D93">
      <w:pPr>
        <w:ind w:left="165" w:right="160"/>
        <w:jc w:val="both"/>
        <w:rPr>
          <w:b/>
          <w:sz w:val="24"/>
        </w:rPr>
      </w:pPr>
      <w:r>
        <w:rPr>
          <w:sz w:val="24"/>
        </w:rPr>
        <w:t>Empirical</w:t>
      </w:r>
      <w:r>
        <w:rPr>
          <w:spacing w:val="-15"/>
          <w:sz w:val="24"/>
        </w:rPr>
        <w:t xml:space="preserve"> </w:t>
      </w:r>
      <w:r>
        <w:rPr>
          <w:sz w:val="24"/>
        </w:rPr>
        <w:t>studies</w:t>
      </w:r>
      <w:r>
        <w:rPr>
          <w:spacing w:val="-15"/>
          <w:sz w:val="24"/>
        </w:rPr>
        <w:t xml:space="preserve"> </w:t>
      </w:r>
      <w:r>
        <w:rPr>
          <w:sz w:val="24"/>
        </w:rPr>
        <w:t>consistently</w:t>
      </w:r>
      <w:r>
        <w:rPr>
          <w:spacing w:val="-15"/>
          <w:sz w:val="24"/>
        </w:rPr>
        <w:t xml:space="preserve"> </w:t>
      </w:r>
      <w:r>
        <w:rPr>
          <w:sz w:val="24"/>
        </w:rPr>
        <w:t>affirm</w:t>
      </w:r>
      <w:r>
        <w:rPr>
          <w:spacing w:val="-15"/>
          <w:sz w:val="24"/>
        </w:rPr>
        <w:t xml:space="preserve"> </w:t>
      </w:r>
      <w:r>
        <w:rPr>
          <w:sz w:val="24"/>
        </w:rPr>
        <w:t>the</w:t>
      </w:r>
      <w:r>
        <w:rPr>
          <w:spacing w:val="-15"/>
          <w:sz w:val="24"/>
        </w:rPr>
        <w:t xml:space="preserve"> </w:t>
      </w:r>
      <w:r>
        <w:rPr>
          <w:sz w:val="24"/>
        </w:rPr>
        <w:t>strategic</w:t>
      </w:r>
      <w:r>
        <w:rPr>
          <w:spacing w:val="-15"/>
          <w:sz w:val="24"/>
        </w:rPr>
        <w:t xml:space="preserve"> </w:t>
      </w:r>
      <w:r>
        <w:rPr>
          <w:sz w:val="24"/>
        </w:rPr>
        <w:t>importance</w:t>
      </w:r>
      <w:r>
        <w:rPr>
          <w:spacing w:val="-15"/>
          <w:sz w:val="24"/>
        </w:rPr>
        <w:t xml:space="preserve"> </w:t>
      </w:r>
      <w:r>
        <w:rPr>
          <w:sz w:val="24"/>
        </w:rPr>
        <w:t>of</w:t>
      </w:r>
      <w:r>
        <w:rPr>
          <w:spacing w:val="-15"/>
          <w:sz w:val="24"/>
        </w:rPr>
        <w:t xml:space="preserve"> </w:t>
      </w:r>
      <w:r>
        <w:rPr>
          <w:sz w:val="24"/>
        </w:rPr>
        <w:t>customer</w:t>
      </w:r>
      <w:r>
        <w:rPr>
          <w:spacing w:val="-15"/>
          <w:sz w:val="24"/>
        </w:rPr>
        <w:t xml:space="preserve"> </w:t>
      </w:r>
      <w:r>
        <w:rPr>
          <w:sz w:val="24"/>
        </w:rPr>
        <w:t>orientation</w:t>
      </w:r>
      <w:r>
        <w:rPr>
          <w:spacing w:val="-15"/>
          <w:sz w:val="24"/>
        </w:rPr>
        <w:t xml:space="preserve"> </w:t>
      </w:r>
      <w:r>
        <w:rPr>
          <w:sz w:val="24"/>
        </w:rPr>
        <w:t>in</w:t>
      </w:r>
      <w:r>
        <w:rPr>
          <w:spacing w:val="-15"/>
          <w:sz w:val="24"/>
        </w:rPr>
        <w:t xml:space="preserve"> </w:t>
      </w:r>
      <w:r>
        <w:rPr>
          <w:sz w:val="24"/>
        </w:rPr>
        <w:t>enhancing firm</w:t>
      </w:r>
      <w:r>
        <w:rPr>
          <w:spacing w:val="-15"/>
          <w:sz w:val="24"/>
        </w:rPr>
        <w:t xml:space="preserve"> </w:t>
      </w:r>
      <w:r>
        <w:rPr>
          <w:sz w:val="24"/>
        </w:rPr>
        <w:t>competitiveness,</w:t>
      </w:r>
      <w:r>
        <w:rPr>
          <w:spacing w:val="-15"/>
          <w:sz w:val="24"/>
        </w:rPr>
        <w:t xml:space="preserve"> </w:t>
      </w:r>
      <w:r>
        <w:rPr>
          <w:sz w:val="24"/>
        </w:rPr>
        <w:t>particularly</w:t>
      </w:r>
      <w:r>
        <w:rPr>
          <w:spacing w:val="-15"/>
          <w:sz w:val="24"/>
        </w:rPr>
        <w:t xml:space="preserve"> </w:t>
      </w:r>
      <w:r>
        <w:rPr>
          <w:sz w:val="24"/>
        </w:rPr>
        <w:t>in</w:t>
      </w:r>
      <w:r>
        <w:rPr>
          <w:spacing w:val="-15"/>
          <w:sz w:val="24"/>
        </w:rPr>
        <w:t xml:space="preserve"> </w:t>
      </w:r>
      <w:r>
        <w:rPr>
          <w:sz w:val="24"/>
        </w:rPr>
        <w:t>dynamic</w:t>
      </w:r>
      <w:r>
        <w:rPr>
          <w:spacing w:val="-15"/>
          <w:sz w:val="24"/>
        </w:rPr>
        <w:t xml:space="preserve"> </w:t>
      </w:r>
      <w:r>
        <w:rPr>
          <w:sz w:val="24"/>
        </w:rPr>
        <w:t>and</w:t>
      </w:r>
      <w:r>
        <w:rPr>
          <w:spacing w:val="-15"/>
          <w:sz w:val="24"/>
        </w:rPr>
        <w:t xml:space="preserve"> </w:t>
      </w:r>
      <w:r>
        <w:rPr>
          <w:sz w:val="24"/>
        </w:rPr>
        <w:t>service-driven</w:t>
      </w:r>
      <w:r>
        <w:rPr>
          <w:spacing w:val="-15"/>
          <w:sz w:val="24"/>
        </w:rPr>
        <w:t xml:space="preserve"> </w:t>
      </w:r>
      <w:r>
        <w:rPr>
          <w:sz w:val="24"/>
        </w:rPr>
        <w:t>sectors.</w:t>
      </w:r>
      <w:r>
        <w:rPr>
          <w:spacing w:val="-15"/>
          <w:sz w:val="24"/>
        </w:rPr>
        <w:t xml:space="preserve"> </w:t>
      </w:r>
      <w:r>
        <w:rPr>
          <w:sz w:val="24"/>
        </w:rPr>
        <w:t>Bankole,</w:t>
      </w:r>
      <w:r>
        <w:rPr>
          <w:spacing w:val="-15"/>
          <w:sz w:val="24"/>
        </w:rPr>
        <w:t xml:space="preserve"> </w:t>
      </w:r>
      <w:r>
        <w:rPr>
          <w:sz w:val="24"/>
        </w:rPr>
        <w:t>(2022),</w:t>
      </w:r>
      <w:r>
        <w:rPr>
          <w:spacing w:val="-15"/>
          <w:sz w:val="24"/>
        </w:rPr>
        <w:t xml:space="preserve"> </w:t>
      </w:r>
      <w:r>
        <w:rPr>
          <w:sz w:val="24"/>
        </w:rPr>
        <w:t>through a</w:t>
      </w:r>
      <w:r>
        <w:rPr>
          <w:spacing w:val="-11"/>
          <w:sz w:val="24"/>
        </w:rPr>
        <w:t xml:space="preserve"> </w:t>
      </w:r>
      <w:r>
        <w:rPr>
          <w:sz w:val="24"/>
        </w:rPr>
        <w:t>quantitative</w:t>
      </w:r>
      <w:r>
        <w:rPr>
          <w:spacing w:val="-9"/>
          <w:sz w:val="24"/>
        </w:rPr>
        <w:t xml:space="preserve"> </w:t>
      </w:r>
      <w:r>
        <w:rPr>
          <w:sz w:val="24"/>
        </w:rPr>
        <w:t>survey</w:t>
      </w:r>
      <w:r>
        <w:rPr>
          <w:spacing w:val="-15"/>
          <w:sz w:val="24"/>
        </w:rPr>
        <w:t xml:space="preserve"> </w:t>
      </w:r>
      <w:r>
        <w:rPr>
          <w:sz w:val="24"/>
        </w:rPr>
        <w:t>of</w:t>
      </w:r>
      <w:r>
        <w:rPr>
          <w:spacing w:val="-15"/>
          <w:sz w:val="24"/>
        </w:rPr>
        <w:t xml:space="preserve"> </w:t>
      </w:r>
      <w:r>
        <w:rPr>
          <w:sz w:val="24"/>
        </w:rPr>
        <w:t>311</w:t>
      </w:r>
      <w:r>
        <w:rPr>
          <w:spacing w:val="-8"/>
          <w:sz w:val="24"/>
        </w:rPr>
        <w:t xml:space="preserve"> </w:t>
      </w:r>
      <w:r>
        <w:rPr>
          <w:sz w:val="24"/>
        </w:rPr>
        <w:t>Nigerian</w:t>
      </w:r>
      <w:r>
        <w:rPr>
          <w:spacing w:val="-13"/>
          <w:sz w:val="24"/>
        </w:rPr>
        <w:t xml:space="preserve"> </w:t>
      </w:r>
      <w:r>
        <w:rPr>
          <w:sz w:val="24"/>
        </w:rPr>
        <w:t>service</w:t>
      </w:r>
      <w:r>
        <w:rPr>
          <w:spacing w:val="-5"/>
          <w:sz w:val="24"/>
        </w:rPr>
        <w:t xml:space="preserve"> </w:t>
      </w:r>
      <w:r>
        <w:rPr>
          <w:sz w:val="24"/>
        </w:rPr>
        <w:t>firms,</w:t>
      </w:r>
      <w:r>
        <w:rPr>
          <w:spacing w:val="-2"/>
          <w:sz w:val="24"/>
        </w:rPr>
        <w:t xml:space="preserve"> </w:t>
      </w:r>
      <w:r>
        <w:rPr>
          <w:sz w:val="24"/>
        </w:rPr>
        <w:t>demonstrated</w:t>
      </w:r>
      <w:r>
        <w:rPr>
          <w:spacing w:val="-15"/>
          <w:sz w:val="24"/>
        </w:rPr>
        <w:t xml:space="preserve"> </w:t>
      </w:r>
      <w:r>
        <w:rPr>
          <w:sz w:val="24"/>
        </w:rPr>
        <w:t>that</w:t>
      </w:r>
      <w:r>
        <w:rPr>
          <w:spacing w:val="-7"/>
          <w:sz w:val="24"/>
        </w:rPr>
        <w:t xml:space="preserve"> </w:t>
      </w:r>
      <w:r>
        <w:rPr>
          <w:sz w:val="24"/>
        </w:rPr>
        <w:t>firms</w:t>
      </w:r>
      <w:r>
        <w:rPr>
          <w:spacing w:val="-10"/>
          <w:sz w:val="24"/>
        </w:rPr>
        <w:t xml:space="preserve"> </w:t>
      </w:r>
      <w:r>
        <w:rPr>
          <w:sz w:val="24"/>
        </w:rPr>
        <w:t>with</w:t>
      </w:r>
      <w:r>
        <w:rPr>
          <w:spacing w:val="-13"/>
          <w:sz w:val="24"/>
        </w:rPr>
        <w:t xml:space="preserve"> </w:t>
      </w:r>
      <w:r>
        <w:rPr>
          <w:sz w:val="24"/>
        </w:rPr>
        <w:t>robust</w:t>
      </w:r>
      <w:r>
        <w:rPr>
          <w:spacing w:val="-7"/>
          <w:sz w:val="24"/>
        </w:rPr>
        <w:t xml:space="preserve"> </w:t>
      </w:r>
      <w:r>
        <w:rPr>
          <w:sz w:val="24"/>
        </w:rPr>
        <w:t>customer- centric strategies achieved highe</w:t>
      </w:r>
      <w:r>
        <w:rPr>
          <w:sz w:val="24"/>
        </w:rPr>
        <w:t xml:space="preserve">r levels of customer loyalty and market differentiation, which translated into sustainable competitive advantage. Similarly, Tunc (2020) found that Turkish SMEs that prioritized customer needs reported significant improvements in market share and customer </w:t>
      </w:r>
      <w:r>
        <w:rPr>
          <w:sz w:val="24"/>
        </w:rPr>
        <w:t>satisfaction, reinforcing their competitive positioning. In the context of developing economies, Tseng et al. (2018) emphasized that aligning firm strategies with evolving customer expectations enables SMEs to respond effectively</w:t>
      </w:r>
      <w:r>
        <w:rPr>
          <w:spacing w:val="-1"/>
          <w:sz w:val="24"/>
        </w:rPr>
        <w:t xml:space="preserve"> </w:t>
      </w:r>
      <w:r>
        <w:rPr>
          <w:sz w:val="24"/>
        </w:rPr>
        <w:t>to market volatility</w:t>
      </w:r>
      <w:r>
        <w:rPr>
          <w:spacing w:val="-1"/>
          <w:sz w:val="24"/>
        </w:rPr>
        <w:t xml:space="preserve"> </w:t>
      </w:r>
      <w:r>
        <w:rPr>
          <w:sz w:val="24"/>
        </w:rPr>
        <w:t>and i</w:t>
      </w:r>
      <w:r>
        <w:rPr>
          <w:sz w:val="24"/>
        </w:rPr>
        <w:t>nstitutional</w:t>
      </w:r>
      <w:r>
        <w:rPr>
          <w:spacing w:val="-6"/>
          <w:sz w:val="24"/>
        </w:rPr>
        <w:t xml:space="preserve"> </w:t>
      </w:r>
      <w:r>
        <w:rPr>
          <w:sz w:val="24"/>
        </w:rPr>
        <w:t>pressures. These findings collectively suggest that customer orientation fosters adaptability, value creation, and client trust critical elements for SMEs navigating procurement systems. However, most existing studies have not examined this re</w:t>
      </w:r>
      <w:r>
        <w:rPr>
          <w:sz w:val="24"/>
        </w:rPr>
        <w:t>lationship within public procurement environments, where compliance and regulatory constraints may influence how customer orientation translates into</w:t>
      </w:r>
      <w:r>
        <w:rPr>
          <w:spacing w:val="-4"/>
          <w:sz w:val="24"/>
        </w:rPr>
        <w:t xml:space="preserve"> </w:t>
      </w:r>
      <w:r>
        <w:rPr>
          <w:sz w:val="24"/>
        </w:rPr>
        <w:t>competitive</w:t>
      </w:r>
      <w:r>
        <w:rPr>
          <w:spacing w:val="-10"/>
          <w:sz w:val="24"/>
        </w:rPr>
        <w:t xml:space="preserve"> </w:t>
      </w:r>
      <w:r>
        <w:rPr>
          <w:sz w:val="24"/>
        </w:rPr>
        <w:t>advantage.</w:t>
      </w:r>
      <w:r>
        <w:rPr>
          <w:spacing w:val="-5"/>
          <w:sz w:val="24"/>
        </w:rPr>
        <w:t xml:space="preserve"> </w:t>
      </w:r>
      <w:r>
        <w:rPr>
          <w:b/>
          <w:sz w:val="24"/>
        </w:rPr>
        <w:t>H1:</w:t>
      </w:r>
      <w:r>
        <w:rPr>
          <w:b/>
          <w:spacing w:val="-12"/>
          <w:sz w:val="24"/>
        </w:rPr>
        <w:t xml:space="preserve"> </w:t>
      </w:r>
      <w:r>
        <w:rPr>
          <w:b/>
          <w:sz w:val="24"/>
        </w:rPr>
        <w:t>Customer</w:t>
      </w:r>
      <w:r>
        <w:rPr>
          <w:b/>
          <w:spacing w:val="-14"/>
          <w:sz w:val="24"/>
        </w:rPr>
        <w:t xml:space="preserve"> </w:t>
      </w:r>
      <w:r>
        <w:rPr>
          <w:b/>
          <w:sz w:val="24"/>
        </w:rPr>
        <w:t>orientation</w:t>
      </w:r>
      <w:r>
        <w:rPr>
          <w:b/>
          <w:spacing w:val="-12"/>
          <w:sz w:val="24"/>
        </w:rPr>
        <w:t xml:space="preserve"> </w:t>
      </w:r>
      <w:r>
        <w:rPr>
          <w:b/>
          <w:sz w:val="24"/>
        </w:rPr>
        <w:t>is</w:t>
      </w:r>
      <w:r>
        <w:rPr>
          <w:b/>
          <w:spacing w:val="-11"/>
          <w:sz w:val="24"/>
        </w:rPr>
        <w:t xml:space="preserve"> </w:t>
      </w:r>
      <w:r>
        <w:rPr>
          <w:b/>
          <w:sz w:val="24"/>
        </w:rPr>
        <w:t>positively</w:t>
      </w:r>
      <w:r>
        <w:rPr>
          <w:b/>
          <w:spacing w:val="-9"/>
          <w:sz w:val="24"/>
        </w:rPr>
        <w:t xml:space="preserve"> </w:t>
      </w:r>
      <w:r>
        <w:rPr>
          <w:b/>
          <w:sz w:val="24"/>
        </w:rPr>
        <w:t>and</w:t>
      </w:r>
      <w:r>
        <w:rPr>
          <w:b/>
          <w:spacing w:val="-13"/>
          <w:sz w:val="24"/>
        </w:rPr>
        <w:t xml:space="preserve"> </w:t>
      </w:r>
      <w:r>
        <w:rPr>
          <w:b/>
          <w:sz w:val="24"/>
        </w:rPr>
        <w:t>significantly</w:t>
      </w:r>
      <w:r>
        <w:rPr>
          <w:b/>
          <w:spacing w:val="-9"/>
          <w:sz w:val="24"/>
        </w:rPr>
        <w:t xml:space="preserve"> </w:t>
      </w:r>
      <w:r>
        <w:rPr>
          <w:b/>
          <w:sz w:val="24"/>
        </w:rPr>
        <w:t>related</w:t>
      </w:r>
      <w:r>
        <w:rPr>
          <w:b/>
          <w:spacing w:val="-8"/>
          <w:sz w:val="24"/>
        </w:rPr>
        <w:t xml:space="preserve"> </w:t>
      </w:r>
      <w:r>
        <w:rPr>
          <w:b/>
          <w:sz w:val="24"/>
        </w:rPr>
        <w:t>to sustainable competitiveness among special group SMEs in public procurement.</w:t>
      </w:r>
    </w:p>
    <w:p w:rsidR="00487D64" w:rsidRDefault="00487D64">
      <w:pPr>
        <w:pStyle w:val="BodyText"/>
        <w:spacing w:before="5"/>
        <w:rPr>
          <w:b/>
          <w:sz w:val="24"/>
        </w:rPr>
      </w:pPr>
    </w:p>
    <w:p w:rsidR="00487D64" w:rsidRDefault="006F0D93">
      <w:pPr>
        <w:pStyle w:val="ListParagraph"/>
        <w:numPr>
          <w:ilvl w:val="2"/>
          <w:numId w:val="3"/>
        </w:numPr>
        <w:tabs>
          <w:tab w:val="left" w:pos="706"/>
        </w:tabs>
        <w:spacing w:line="272" w:lineRule="exact"/>
        <w:ind w:left="706" w:hanging="541"/>
        <w:jc w:val="both"/>
        <w:rPr>
          <w:b/>
          <w:sz w:val="24"/>
        </w:rPr>
      </w:pPr>
      <w:bookmarkStart w:id="262" w:name="2.2.2_Competitor_Orientation_and_Sustain"/>
      <w:bookmarkEnd w:id="262"/>
      <w:r>
        <w:rPr>
          <w:b/>
          <w:sz w:val="24"/>
        </w:rPr>
        <w:t>Competitor</w:t>
      </w:r>
      <w:r>
        <w:rPr>
          <w:b/>
          <w:spacing w:val="-8"/>
          <w:sz w:val="24"/>
        </w:rPr>
        <w:t xml:space="preserve"> </w:t>
      </w:r>
      <w:r>
        <w:rPr>
          <w:b/>
          <w:sz w:val="24"/>
        </w:rPr>
        <w:t>Orientation and</w:t>
      </w:r>
      <w:r>
        <w:rPr>
          <w:b/>
          <w:spacing w:val="-5"/>
          <w:sz w:val="24"/>
        </w:rPr>
        <w:t xml:space="preserve"> </w:t>
      </w:r>
      <w:r>
        <w:rPr>
          <w:b/>
          <w:sz w:val="24"/>
        </w:rPr>
        <w:t>Sustainable</w:t>
      </w:r>
      <w:r>
        <w:rPr>
          <w:b/>
          <w:spacing w:val="-2"/>
          <w:sz w:val="24"/>
        </w:rPr>
        <w:t xml:space="preserve"> Competitiveness</w:t>
      </w:r>
    </w:p>
    <w:p w:rsidR="00487D64" w:rsidRDefault="006F0D93">
      <w:pPr>
        <w:ind w:left="165" w:right="160"/>
        <w:jc w:val="both"/>
        <w:rPr>
          <w:sz w:val="24"/>
        </w:rPr>
      </w:pPr>
      <w:r>
        <w:rPr>
          <w:sz w:val="24"/>
        </w:rPr>
        <w:t>Competitor orientation, a core element of market orientation, reflects a firm’s ability to monitor and respond to rivals’</w:t>
      </w:r>
      <w:r>
        <w:rPr>
          <w:sz w:val="24"/>
        </w:rPr>
        <w:t xml:space="preserve"> strategies and actions (Narver &amp; Slater, 1990). In regulated contexts like public</w:t>
      </w:r>
      <w:r>
        <w:rPr>
          <w:spacing w:val="-15"/>
          <w:sz w:val="24"/>
        </w:rPr>
        <w:t xml:space="preserve"> </w:t>
      </w:r>
      <w:r>
        <w:rPr>
          <w:sz w:val="24"/>
        </w:rPr>
        <w:t>procurement,</w:t>
      </w:r>
      <w:r>
        <w:rPr>
          <w:spacing w:val="-15"/>
          <w:sz w:val="24"/>
        </w:rPr>
        <w:t xml:space="preserve"> </w:t>
      </w:r>
      <w:r>
        <w:rPr>
          <w:sz w:val="24"/>
        </w:rPr>
        <w:t>this</w:t>
      </w:r>
      <w:r>
        <w:rPr>
          <w:spacing w:val="-15"/>
          <w:sz w:val="24"/>
        </w:rPr>
        <w:t xml:space="preserve"> </w:t>
      </w:r>
      <w:r>
        <w:rPr>
          <w:sz w:val="24"/>
        </w:rPr>
        <w:t>capability</w:t>
      </w:r>
      <w:r>
        <w:rPr>
          <w:spacing w:val="-15"/>
          <w:sz w:val="24"/>
        </w:rPr>
        <w:t xml:space="preserve"> </w:t>
      </w:r>
      <w:r>
        <w:rPr>
          <w:sz w:val="24"/>
        </w:rPr>
        <w:t>helps</w:t>
      </w:r>
      <w:r>
        <w:rPr>
          <w:spacing w:val="-15"/>
          <w:sz w:val="24"/>
        </w:rPr>
        <w:t xml:space="preserve"> </w:t>
      </w:r>
      <w:r>
        <w:rPr>
          <w:sz w:val="24"/>
        </w:rPr>
        <w:t>SMEs,</w:t>
      </w:r>
      <w:r>
        <w:rPr>
          <w:spacing w:val="-15"/>
          <w:sz w:val="24"/>
        </w:rPr>
        <w:t xml:space="preserve"> </w:t>
      </w:r>
      <w:r>
        <w:rPr>
          <w:sz w:val="24"/>
        </w:rPr>
        <w:t>particularly</w:t>
      </w:r>
      <w:r>
        <w:rPr>
          <w:spacing w:val="-15"/>
          <w:sz w:val="24"/>
        </w:rPr>
        <w:t xml:space="preserve"> </w:t>
      </w:r>
      <w:r>
        <w:rPr>
          <w:sz w:val="24"/>
        </w:rPr>
        <w:t>special</w:t>
      </w:r>
      <w:r>
        <w:rPr>
          <w:spacing w:val="-15"/>
          <w:sz w:val="24"/>
        </w:rPr>
        <w:t xml:space="preserve"> </w:t>
      </w:r>
      <w:r>
        <w:rPr>
          <w:sz w:val="24"/>
        </w:rPr>
        <w:t>group</w:t>
      </w:r>
      <w:r>
        <w:rPr>
          <w:spacing w:val="-15"/>
          <w:sz w:val="24"/>
        </w:rPr>
        <w:t xml:space="preserve"> </w:t>
      </w:r>
      <w:r>
        <w:rPr>
          <w:sz w:val="24"/>
        </w:rPr>
        <w:t>SMEs,</w:t>
      </w:r>
      <w:r>
        <w:rPr>
          <w:spacing w:val="-15"/>
          <w:sz w:val="24"/>
        </w:rPr>
        <w:t xml:space="preserve"> </w:t>
      </w:r>
      <w:r>
        <w:rPr>
          <w:sz w:val="24"/>
        </w:rPr>
        <w:t>improve</w:t>
      </w:r>
      <w:r>
        <w:rPr>
          <w:spacing w:val="-15"/>
          <w:sz w:val="24"/>
        </w:rPr>
        <w:t xml:space="preserve"> </w:t>
      </w:r>
      <w:r>
        <w:rPr>
          <w:sz w:val="24"/>
        </w:rPr>
        <w:t>bidding strategies,</w:t>
      </w:r>
      <w:r>
        <w:rPr>
          <w:spacing w:val="-15"/>
          <w:sz w:val="24"/>
        </w:rPr>
        <w:t xml:space="preserve"> </w:t>
      </w:r>
      <w:r>
        <w:rPr>
          <w:sz w:val="24"/>
        </w:rPr>
        <w:t>anticipate</w:t>
      </w:r>
      <w:r>
        <w:rPr>
          <w:spacing w:val="-15"/>
          <w:sz w:val="24"/>
        </w:rPr>
        <w:t xml:space="preserve"> </w:t>
      </w:r>
      <w:r>
        <w:rPr>
          <w:sz w:val="24"/>
        </w:rPr>
        <w:t>market</w:t>
      </w:r>
      <w:r>
        <w:rPr>
          <w:spacing w:val="-15"/>
          <w:sz w:val="24"/>
        </w:rPr>
        <w:t xml:space="preserve"> </w:t>
      </w:r>
      <w:r>
        <w:rPr>
          <w:sz w:val="24"/>
        </w:rPr>
        <w:t>changes,</w:t>
      </w:r>
      <w:r>
        <w:rPr>
          <w:spacing w:val="-15"/>
          <w:sz w:val="24"/>
        </w:rPr>
        <w:t xml:space="preserve"> </w:t>
      </w:r>
      <w:r>
        <w:rPr>
          <w:sz w:val="24"/>
        </w:rPr>
        <w:t>and</w:t>
      </w:r>
      <w:r>
        <w:rPr>
          <w:spacing w:val="-14"/>
          <w:sz w:val="24"/>
        </w:rPr>
        <w:t xml:space="preserve"> </w:t>
      </w:r>
      <w:r>
        <w:rPr>
          <w:sz w:val="24"/>
        </w:rPr>
        <w:t>ensure</w:t>
      </w:r>
      <w:r>
        <w:rPr>
          <w:spacing w:val="-15"/>
          <w:sz w:val="24"/>
        </w:rPr>
        <w:t xml:space="preserve"> </w:t>
      </w:r>
      <w:r>
        <w:rPr>
          <w:sz w:val="24"/>
        </w:rPr>
        <w:t>compliance.</w:t>
      </w:r>
      <w:r>
        <w:rPr>
          <w:spacing w:val="-12"/>
          <w:sz w:val="24"/>
        </w:rPr>
        <w:t xml:space="preserve"> </w:t>
      </w:r>
      <w:r>
        <w:rPr>
          <w:sz w:val="24"/>
        </w:rPr>
        <w:t>Empirical</w:t>
      </w:r>
      <w:r>
        <w:rPr>
          <w:spacing w:val="-15"/>
          <w:sz w:val="24"/>
        </w:rPr>
        <w:t xml:space="preserve"> </w:t>
      </w:r>
      <w:r>
        <w:rPr>
          <w:sz w:val="24"/>
        </w:rPr>
        <w:t>studies</w:t>
      </w:r>
      <w:r>
        <w:rPr>
          <w:spacing w:val="-15"/>
          <w:sz w:val="24"/>
        </w:rPr>
        <w:t xml:space="preserve"> </w:t>
      </w:r>
      <w:r>
        <w:rPr>
          <w:sz w:val="24"/>
        </w:rPr>
        <w:t>con</w:t>
      </w:r>
      <w:r>
        <w:rPr>
          <w:sz w:val="24"/>
        </w:rPr>
        <w:t>sistently</w:t>
      </w:r>
      <w:r>
        <w:rPr>
          <w:spacing w:val="-15"/>
          <w:sz w:val="24"/>
        </w:rPr>
        <w:t xml:space="preserve"> </w:t>
      </w:r>
      <w:r>
        <w:rPr>
          <w:sz w:val="24"/>
        </w:rPr>
        <w:t>report its positive influence on performance. For example, Crick (2021) found that competitor-oriented UK SMEs enhanced adaptability and contract success. Similarly, Asikhia (2009) confirmed its link to growth and market share among Nigerian SMEs</w:t>
      </w:r>
      <w:r>
        <w:rPr>
          <w:sz w:val="24"/>
        </w:rPr>
        <w:t>. Advanced analyses, such as Kim et al. (2022)</w:t>
      </w:r>
      <w:r>
        <w:rPr>
          <w:spacing w:val="40"/>
          <w:sz w:val="24"/>
        </w:rPr>
        <w:t xml:space="preserve"> </w:t>
      </w:r>
      <w:r>
        <w:rPr>
          <w:sz w:val="24"/>
        </w:rPr>
        <w:t>and</w:t>
      </w:r>
      <w:r>
        <w:rPr>
          <w:spacing w:val="40"/>
          <w:sz w:val="24"/>
        </w:rPr>
        <w:t xml:space="preserve"> </w:t>
      </w:r>
      <w:r>
        <w:rPr>
          <w:sz w:val="24"/>
        </w:rPr>
        <w:t>Lee</w:t>
      </w:r>
      <w:r>
        <w:rPr>
          <w:spacing w:val="40"/>
          <w:sz w:val="24"/>
        </w:rPr>
        <w:t xml:space="preserve"> </w:t>
      </w:r>
      <w:r>
        <w:rPr>
          <w:sz w:val="24"/>
        </w:rPr>
        <w:t>and</w:t>
      </w:r>
      <w:r>
        <w:rPr>
          <w:spacing w:val="40"/>
          <w:sz w:val="24"/>
        </w:rPr>
        <w:t xml:space="preserve"> </w:t>
      </w:r>
      <w:r>
        <w:rPr>
          <w:sz w:val="24"/>
        </w:rPr>
        <w:t>Wang</w:t>
      </w:r>
      <w:r>
        <w:rPr>
          <w:spacing w:val="40"/>
          <w:sz w:val="24"/>
        </w:rPr>
        <w:t xml:space="preserve"> </w:t>
      </w:r>
      <w:r>
        <w:rPr>
          <w:sz w:val="24"/>
        </w:rPr>
        <w:t>(2023),</w:t>
      </w:r>
      <w:r>
        <w:rPr>
          <w:spacing w:val="40"/>
          <w:sz w:val="24"/>
        </w:rPr>
        <w:t xml:space="preserve"> </w:t>
      </w:r>
      <w:r>
        <w:rPr>
          <w:sz w:val="24"/>
        </w:rPr>
        <w:t>revealed</w:t>
      </w:r>
      <w:r>
        <w:rPr>
          <w:spacing w:val="40"/>
          <w:sz w:val="24"/>
        </w:rPr>
        <w:t xml:space="preserve"> </w:t>
      </w:r>
      <w:r>
        <w:rPr>
          <w:sz w:val="24"/>
        </w:rPr>
        <w:t>that</w:t>
      </w:r>
      <w:r>
        <w:rPr>
          <w:spacing w:val="40"/>
          <w:sz w:val="24"/>
        </w:rPr>
        <w:t xml:space="preserve"> </w:t>
      </w:r>
      <w:r>
        <w:rPr>
          <w:sz w:val="24"/>
        </w:rPr>
        <w:t>competitor</w:t>
      </w:r>
      <w:r>
        <w:rPr>
          <w:spacing w:val="40"/>
          <w:sz w:val="24"/>
        </w:rPr>
        <w:t xml:space="preserve"> </w:t>
      </w:r>
      <w:r>
        <w:rPr>
          <w:sz w:val="24"/>
        </w:rPr>
        <w:t>orientation</w:t>
      </w:r>
      <w:r>
        <w:rPr>
          <w:spacing w:val="40"/>
          <w:sz w:val="24"/>
        </w:rPr>
        <w:t xml:space="preserve"> </w:t>
      </w:r>
      <w:r>
        <w:rPr>
          <w:sz w:val="24"/>
        </w:rPr>
        <w:t>strengthens</w:t>
      </w:r>
      <w:r>
        <w:rPr>
          <w:spacing w:val="40"/>
          <w:sz w:val="24"/>
        </w:rPr>
        <w:t xml:space="preserve"> </w:t>
      </w:r>
      <w:r>
        <w:rPr>
          <w:sz w:val="24"/>
        </w:rPr>
        <w:t>adaptive</w:t>
      </w:r>
    </w:p>
    <w:p w:rsidR="00487D64" w:rsidRDefault="006F0D93">
      <w:pPr>
        <w:pStyle w:val="BodyText"/>
        <w:spacing w:before="6"/>
        <w:rPr>
          <w:sz w:val="20"/>
        </w:rPr>
      </w:pPr>
      <w:r>
        <w:rPr>
          <w:noProof/>
          <w:sz w:val="20"/>
        </w:rPr>
        <mc:AlternateContent>
          <mc:Choice Requires="wps">
            <w:drawing>
              <wp:anchor distT="0" distB="0" distL="0" distR="0" simplePos="0" relativeHeight="487599616" behindDoc="1" locked="0" layoutInCell="1" allowOverlap="1">
                <wp:simplePos x="0" y="0"/>
                <wp:positionH relativeFrom="page">
                  <wp:posOffset>896416</wp:posOffset>
                </wp:positionH>
                <wp:positionV relativeFrom="paragraph">
                  <wp:posOffset>165087</wp:posOffset>
                </wp:positionV>
                <wp:extent cx="5982335" cy="55244"/>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7388AA8" id="Graphic 81" o:spid="_x0000_s1026" style="position:absolute;margin-left:70.6pt;margin-top:13pt;width:471.05pt;height:4.35pt;z-index:-15716864;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83" name="Graphic 83"/>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75D518FA" id="Group 82"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">
                <v:shape id="Graphic 83"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" path="m5982335,18288l,18288,,54864r5982335,l5982335,18288xem5982335,l,,,9144r5982335,l5982335,xe" fillcolor="#612322" stroked="f">
                  <v:path arrowok="t"/>
                </v:shape>
                <w10:anchorlock/>
              </v:group>
            </w:pict>
          </mc:Fallback>
        </mc:AlternateContent>
      </w:r>
    </w:p>
    <w:p w:rsidR="00487D64" w:rsidRDefault="006F0D93">
      <w:pPr>
        <w:ind w:left="165" w:right="169"/>
        <w:jc w:val="both"/>
        <w:rPr>
          <w:b/>
          <w:sz w:val="24"/>
        </w:rPr>
      </w:pPr>
      <w:r>
        <w:rPr>
          <w:sz w:val="24"/>
        </w:rPr>
        <w:t>capacity</w:t>
      </w:r>
      <w:r>
        <w:rPr>
          <w:spacing w:val="-2"/>
          <w:sz w:val="24"/>
        </w:rPr>
        <w:t xml:space="preserve"> </w:t>
      </w:r>
      <w:r>
        <w:rPr>
          <w:sz w:val="24"/>
        </w:rPr>
        <w:t xml:space="preserve">and stimulates innovation when integrated with knowledge systems. However, findings are context-dependent; Bekata and Kero (2025) reported no significant effect in Ethiopia, citing weak market intelligence systems. Overall, competitor orientation enhances </w:t>
      </w:r>
      <w:r>
        <w:rPr>
          <w:sz w:val="24"/>
        </w:rPr>
        <w:t xml:space="preserve">strategic agility and responsiveness, supporting Market Orientation Theory in driving sustainable competitiveness in Tanzania’s public procurement. </w:t>
      </w:r>
      <w:r>
        <w:rPr>
          <w:b/>
          <w:sz w:val="24"/>
        </w:rPr>
        <w:t>H2: Competitor orientation is positively and significantly related to sustainable competitiveness among spec</w:t>
      </w:r>
      <w:r>
        <w:rPr>
          <w:b/>
          <w:sz w:val="24"/>
        </w:rPr>
        <w:t>ial group SMEs in public procurement.</w:t>
      </w:r>
    </w:p>
    <w:p w:rsidR="00487D64" w:rsidRDefault="006F0D93">
      <w:pPr>
        <w:pStyle w:val="ListParagraph"/>
        <w:numPr>
          <w:ilvl w:val="2"/>
          <w:numId w:val="3"/>
        </w:numPr>
        <w:tabs>
          <w:tab w:val="left" w:pos="706"/>
        </w:tabs>
        <w:spacing w:before="272" w:line="275" w:lineRule="exact"/>
        <w:ind w:left="706" w:hanging="541"/>
        <w:jc w:val="both"/>
        <w:rPr>
          <w:b/>
          <w:sz w:val="24"/>
        </w:rPr>
      </w:pPr>
      <w:bookmarkStart w:id="263" w:name="2.2.3_Functional_Coordination_and_Sustai"/>
      <w:bookmarkEnd w:id="263"/>
      <w:r>
        <w:rPr>
          <w:b/>
          <w:sz w:val="24"/>
        </w:rPr>
        <w:t>Functional</w:t>
      </w:r>
      <w:r>
        <w:rPr>
          <w:b/>
          <w:spacing w:val="-8"/>
          <w:sz w:val="24"/>
        </w:rPr>
        <w:t xml:space="preserve"> </w:t>
      </w:r>
      <w:r>
        <w:rPr>
          <w:b/>
          <w:sz w:val="24"/>
        </w:rPr>
        <w:t>Coordination</w:t>
      </w:r>
      <w:r>
        <w:rPr>
          <w:b/>
          <w:spacing w:val="-2"/>
          <w:sz w:val="24"/>
        </w:rPr>
        <w:t xml:space="preserve"> </w:t>
      </w:r>
      <w:r>
        <w:rPr>
          <w:b/>
          <w:sz w:val="24"/>
        </w:rPr>
        <w:t>and</w:t>
      </w:r>
      <w:r>
        <w:rPr>
          <w:b/>
          <w:spacing w:val="-6"/>
          <w:sz w:val="24"/>
        </w:rPr>
        <w:t xml:space="preserve"> </w:t>
      </w:r>
      <w:r>
        <w:rPr>
          <w:b/>
          <w:sz w:val="24"/>
        </w:rPr>
        <w:t>Sustainable</w:t>
      </w:r>
      <w:r>
        <w:rPr>
          <w:b/>
          <w:spacing w:val="-3"/>
          <w:sz w:val="24"/>
        </w:rPr>
        <w:t xml:space="preserve"> </w:t>
      </w:r>
      <w:r>
        <w:rPr>
          <w:b/>
          <w:spacing w:val="-2"/>
          <w:sz w:val="24"/>
        </w:rPr>
        <w:t>Competitiveness</w:t>
      </w:r>
    </w:p>
    <w:p w:rsidR="00487D64" w:rsidRDefault="006F0D93">
      <w:pPr>
        <w:ind w:left="165" w:right="157"/>
        <w:jc w:val="both"/>
        <w:rPr>
          <w:b/>
          <w:sz w:val="24"/>
        </w:rPr>
      </w:pPr>
      <w:r>
        <w:rPr>
          <w:sz w:val="24"/>
        </w:rPr>
        <w:t>FC, or inter-functional</w:t>
      </w:r>
      <w:r>
        <w:rPr>
          <w:spacing w:val="-2"/>
          <w:sz w:val="24"/>
        </w:rPr>
        <w:t xml:space="preserve"> </w:t>
      </w:r>
      <w:r>
        <w:rPr>
          <w:sz w:val="24"/>
        </w:rPr>
        <w:t>integration, reflects</w:t>
      </w:r>
      <w:r>
        <w:rPr>
          <w:spacing w:val="-4"/>
          <w:sz w:val="24"/>
        </w:rPr>
        <w:t xml:space="preserve"> </w:t>
      </w:r>
      <w:r>
        <w:rPr>
          <w:sz w:val="24"/>
        </w:rPr>
        <w:t>the collaboration</w:t>
      </w:r>
      <w:r>
        <w:rPr>
          <w:spacing w:val="-2"/>
          <w:sz w:val="24"/>
        </w:rPr>
        <w:t xml:space="preserve"> </w:t>
      </w:r>
      <w:r>
        <w:rPr>
          <w:sz w:val="24"/>
        </w:rPr>
        <w:t>among organizational</w:t>
      </w:r>
      <w:r>
        <w:rPr>
          <w:spacing w:val="-7"/>
          <w:sz w:val="24"/>
        </w:rPr>
        <w:t xml:space="preserve"> </w:t>
      </w:r>
      <w:r>
        <w:rPr>
          <w:sz w:val="24"/>
        </w:rPr>
        <w:t>units</w:t>
      </w:r>
      <w:r>
        <w:rPr>
          <w:spacing w:val="-1"/>
          <w:sz w:val="24"/>
        </w:rPr>
        <w:t xml:space="preserve"> </w:t>
      </w:r>
      <w:r>
        <w:rPr>
          <w:sz w:val="24"/>
        </w:rPr>
        <w:t>to create customer value (Narver &amp; Slater, 1990). Within Market Orienta</w:t>
      </w:r>
      <w:r>
        <w:rPr>
          <w:sz w:val="24"/>
        </w:rPr>
        <w:t>tion Theory, FC promotes information</w:t>
      </w:r>
      <w:r>
        <w:rPr>
          <w:spacing w:val="-6"/>
          <w:sz w:val="24"/>
        </w:rPr>
        <w:t xml:space="preserve"> </w:t>
      </w:r>
      <w:r>
        <w:rPr>
          <w:sz w:val="24"/>
        </w:rPr>
        <w:t>sharing</w:t>
      </w:r>
      <w:r>
        <w:rPr>
          <w:spacing w:val="-1"/>
          <w:sz w:val="24"/>
        </w:rPr>
        <w:t xml:space="preserve"> </w:t>
      </w:r>
      <w:r>
        <w:rPr>
          <w:sz w:val="24"/>
        </w:rPr>
        <w:t>and</w:t>
      </w:r>
      <w:r>
        <w:rPr>
          <w:spacing w:val="-1"/>
          <w:sz w:val="24"/>
        </w:rPr>
        <w:t xml:space="preserve"> </w:t>
      </w:r>
      <w:r>
        <w:rPr>
          <w:sz w:val="24"/>
        </w:rPr>
        <w:t>alignment of</w:t>
      </w:r>
      <w:r>
        <w:rPr>
          <w:spacing w:val="-9"/>
          <w:sz w:val="24"/>
        </w:rPr>
        <w:t xml:space="preserve"> </w:t>
      </w:r>
      <w:r>
        <w:rPr>
          <w:sz w:val="24"/>
        </w:rPr>
        <w:t>processes</w:t>
      </w:r>
      <w:r>
        <w:rPr>
          <w:spacing w:val="-3"/>
          <w:sz w:val="24"/>
        </w:rPr>
        <w:t xml:space="preserve"> </w:t>
      </w:r>
      <w:r>
        <w:rPr>
          <w:sz w:val="24"/>
        </w:rPr>
        <w:t>with</w:t>
      </w:r>
      <w:r>
        <w:rPr>
          <w:spacing w:val="-1"/>
          <w:sz w:val="24"/>
        </w:rPr>
        <w:t xml:space="preserve"> </w:t>
      </w:r>
      <w:r>
        <w:rPr>
          <w:sz w:val="24"/>
        </w:rPr>
        <w:t>market demands, supporting</w:t>
      </w:r>
      <w:r>
        <w:rPr>
          <w:spacing w:val="-1"/>
          <w:sz w:val="24"/>
        </w:rPr>
        <w:t xml:space="preserve"> </w:t>
      </w:r>
      <w:r>
        <w:rPr>
          <w:sz w:val="24"/>
        </w:rPr>
        <w:t>responsiveness and</w:t>
      </w:r>
      <w:r>
        <w:rPr>
          <w:spacing w:val="-12"/>
          <w:sz w:val="24"/>
        </w:rPr>
        <w:t xml:space="preserve"> </w:t>
      </w:r>
      <w:r>
        <w:rPr>
          <w:sz w:val="24"/>
        </w:rPr>
        <w:t>compliance</w:t>
      </w:r>
      <w:r>
        <w:rPr>
          <w:spacing w:val="-9"/>
          <w:sz w:val="24"/>
        </w:rPr>
        <w:t xml:space="preserve"> </w:t>
      </w:r>
      <w:r>
        <w:rPr>
          <w:sz w:val="24"/>
        </w:rPr>
        <w:t>in</w:t>
      </w:r>
      <w:r>
        <w:rPr>
          <w:spacing w:val="-12"/>
          <w:sz w:val="24"/>
        </w:rPr>
        <w:t xml:space="preserve"> </w:t>
      </w:r>
      <w:r>
        <w:rPr>
          <w:sz w:val="24"/>
        </w:rPr>
        <w:t>regulated</w:t>
      </w:r>
      <w:r>
        <w:rPr>
          <w:spacing w:val="-12"/>
          <w:sz w:val="24"/>
        </w:rPr>
        <w:t xml:space="preserve"> </w:t>
      </w:r>
      <w:r>
        <w:rPr>
          <w:sz w:val="24"/>
        </w:rPr>
        <w:t>procurement</w:t>
      </w:r>
      <w:r>
        <w:rPr>
          <w:spacing w:val="-8"/>
          <w:sz w:val="24"/>
        </w:rPr>
        <w:t xml:space="preserve"> </w:t>
      </w:r>
      <w:r>
        <w:rPr>
          <w:sz w:val="24"/>
        </w:rPr>
        <w:t>environments.</w:t>
      </w:r>
      <w:r>
        <w:rPr>
          <w:spacing w:val="-11"/>
          <w:sz w:val="24"/>
        </w:rPr>
        <w:t xml:space="preserve"> </w:t>
      </w:r>
      <w:r>
        <w:rPr>
          <w:sz w:val="24"/>
        </w:rPr>
        <w:t>Theoretically,</w:t>
      </w:r>
      <w:r>
        <w:rPr>
          <w:spacing w:val="-11"/>
          <w:sz w:val="24"/>
        </w:rPr>
        <w:t xml:space="preserve"> </w:t>
      </w:r>
      <w:r>
        <w:rPr>
          <w:sz w:val="24"/>
        </w:rPr>
        <w:t>FC</w:t>
      </w:r>
      <w:r>
        <w:rPr>
          <w:spacing w:val="-13"/>
          <w:sz w:val="24"/>
        </w:rPr>
        <w:t xml:space="preserve"> </w:t>
      </w:r>
      <w:r>
        <w:rPr>
          <w:sz w:val="24"/>
        </w:rPr>
        <w:t>should</w:t>
      </w:r>
      <w:r>
        <w:rPr>
          <w:spacing w:val="-12"/>
          <w:sz w:val="24"/>
        </w:rPr>
        <w:t xml:space="preserve"> </w:t>
      </w:r>
      <w:r>
        <w:rPr>
          <w:sz w:val="24"/>
        </w:rPr>
        <w:t>enhance</w:t>
      </w:r>
      <w:r>
        <w:rPr>
          <w:spacing w:val="-13"/>
          <w:sz w:val="24"/>
        </w:rPr>
        <w:t xml:space="preserve"> </w:t>
      </w:r>
      <w:r>
        <w:rPr>
          <w:sz w:val="24"/>
        </w:rPr>
        <w:t xml:space="preserve">SMEs’ ability to prepare accurate bids, allocate resources efficiently, and deliver quality outcomes, strengthening sustainable competitiveness. Empirical evidence, however, is mixed. Studies by Mukhtar et al. (2020) and Hubnerova et al. (2020) link FC to </w:t>
      </w:r>
      <w:r>
        <w:rPr>
          <w:sz w:val="24"/>
        </w:rPr>
        <w:t>operational efficiency and competitive</w:t>
      </w:r>
      <w:r>
        <w:rPr>
          <w:spacing w:val="-5"/>
          <w:sz w:val="24"/>
        </w:rPr>
        <w:t xml:space="preserve"> </w:t>
      </w:r>
      <w:r>
        <w:rPr>
          <w:sz w:val="24"/>
        </w:rPr>
        <w:t>advantage</w:t>
      </w:r>
      <w:r>
        <w:rPr>
          <w:spacing w:val="-9"/>
          <w:sz w:val="24"/>
        </w:rPr>
        <w:t xml:space="preserve"> </w:t>
      </w:r>
      <w:r>
        <w:rPr>
          <w:sz w:val="24"/>
        </w:rPr>
        <w:t>through</w:t>
      </w:r>
      <w:r>
        <w:rPr>
          <w:spacing w:val="-4"/>
          <w:sz w:val="24"/>
        </w:rPr>
        <w:t xml:space="preserve"> </w:t>
      </w:r>
      <w:r>
        <w:rPr>
          <w:sz w:val="24"/>
        </w:rPr>
        <w:t>improved information</w:t>
      </w:r>
      <w:r>
        <w:rPr>
          <w:spacing w:val="-8"/>
          <w:sz w:val="24"/>
        </w:rPr>
        <w:t xml:space="preserve"> </w:t>
      </w:r>
      <w:r>
        <w:rPr>
          <w:sz w:val="24"/>
        </w:rPr>
        <w:t>flow</w:t>
      </w:r>
      <w:r>
        <w:rPr>
          <w:spacing w:val="-5"/>
          <w:sz w:val="24"/>
        </w:rPr>
        <w:t xml:space="preserve"> </w:t>
      </w:r>
      <w:r>
        <w:rPr>
          <w:sz w:val="24"/>
        </w:rPr>
        <w:t>and</w:t>
      </w:r>
      <w:r>
        <w:rPr>
          <w:spacing w:val="-4"/>
          <w:sz w:val="24"/>
        </w:rPr>
        <w:t xml:space="preserve"> </w:t>
      </w:r>
      <w:r>
        <w:rPr>
          <w:sz w:val="24"/>
        </w:rPr>
        <w:t>strategic</w:t>
      </w:r>
      <w:r>
        <w:rPr>
          <w:spacing w:val="-5"/>
          <w:sz w:val="24"/>
        </w:rPr>
        <w:t xml:space="preserve"> </w:t>
      </w:r>
      <w:r>
        <w:rPr>
          <w:sz w:val="24"/>
        </w:rPr>
        <w:t>alignment.</w:t>
      </w:r>
      <w:r>
        <w:rPr>
          <w:spacing w:val="-7"/>
          <w:sz w:val="24"/>
        </w:rPr>
        <w:t xml:space="preserve"> </w:t>
      </w:r>
      <w:r>
        <w:rPr>
          <w:sz w:val="24"/>
        </w:rPr>
        <w:t>Mogaka</w:t>
      </w:r>
      <w:r>
        <w:rPr>
          <w:spacing w:val="-9"/>
          <w:sz w:val="24"/>
        </w:rPr>
        <w:t xml:space="preserve"> </w:t>
      </w:r>
      <w:r>
        <w:rPr>
          <w:sz w:val="24"/>
        </w:rPr>
        <w:t>et al. (2022) similarly</w:t>
      </w:r>
      <w:r>
        <w:rPr>
          <w:spacing w:val="-5"/>
          <w:sz w:val="24"/>
        </w:rPr>
        <w:t xml:space="preserve"> </w:t>
      </w:r>
      <w:r>
        <w:rPr>
          <w:sz w:val="24"/>
        </w:rPr>
        <w:t>reported positive effects on responsiveness and cost efficiency. Yet, research by Waruiru et al. (2018) and Lopez-Tor</w:t>
      </w:r>
      <w:r>
        <w:rPr>
          <w:sz w:val="24"/>
        </w:rPr>
        <w:t>res et al. (2023) suggests FC’s impact weakens without complementary</w:t>
      </w:r>
      <w:r>
        <w:rPr>
          <w:spacing w:val="-6"/>
          <w:sz w:val="24"/>
        </w:rPr>
        <w:t xml:space="preserve"> </w:t>
      </w:r>
      <w:r>
        <w:rPr>
          <w:sz w:val="24"/>
        </w:rPr>
        <w:t>factors</w:t>
      </w:r>
      <w:r>
        <w:rPr>
          <w:spacing w:val="-3"/>
          <w:sz w:val="24"/>
        </w:rPr>
        <w:t xml:space="preserve"> </w:t>
      </w:r>
      <w:r>
        <w:rPr>
          <w:sz w:val="24"/>
        </w:rPr>
        <w:t>like</w:t>
      </w:r>
      <w:r>
        <w:rPr>
          <w:spacing w:val="-2"/>
          <w:sz w:val="24"/>
        </w:rPr>
        <w:t xml:space="preserve"> </w:t>
      </w:r>
      <w:r>
        <w:rPr>
          <w:sz w:val="24"/>
        </w:rPr>
        <w:t>technology</w:t>
      </w:r>
      <w:r>
        <w:rPr>
          <w:spacing w:val="-10"/>
          <w:sz w:val="24"/>
        </w:rPr>
        <w:t xml:space="preserve"> </w:t>
      </w:r>
      <w:r>
        <w:rPr>
          <w:sz w:val="24"/>
        </w:rPr>
        <w:t>adoption</w:t>
      </w:r>
      <w:r>
        <w:rPr>
          <w:spacing w:val="-6"/>
          <w:sz w:val="24"/>
        </w:rPr>
        <w:t xml:space="preserve"> </w:t>
      </w:r>
      <w:r>
        <w:rPr>
          <w:sz w:val="24"/>
        </w:rPr>
        <w:t>and innovation. In</w:t>
      </w:r>
      <w:r>
        <w:rPr>
          <w:spacing w:val="-6"/>
          <w:sz w:val="24"/>
        </w:rPr>
        <w:t xml:space="preserve"> </w:t>
      </w:r>
      <w:r>
        <w:rPr>
          <w:sz w:val="24"/>
        </w:rPr>
        <w:t>highly</w:t>
      </w:r>
      <w:r>
        <w:rPr>
          <w:spacing w:val="-10"/>
          <w:sz w:val="24"/>
        </w:rPr>
        <w:t xml:space="preserve"> </w:t>
      </w:r>
      <w:r>
        <w:rPr>
          <w:sz w:val="24"/>
        </w:rPr>
        <w:t>regulated</w:t>
      </w:r>
      <w:r>
        <w:rPr>
          <w:spacing w:val="-1"/>
          <w:sz w:val="24"/>
        </w:rPr>
        <w:t xml:space="preserve"> </w:t>
      </w:r>
      <w:r>
        <w:rPr>
          <w:sz w:val="24"/>
        </w:rPr>
        <w:t>contexts,</w:t>
      </w:r>
      <w:r>
        <w:rPr>
          <w:spacing w:val="-4"/>
          <w:sz w:val="24"/>
        </w:rPr>
        <w:t xml:space="preserve"> </w:t>
      </w:r>
      <w:r>
        <w:rPr>
          <w:sz w:val="24"/>
        </w:rPr>
        <w:t>FC alone often remains compliance-driven, limiting its strategic influence unless integrated with dynamic</w:t>
      </w:r>
      <w:r>
        <w:rPr>
          <w:spacing w:val="-5"/>
          <w:sz w:val="24"/>
        </w:rPr>
        <w:t xml:space="preserve"> </w:t>
      </w:r>
      <w:r>
        <w:rPr>
          <w:sz w:val="24"/>
        </w:rPr>
        <w:t>ca</w:t>
      </w:r>
      <w:r>
        <w:rPr>
          <w:sz w:val="24"/>
        </w:rPr>
        <w:t>pabilities</w:t>
      </w:r>
      <w:r>
        <w:rPr>
          <w:spacing w:val="-6"/>
          <w:sz w:val="24"/>
        </w:rPr>
        <w:t xml:space="preserve"> </w:t>
      </w:r>
      <w:r>
        <w:rPr>
          <w:sz w:val="24"/>
        </w:rPr>
        <w:t xml:space="preserve">and market responsiveness. </w:t>
      </w:r>
      <w:r>
        <w:rPr>
          <w:b/>
          <w:sz w:val="24"/>
        </w:rPr>
        <w:t>H3:</w:t>
      </w:r>
      <w:r>
        <w:rPr>
          <w:b/>
          <w:spacing w:val="-2"/>
          <w:sz w:val="24"/>
        </w:rPr>
        <w:t xml:space="preserve"> </w:t>
      </w:r>
      <w:r>
        <w:rPr>
          <w:b/>
          <w:sz w:val="24"/>
        </w:rPr>
        <w:t>Functional</w:t>
      </w:r>
      <w:r>
        <w:rPr>
          <w:b/>
          <w:spacing w:val="-9"/>
          <w:sz w:val="24"/>
        </w:rPr>
        <w:t xml:space="preserve"> </w:t>
      </w:r>
      <w:r>
        <w:rPr>
          <w:b/>
          <w:sz w:val="24"/>
        </w:rPr>
        <w:t>coordination</w:t>
      </w:r>
      <w:r>
        <w:rPr>
          <w:b/>
          <w:spacing w:val="-3"/>
          <w:sz w:val="24"/>
        </w:rPr>
        <w:t xml:space="preserve"> </w:t>
      </w:r>
      <w:r>
        <w:rPr>
          <w:b/>
          <w:sz w:val="24"/>
        </w:rPr>
        <w:t>is</w:t>
      </w:r>
      <w:r>
        <w:rPr>
          <w:b/>
          <w:spacing w:val="-6"/>
          <w:sz w:val="24"/>
        </w:rPr>
        <w:t xml:space="preserve"> </w:t>
      </w:r>
      <w:r>
        <w:rPr>
          <w:b/>
          <w:sz w:val="24"/>
        </w:rPr>
        <w:t>positively</w:t>
      </w:r>
      <w:r>
        <w:rPr>
          <w:b/>
          <w:spacing w:val="-4"/>
          <w:sz w:val="24"/>
        </w:rPr>
        <w:t xml:space="preserve"> </w:t>
      </w:r>
      <w:r>
        <w:rPr>
          <w:b/>
          <w:sz w:val="24"/>
        </w:rPr>
        <w:t xml:space="preserve">and significantly related to sustainable competitiveness among special group SMEs in public </w:t>
      </w:r>
      <w:r>
        <w:rPr>
          <w:b/>
          <w:spacing w:val="-2"/>
          <w:sz w:val="24"/>
        </w:rPr>
        <w:t>procurement.</w:t>
      </w:r>
    </w:p>
    <w:p w:rsidR="00487D64" w:rsidRDefault="00487D64">
      <w:pPr>
        <w:pStyle w:val="BodyText"/>
        <w:rPr>
          <w:b/>
          <w:sz w:val="24"/>
        </w:rPr>
      </w:pPr>
    </w:p>
    <w:p w:rsidR="00487D64" w:rsidRDefault="006F0D93">
      <w:pPr>
        <w:pStyle w:val="ListParagraph"/>
        <w:numPr>
          <w:ilvl w:val="2"/>
          <w:numId w:val="3"/>
        </w:numPr>
        <w:tabs>
          <w:tab w:val="left" w:pos="706"/>
        </w:tabs>
        <w:spacing w:line="275" w:lineRule="exact"/>
        <w:ind w:left="706" w:hanging="541"/>
        <w:jc w:val="both"/>
        <w:rPr>
          <w:b/>
          <w:sz w:val="24"/>
        </w:rPr>
      </w:pPr>
      <w:bookmarkStart w:id="264" w:name="2.2.4_Strategic_Flexibility_as_a_Moderat"/>
      <w:bookmarkEnd w:id="264"/>
      <w:r>
        <w:rPr>
          <w:b/>
          <w:sz w:val="24"/>
        </w:rPr>
        <w:t>Strategic</w:t>
      </w:r>
      <w:r>
        <w:rPr>
          <w:b/>
          <w:spacing w:val="-2"/>
          <w:sz w:val="24"/>
        </w:rPr>
        <w:t xml:space="preserve"> </w:t>
      </w:r>
      <w:r>
        <w:rPr>
          <w:b/>
          <w:sz w:val="24"/>
        </w:rPr>
        <w:t>Flexibility</w:t>
      </w:r>
      <w:r>
        <w:rPr>
          <w:b/>
          <w:spacing w:val="1"/>
          <w:sz w:val="24"/>
        </w:rPr>
        <w:t xml:space="preserve"> </w:t>
      </w:r>
      <w:r>
        <w:rPr>
          <w:b/>
          <w:sz w:val="24"/>
        </w:rPr>
        <w:t>as a</w:t>
      </w:r>
      <w:r>
        <w:rPr>
          <w:b/>
          <w:spacing w:val="-4"/>
          <w:sz w:val="24"/>
        </w:rPr>
        <w:t xml:space="preserve"> </w:t>
      </w:r>
      <w:r>
        <w:rPr>
          <w:b/>
          <w:sz w:val="24"/>
        </w:rPr>
        <w:t>Moderator</w:t>
      </w:r>
      <w:r>
        <w:rPr>
          <w:b/>
          <w:spacing w:val="-4"/>
          <w:sz w:val="24"/>
        </w:rPr>
        <w:t xml:space="preserve"> </w:t>
      </w:r>
      <w:r>
        <w:rPr>
          <w:b/>
          <w:sz w:val="24"/>
        </w:rPr>
        <w:t>in</w:t>
      </w:r>
      <w:r>
        <w:rPr>
          <w:b/>
          <w:spacing w:val="2"/>
          <w:sz w:val="24"/>
        </w:rPr>
        <w:t xml:space="preserve"> </w:t>
      </w:r>
      <w:r>
        <w:rPr>
          <w:b/>
          <w:sz w:val="24"/>
        </w:rPr>
        <w:t>the</w:t>
      </w:r>
      <w:r>
        <w:rPr>
          <w:b/>
          <w:spacing w:val="-4"/>
          <w:sz w:val="24"/>
        </w:rPr>
        <w:t xml:space="preserve"> </w:t>
      </w:r>
      <w:r>
        <w:rPr>
          <w:b/>
          <w:sz w:val="24"/>
        </w:rPr>
        <w:t>MO–SC</w:t>
      </w:r>
      <w:r>
        <w:rPr>
          <w:b/>
          <w:spacing w:val="-4"/>
          <w:sz w:val="24"/>
        </w:rPr>
        <w:t xml:space="preserve"> </w:t>
      </w:r>
      <w:r>
        <w:rPr>
          <w:b/>
          <w:spacing w:val="-2"/>
          <w:sz w:val="24"/>
        </w:rPr>
        <w:t>Relationship</w:t>
      </w:r>
    </w:p>
    <w:p w:rsidR="00487D64" w:rsidRDefault="006F0D93">
      <w:pPr>
        <w:ind w:left="165" w:right="164"/>
        <w:jc w:val="both"/>
        <w:rPr>
          <w:sz w:val="24"/>
        </w:rPr>
      </w:pPr>
      <w:r>
        <w:rPr>
          <w:sz w:val="24"/>
        </w:rPr>
        <w:t>Research on the multidimensional MO–SC link reveals mixed results, prompting scholars like Brozovic (2023) to advocate for moderators to explain unexplained variances. Moderation identifies conditions under which strategic flexibility enhances or diminishe</w:t>
      </w:r>
      <w:r>
        <w:rPr>
          <w:sz w:val="24"/>
        </w:rPr>
        <w:t>s sustainable competitiveness in public procurement. Strategic flexibility enables firms to adapt to environmental</w:t>
      </w:r>
      <w:r>
        <w:rPr>
          <w:spacing w:val="-2"/>
          <w:sz w:val="24"/>
        </w:rPr>
        <w:t xml:space="preserve"> </w:t>
      </w:r>
      <w:r>
        <w:rPr>
          <w:sz w:val="24"/>
        </w:rPr>
        <w:t>changes, mitigate risks, and maintain competitive advantage, making it critical in dynamic markets (Morgan et al., 2019; Guo &amp; Cao, 2014). SM</w:t>
      </w:r>
      <w:r>
        <w:rPr>
          <w:sz w:val="24"/>
        </w:rPr>
        <w:t>Es leveraging flexibility respond effectively to uncertainties, allocate resources efficiently, and explore new markets (Sen et al., 2023). Despite its strategic role, empirical findings on SF and financial outcomes remain inconclusive (Aabo et al., 2024),</w:t>
      </w:r>
      <w:r>
        <w:rPr>
          <w:sz w:val="24"/>
        </w:rPr>
        <w:t xml:space="preserve"> necessitating further inquiry. Accordingly, this study </w:t>
      </w:r>
      <w:r>
        <w:rPr>
          <w:spacing w:val="-2"/>
          <w:sz w:val="24"/>
        </w:rPr>
        <w:t>hypothesizes:</w:t>
      </w:r>
    </w:p>
    <w:p w:rsidR="00487D64" w:rsidRDefault="006F0D93">
      <w:pPr>
        <w:ind w:left="165" w:right="174"/>
        <w:jc w:val="both"/>
        <w:rPr>
          <w:sz w:val="24"/>
        </w:rPr>
      </w:pPr>
      <w:r>
        <w:rPr>
          <w:b/>
          <w:sz w:val="24"/>
        </w:rPr>
        <w:t>H4:</w:t>
      </w:r>
      <w:r>
        <w:rPr>
          <w:b/>
          <w:spacing w:val="-6"/>
          <w:sz w:val="24"/>
        </w:rPr>
        <w:t xml:space="preserve"> </w:t>
      </w:r>
      <w:r>
        <w:rPr>
          <w:sz w:val="24"/>
        </w:rPr>
        <w:t>SF</w:t>
      </w:r>
      <w:r>
        <w:rPr>
          <w:spacing w:val="-12"/>
          <w:sz w:val="24"/>
        </w:rPr>
        <w:t xml:space="preserve"> </w:t>
      </w:r>
      <w:r>
        <w:rPr>
          <w:sz w:val="24"/>
        </w:rPr>
        <w:t>moderates</w:t>
      </w:r>
      <w:r>
        <w:rPr>
          <w:spacing w:val="-15"/>
          <w:sz w:val="24"/>
        </w:rPr>
        <w:t xml:space="preserve"> </w:t>
      </w:r>
      <w:r>
        <w:rPr>
          <w:sz w:val="24"/>
        </w:rPr>
        <w:t>the</w:t>
      </w:r>
      <w:r>
        <w:rPr>
          <w:spacing w:val="-9"/>
          <w:sz w:val="24"/>
        </w:rPr>
        <w:t xml:space="preserve"> </w:t>
      </w:r>
      <w:r>
        <w:rPr>
          <w:sz w:val="24"/>
        </w:rPr>
        <w:t>relationship</w:t>
      </w:r>
      <w:r>
        <w:rPr>
          <w:spacing w:val="-3"/>
          <w:sz w:val="24"/>
        </w:rPr>
        <w:t xml:space="preserve"> </w:t>
      </w:r>
      <w:r>
        <w:rPr>
          <w:sz w:val="24"/>
        </w:rPr>
        <w:t>between</w:t>
      </w:r>
      <w:r>
        <w:rPr>
          <w:spacing w:val="-13"/>
          <w:sz w:val="24"/>
        </w:rPr>
        <w:t xml:space="preserve"> </w:t>
      </w:r>
      <w:r>
        <w:rPr>
          <w:sz w:val="24"/>
        </w:rPr>
        <w:t>customer</w:t>
      </w:r>
      <w:r>
        <w:rPr>
          <w:spacing w:val="-11"/>
          <w:sz w:val="24"/>
        </w:rPr>
        <w:t xml:space="preserve"> </w:t>
      </w:r>
      <w:r>
        <w:rPr>
          <w:sz w:val="24"/>
        </w:rPr>
        <w:t>orientation</w:t>
      </w:r>
      <w:r>
        <w:rPr>
          <w:spacing w:val="-13"/>
          <w:sz w:val="24"/>
        </w:rPr>
        <w:t xml:space="preserve"> </w:t>
      </w:r>
      <w:r>
        <w:rPr>
          <w:sz w:val="24"/>
        </w:rPr>
        <w:t>and</w:t>
      </w:r>
      <w:r>
        <w:rPr>
          <w:spacing w:val="-8"/>
          <w:sz w:val="24"/>
        </w:rPr>
        <w:t xml:space="preserve"> </w:t>
      </w:r>
      <w:r>
        <w:rPr>
          <w:sz w:val="24"/>
        </w:rPr>
        <w:t>sustainable</w:t>
      </w:r>
      <w:r>
        <w:rPr>
          <w:spacing w:val="-9"/>
          <w:sz w:val="24"/>
        </w:rPr>
        <w:t xml:space="preserve"> </w:t>
      </w:r>
      <w:r>
        <w:rPr>
          <w:sz w:val="24"/>
        </w:rPr>
        <w:t xml:space="preserve">competitiveness. </w:t>
      </w:r>
      <w:r>
        <w:rPr>
          <w:b/>
          <w:sz w:val="24"/>
        </w:rPr>
        <w:t xml:space="preserve">H5: </w:t>
      </w:r>
      <w:r>
        <w:rPr>
          <w:sz w:val="24"/>
        </w:rPr>
        <w:t xml:space="preserve">SF moderates the relationship between competitor orientation and sustainable </w:t>
      </w:r>
      <w:r>
        <w:rPr>
          <w:spacing w:val="-2"/>
          <w:sz w:val="24"/>
        </w:rPr>
        <w:t>competiti</w:t>
      </w:r>
      <w:r>
        <w:rPr>
          <w:spacing w:val="-2"/>
          <w:sz w:val="24"/>
        </w:rPr>
        <w:t>veness.</w:t>
      </w:r>
    </w:p>
    <w:p w:rsidR="00487D64" w:rsidRDefault="006F0D93">
      <w:pPr>
        <w:spacing w:line="242" w:lineRule="auto"/>
        <w:ind w:left="165" w:right="166"/>
        <w:jc w:val="both"/>
        <w:rPr>
          <w:sz w:val="24"/>
        </w:rPr>
      </w:pPr>
      <w:r>
        <w:rPr>
          <w:b/>
          <w:sz w:val="24"/>
        </w:rPr>
        <w:t xml:space="preserve">H6: </w:t>
      </w:r>
      <w:r>
        <w:rPr>
          <w:sz w:val="24"/>
        </w:rPr>
        <w:t xml:space="preserve">SF moderates the relationship between functional coordination and sustainable </w:t>
      </w:r>
      <w:r>
        <w:rPr>
          <w:spacing w:val="-2"/>
          <w:sz w:val="24"/>
        </w:rPr>
        <w:t>competitiveness.</w:t>
      </w:r>
    </w:p>
    <w:p w:rsidR="00487D64" w:rsidRDefault="00487D64">
      <w:pPr>
        <w:pStyle w:val="BodyText"/>
        <w:spacing w:before="4"/>
        <w:rPr>
          <w:sz w:val="24"/>
        </w:rPr>
      </w:pPr>
    </w:p>
    <w:p w:rsidR="00487D64" w:rsidRDefault="006F0D93">
      <w:pPr>
        <w:pStyle w:val="ListParagraph"/>
        <w:numPr>
          <w:ilvl w:val="1"/>
          <w:numId w:val="3"/>
        </w:numPr>
        <w:tabs>
          <w:tab w:val="left" w:pos="529"/>
        </w:tabs>
        <w:spacing w:line="272" w:lineRule="exact"/>
        <w:ind w:hanging="364"/>
        <w:jc w:val="both"/>
        <w:rPr>
          <w:b/>
          <w:sz w:val="24"/>
        </w:rPr>
      </w:pPr>
      <w:r>
        <w:rPr>
          <w:b/>
          <w:sz w:val="24"/>
        </w:rPr>
        <w:t>Conceptual</w:t>
      </w:r>
      <w:r>
        <w:rPr>
          <w:b/>
          <w:spacing w:val="-4"/>
          <w:sz w:val="24"/>
        </w:rPr>
        <w:t xml:space="preserve"> </w:t>
      </w:r>
      <w:r>
        <w:rPr>
          <w:b/>
          <w:spacing w:val="-2"/>
          <w:sz w:val="24"/>
        </w:rPr>
        <w:t>Framework</w:t>
      </w:r>
    </w:p>
    <w:p w:rsidR="00487D64" w:rsidRDefault="006F0D93">
      <w:pPr>
        <w:spacing w:line="242" w:lineRule="auto"/>
        <w:ind w:left="165" w:right="159"/>
        <w:jc w:val="both"/>
        <w:rPr>
          <w:sz w:val="24"/>
        </w:rPr>
      </w:pPr>
      <w:r>
        <w:rPr>
          <w:sz w:val="24"/>
        </w:rPr>
        <w:t>This</w:t>
      </w:r>
      <w:r>
        <w:rPr>
          <w:spacing w:val="-13"/>
          <w:sz w:val="24"/>
        </w:rPr>
        <w:t xml:space="preserve"> </w:t>
      </w:r>
      <w:r>
        <w:rPr>
          <w:sz w:val="24"/>
        </w:rPr>
        <w:t>framework</w:t>
      </w:r>
      <w:r>
        <w:rPr>
          <w:spacing w:val="-14"/>
          <w:sz w:val="24"/>
        </w:rPr>
        <w:t xml:space="preserve"> </w:t>
      </w:r>
      <w:r>
        <w:rPr>
          <w:sz w:val="24"/>
        </w:rPr>
        <w:t>applies</w:t>
      </w:r>
      <w:r>
        <w:rPr>
          <w:spacing w:val="-15"/>
          <w:sz w:val="24"/>
        </w:rPr>
        <w:t xml:space="preserve"> </w:t>
      </w:r>
      <w:r>
        <w:rPr>
          <w:sz w:val="24"/>
        </w:rPr>
        <w:t>MOT,</w:t>
      </w:r>
      <w:r>
        <w:rPr>
          <w:spacing w:val="-12"/>
          <w:sz w:val="24"/>
        </w:rPr>
        <w:t xml:space="preserve"> </w:t>
      </w:r>
      <w:r>
        <w:rPr>
          <w:sz w:val="24"/>
        </w:rPr>
        <w:t>viewing</w:t>
      </w:r>
      <w:r>
        <w:rPr>
          <w:spacing w:val="-14"/>
          <w:sz w:val="24"/>
        </w:rPr>
        <w:t xml:space="preserve"> </w:t>
      </w:r>
      <w:r>
        <w:rPr>
          <w:sz w:val="24"/>
        </w:rPr>
        <w:t>MO</w:t>
      </w:r>
      <w:r>
        <w:rPr>
          <w:spacing w:val="-14"/>
          <w:sz w:val="24"/>
        </w:rPr>
        <w:t xml:space="preserve"> </w:t>
      </w:r>
      <w:r>
        <w:rPr>
          <w:sz w:val="24"/>
        </w:rPr>
        <w:t>as</w:t>
      </w:r>
      <w:r>
        <w:rPr>
          <w:spacing w:val="-11"/>
          <w:sz w:val="24"/>
        </w:rPr>
        <w:t xml:space="preserve"> </w:t>
      </w:r>
      <w:r>
        <w:rPr>
          <w:sz w:val="24"/>
        </w:rPr>
        <w:t>multidimensional</w:t>
      </w:r>
      <w:r>
        <w:rPr>
          <w:spacing w:val="-15"/>
          <w:sz w:val="24"/>
        </w:rPr>
        <w:t xml:space="preserve"> </w:t>
      </w:r>
      <w:r>
        <w:rPr>
          <w:sz w:val="24"/>
        </w:rPr>
        <w:t>(CU,</w:t>
      </w:r>
      <w:r>
        <w:rPr>
          <w:spacing w:val="-12"/>
          <w:sz w:val="24"/>
        </w:rPr>
        <w:t xml:space="preserve"> </w:t>
      </w:r>
      <w:r>
        <w:rPr>
          <w:sz w:val="24"/>
        </w:rPr>
        <w:t>CO,</w:t>
      </w:r>
      <w:r>
        <w:rPr>
          <w:spacing w:val="-12"/>
          <w:sz w:val="24"/>
        </w:rPr>
        <w:t xml:space="preserve"> </w:t>
      </w:r>
      <w:r>
        <w:rPr>
          <w:sz w:val="24"/>
        </w:rPr>
        <w:t>FC)</w:t>
      </w:r>
      <w:r>
        <w:rPr>
          <w:spacing w:val="-12"/>
          <w:sz w:val="24"/>
        </w:rPr>
        <w:t xml:space="preserve"> </w:t>
      </w:r>
      <w:r>
        <w:rPr>
          <w:sz w:val="24"/>
        </w:rPr>
        <w:t>and</w:t>
      </w:r>
      <w:r>
        <w:rPr>
          <w:spacing w:val="-14"/>
          <w:sz w:val="24"/>
        </w:rPr>
        <w:t xml:space="preserve"> </w:t>
      </w:r>
      <w:r>
        <w:rPr>
          <w:sz w:val="24"/>
        </w:rPr>
        <w:t>assessing</w:t>
      </w:r>
      <w:r>
        <w:rPr>
          <w:spacing w:val="-14"/>
          <w:sz w:val="24"/>
        </w:rPr>
        <w:t xml:space="preserve"> </w:t>
      </w:r>
      <w:r>
        <w:rPr>
          <w:sz w:val="24"/>
        </w:rPr>
        <w:t>each dimension’s</w:t>
      </w:r>
      <w:r>
        <w:rPr>
          <w:spacing w:val="26"/>
          <w:sz w:val="24"/>
        </w:rPr>
        <w:t xml:space="preserve"> </w:t>
      </w:r>
      <w:r>
        <w:rPr>
          <w:sz w:val="24"/>
        </w:rPr>
        <w:t>effect</w:t>
      </w:r>
      <w:r>
        <w:rPr>
          <w:spacing w:val="32"/>
          <w:sz w:val="24"/>
        </w:rPr>
        <w:t xml:space="preserve"> </w:t>
      </w:r>
      <w:r>
        <w:rPr>
          <w:sz w:val="24"/>
        </w:rPr>
        <w:t>on</w:t>
      </w:r>
      <w:r>
        <w:rPr>
          <w:spacing w:val="26"/>
          <w:sz w:val="24"/>
        </w:rPr>
        <w:t xml:space="preserve"> </w:t>
      </w:r>
      <w:r>
        <w:rPr>
          <w:sz w:val="24"/>
        </w:rPr>
        <w:t>SC</w:t>
      </w:r>
      <w:r>
        <w:rPr>
          <w:spacing w:val="34"/>
          <w:sz w:val="24"/>
        </w:rPr>
        <w:t xml:space="preserve"> </w:t>
      </w:r>
      <w:r>
        <w:rPr>
          <w:sz w:val="24"/>
        </w:rPr>
        <w:t>in</w:t>
      </w:r>
      <w:r>
        <w:rPr>
          <w:spacing w:val="26"/>
          <w:sz w:val="24"/>
        </w:rPr>
        <w:t xml:space="preserve"> </w:t>
      </w:r>
      <w:r>
        <w:rPr>
          <w:sz w:val="24"/>
        </w:rPr>
        <w:t>regulated</w:t>
      </w:r>
      <w:r>
        <w:rPr>
          <w:spacing w:val="31"/>
          <w:sz w:val="24"/>
        </w:rPr>
        <w:t xml:space="preserve"> </w:t>
      </w:r>
      <w:r>
        <w:rPr>
          <w:sz w:val="24"/>
        </w:rPr>
        <w:t>procurement</w:t>
      </w:r>
      <w:r>
        <w:rPr>
          <w:spacing w:val="35"/>
          <w:sz w:val="24"/>
        </w:rPr>
        <w:t xml:space="preserve"> </w:t>
      </w:r>
      <w:r>
        <w:rPr>
          <w:sz w:val="24"/>
        </w:rPr>
        <w:t>contexts.</w:t>
      </w:r>
      <w:r>
        <w:rPr>
          <w:spacing w:val="37"/>
          <w:sz w:val="24"/>
        </w:rPr>
        <w:t xml:space="preserve"> </w:t>
      </w:r>
      <w:r>
        <w:rPr>
          <w:b/>
          <w:sz w:val="24"/>
        </w:rPr>
        <w:t>DCT</w:t>
      </w:r>
      <w:r>
        <w:rPr>
          <w:b/>
          <w:spacing w:val="30"/>
          <w:sz w:val="24"/>
        </w:rPr>
        <w:t xml:space="preserve"> </w:t>
      </w:r>
      <w:r>
        <w:rPr>
          <w:sz w:val="24"/>
        </w:rPr>
        <w:t>underpins</w:t>
      </w:r>
      <w:r>
        <w:rPr>
          <w:spacing w:val="29"/>
          <w:sz w:val="24"/>
        </w:rPr>
        <w:t xml:space="preserve"> </w:t>
      </w:r>
      <w:r>
        <w:rPr>
          <w:sz w:val="24"/>
        </w:rPr>
        <w:t>the</w:t>
      </w:r>
      <w:r>
        <w:rPr>
          <w:spacing w:val="34"/>
          <w:sz w:val="24"/>
        </w:rPr>
        <w:t xml:space="preserve"> </w:t>
      </w:r>
      <w:r>
        <w:rPr>
          <w:sz w:val="24"/>
        </w:rPr>
        <w:t>inclusion</w:t>
      </w:r>
      <w:r>
        <w:rPr>
          <w:spacing w:val="27"/>
          <w:sz w:val="24"/>
        </w:rPr>
        <w:t xml:space="preserve"> </w:t>
      </w:r>
      <w:r>
        <w:rPr>
          <w:spacing w:val="-5"/>
          <w:sz w:val="24"/>
        </w:rPr>
        <w:t>of</w:t>
      </w:r>
    </w:p>
    <w:p w:rsidR="00487D64" w:rsidRDefault="006F0D93">
      <w:pPr>
        <w:pStyle w:val="BodyText"/>
        <w:spacing w:before="5"/>
        <w:rPr>
          <w:sz w:val="20"/>
        </w:rPr>
      </w:pPr>
      <w:r>
        <w:rPr>
          <w:noProof/>
          <w:sz w:val="20"/>
        </w:rPr>
        <mc:AlternateContent>
          <mc:Choice Requires="wps">
            <w:drawing>
              <wp:anchor distT="0" distB="0" distL="0" distR="0" simplePos="0" relativeHeight="487600640" behindDoc="1" locked="0" layoutInCell="1" allowOverlap="1">
                <wp:simplePos x="0" y="0"/>
                <wp:positionH relativeFrom="page">
                  <wp:posOffset>896416</wp:posOffset>
                </wp:positionH>
                <wp:positionV relativeFrom="paragraph">
                  <wp:posOffset>164452</wp:posOffset>
                </wp:positionV>
                <wp:extent cx="5982335" cy="55244"/>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4FC1BC1" id="Graphic 84" o:spid="_x0000_s1026" style="position:absolute;margin-left:70.6pt;margin-top:12.95pt;width:471.05pt;height:4.35pt;z-index:-15715840;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86" name="Graphic 86"/>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24D1F1F2" id="Group 85"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">
                <v:shape id="Graphic 86"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" path="m5982335,18288l,18288,,54864r5982335,l5982335,18288xem5982335,l,,,9144r5982335,l5982335,xe" fillcolor="#612322" stroked="f">
                  <v:path arrowok="t"/>
                </v:shape>
                <w10:anchorlock/>
              </v:group>
            </w:pict>
          </mc:Fallback>
        </mc:AlternateContent>
      </w:r>
    </w:p>
    <w:p w:rsidR="00487D64" w:rsidRDefault="006F0D93">
      <w:pPr>
        <w:ind w:left="165" w:right="170"/>
        <w:jc w:val="both"/>
        <w:rPr>
          <w:sz w:val="24"/>
        </w:rPr>
      </w:pPr>
      <w:r>
        <w:rPr>
          <w:b/>
          <w:sz w:val="24"/>
        </w:rPr>
        <w:t xml:space="preserve">strategic flexibility </w:t>
      </w:r>
      <w:r>
        <w:rPr>
          <w:sz w:val="24"/>
        </w:rPr>
        <w:t>as</w:t>
      </w:r>
      <w:r>
        <w:rPr>
          <w:spacing w:val="-1"/>
          <w:sz w:val="24"/>
        </w:rPr>
        <w:t xml:space="preserve"> </w:t>
      </w:r>
      <w:r>
        <w:rPr>
          <w:sz w:val="24"/>
        </w:rPr>
        <w:t>a moderator, capturing SMEs’</w:t>
      </w:r>
      <w:r>
        <w:rPr>
          <w:spacing w:val="-2"/>
          <w:sz w:val="24"/>
        </w:rPr>
        <w:t xml:space="preserve"> </w:t>
      </w:r>
      <w:r>
        <w:rPr>
          <w:sz w:val="24"/>
        </w:rPr>
        <w:t>adaptive capacity</w:t>
      </w:r>
      <w:r>
        <w:rPr>
          <w:spacing w:val="-8"/>
          <w:sz w:val="24"/>
        </w:rPr>
        <w:t xml:space="preserve"> </w:t>
      </w:r>
      <w:r>
        <w:rPr>
          <w:sz w:val="24"/>
        </w:rPr>
        <w:t>to reconfigure resources, influencing how market orientation drives sustainable competitiveness. As figure 1</w:t>
      </w:r>
    </w:p>
    <w:p w:rsidR="00487D64" w:rsidRDefault="00487D64">
      <w:pPr>
        <w:pStyle w:val="BodyText"/>
        <w:rPr>
          <w:sz w:val="20"/>
        </w:rPr>
      </w:pPr>
    </w:p>
    <w:p w:rsidR="00487D64" w:rsidRDefault="006F0D93">
      <w:pPr>
        <w:pStyle w:val="BodyText"/>
        <w:spacing w:before="69"/>
        <w:rPr>
          <w:sz w:val="20"/>
        </w:rPr>
      </w:pPr>
      <w:r>
        <w:rPr>
          <w:noProof/>
          <w:sz w:val="20"/>
        </w:rPr>
        <w:drawing>
          <wp:anchor distT="0" distB="0" distL="0" distR="0" simplePos="0" relativeHeight="487601664" behindDoc="1" locked="0" layoutInCell="1" allowOverlap="1">
            <wp:simplePos x="0" y="0"/>
            <wp:positionH relativeFrom="page">
              <wp:posOffset>914400</wp:posOffset>
            </wp:positionH>
            <wp:positionV relativeFrom="paragraph">
              <wp:posOffset>205655</wp:posOffset>
            </wp:positionV>
            <wp:extent cx="5531092" cy="3057525"/>
            <wp:effectExtent l="0" t="0" r="0" b="0"/>
            <wp:wrapTopAndBottom/>
            <wp:docPr id="87" name="Image 87" descr="C:\Users\Denis\Downloads\Untitled Diagram.drawio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C:\Users\Denis\Downloads\Untitled Diagram.drawio (1).png"/>
                    <pic:cNvPicPr/>
                  </pic:nvPicPr>
                  <pic:blipFill>
                    <a:blip r:embed="rId60" cstate="print"/>
                    <a:stretch>
                      <a:fillRect/>
                    </a:stretch>
                  </pic:blipFill>
                  <pic:spPr>
                    <a:xfrm>
                      <a:off x="0" y="0"/>
                      <a:ext cx="5531092" cy="3057525"/>
                    </a:xfrm>
                    <a:prstGeom prst="rect">
                      <a:avLst/>
                    </a:prstGeom>
                  </pic:spPr>
                </pic:pic>
              </a:graphicData>
            </a:graphic>
          </wp:anchor>
        </w:drawing>
      </w:r>
    </w:p>
    <w:p w:rsidR="00487D64" w:rsidRDefault="00487D64">
      <w:pPr>
        <w:pStyle w:val="BodyText"/>
        <w:rPr>
          <w:sz w:val="24"/>
        </w:rPr>
      </w:pPr>
    </w:p>
    <w:p w:rsidR="00487D64" w:rsidRDefault="00487D64">
      <w:pPr>
        <w:pStyle w:val="BodyText"/>
        <w:rPr>
          <w:sz w:val="24"/>
        </w:rPr>
      </w:pPr>
    </w:p>
    <w:p w:rsidR="00487D64" w:rsidRDefault="00487D64">
      <w:pPr>
        <w:pStyle w:val="BodyText"/>
        <w:spacing w:before="23"/>
        <w:rPr>
          <w:sz w:val="24"/>
        </w:rPr>
      </w:pPr>
    </w:p>
    <w:p w:rsidR="00487D64" w:rsidRDefault="006F0D93">
      <w:pPr>
        <w:ind w:left="165"/>
        <w:jc w:val="both"/>
        <w:rPr>
          <w:sz w:val="24"/>
        </w:rPr>
      </w:pPr>
      <w:r>
        <w:rPr>
          <w:b/>
          <w:sz w:val="24"/>
        </w:rPr>
        <w:t>Figure</w:t>
      </w:r>
      <w:r>
        <w:rPr>
          <w:b/>
          <w:spacing w:val="-1"/>
          <w:sz w:val="24"/>
        </w:rPr>
        <w:t xml:space="preserve"> </w:t>
      </w:r>
      <w:r>
        <w:rPr>
          <w:b/>
          <w:sz w:val="24"/>
        </w:rPr>
        <w:t>1:</w:t>
      </w:r>
      <w:r>
        <w:rPr>
          <w:b/>
          <w:spacing w:val="6"/>
          <w:sz w:val="24"/>
        </w:rPr>
        <w:t xml:space="preserve"> </w:t>
      </w:r>
      <w:r>
        <w:rPr>
          <w:sz w:val="24"/>
        </w:rPr>
        <w:t>Conceptual</w:t>
      </w:r>
      <w:r>
        <w:rPr>
          <w:spacing w:val="-6"/>
          <w:sz w:val="24"/>
        </w:rPr>
        <w:t xml:space="preserve"> </w:t>
      </w:r>
      <w:r>
        <w:rPr>
          <w:sz w:val="24"/>
        </w:rPr>
        <w:t>Model</w:t>
      </w:r>
      <w:r>
        <w:rPr>
          <w:spacing w:val="-7"/>
          <w:sz w:val="24"/>
        </w:rPr>
        <w:t xml:space="preserve"> </w:t>
      </w:r>
      <w:r>
        <w:rPr>
          <w:sz w:val="24"/>
        </w:rPr>
        <w:t>of</w:t>
      </w:r>
      <w:r>
        <w:rPr>
          <w:spacing w:val="-5"/>
          <w:sz w:val="24"/>
        </w:rPr>
        <w:t xml:space="preserve"> </w:t>
      </w:r>
      <w:r>
        <w:rPr>
          <w:sz w:val="24"/>
        </w:rPr>
        <w:t>the</w:t>
      </w:r>
      <w:r>
        <w:rPr>
          <w:spacing w:val="2"/>
          <w:sz w:val="24"/>
        </w:rPr>
        <w:t xml:space="preserve"> </w:t>
      </w:r>
      <w:r>
        <w:rPr>
          <w:sz w:val="24"/>
        </w:rPr>
        <w:t>study;</w:t>
      </w:r>
      <w:r>
        <w:rPr>
          <w:spacing w:val="-3"/>
          <w:sz w:val="24"/>
        </w:rPr>
        <w:t xml:space="preserve"> </w:t>
      </w:r>
      <w:r>
        <w:rPr>
          <w:sz w:val="24"/>
        </w:rPr>
        <w:t>Source:</w:t>
      </w:r>
      <w:r>
        <w:rPr>
          <w:spacing w:val="-1"/>
          <w:sz w:val="24"/>
        </w:rPr>
        <w:t xml:space="preserve"> </w:t>
      </w:r>
      <w:r>
        <w:rPr>
          <w:sz w:val="24"/>
        </w:rPr>
        <w:t>By</w:t>
      </w:r>
      <w:r>
        <w:rPr>
          <w:spacing w:val="-2"/>
          <w:sz w:val="24"/>
        </w:rPr>
        <w:t xml:space="preserve"> Authors</w:t>
      </w:r>
    </w:p>
    <w:p w:rsidR="00487D64" w:rsidRDefault="00487D64">
      <w:pPr>
        <w:pStyle w:val="BodyText"/>
        <w:spacing w:before="5"/>
        <w:rPr>
          <w:sz w:val="24"/>
        </w:rPr>
      </w:pPr>
    </w:p>
    <w:p w:rsidR="00487D64" w:rsidRDefault="006F0D93">
      <w:pPr>
        <w:pStyle w:val="ListParagraph"/>
        <w:numPr>
          <w:ilvl w:val="0"/>
          <w:numId w:val="3"/>
        </w:numPr>
        <w:tabs>
          <w:tab w:val="left" w:pos="405"/>
        </w:tabs>
        <w:spacing w:line="275" w:lineRule="exact"/>
        <w:ind w:left="405" w:hanging="240"/>
        <w:jc w:val="both"/>
        <w:rPr>
          <w:b/>
          <w:sz w:val="24"/>
        </w:rPr>
      </w:pPr>
      <w:r>
        <w:rPr>
          <w:b/>
          <w:spacing w:val="-2"/>
          <w:sz w:val="24"/>
        </w:rPr>
        <w:t>METHODOLOGY</w:t>
      </w:r>
    </w:p>
    <w:p w:rsidR="00487D64" w:rsidRDefault="006F0D93">
      <w:pPr>
        <w:pStyle w:val="ListParagraph"/>
        <w:numPr>
          <w:ilvl w:val="1"/>
          <w:numId w:val="3"/>
        </w:numPr>
        <w:tabs>
          <w:tab w:val="left" w:pos="529"/>
        </w:tabs>
        <w:spacing w:line="274" w:lineRule="exact"/>
        <w:ind w:hanging="364"/>
        <w:jc w:val="both"/>
        <w:rPr>
          <w:b/>
          <w:sz w:val="24"/>
        </w:rPr>
      </w:pPr>
      <w:r>
        <w:rPr>
          <w:b/>
          <w:sz w:val="24"/>
        </w:rPr>
        <w:t>Research</w:t>
      </w:r>
      <w:r>
        <w:rPr>
          <w:b/>
          <w:spacing w:val="-4"/>
          <w:sz w:val="24"/>
        </w:rPr>
        <w:t xml:space="preserve"> </w:t>
      </w:r>
      <w:r>
        <w:rPr>
          <w:b/>
          <w:sz w:val="24"/>
        </w:rPr>
        <w:t>Philosophy,</w:t>
      </w:r>
      <w:r>
        <w:rPr>
          <w:b/>
          <w:spacing w:val="-3"/>
          <w:sz w:val="24"/>
        </w:rPr>
        <w:t xml:space="preserve"> </w:t>
      </w:r>
      <w:r>
        <w:rPr>
          <w:b/>
          <w:sz w:val="24"/>
        </w:rPr>
        <w:t>Design</w:t>
      </w:r>
      <w:r>
        <w:rPr>
          <w:b/>
          <w:spacing w:val="-3"/>
          <w:sz w:val="24"/>
        </w:rPr>
        <w:t xml:space="preserve"> </w:t>
      </w:r>
      <w:r>
        <w:rPr>
          <w:b/>
          <w:sz w:val="24"/>
        </w:rPr>
        <w:t>and</w:t>
      </w:r>
      <w:r>
        <w:rPr>
          <w:b/>
          <w:spacing w:val="-3"/>
          <w:sz w:val="24"/>
        </w:rPr>
        <w:t xml:space="preserve"> </w:t>
      </w:r>
      <w:r>
        <w:rPr>
          <w:b/>
          <w:spacing w:val="-2"/>
          <w:sz w:val="24"/>
        </w:rPr>
        <w:t>Approach</w:t>
      </w:r>
    </w:p>
    <w:p w:rsidR="00487D64" w:rsidRDefault="006F0D93">
      <w:pPr>
        <w:ind w:left="165" w:right="158"/>
        <w:jc w:val="both"/>
        <w:rPr>
          <w:sz w:val="24"/>
        </w:rPr>
      </w:pPr>
      <w:r>
        <w:rPr>
          <w:sz w:val="24"/>
        </w:rPr>
        <w:t>This study</w:t>
      </w:r>
      <w:r>
        <w:rPr>
          <w:spacing w:val="-2"/>
          <w:sz w:val="24"/>
        </w:rPr>
        <w:t xml:space="preserve"> </w:t>
      </w:r>
      <w:r>
        <w:rPr>
          <w:sz w:val="24"/>
        </w:rPr>
        <w:t xml:space="preserve">adopted a </w:t>
      </w:r>
      <w:r>
        <w:rPr>
          <w:b/>
          <w:sz w:val="24"/>
        </w:rPr>
        <w:t>positivist philosophy</w:t>
      </w:r>
      <w:r>
        <w:rPr>
          <w:sz w:val="24"/>
        </w:rPr>
        <w:t xml:space="preserve">, emphasizing objective measurement and hypothesis testing to establish causal relationships (Kumar, 2019). An </w:t>
      </w:r>
      <w:r>
        <w:rPr>
          <w:b/>
          <w:sz w:val="24"/>
        </w:rPr>
        <w:t xml:space="preserve">explanatory research design </w:t>
      </w:r>
      <w:r>
        <w:rPr>
          <w:sz w:val="24"/>
        </w:rPr>
        <w:t>was employed to examine how customer orientation, competitor orientation, and functional coordin</w:t>
      </w:r>
      <w:r>
        <w:rPr>
          <w:sz w:val="24"/>
        </w:rPr>
        <w:t>ation</w:t>
      </w:r>
      <w:r>
        <w:rPr>
          <w:spacing w:val="-15"/>
          <w:sz w:val="24"/>
        </w:rPr>
        <w:t xml:space="preserve"> </w:t>
      </w:r>
      <w:r>
        <w:rPr>
          <w:sz w:val="24"/>
        </w:rPr>
        <w:t>influence</w:t>
      </w:r>
      <w:r>
        <w:rPr>
          <w:spacing w:val="-15"/>
          <w:sz w:val="24"/>
        </w:rPr>
        <w:t xml:space="preserve"> </w:t>
      </w:r>
      <w:r>
        <w:rPr>
          <w:sz w:val="24"/>
        </w:rPr>
        <w:t>sustainable</w:t>
      </w:r>
      <w:r>
        <w:rPr>
          <w:spacing w:val="-15"/>
          <w:sz w:val="24"/>
        </w:rPr>
        <w:t xml:space="preserve"> </w:t>
      </w:r>
      <w:r>
        <w:rPr>
          <w:sz w:val="24"/>
        </w:rPr>
        <w:t>competitiveness</w:t>
      </w:r>
      <w:r>
        <w:rPr>
          <w:spacing w:val="-14"/>
          <w:sz w:val="24"/>
        </w:rPr>
        <w:t xml:space="preserve"> </w:t>
      </w:r>
      <w:r>
        <w:rPr>
          <w:sz w:val="24"/>
        </w:rPr>
        <w:t>among</w:t>
      </w:r>
      <w:r>
        <w:rPr>
          <w:spacing w:val="-13"/>
          <w:sz w:val="24"/>
        </w:rPr>
        <w:t xml:space="preserve"> </w:t>
      </w:r>
      <w:r>
        <w:rPr>
          <w:sz w:val="24"/>
        </w:rPr>
        <w:t>special</w:t>
      </w:r>
      <w:r>
        <w:rPr>
          <w:spacing w:val="-15"/>
          <w:sz w:val="24"/>
        </w:rPr>
        <w:t xml:space="preserve"> </w:t>
      </w:r>
      <w:r>
        <w:rPr>
          <w:sz w:val="24"/>
        </w:rPr>
        <w:t>group</w:t>
      </w:r>
      <w:r>
        <w:rPr>
          <w:spacing w:val="-14"/>
          <w:sz w:val="24"/>
        </w:rPr>
        <w:t xml:space="preserve"> </w:t>
      </w:r>
      <w:r>
        <w:rPr>
          <w:sz w:val="24"/>
        </w:rPr>
        <w:t>SMEs.</w:t>
      </w:r>
      <w:r>
        <w:rPr>
          <w:spacing w:val="-15"/>
          <w:sz w:val="24"/>
        </w:rPr>
        <w:t xml:space="preserve"> </w:t>
      </w:r>
      <w:r>
        <w:rPr>
          <w:sz w:val="24"/>
        </w:rPr>
        <w:t>A</w:t>
      </w:r>
      <w:r>
        <w:rPr>
          <w:spacing w:val="-10"/>
          <w:sz w:val="24"/>
        </w:rPr>
        <w:t xml:space="preserve"> </w:t>
      </w:r>
      <w:r>
        <w:rPr>
          <w:b/>
          <w:sz w:val="24"/>
        </w:rPr>
        <w:t xml:space="preserve">cross-sectional survey </w:t>
      </w:r>
      <w:r>
        <w:rPr>
          <w:sz w:val="24"/>
        </w:rPr>
        <w:t xml:space="preserve">approach enabled data collection at a single point, supporting efficiency and hypothesis testing (Mugenda and Mugenda, 2003). Guided by </w:t>
      </w:r>
      <w:r>
        <w:rPr>
          <w:b/>
          <w:sz w:val="24"/>
        </w:rPr>
        <w:t>MOT and DCT</w:t>
      </w:r>
      <w:r>
        <w:rPr>
          <w:sz w:val="24"/>
        </w:rPr>
        <w:t>, the study fo</w:t>
      </w:r>
      <w:r>
        <w:rPr>
          <w:sz w:val="24"/>
        </w:rPr>
        <w:t xml:space="preserve">llowed a </w:t>
      </w:r>
      <w:r>
        <w:rPr>
          <w:b/>
          <w:sz w:val="24"/>
        </w:rPr>
        <w:t>deductive approach</w:t>
      </w:r>
      <w:r>
        <w:rPr>
          <w:sz w:val="24"/>
        </w:rPr>
        <w:t>, moving from theory to data to validate hypothesized relationships using statistical analysis (Rahi, 2017).</w:t>
      </w:r>
    </w:p>
    <w:p w:rsidR="00487D64" w:rsidRDefault="006F0D93">
      <w:pPr>
        <w:pStyle w:val="ListParagraph"/>
        <w:numPr>
          <w:ilvl w:val="1"/>
          <w:numId w:val="3"/>
        </w:numPr>
        <w:tabs>
          <w:tab w:val="left" w:pos="529"/>
        </w:tabs>
        <w:spacing w:before="5" w:line="273" w:lineRule="exact"/>
        <w:ind w:hanging="364"/>
        <w:jc w:val="both"/>
        <w:rPr>
          <w:b/>
          <w:sz w:val="24"/>
        </w:rPr>
      </w:pPr>
      <w:r>
        <w:rPr>
          <w:b/>
          <w:sz w:val="24"/>
        </w:rPr>
        <w:t>Sampling</w:t>
      </w:r>
      <w:r>
        <w:rPr>
          <w:b/>
          <w:spacing w:val="-5"/>
          <w:sz w:val="24"/>
        </w:rPr>
        <w:t xml:space="preserve"> </w:t>
      </w:r>
      <w:r>
        <w:rPr>
          <w:b/>
          <w:sz w:val="24"/>
        </w:rPr>
        <w:t>techniques</w:t>
      </w:r>
      <w:r>
        <w:rPr>
          <w:b/>
          <w:spacing w:val="-6"/>
          <w:sz w:val="24"/>
        </w:rPr>
        <w:t xml:space="preserve"> </w:t>
      </w:r>
      <w:r>
        <w:rPr>
          <w:b/>
          <w:sz w:val="24"/>
        </w:rPr>
        <w:t>and</w:t>
      </w:r>
      <w:r>
        <w:rPr>
          <w:b/>
          <w:spacing w:val="-5"/>
          <w:sz w:val="24"/>
        </w:rPr>
        <w:t xml:space="preserve"> </w:t>
      </w:r>
      <w:r>
        <w:rPr>
          <w:b/>
          <w:sz w:val="24"/>
        </w:rPr>
        <w:t>sample</w:t>
      </w:r>
      <w:r>
        <w:rPr>
          <w:b/>
          <w:spacing w:val="-5"/>
          <w:sz w:val="24"/>
        </w:rPr>
        <w:t xml:space="preserve"> </w:t>
      </w:r>
      <w:r>
        <w:rPr>
          <w:b/>
          <w:spacing w:val="-4"/>
          <w:sz w:val="24"/>
        </w:rPr>
        <w:t>size</w:t>
      </w:r>
    </w:p>
    <w:p w:rsidR="00487D64" w:rsidRDefault="006F0D93">
      <w:pPr>
        <w:ind w:left="165" w:right="166"/>
        <w:jc w:val="both"/>
        <w:rPr>
          <w:sz w:val="24"/>
        </w:rPr>
      </w:pPr>
      <w:r>
        <w:rPr>
          <w:sz w:val="24"/>
        </w:rPr>
        <w:t xml:space="preserve">This study used a </w:t>
      </w:r>
      <w:r>
        <w:rPr>
          <w:b/>
          <w:sz w:val="24"/>
        </w:rPr>
        <w:t>census sampling technique</w:t>
      </w:r>
      <w:r>
        <w:rPr>
          <w:sz w:val="24"/>
        </w:rPr>
        <w:t>, targeting all special group SMEs regist</w:t>
      </w:r>
      <w:r>
        <w:rPr>
          <w:sz w:val="24"/>
        </w:rPr>
        <w:t>ered with PPRA.</w:t>
      </w:r>
      <w:r>
        <w:rPr>
          <w:spacing w:val="-8"/>
          <w:sz w:val="24"/>
        </w:rPr>
        <w:t xml:space="preserve"> </w:t>
      </w:r>
      <w:r>
        <w:rPr>
          <w:sz w:val="24"/>
        </w:rPr>
        <w:t>The</w:t>
      </w:r>
      <w:r>
        <w:rPr>
          <w:spacing w:val="-10"/>
          <w:sz w:val="24"/>
        </w:rPr>
        <w:t xml:space="preserve"> </w:t>
      </w:r>
      <w:r>
        <w:rPr>
          <w:sz w:val="24"/>
        </w:rPr>
        <w:t>approach</w:t>
      </w:r>
      <w:r>
        <w:rPr>
          <w:spacing w:val="-13"/>
          <w:sz w:val="24"/>
        </w:rPr>
        <w:t xml:space="preserve"> </w:t>
      </w:r>
      <w:r>
        <w:rPr>
          <w:sz w:val="24"/>
        </w:rPr>
        <w:t>ensured</w:t>
      </w:r>
      <w:r>
        <w:rPr>
          <w:spacing w:val="-9"/>
          <w:sz w:val="24"/>
        </w:rPr>
        <w:t xml:space="preserve"> </w:t>
      </w:r>
      <w:r>
        <w:rPr>
          <w:sz w:val="24"/>
        </w:rPr>
        <w:t>complete</w:t>
      </w:r>
      <w:r>
        <w:rPr>
          <w:spacing w:val="-10"/>
          <w:sz w:val="24"/>
        </w:rPr>
        <w:t xml:space="preserve"> </w:t>
      </w:r>
      <w:r>
        <w:rPr>
          <w:sz w:val="24"/>
        </w:rPr>
        <w:t>coverage</w:t>
      </w:r>
      <w:r>
        <w:rPr>
          <w:spacing w:val="-10"/>
          <w:sz w:val="24"/>
        </w:rPr>
        <w:t xml:space="preserve"> </w:t>
      </w:r>
      <w:r>
        <w:rPr>
          <w:sz w:val="24"/>
        </w:rPr>
        <w:t>of</w:t>
      </w:r>
      <w:r>
        <w:rPr>
          <w:spacing w:val="-15"/>
          <w:sz w:val="24"/>
        </w:rPr>
        <w:t xml:space="preserve"> </w:t>
      </w:r>
      <w:r>
        <w:rPr>
          <w:sz w:val="24"/>
        </w:rPr>
        <w:t>the</w:t>
      </w:r>
      <w:r>
        <w:rPr>
          <w:spacing w:val="-10"/>
          <w:sz w:val="24"/>
        </w:rPr>
        <w:t xml:space="preserve"> </w:t>
      </w:r>
      <w:r>
        <w:rPr>
          <w:sz w:val="24"/>
        </w:rPr>
        <w:t>population,</w:t>
      </w:r>
      <w:r>
        <w:rPr>
          <w:spacing w:val="-3"/>
          <w:sz w:val="24"/>
        </w:rPr>
        <w:t xml:space="preserve"> </w:t>
      </w:r>
      <w:r>
        <w:rPr>
          <w:sz w:val="24"/>
        </w:rPr>
        <w:t>minimizing</w:t>
      </w:r>
      <w:r>
        <w:rPr>
          <w:spacing w:val="-9"/>
          <w:sz w:val="24"/>
        </w:rPr>
        <w:t xml:space="preserve"> </w:t>
      </w:r>
      <w:r>
        <w:rPr>
          <w:sz w:val="24"/>
        </w:rPr>
        <w:t>sampling</w:t>
      </w:r>
      <w:r>
        <w:rPr>
          <w:spacing w:val="-4"/>
          <w:sz w:val="24"/>
        </w:rPr>
        <w:t xml:space="preserve"> </w:t>
      </w:r>
      <w:r>
        <w:rPr>
          <w:sz w:val="24"/>
        </w:rPr>
        <w:t>bias</w:t>
      </w:r>
      <w:r>
        <w:rPr>
          <w:spacing w:val="-11"/>
          <w:sz w:val="24"/>
        </w:rPr>
        <w:t xml:space="preserve"> </w:t>
      </w:r>
      <w:r>
        <w:rPr>
          <w:sz w:val="24"/>
        </w:rPr>
        <w:t>and enhancing validity. The sample size equaled the entire population of eligible SMEs, enabling accurate testing of hypothesized relationships.</w:t>
      </w:r>
    </w:p>
    <w:p w:rsidR="00487D64" w:rsidRDefault="00487D64">
      <w:pPr>
        <w:pStyle w:val="BodyText"/>
        <w:rPr>
          <w:sz w:val="20"/>
        </w:rPr>
      </w:pPr>
    </w:p>
    <w:p w:rsidR="00487D64" w:rsidRDefault="00487D64">
      <w:pPr>
        <w:pStyle w:val="BodyText"/>
        <w:rPr>
          <w:sz w:val="20"/>
        </w:rPr>
      </w:pPr>
    </w:p>
    <w:p w:rsidR="00487D64" w:rsidRDefault="006F0D93">
      <w:pPr>
        <w:pStyle w:val="BodyText"/>
        <w:spacing w:before="227"/>
        <w:rPr>
          <w:sz w:val="20"/>
        </w:rPr>
      </w:pPr>
      <w:r>
        <w:rPr>
          <w:noProof/>
          <w:sz w:val="20"/>
        </w:rPr>
        <mc:AlternateContent>
          <mc:Choice Requires="wps">
            <w:drawing>
              <wp:anchor distT="0" distB="0" distL="0" distR="0" simplePos="0" relativeHeight="487602176" behindDoc="1" locked="0" layoutInCell="1" allowOverlap="1">
                <wp:simplePos x="0" y="0"/>
                <wp:positionH relativeFrom="page">
                  <wp:posOffset>896416</wp:posOffset>
                </wp:positionH>
                <wp:positionV relativeFrom="paragraph">
                  <wp:posOffset>305422</wp:posOffset>
                </wp:positionV>
                <wp:extent cx="5982335" cy="55244"/>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A6BE9F7" id="Graphic 88" o:spid="_x0000_s1026" style="position:absolute;margin-left:70.6pt;margin-top:24.05pt;width:471.05pt;height:4.35pt;z-index:-15714304;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90" name="Graphic 90"/>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3232E8F0" id="Group 89"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">
                <v:shape id="Graphic 90"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" path="m5982335,18288l,18288,,54864r5982335,l5982335,18288xem5982335,l,,,9144r5982335,l5982335,xe" fillcolor="#612322" stroked="f">
                  <v:path arrowok="t"/>
                </v:shape>
                <w10:anchorlock/>
              </v:group>
            </w:pict>
          </mc:Fallback>
        </mc:AlternateContent>
      </w:r>
    </w:p>
    <w:p w:rsidR="00487D64" w:rsidRDefault="006F0D93">
      <w:pPr>
        <w:pStyle w:val="ListParagraph"/>
        <w:numPr>
          <w:ilvl w:val="1"/>
          <w:numId w:val="3"/>
        </w:numPr>
        <w:tabs>
          <w:tab w:val="left" w:pos="529"/>
        </w:tabs>
        <w:spacing w:line="270" w:lineRule="exact"/>
        <w:ind w:hanging="364"/>
        <w:jc w:val="both"/>
        <w:rPr>
          <w:b/>
          <w:sz w:val="24"/>
        </w:rPr>
      </w:pPr>
      <w:bookmarkStart w:id="265" w:name="3.3_Data_Collection,_Analysis,_and_Prese"/>
      <w:bookmarkEnd w:id="265"/>
      <w:r>
        <w:rPr>
          <w:b/>
          <w:sz w:val="24"/>
        </w:rPr>
        <w:t>Data</w:t>
      </w:r>
      <w:r>
        <w:rPr>
          <w:b/>
          <w:spacing w:val="-8"/>
          <w:sz w:val="24"/>
        </w:rPr>
        <w:t xml:space="preserve"> </w:t>
      </w:r>
      <w:r>
        <w:rPr>
          <w:b/>
          <w:sz w:val="24"/>
        </w:rPr>
        <w:t>Collection,</w:t>
      </w:r>
      <w:r>
        <w:rPr>
          <w:b/>
          <w:spacing w:val="-1"/>
          <w:sz w:val="24"/>
        </w:rPr>
        <w:t xml:space="preserve"> </w:t>
      </w:r>
      <w:r>
        <w:rPr>
          <w:b/>
          <w:sz w:val="24"/>
        </w:rPr>
        <w:t>Analysis,</w:t>
      </w:r>
      <w:r>
        <w:rPr>
          <w:b/>
          <w:spacing w:val="-1"/>
          <w:sz w:val="24"/>
        </w:rPr>
        <w:t xml:space="preserve"> </w:t>
      </w:r>
      <w:r>
        <w:rPr>
          <w:b/>
          <w:sz w:val="24"/>
        </w:rPr>
        <w:t>and</w:t>
      </w:r>
      <w:r>
        <w:rPr>
          <w:b/>
          <w:spacing w:val="-2"/>
          <w:sz w:val="24"/>
        </w:rPr>
        <w:t xml:space="preserve"> Presentation</w:t>
      </w:r>
    </w:p>
    <w:p w:rsidR="00487D64" w:rsidRDefault="006F0D93">
      <w:pPr>
        <w:ind w:left="165" w:right="163"/>
        <w:jc w:val="both"/>
        <w:rPr>
          <w:sz w:val="24"/>
        </w:rPr>
      </w:pPr>
      <w:r>
        <w:rPr>
          <w:sz w:val="24"/>
        </w:rPr>
        <w:t>Data</w:t>
      </w:r>
      <w:r>
        <w:rPr>
          <w:spacing w:val="-15"/>
          <w:sz w:val="24"/>
        </w:rPr>
        <w:t xml:space="preserve"> </w:t>
      </w:r>
      <w:r>
        <w:rPr>
          <w:sz w:val="24"/>
        </w:rPr>
        <w:t>were</w:t>
      </w:r>
      <w:r>
        <w:rPr>
          <w:spacing w:val="-15"/>
          <w:sz w:val="24"/>
        </w:rPr>
        <w:t xml:space="preserve"> </w:t>
      </w:r>
      <w:r>
        <w:rPr>
          <w:sz w:val="24"/>
        </w:rPr>
        <w:t>collected</w:t>
      </w:r>
      <w:r>
        <w:rPr>
          <w:spacing w:val="-15"/>
          <w:sz w:val="24"/>
        </w:rPr>
        <w:t xml:space="preserve"> </w:t>
      </w:r>
      <w:r>
        <w:rPr>
          <w:sz w:val="24"/>
        </w:rPr>
        <w:t>using</w:t>
      </w:r>
      <w:r>
        <w:rPr>
          <w:spacing w:val="-15"/>
          <w:sz w:val="24"/>
        </w:rPr>
        <w:t xml:space="preserve"> </w:t>
      </w:r>
      <w:r>
        <w:rPr>
          <w:sz w:val="24"/>
        </w:rPr>
        <w:t>a</w:t>
      </w:r>
      <w:r>
        <w:rPr>
          <w:spacing w:val="-15"/>
          <w:sz w:val="24"/>
        </w:rPr>
        <w:t xml:space="preserve"> </w:t>
      </w:r>
      <w:r>
        <w:rPr>
          <w:sz w:val="24"/>
        </w:rPr>
        <w:t>structured</w:t>
      </w:r>
      <w:r>
        <w:rPr>
          <w:spacing w:val="-15"/>
          <w:sz w:val="24"/>
        </w:rPr>
        <w:t xml:space="preserve"> </w:t>
      </w:r>
      <w:r>
        <w:rPr>
          <w:sz w:val="24"/>
        </w:rPr>
        <w:t>questionnaire</w:t>
      </w:r>
      <w:r>
        <w:rPr>
          <w:spacing w:val="-15"/>
          <w:sz w:val="24"/>
        </w:rPr>
        <w:t xml:space="preserve"> </w:t>
      </w:r>
      <w:r>
        <w:rPr>
          <w:sz w:val="24"/>
        </w:rPr>
        <w:t>with</w:t>
      </w:r>
      <w:r>
        <w:rPr>
          <w:spacing w:val="-15"/>
          <w:sz w:val="24"/>
        </w:rPr>
        <w:t xml:space="preserve"> </w:t>
      </w:r>
      <w:r>
        <w:rPr>
          <w:sz w:val="24"/>
        </w:rPr>
        <w:t>closed-ended</w:t>
      </w:r>
      <w:r>
        <w:rPr>
          <w:spacing w:val="-15"/>
          <w:sz w:val="24"/>
        </w:rPr>
        <w:t xml:space="preserve"> </w:t>
      </w:r>
      <w:r>
        <w:rPr>
          <w:sz w:val="24"/>
        </w:rPr>
        <w:t>items</w:t>
      </w:r>
      <w:r>
        <w:rPr>
          <w:spacing w:val="-15"/>
          <w:sz w:val="24"/>
        </w:rPr>
        <w:t xml:space="preserve"> </w:t>
      </w:r>
      <w:r>
        <w:rPr>
          <w:sz w:val="24"/>
        </w:rPr>
        <w:t>on</w:t>
      </w:r>
      <w:r>
        <w:rPr>
          <w:spacing w:val="-15"/>
          <w:sz w:val="24"/>
        </w:rPr>
        <w:t xml:space="preserve"> </w:t>
      </w:r>
      <w:r>
        <w:rPr>
          <w:sz w:val="24"/>
        </w:rPr>
        <w:t>a</w:t>
      </w:r>
      <w:r>
        <w:rPr>
          <w:spacing w:val="-15"/>
          <w:sz w:val="24"/>
        </w:rPr>
        <w:t xml:space="preserve"> </w:t>
      </w:r>
      <w:r>
        <w:rPr>
          <w:sz w:val="24"/>
        </w:rPr>
        <w:t>five-point</w:t>
      </w:r>
      <w:r>
        <w:rPr>
          <w:spacing w:val="-15"/>
          <w:sz w:val="24"/>
        </w:rPr>
        <w:t xml:space="preserve"> </w:t>
      </w:r>
      <w:r>
        <w:rPr>
          <w:sz w:val="24"/>
        </w:rPr>
        <w:t>Likert scale adapted from</w:t>
      </w:r>
      <w:r>
        <w:rPr>
          <w:spacing w:val="-6"/>
          <w:sz w:val="24"/>
        </w:rPr>
        <w:t xml:space="preserve"> </w:t>
      </w:r>
      <w:r>
        <w:rPr>
          <w:sz w:val="24"/>
        </w:rPr>
        <w:t>prior studies (Bryman, 2016). PLS-SEM was adopted</w:t>
      </w:r>
      <w:r>
        <w:rPr>
          <w:spacing w:val="-1"/>
          <w:sz w:val="24"/>
        </w:rPr>
        <w:t xml:space="preserve"> </w:t>
      </w:r>
      <w:r>
        <w:rPr>
          <w:sz w:val="24"/>
        </w:rPr>
        <w:t>for this study</w:t>
      </w:r>
      <w:r>
        <w:rPr>
          <w:spacing w:val="-6"/>
          <w:sz w:val="24"/>
        </w:rPr>
        <w:t xml:space="preserve"> </w:t>
      </w:r>
      <w:r>
        <w:rPr>
          <w:sz w:val="24"/>
        </w:rPr>
        <w:t>due to its suitability</w:t>
      </w:r>
      <w:r>
        <w:rPr>
          <w:spacing w:val="-13"/>
          <w:sz w:val="24"/>
        </w:rPr>
        <w:t xml:space="preserve"> </w:t>
      </w:r>
      <w:r>
        <w:rPr>
          <w:sz w:val="24"/>
        </w:rPr>
        <w:t>in</w:t>
      </w:r>
      <w:r>
        <w:rPr>
          <w:spacing w:val="-8"/>
          <w:sz w:val="24"/>
        </w:rPr>
        <w:t xml:space="preserve"> </w:t>
      </w:r>
      <w:r>
        <w:rPr>
          <w:sz w:val="24"/>
        </w:rPr>
        <w:t>analyzing</w:t>
      </w:r>
      <w:r>
        <w:rPr>
          <w:spacing w:val="-8"/>
          <w:sz w:val="24"/>
        </w:rPr>
        <w:t xml:space="preserve"> </w:t>
      </w:r>
      <w:r>
        <w:rPr>
          <w:sz w:val="24"/>
        </w:rPr>
        <w:t>causal</w:t>
      </w:r>
      <w:r>
        <w:rPr>
          <w:spacing w:val="-15"/>
          <w:sz w:val="24"/>
        </w:rPr>
        <w:t xml:space="preserve"> </w:t>
      </w:r>
      <w:r>
        <w:rPr>
          <w:sz w:val="24"/>
        </w:rPr>
        <w:t>relationships</w:t>
      </w:r>
      <w:r>
        <w:rPr>
          <w:spacing w:val="-10"/>
          <w:sz w:val="24"/>
        </w:rPr>
        <w:t xml:space="preserve"> </w:t>
      </w:r>
      <w:r>
        <w:rPr>
          <w:sz w:val="24"/>
        </w:rPr>
        <w:t>among</w:t>
      </w:r>
      <w:r>
        <w:rPr>
          <w:spacing w:val="-8"/>
          <w:sz w:val="24"/>
        </w:rPr>
        <w:t xml:space="preserve"> </w:t>
      </w:r>
      <w:r>
        <w:rPr>
          <w:sz w:val="24"/>
        </w:rPr>
        <w:t>latent</w:t>
      </w:r>
      <w:r>
        <w:rPr>
          <w:spacing w:val="-3"/>
          <w:sz w:val="24"/>
        </w:rPr>
        <w:t xml:space="preserve"> </w:t>
      </w:r>
      <w:r>
        <w:rPr>
          <w:sz w:val="24"/>
        </w:rPr>
        <w:t>constructs</w:t>
      </w:r>
      <w:r>
        <w:rPr>
          <w:spacing w:val="-14"/>
          <w:sz w:val="24"/>
        </w:rPr>
        <w:t xml:space="preserve"> </w:t>
      </w:r>
      <w:r>
        <w:rPr>
          <w:sz w:val="24"/>
        </w:rPr>
        <w:t>in</w:t>
      </w:r>
      <w:r>
        <w:rPr>
          <w:spacing w:val="-12"/>
          <w:sz w:val="24"/>
        </w:rPr>
        <w:t xml:space="preserve"> </w:t>
      </w:r>
      <w:r>
        <w:rPr>
          <w:sz w:val="24"/>
        </w:rPr>
        <w:t>predictive</w:t>
      </w:r>
      <w:r>
        <w:rPr>
          <w:spacing w:val="-9"/>
          <w:sz w:val="24"/>
        </w:rPr>
        <w:t xml:space="preserve"> </w:t>
      </w:r>
      <w:r>
        <w:rPr>
          <w:sz w:val="24"/>
        </w:rPr>
        <w:t>research</w:t>
      </w:r>
      <w:r>
        <w:rPr>
          <w:spacing w:val="-8"/>
          <w:sz w:val="24"/>
        </w:rPr>
        <w:t xml:space="preserve"> </w:t>
      </w:r>
      <w:r>
        <w:rPr>
          <w:sz w:val="24"/>
        </w:rPr>
        <w:t>models. Furthermore, it allows simultaneous assessment of measurement and structural models, ensuring robust estimation of path relationships and explained variance, which aligns with the study’s objective of examining the influence of market orientation d</w:t>
      </w:r>
      <w:r>
        <w:rPr>
          <w:sz w:val="24"/>
        </w:rPr>
        <w:t>imensions on sustainable competitiveness (Hair et al., 2022; Sarstedt et al., 2020).</w:t>
      </w:r>
    </w:p>
    <w:p w:rsidR="00487D64" w:rsidRDefault="00487D64">
      <w:pPr>
        <w:pStyle w:val="BodyText"/>
        <w:spacing w:before="2"/>
        <w:rPr>
          <w:sz w:val="24"/>
        </w:rPr>
      </w:pPr>
    </w:p>
    <w:p w:rsidR="00487D64" w:rsidRDefault="006F0D93">
      <w:pPr>
        <w:pStyle w:val="ListParagraph"/>
        <w:numPr>
          <w:ilvl w:val="2"/>
          <w:numId w:val="3"/>
        </w:numPr>
        <w:tabs>
          <w:tab w:val="left" w:pos="706"/>
        </w:tabs>
        <w:spacing w:line="275" w:lineRule="exact"/>
        <w:ind w:left="706" w:hanging="541"/>
        <w:jc w:val="both"/>
        <w:rPr>
          <w:b/>
          <w:sz w:val="24"/>
        </w:rPr>
      </w:pPr>
      <w:r>
        <w:rPr>
          <w:b/>
          <w:sz w:val="24"/>
        </w:rPr>
        <w:t>Response</w:t>
      </w:r>
      <w:r>
        <w:rPr>
          <w:b/>
          <w:spacing w:val="-5"/>
          <w:sz w:val="24"/>
        </w:rPr>
        <w:t xml:space="preserve"> </w:t>
      </w:r>
      <w:r>
        <w:rPr>
          <w:b/>
          <w:spacing w:val="-4"/>
          <w:sz w:val="24"/>
        </w:rPr>
        <w:t>Rate</w:t>
      </w:r>
    </w:p>
    <w:p w:rsidR="00487D64" w:rsidRDefault="006F0D93">
      <w:pPr>
        <w:spacing w:before="1" w:line="237" w:lineRule="auto"/>
        <w:ind w:left="165" w:right="172"/>
        <w:jc w:val="both"/>
        <w:rPr>
          <w:sz w:val="24"/>
        </w:rPr>
      </w:pPr>
      <w:r>
        <w:rPr>
          <w:sz w:val="24"/>
        </w:rPr>
        <w:t>Out of 503 questionnaires distributed, 393 were returned, yielding a 78.1% response rate, which exceeds the 70% benchmark suggested by Mugenda (2003), ensur</w:t>
      </w:r>
      <w:r>
        <w:rPr>
          <w:sz w:val="24"/>
        </w:rPr>
        <w:t xml:space="preserve">ing data reliability and </w:t>
      </w:r>
      <w:r>
        <w:rPr>
          <w:spacing w:val="-2"/>
          <w:sz w:val="24"/>
        </w:rPr>
        <w:t>representativeness.</w:t>
      </w:r>
    </w:p>
    <w:p w:rsidR="00487D64" w:rsidRDefault="00487D64">
      <w:pPr>
        <w:pStyle w:val="BodyText"/>
        <w:spacing w:before="6"/>
        <w:rPr>
          <w:sz w:val="24"/>
        </w:rPr>
      </w:pPr>
    </w:p>
    <w:p w:rsidR="00487D64" w:rsidRDefault="006F0D93">
      <w:pPr>
        <w:pStyle w:val="ListParagraph"/>
        <w:numPr>
          <w:ilvl w:val="2"/>
          <w:numId w:val="3"/>
        </w:numPr>
        <w:tabs>
          <w:tab w:val="left" w:pos="706"/>
        </w:tabs>
        <w:spacing w:before="1" w:line="275" w:lineRule="exact"/>
        <w:ind w:left="706" w:hanging="541"/>
        <w:jc w:val="both"/>
        <w:rPr>
          <w:b/>
          <w:sz w:val="24"/>
        </w:rPr>
      </w:pPr>
      <w:r>
        <w:rPr>
          <w:b/>
          <w:sz w:val="24"/>
        </w:rPr>
        <w:t>Assessment</w:t>
      </w:r>
      <w:r>
        <w:rPr>
          <w:b/>
          <w:spacing w:val="-3"/>
          <w:sz w:val="24"/>
        </w:rPr>
        <w:t xml:space="preserve"> </w:t>
      </w:r>
      <w:r>
        <w:rPr>
          <w:b/>
          <w:sz w:val="24"/>
        </w:rPr>
        <w:t>of</w:t>
      </w:r>
      <w:r>
        <w:rPr>
          <w:b/>
          <w:spacing w:val="-5"/>
          <w:sz w:val="24"/>
        </w:rPr>
        <w:t xml:space="preserve"> </w:t>
      </w:r>
      <w:r>
        <w:rPr>
          <w:b/>
          <w:sz w:val="24"/>
        </w:rPr>
        <w:t>Reflective</w:t>
      </w:r>
      <w:r>
        <w:rPr>
          <w:b/>
          <w:spacing w:val="-4"/>
          <w:sz w:val="24"/>
        </w:rPr>
        <w:t xml:space="preserve"> Model</w:t>
      </w:r>
    </w:p>
    <w:p w:rsidR="00487D64" w:rsidRDefault="006F0D93">
      <w:pPr>
        <w:spacing w:line="242" w:lineRule="auto"/>
        <w:ind w:left="165" w:right="172"/>
        <w:jc w:val="both"/>
        <w:rPr>
          <w:sz w:val="24"/>
        </w:rPr>
      </w:pPr>
      <w:r>
        <w:rPr>
          <w:sz w:val="24"/>
        </w:rPr>
        <w:t>Indicator</w:t>
      </w:r>
      <w:r>
        <w:rPr>
          <w:spacing w:val="-10"/>
          <w:sz w:val="24"/>
        </w:rPr>
        <w:t xml:space="preserve"> </w:t>
      </w:r>
      <w:r>
        <w:rPr>
          <w:sz w:val="24"/>
        </w:rPr>
        <w:t>loadings</w:t>
      </w:r>
      <w:r>
        <w:rPr>
          <w:spacing w:val="-14"/>
          <w:sz w:val="24"/>
        </w:rPr>
        <w:t xml:space="preserve"> </w:t>
      </w:r>
      <w:r>
        <w:rPr>
          <w:sz w:val="24"/>
        </w:rPr>
        <w:t>should</w:t>
      </w:r>
      <w:r>
        <w:rPr>
          <w:spacing w:val="-12"/>
          <w:sz w:val="24"/>
        </w:rPr>
        <w:t xml:space="preserve"> </w:t>
      </w:r>
      <w:r>
        <w:rPr>
          <w:sz w:val="24"/>
        </w:rPr>
        <w:t>exceed</w:t>
      </w:r>
      <w:r>
        <w:rPr>
          <w:spacing w:val="-12"/>
          <w:sz w:val="24"/>
        </w:rPr>
        <w:t xml:space="preserve"> </w:t>
      </w:r>
      <w:r>
        <w:rPr>
          <w:sz w:val="24"/>
        </w:rPr>
        <w:t>0.70</w:t>
      </w:r>
      <w:r>
        <w:rPr>
          <w:spacing w:val="-12"/>
          <w:sz w:val="24"/>
        </w:rPr>
        <w:t xml:space="preserve"> </w:t>
      </w:r>
      <w:r>
        <w:rPr>
          <w:sz w:val="24"/>
        </w:rPr>
        <w:t>to</w:t>
      </w:r>
      <w:r>
        <w:rPr>
          <w:spacing w:val="-7"/>
          <w:sz w:val="24"/>
        </w:rPr>
        <w:t xml:space="preserve"> </w:t>
      </w:r>
      <w:r>
        <w:rPr>
          <w:sz w:val="24"/>
        </w:rPr>
        <w:t>ensure</w:t>
      </w:r>
      <w:r>
        <w:rPr>
          <w:spacing w:val="-13"/>
          <w:sz w:val="24"/>
        </w:rPr>
        <w:t xml:space="preserve"> </w:t>
      </w:r>
      <w:r>
        <w:rPr>
          <w:sz w:val="24"/>
        </w:rPr>
        <w:t>reliability</w:t>
      </w:r>
      <w:r>
        <w:rPr>
          <w:spacing w:val="-15"/>
          <w:sz w:val="24"/>
        </w:rPr>
        <w:t xml:space="preserve"> </w:t>
      </w:r>
      <w:r>
        <w:rPr>
          <w:sz w:val="24"/>
        </w:rPr>
        <w:t>(Hair</w:t>
      </w:r>
      <w:r>
        <w:rPr>
          <w:spacing w:val="-10"/>
          <w:sz w:val="24"/>
        </w:rPr>
        <w:t xml:space="preserve"> </w:t>
      </w:r>
      <w:r>
        <w:rPr>
          <w:sz w:val="24"/>
        </w:rPr>
        <w:t>et</w:t>
      </w:r>
      <w:r>
        <w:rPr>
          <w:spacing w:val="-7"/>
          <w:sz w:val="24"/>
        </w:rPr>
        <w:t xml:space="preserve"> </w:t>
      </w:r>
      <w:r>
        <w:rPr>
          <w:sz w:val="24"/>
        </w:rPr>
        <w:t>al.,</w:t>
      </w:r>
      <w:r>
        <w:rPr>
          <w:spacing w:val="-10"/>
          <w:sz w:val="24"/>
        </w:rPr>
        <w:t xml:space="preserve"> </w:t>
      </w:r>
      <w:r>
        <w:rPr>
          <w:sz w:val="24"/>
        </w:rPr>
        <w:t>2019).</w:t>
      </w:r>
      <w:r>
        <w:rPr>
          <w:spacing w:val="-10"/>
          <w:sz w:val="24"/>
        </w:rPr>
        <w:t xml:space="preserve"> </w:t>
      </w:r>
      <w:r>
        <w:rPr>
          <w:sz w:val="24"/>
        </w:rPr>
        <w:t>All</w:t>
      </w:r>
      <w:r>
        <w:rPr>
          <w:spacing w:val="-11"/>
          <w:sz w:val="24"/>
        </w:rPr>
        <w:t xml:space="preserve"> </w:t>
      </w:r>
      <w:r>
        <w:rPr>
          <w:sz w:val="24"/>
        </w:rPr>
        <w:t>loadings</w:t>
      </w:r>
      <w:r>
        <w:rPr>
          <w:spacing w:val="-9"/>
          <w:sz w:val="24"/>
        </w:rPr>
        <w:t xml:space="preserve"> </w:t>
      </w:r>
      <w:r>
        <w:rPr>
          <w:sz w:val="24"/>
        </w:rPr>
        <w:t>met</w:t>
      </w:r>
      <w:r>
        <w:rPr>
          <w:spacing w:val="-11"/>
          <w:sz w:val="24"/>
        </w:rPr>
        <w:t xml:space="preserve"> </w:t>
      </w:r>
      <w:r>
        <w:rPr>
          <w:sz w:val="24"/>
        </w:rPr>
        <w:t>this threshold except FC2 (0.688), acceptable as validity criteria were satisfied. As per figure 2.</w:t>
      </w:r>
    </w:p>
    <w:p w:rsidR="00487D64" w:rsidRDefault="006F0D93">
      <w:pPr>
        <w:pStyle w:val="BodyText"/>
        <w:spacing w:before="39"/>
        <w:rPr>
          <w:sz w:val="20"/>
        </w:rPr>
      </w:pPr>
      <w:r>
        <w:rPr>
          <w:noProof/>
          <w:sz w:val="20"/>
        </w:rPr>
        <mc:AlternateContent>
          <mc:Choice Requires="wpg">
            <w:drawing>
              <wp:anchor distT="0" distB="0" distL="0" distR="0" simplePos="0" relativeHeight="487603200" behindDoc="1" locked="0" layoutInCell="1" allowOverlap="1">
                <wp:simplePos x="0" y="0"/>
                <wp:positionH relativeFrom="page">
                  <wp:posOffset>923925</wp:posOffset>
                </wp:positionH>
                <wp:positionV relativeFrom="paragraph">
                  <wp:posOffset>186808</wp:posOffset>
                </wp:positionV>
                <wp:extent cx="5962650" cy="4115435"/>
                <wp:effectExtent l="0" t="0" r="0" b="0"/>
                <wp:wrapTopAndBottom/>
                <wp:docPr id="91" name="Group 91" descr="C:\Users\Denis\AppData\Local\Temp\image14971528738151345312.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115435"/>
                          <a:chOff x="0" y="0"/>
                          <a:chExt cx="5962650" cy="4115435"/>
                        </a:xfrm>
                      </wpg:grpSpPr>
                      <pic:pic xmlns:pic="http://schemas.openxmlformats.org/drawingml/2006/picture">
                        <pic:nvPicPr>
                          <pic:cNvPr id="92" name="Image 92" descr="C:\Users\Denis\AppData\Local\Temp\image14971528738151345312.png"/>
                          <pic:cNvPicPr/>
                        </pic:nvPicPr>
                        <pic:blipFill>
                          <a:blip r:embed="rId11" cstate="print"/>
                          <a:stretch>
                            <a:fillRect/>
                          </a:stretch>
                        </pic:blipFill>
                        <pic:spPr>
                          <a:xfrm>
                            <a:off x="17655" y="17589"/>
                            <a:ext cx="5927338" cy="4080129"/>
                          </a:xfrm>
                          <a:prstGeom prst="rect">
                            <a:avLst/>
                          </a:prstGeom>
                        </pic:spPr>
                      </pic:pic>
                      <wps:wsp>
                        <wps:cNvPr id="93" name="Graphic 93"/>
                        <wps:cNvSpPr/>
                        <wps:spPr>
                          <a:xfrm>
                            <a:off x="4762" y="4762"/>
                            <a:ext cx="5953125" cy="4105910"/>
                          </a:xfrm>
                          <a:custGeom>
                            <a:avLst/>
                            <a:gdLst/>
                            <a:ahLst/>
                            <a:cxnLst/>
                            <a:rect l="l" t="t" r="r" b="b"/>
                            <a:pathLst>
                              <a:path w="5953125" h="4105910">
                                <a:moveTo>
                                  <a:pt x="0" y="4105909"/>
                                </a:moveTo>
                                <a:lnTo>
                                  <a:pt x="5953125" y="4105909"/>
                                </a:lnTo>
                                <a:lnTo>
                                  <a:pt x="5953125" y="0"/>
                                </a:lnTo>
                                <a:lnTo>
                                  <a:pt x="0" y="0"/>
                                </a:lnTo>
                                <a:lnTo>
                                  <a:pt x="0" y="410590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499C60" id="Group 91" o:spid="_x0000_s1026" style="position:absolute;margin-left:72.75pt;margin-top:14.7pt;width:469.5pt;height:324.05pt;z-index:-15713280;mso-wrap-distance-left:0;mso-wrap-distance-right:0;mso-position-horizontal-relative:page" coordsize="59626,41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2" o:spid="_x0000_s1027" type="#_x0000_t75" style="position:absolute;left:176;top:175;width:59273;height:4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">
                  <v:imagedata r:id="rId61" o:title="image14971528738151345312"/>
                </v:shape>
                <v:shape id="Graphic 93" o:spid="_x0000_s1028" style="position:absolute;left:47;top:47;width:59531;height:41059;visibility:visible;mso-wrap-style:square;v-text-anchor:top" coordsize="5953125,41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" path="m,4105909r5953125,l5953125,,,,,4105909xe" filled="f">
                  <v:path arrowok="t"/>
                </v:shape>
                <w10:wrap type="topAndBottom" anchorx="page"/>
              </v:group>
            </w:pict>
          </mc:Fallback>
        </mc:AlternateContent>
      </w:r>
    </w:p>
    <w:p w:rsidR="00487D64" w:rsidRDefault="00487D64">
      <w:pPr>
        <w:pStyle w:val="BodyText"/>
        <w:spacing w:before="14"/>
        <w:rPr>
          <w:sz w:val="24"/>
        </w:rPr>
      </w:pPr>
    </w:p>
    <w:p w:rsidR="00487D64" w:rsidRDefault="006F0D93">
      <w:pPr>
        <w:ind w:left="886"/>
        <w:rPr>
          <w:sz w:val="24"/>
        </w:rPr>
      </w:pPr>
      <w:r>
        <w:rPr>
          <w:b/>
          <w:sz w:val="24"/>
        </w:rPr>
        <w:t>Figure</w:t>
      </w:r>
      <w:r>
        <w:rPr>
          <w:b/>
          <w:spacing w:val="-4"/>
          <w:sz w:val="24"/>
        </w:rPr>
        <w:t xml:space="preserve"> </w:t>
      </w:r>
      <w:r>
        <w:rPr>
          <w:b/>
          <w:sz w:val="24"/>
        </w:rPr>
        <w:t>2:</w:t>
      </w:r>
      <w:r>
        <w:rPr>
          <w:b/>
          <w:spacing w:val="-1"/>
          <w:sz w:val="24"/>
        </w:rPr>
        <w:t xml:space="preserve"> </w:t>
      </w:r>
      <w:r>
        <w:rPr>
          <w:sz w:val="24"/>
        </w:rPr>
        <w:t>Measurement</w:t>
      </w:r>
      <w:r>
        <w:rPr>
          <w:spacing w:val="2"/>
          <w:sz w:val="24"/>
        </w:rPr>
        <w:t xml:space="preserve"> </w:t>
      </w:r>
      <w:r>
        <w:rPr>
          <w:sz w:val="24"/>
        </w:rPr>
        <w:t>(Outer)</w:t>
      </w:r>
      <w:r>
        <w:rPr>
          <w:spacing w:val="-5"/>
          <w:sz w:val="24"/>
        </w:rPr>
        <w:t xml:space="preserve"> </w:t>
      </w:r>
      <w:r>
        <w:rPr>
          <w:spacing w:val="-4"/>
          <w:sz w:val="24"/>
        </w:rPr>
        <w:t>model</w:t>
      </w:r>
    </w:p>
    <w:p w:rsidR="00487D64" w:rsidRDefault="006F0D93">
      <w:pPr>
        <w:pStyle w:val="BodyText"/>
        <w:spacing w:before="122"/>
        <w:rPr>
          <w:sz w:val="20"/>
        </w:rPr>
      </w:pPr>
      <w:r>
        <w:rPr>
          <w:noProof/>
          <w:sz w:val="20"/>
        </w:rPr>
        <mc:AlternateContent>
          <mc:Choice Requires="wps">
            <w:drawing>
              <wp:anchor distT="0" distB="0" distL="0" distR="0" simplePos="0" relativeHeight="487603712" behindDoc="1" locked="0" layoutInCell="1" allowOverlap="1">
                <wp:simplePos x="0" y="0"/>
                <wp:positionH relativeFrom="page">
                  <wp:posOffset>896416</wp:posOffset>
                </wp:positionH>
                <wp:positionV relativeFrom="paragraph">
                  <wp:posOffset>238802</wp:posOffset>
                </wp:positionV>
                <wp:extent cx="5982335" cy="55244"/>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13B4B0E" id="Graphic 94" o:spid="_x0000_s1026" style="position:absolute;margin-left:70.6pt;margin-top:18.8pt;width:471.05pt;height:4.35pt;z-index:-15712768;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96" name="Graphic 96"/>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76C8EAFA" id="Group 95"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">
                <v:shape id="Graphic 96"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" path="m5982335,18288l,18288,,54864r5982335,l5982335,18288xem5982335,l,,,9144r5982335,l5982335,xe" fillcolor="#612322" stroked="f">
                  <v:path arrowok="t"/>
                </v:shape>
                <w10:anchorlock/>
              </v:group>
            </w:pict>
          </mc:Fallback>
        </mc:AlternateContent>
      </w:r>
    </w:p>
    <w:p w:rsidR="00487D64" w:rsidRDefault="006F0D93">
      <w:pPr>
        <w:pStyle w:val="ListParagraph"/>
        <w:numPr>
          <w:ilvl w:val="3"/>
          <w:numId w:val="3"/>
        </w:numPr>
        <w:tabs>
          <w:tab w:val="left" w:pos="888"/>
        </w:tabs>
        <w:spacing w:line="270" w:lineRule="exact"/>
        <w:ind w:left="888" w:hanging="723"/>
        <w:jc w:val="both"/>
        <w:rPr>
          <w:b/>
          <w:sz w:val="24"/>
        </w:rPr>
      </w:pPr>
      <w:r>
        <w:rPr>
          <w:b/>
          <w:sz w:val="24"/>
        </w:rPr>
        <w:t>Internal</w:t>
      </w:r>
      <w:r>
        <w:rPr>
          <w:b/>
          <w:spacing w:val="-10"/>
          <w:sz w:val="24"/>
        </w:rPr>
        <w:t xml:space="preserve"> </w:t>
      </w:r>
      <w:r>
        <w:rPr>
          <w:b/>
          <w:sz w:val="24"/>
        </w:rPr>
        <w:t>Consistency</w:t>
      </w:r>
      <w:r>
        <w:rPr>
          <w:b/>
          <w:spacing w:val="-2"/>
          <w:sz w:val="24"/>
        </w:rPr>
        <w:t xml:space="preserve"> Reliability</w:t>
      </w:r>
    </w:p>
    <w:p w:rsidR="00487D64" w:rsidRDefault="006F0D93">
      <w:pPr>
        <w:ind w:left="165" w:right="163"/>
        <w:jc w:val="both"/>
        <w:rPr>
          <w:sz w:val="24"/>
        </w:rPr>
      </w:pPr>
      <w:r>
        <w:rPr>
          <w:sz w:val="24"/>
        </w:rPr>
        <w:t>Internal consistency reliability was assessed using SmartPLS 4 for all constructs: CU, CO, FC, SC, and SF. Cronbach’s Alpha, rho_A, CR, and AVE met recommended thresholds (Hair et al., 2019). All CR values ranged between 0.70–0.95, and AVE exceeded 0.50, c</w:t>
      </w:r>
      <w:r>
        <w:rPr>
          <w:sz w:val="24"/>
        </w:rPr>
        <w:t>onfirming strong reliability and convergent validity of the measurement model. As per table 1.</w:t>
      </w:r>
    </w:p>
    <w:p w:rsidR="00487D64" w:rsidRDefault="006F0D93">
      <w:pPr>
        <w:spacing w:before="1"/>
        <w:ind w:left="886"/>
        <w:jc w:val="both"/>
        <w:rPr>
          <w:b/>
          <w:sz w:val="24"/>
        </w:rPr>
      </w:pPr>
      <w:r>
        <w:rPr>
          <w:b/>
          <w:sz w:val="24"/>
        </w:rPr>
        <w:t>Table</w:t>
      </w:r>
      <w:r>
        <w:rPr>
          <w:b/>
          <w:spacing w:val="-4"/>
          <w:sz w:val="24"/>
        </w:rPr>
        <w:t xml:space="preserve"> </w:t>
      </w:r>
      <w:r>
        <w:rPr>
          <w:b/>
          <w:sz w:val="24"/>
        </w:rPr>
        <w:t>1:</w:t>
      </w:r>
      <w:r>
        <w:rPr>
          <w:b/>
          <w:spacing w:val="-1"/>
          <w:sz w:val="24"/>
        </w:rPr>
        <w:t xml:space="preserve"> </w:t>
      </w:r>
      <w:r>
        <w:rPr>
          <w:b/>
          <w:sz w:val="24"/>
        </w:rPr>
        <w:t>Internal</w:t>
      </w:r>
      <w:r>
        <w:rPr>
          <w:b/>
          <w:spacing w:val="-7"/>
          <w:sz w:val="24"/>
        </w:rPr>
        <w:t xml:space="preserve"> </w:t>
      </w:r>
      <w:r>
        <w:rPr>
          <w:b/>
          <w:sz w:val="24"/>
        </w:rPr>
        <w:t>Consistency</w:t>
      </w:r>
      <w:r>
        <w:rPr>
          <w:b/>
          <w:spacing w:val="-2"/>
          <w:sz w:val="24"/>
        </w:rPr>
        <w:t xml:space="preserve"> Reliability</w:t>
      </w:r>
    </w:p>
    <w:p w:rsidR="00487D64" w:rsidRDefault="00487D64">
      <w:pPr>
        <w:pStyle w:val="BodyText"/>
        <w:spacing w:before="7"/>
        <w:rPr>
          <w:b/>
          <w:sz w:val="17"/>
        </w:rPr>
      </w:pPr>
    </w:p>
    <w:tbl>
      <w:tblPr>
        <w:tblW w:w="0" w:type="auto"/>
        <w:tblInd w:w="158" w:type="dxa"/>
        <w:tblLayout w:type="fixed"/>
        <w:tblCellMar>
          <w:left w:w="0" w:type="dxa"/>
          <w:right w:w="0" w:type="dxa"/>
        </w:tblCellMar>
        <w:tblLook w:val="01E0" w:firstRow="1" w:lastRow="1" w:firstColumn="1" w:lastColumn="1" w:noHBand="0" w:noVBand="0"/>
      </w:tblPr>
      <w:tblGrid>
        <w:gridCol w:w="614"/>
        <w:gridCol w:w="1583"/>
        <w:gridCol w:w="2324"/>
        <w:gridCol w:w="2262"/>
        <w:gridCol w:w="2595"/>
      </w:tblGrid>
      <w:tr w:rsidR="00487D64">
        <w:trPr>
          <w:trHeight w:val="551"/>
        </w:trPr>
        <w:tc>
          <w:tcPr>
            <w:tcW w:w="614" w:type="dxa"/>
            <w:tcBorders>
              <w:top w:val="single" w:sz="4" w:space="0" w:color="000000"/>
              <w:bottom w:val="single" w:sz="4" w:space="0" w:color="000000"/>
            </w:tcBorders>
          </w:tcPr>
          <w:p w:rsidR="00487D64" w:rsidRDefault="00487D64">
            <w:pPr>
              <w:pStyle w:val="TableParagraph"/>
            </w:pPr>
          </w:p>
        </w:tc>
        <w:tc>
          <w:tcPr>
            <w:tcW w:w="1583" w:type="dxa"/>
            <w:tcBorders>
              <w:top w:val="single" w:sz="4" w:space="0" w:color="000000"/>
              <w:bottom w:val="single" w:sz="4" w:space="0" w:color="000000"/>
            </w:tcBorders>
          </w:tcPr>
          <w:p w:rsidR="00487D64" w:rsidRDefault="006F0D93">
            <w:pPr>
              <w:pStyle w:val="TableParagraph"/>
              <w:spacing w:line="273" w:lineRule="exact"/>
              <w:ind w:left="120"/>
              <w:rPr>
                <w:b/>
                <w:sz w:val="24"/>
              </w:rPr>
            </w:pPr>
            <w:r>
              <w:rPr>
                <w:b/>
                <w:spacing w:val="-2"/>
                <w:sz w:val="24"/>
              </w:rPr>
              <w:t>Cronbach's</w:t>
            </w:r>
          </w:p>
          <w:p w:rsidR="00487D64" w:rsidRDefault="006F0D93">
            <w:pPr>
              <w:pStyle w:val="TableParagraph"/>
              <w:spacing w:before="2" w:line="257" w:lineRule="exact"/>
              <w:ind w:left="120"/>
              <w:rPr>
                <w:b/>
                <w:sz w:val="24"/>
              </w:rPr>
            </w:pPr>
            <w:r>
              <w:rPr>
                <w:b/>
                <w:spacing w:val="-4"/>
                <w:sz w:val="24"/>
              </w:rPr>
              <w:t>alpha</w:t>
            </w:r>
          </w:p>
        </w:tc>
        <w:tc>
          <w:tcPr>
            <w:tcW w:w="2324" w:type="dxa"/>
            <w:tcBorders>
              <w:top w:val="single" w:sz="4" w:space="0" w:color="000000"/>
              <w:bottom w:val="single" w:sz="4" w:space="0" w:color="000000"/>
            </w:tcBorders>
          </w:tcPr>
          <w:p w:rsidR="00487D64" w:rsidRDefault="006F0D93">
            <w:pPr>
              <w:pStyle w:val="TableParagraph"/>
              <w:spacing w:line="273" w:lineRule="exact"/>
              <w:ind w:left="280"/>
              <w:rPr>
                <w:b/>
                <w:sz w:val="24"/>
              </w:rPr>
            </w:pPr>
            <w:r>
              <w:rPr>
                <w:b/>
                <w:spacing w:val="-2"/>
                <w:sz w:val="24"/>
              </w:rPr>
              <w:t>Composite</w:t>
            </w:r>
          </w:p>
          <w:p w:rsidR="00487D64" w:rsidRDefault="006F0D93">
            <w:pPr>
              <w:pStyle w:val="TableParagraph"/>
              <w:spacing w:before="2" w:line="257" w:lineRule="exact"/>
              <w:ind w:left="280"/>
              <w:rPr>
                <w:b/>
                <w:sz w:val="24"/>
              </w:rPr>
            </w:pPr>
            <w:r>
              <w:rPr>
                <w:b/>
                <w:sz w:val="24"/>
              </w:rPr>
              <w:t>reliability</w:t>
            </w:r>
            <w:r>
              <w:rPr>
                <w:b/>
                <w:spacing w:val="-4"/>
                <w:sz w:val="24"/>
              </w:rPr>
              <w:t xml:space="preserve"> </w:t>
            </w:r>
            <w:r>
              <w:rPr>
                <w:b/>
                <w:spacing w:val="-2"/>
                <w:sz w:val="24"/>
              </w:rPr>
              <w:t>(rho_a)</w:t>
            </w:r>
          </w:p>
        </w:tc>
        <w:tc>
          <w:tcPr>
            <w:tcW w:w="2262" w:type="dxa"/>
            <w:tcBorders>
              <w:top w:val="single" w:sz="4" w:space="0" w:color="000000"/>
              <w:bottom w:val="single" w:sz="4" w:space="0" w:color="000000"/>
            </w:tcBorders>
          </w:tcPr>
          <w:p w:rsidR="00487D64" w:rsidRDefault="006F0D93">
            <w:pPr>
              <w:pStyle w:val="TableParagraph"/>
              <w:spacing w:line="273" w:lineRule="exact"/>
              <w:ind w:left="228"/>
              <w:rPr>
                <w:b/>
                <w:sz w:val="24"/>
              </w:rPr>
            </w:pPr>
            <w:r>
              <w:rPr>
                <w:b/>
                <w:spacing w:val="-2"/>
                <w:sz w:val="24"/>
              </w:rPr>
              <w:t>Composite</w:t>
            </w:r>
          </w:p>
          <w:p w:rsidR="00487D64" w:rsidRDefault="006F0D93">
            <w:pPr>
              <w:pStyle w:val="TableParagraph"/>
              <w:spacing w:before="2" w:line="257" w:lineRule="exact"/>
              <w:ind w:left="228"/>
              <w:rPr>
                <w:b/>
                <w:sz w:val="24"/>
              </w:rPr>
            </w:pPr>
            <w:r>
              <w:rPr>
                <w:b/>
                <w:sz w:val="24"/>
              </w:rPr>
              <w:t>reliability</w:t>
            </w:r>
            <w:r>
              <w:rPr>
                <w:b/>
                <w:spacing w:val="-4"/>
                <w:sz w:val="24"/>
              </w:rPr>
              <w:t xml:space="preserve"> </w:t>
            </w:r>
            <w:r>
              <w:rPr>
                <w:b/>
                <w:spacing w:val="-2"/>
                <w:sz w:val="24"/>
              </w:rPr>
              <w:t>(rho_c)</w:t>
            </w:r>
          </w:p>
        </w:tc>
        <w:tc>
          <w:tcPr>
            <w:tcW w:w="2595" w:type="dxa"/>
            <w:tcBorders>
              <w:top w:val="single" w:sz="4" w:space="0" w:color="000000"/>
              <w:bottom w:val="single" w:sz="4" w:space="0" w:color="000000"/>
            </w:tcBorders>
          </w:tcPr>
          <w:p w:rsidR="00487D64" w:rsidRDefault="006F0D93">
            <w:pPr>
              <w:pStyle w:val="TableParagraph"/>
              <w:tabs>
                <w:tab w:val="left" w:pos="1595"/>
              </w:tabs>
              <w:spacing w:line="273" w:lineRule="exact"/>
              <w:ind w:left="232"/>
              <w:rPr>
                <w:b/>
                <w:sz w:val="24"/>
              </w:rPr>
            </w:pPr>
            <w:r>
              <w:rPr>
                <w:b/>
                <w:spacing w:val="-2"/>
                <w:sz w:val="24"/>
              </w:rPr>
              <w:t>Average</w:t>
            </w:r>
            <w:r>
              <w:rPr>
                <w:b/>
                <w:sz w:val="24"/>
              </w:rPr>
              <w:tab/>
            </w:r>
            <w:r>
              <w:rPr>
                <w:b/>
                <w:spacing w:val="-2"/>
                <w:sz w:val="24"/>
              </w:rPr>
              <w:t>variance</w:t>
            </w:r>
          </w:p>
          <w:p w:rsidR="00487D64" w:rsidRDefault="006F0D93">
            <w:pPr>
              <w:pStyle w:val="TableParagraph"/>
              <w:spacing w:before="2" w:line="257" w:lineRule="exact"/>
              <w:ind w:left="232"/>
              <w:rPr>
                <w:b/>
                <w:sz w:val="24"/>
              </w:rPr>
            </w:pPr>
            <w:r>
              <w:rPr>
                <w:b/>
                <w:sz w:val="24"/>
              </w:rPr>
              <w:t>extracted</w:t>
            </w:r>
            <w:r>
              <w:rPr>
                <w:b/>
                <w:spacing w:val="-6"/>
                <w:sz w:val="24"/>
              </w:rPr>
              <w:t xml:space="preserve"> </w:t>
            </w:r>
            <w:r>
              <w:rPr>
                <w:b/>
                <w:spacing w:val="-4"/>
                <w:sz w:val="24"/>
              </w:rPr>
              <w:t>(AVE)</w:t>
            </w:r>
          </w:p>
        </w:tc>
      </w:tr>
      <w:tr w:rsidR="00487D64">
        <w:trPr>
          <w:trHeight w:val="276"/>
        </w:trPr>
        <w:tc>
          <w:tcPr>
            <w:tcW w:w="614" w:type="dxa"/>
            <w:tcBorders>
              <w:top w:val="single" w:sz="4" w:space="0" w:color="000000"/>
            </w:tcBorders>
          </w:tcPr>
          <w:p w:rsidR="00487D64" w:rsidRDefault="006F0D93">
            <w:pPr>
              <w:pStyle w:val="TableParagraph"/>
              <w:spacing w:line="256" w:lineRule="exact"/>
              <w:ind w:left="74" w:right="61"/>
              <w:jc w:val="center"/>
              <w:rPr>
                <w:b/>
                <w:sz w:val="24"/>
              </w:rPr>
            </w:pPr>
            <w:r>
              <w:rPr>
                <w:b/>
                <w:spacing w:val="-5"/>
                <w:sz w:val="24"/>
              </w:rPr>
              <w:t>CO</w:t>
            </w:r>
          </w:p>
        </w:tc>
        <w:tc>
          <w:tcPr>
            <w:tcW w:w="1583" w:type="dxa"/>
            <w:tcBorders>
              <w:top w:val="single" w:sz="4" w:space="0" w:color="000000"/>
            </w:tcBorders>
          </w:tcPr>
          <w:p w:rsidR="00487D64" w:rsidRDefault="006F0D93">
            <w:pPr>
              <w:pStyle w:val="TableParagraph"/>
              <w:spacing w:line="256" w:lineRule="exact"/>
              <w:ind w:left="120"/>
              <w:rPr>
                <w:sz w:val="24"/>
              </w:rPr>
            </w:pPr>
            <w:r>
              <w:rPr>
                <w:spacing w:val="-4"/>
                <w:sz w:val="24"/>
              </w:rPr>
              <w:t>0.930</w:t>
            </w:r>
          </w:p>
        </w:tc>
        <w:tc>
          <w:tcPr>
            <w:tcW w:w="2324" w:type="dxa"/>
            <w:tcBorders>
              <w:top w:val="single" w:sz="4" w:space="0" w:color="000000"/>
            </w:tcBorders>
          </w:tcPr>
          <w:p w:rsidR="00487D64" w:rsidRDefault="006F0D93">
            <w:pPr>
              <w:pStyle w:val="TableParagraph"/>
              <w:spacing w:line="256" w:lineRule="exact"/>
              <w:ind w:left="280"/>
              <w:rPr>
                <w:sz w:val="24"/>
              </w:rPr>
            </w:pPr>
            <w:r>
              <w:rPr>
                <w:spacing w:val="-4"/>
                <w:sz w:val="24"/>
              </w:rPr>
              <w:t>0.932</w:t>
            </w:r>
          </w:p>
        </w:tc>
        <w:tc>
          <w:tcPr>
            <w:tcW w:w="2262" w:type="dxa"/>
            <w:tcBorders>
              <w:top w:val="single" w:sz="4" w:space="0" w:color="000000"/>
            </w:tcBorders>
          </w:tcPr>
          <w:p w:rsidR="00487D64" w:rsidRDefault="006F0D93">
            <w:pPr>
              <w:pStyle w:val="TableParagraph"/>
              <w:spacing w:line="256" w:lineRule="exact"/>
              <w:ind w:left="228"/>
              <w:rPr>
                <w:sz w:val="24"/>
              </w:rPr>
            </w:pPr>
            <w:r>
              <w:rPr>
                <w:spacing w:val="-4"/>
                <w:sz w:val="24"/>
              </w:rPr>
              <w:t>0.946</w:t>
            </w:r>
          </w:p>
        </w:tc>
        <w:tc>
          <w:tcPr>
            <w:tcW w:w="2595" w:type="dxa"/>
            <w:tcBorders>
              <w:top w:val="single" w:sz="4" w:space="0" w:color="000000"/>
            </w:tcBorders>
          </w:tcPr>
          <w:p w:rsidR="00487D64" w:rsidRDefault="006F0D93">
            <w:pPr>
              <w:pStyle w:val="TableParagraph"/>
              <w:spacing w:line="256" w:lineRule="exact"/>
              <w:ind w:left="232"/>
              <w:rPr>
                <w:sz w:val="24"/>
              </w:rPr>
            </w:pPr>
            <w:r>
              <w:rPr>
                <w:spacing w:val="-4"/>
                <w:sz w:val="24"/>
              </w:rPr>
              <w:t>0.746</w:t>
            </w:r>
          </w:p>
        </w:tc>
      </w:tr>
      <w:tr w:rsidR="00487D64">
        <w:trPr>
          <w:trHeight w:val="275"/>
        </w:trPr>
        <w:tc>
          <w:tcPr>
            <w:tcW w:w="614" w:type="dxa"/>
          </w:tcPr>
          <w:p w:rsidR="00487D64" w:rsidRDefault="006F0D93">
            <w:pPr>
              <w:pStyle w:val="TableParagraph"/>
              <w:spacing w:line="256" w:lineRule="exact"/>
              <w:ind w:left="61" w:right="61"/>
              <w:jc w:val="center"/>
              <w:rPr>
                <w:b/>
                <w:sz w:val="24"/>
              </w:rPr>
            </w:pPr>
            <w:r>
              <w:rPr>
                <w:b/>
                <w:spacing w:val="-5"/>
                <w:sz w:val="24"/>
              </w:rPr>
              <w:t>CU</w:t>
            </w:r>
          </w:p>
        </w:tc>
        <w:tc>
          <w:tcPr>
            <w:tcW w:w="1583" w:type="dxa"/>
          </w:tcPr>
          <w:p w:rsidR="00487D64" w:rsidRDefault="006F0D93">
            <w:pPr>
              <w:pStyle w:val="TableParagraph"/>
              <w:spacing w:line="256" w:lineRule="exact"/>
              <w:ind w:left="120"/>
              <w:rPr>
                <w:sz w:val="24"/>
              </w:rPr>
            </w:pPr>
            <w:r>
              <w:rPr>
                <w:spacing w:val="-4"/>
                <w:sz w:val="24"/>
              </w:rPr>
              <w:t>0.923</w:t>
            </w:r>
          </w:p>
        </w:tc>
        <w:tc>
          <w:tcPr>
            <w:tcW w:w="2324" w:type="dxa"/>
          </w:tcPr>
          <w:p w:rsidR="00487D64" w:rsidRDefault="006F0D93">
            <w:pPr>
              <w:pStyle w:val="TableParagraph"/>
              <w:spacing w:line="256" w:lineRule="exact"/>
              <w:ind w:left="280"/>
              <w:rPr>
                <w:sz w:val="24"/>
              </w:rPr>
            </w:pPr>
            <w:r>
              <w:rPr>
                <w:spacing w:val="-4"/>
                <w:sz w:val="24"/>
              </w:rPr>
              <w:t>0.941</w:t>
            </w:r>
          </w:p>
        </w:tc>
        <w:tc>
          <w:tcPr>
            <w:tcW w:w="2262" w:type="dxa"/>
          </w:tcPr>
          <w:p w:rsidR="00487D64" w:rsidRDefault="006F0D93">
            <w:pPr>
              <w:pStyle w:val="TableParagraph"/>
              <w:spacing w:line="256" w:lineRule="exact"/>
              <w:ind w:left="228"/>
              <w:rPr>
                <w:sz w:val="24"/>
              </w:rPr>
            </w:pPr>
            <w:r>
              <w:rPr>
                <w:spacing w:val="-4"/>
                <w:sz w:val="24"/>
              </w:rPr>
              <w:t>0.940</w:t>
            </w:r>
          </w:p>
        </w:tc>
        <w:tc>
          <w:tcPr>
            <w:tcW w:w="2595" w:type="dxa"/>
          </w:tcPr>
          <w:p w:rsidR="00487D64" w:rsidRDefault="006F0D93">
            <w:pPr>
              <w:pStyle w:val="TableParagraph"/>
              <w:spacing w:line="256" w:lineRule="exact"/>
              <w:ind w:left="232"/>
              <w:rPr>
                <w:sz w:val="24"/>
              </w:rPr>
            </w:pPr>
            <w:r>
              <w:rPr>
                <w:spacing w:val="-4"/>
                <w:sz w:val="24"/>
              </w:rPr>
              <w:t>0.725</w:t>
            </w:r>
          </w:p>
        </w:tc>
      </w:tr>
      <w:tr w:rsidR="00487D64">
        <w:trPr>
          <w:trHeight w:val="276"/>
        </w:trPr>
        <w:tc>
          <w:tcPr>
            <w:tcW w:w="614" w:type="dxa"/>
          </w:tcPr>
          <w:p w:rsidR="00487D64" w:rsidRDefault="006F0D93">
            <w:pPr>
              <w:pStyle w:val="TableParagraph"/>
              <w:spacing w:line="256" w:lineRule="exact"/>
              <w:ind w:left="33" w:right="61"/>
              <w:jc w:val="center"/>
              <w:rPr>
                <w:b/>
                <w:sz w:val="24"/>
              </w:rPr>
            </w:pPr>
            <w:r>
              <w:rPr>
                <w:b/>
                <w:spacing w:val="-5"/>
                <w:sz w:val="24"/>
              </w:rPr>
              <w:t>FC</w:t>
            </w:r>
          </w:p>
        </w:tc>
        <w:tc>
          <w:tcPr>
            <w:tcW w:w="1583" w:type="dxa"/>
          </w:tcPr>
          <w:p w:rsidR="00487D64" w:rsidRDefault="006F0D93">
            <w:pPr>
              <w:pStyle w:val="TableParagraph"/>
              <w:spacing w:line="256" w:lineRule="exact"/>
              <w:ind w:left="120"/>
              <w:rPr>
                <w:sz w:val="24"/>
              </w:rPr>
            </w:pPr>
            <w:r>
              <w:rPr>
                <w:spacing w:val="-4"/>
                <w:sz w:val="24"/>
              </w:rPr>
              <w:t>0.880</w:t>
            </w:r>
          </w:p>
        </w:tc>
        <w:tc>
          <w:tcPr>
            <w:tcW w:w="2324" w:type="dxa"/>
          </w:tcPr>
          <w:p w:rsidR="00487D64" w:rsidRDefault="006F0D93">
            <w:pPr>
              <w:pStyle w:val="TableParagraph"/>
              <w:spacing w:line="256" w:lineRule="exact"/>
              <w:ind w:left="280"/>
              <w:rPr>
                <w:sz w:val="24"/>
              </w:rPr>
            </w:pPr>
            <w:r>
              <w:rPr>
                <w:spacing w:val="-4"/>
                <w:sz w:val="24"/>
              </w:rPr>
              <w:t>0.843</w:t>
            </w:r>
          </w:p>
        </w:tc>
        <w:tc>
          <w:tcPr>
            <w:tcW w:w="2262" w:type="dxa"/>
          </w:tcPr>
          <w:p w:rsidR="00487D64" w:rsidRDefault="006F0D93">
            <w:pPr>
              <w:pStyle w:val="TableParagraph"/>
              <w:spacing w:line="256" w:lineRule="exact"/>
              <w:ind w:left="228"/>
              <w:rPr>
                <w:sz w:val="24"/>
              </w:rPr>
            </w:pPr>
            <w:r>
              <w:rPr>
                <w:spacing w:val="-4"/>
                <w:sz w:val="24"/>
              </w:rPr>
              <w:t>0.907</w:t>
            </w:r>
          </w:p>
        </w:tc>
        <w:tc>
          <w:tcPr>
            <w:tcW w:w="2595" w:type="dxa"/>
          </w:tcPr>
          <w:p w:rsidR="00487D64" w:rsidRDefault="006F0D93">
            <w:pPr>
              <w:pStyle w:val="TableParagraph"/>
              <w:spacing w:line="256" w:lineRule="exact"/>
              <w:ind w:left="232"/>
              <w:rPr>
                <w:sz w:val="24"/>
              </w:rPr>
            </w:pPr>
            <w:r>
              <w:rPr>
                <w:spacing w:val="-4"/>
                <w:sz w:val="24"/>
              </w:rPr>
              <w:t>0.664</w:t>
            </w:r>
          </w:p>
        </w:tc>
      </w:tr>
      <w:tr w:rsidR="00487D64">
        <w:trPr>
          <w:trHeight w:val="276"/>
        </w:trPr>
        <w:tc>
          <w:tcPr>
            <w:tcW w:w="614" w:type="dxa"/>
          </w:tcPr>
          <w:p w:rsidR="00487D64" w:rsidRDefault="006F0D93">
            <w:pPr>
              <w:pStyle w:val="TableParagraph"/>
              <w:spacing w:line="256" w:lineRule="exact"/>
              <w:ind w:left="27" w:right="61"/>
              <w:jc w:val="center"/>
              <w:rPr>
                <w:b/>
                <w:sz w:val="24"/>
              </w:rPr>
            </w:pPr>
            <w:r>
              <w:rPr>
                <w:b/>
                <w:spacing w:val="-5"/>
                <w:sz w:val="24"/>
              </w:rPr>
              <w:t>SC</w:t>
            </w:r>
          </w:p>
        </w:tc>
        <w:tc>
          <w:tcPr>
            <w:tcW w:w="1583" w:type="dxa"/>
          </w:tcPr>
          <w:p w:rsidR="00487D64" w:rsidRDefault="006F0D93">
            <w:pPr>
              <w:pStyle w:val="TableParagraph"/>
              <w:spacing w:line="256" w:lineRule="exact"/>
              <w:ind w:left="120"/>
              <w:rPr>
                <w:sz w:val="24"/>
              </w:rPr>
            </w:pPr>
            <w:r>
              <w:rPr>
                <w:spacing w:val="-4"/>
                <w:sz w:val="24"/>
              </w:rPr>
              <w:t>0.886</w:t>
            </w:r>
          </w:p>
        </w:tc>
        <w:tc>
          <w:tcPr>
            <w:tcW w:w="2324" w:type="dxa"/>
          </w:tcPr>
          <w:p w:rsidR="00487D64" w:rsidRDefault="006F0D93">
            <w:pPr>
              <w:pStyle w:val="TableParagraph"/>
              <w:spacing w:line="256" w:lineRule="exact"/>
              <w:ind w:left="280"/>
              <w:rPr>
                <w:sz w:val="24"/>
              </w:rPr>
            </w:pPr>
            <w:r>
              <w:rPr>
                <w:spacing w:val="-4"/>
                <w:sz w:val="24"/>
              </w:rPr>
              <w:t>0.909</w:t>
            </w:r>
          </w:p>
        </w:tc>
        <w:tc>
          <w:tcPr>
            <w:tcW w:w="2262" w:type="dxa"/>
          </w:tcPr>
          <w:p w:rsidR="00487D64" w:rsidRDefault="006F0D93">
            <w:pPr>
              <w:pStyle w:val="TableParagraph"/>
              <w:spacing w:line="256" w:lineRule="exact"/>
              <w:ind w:left="228"/>
              <w:rPr>
                <w:sz w:val="24"/>
              </w:rPr>
            </w:pPr>
            <w:r>
              <w:rPr>
                <w:spacing w:val="-4"/>
                <w:sz w:val="24"/>
              </w:rPr>
              <w:t>0.917</w:t>
            </w:r>
          </w:p>
        </w:tc>
        <w:tc>
          <w:tcPr>
            <w:tcW w:w="2595" w:type="dxa"/>
          </w:tcPr>
          <w:p w:rsidR="00487D64" w:rsidRDefault="006F0D93">
            <w:pPr>
              <w:pStyle w:val="TableParagraph"/>
              <w:spacing w:line="256" w:lineRule="exact"/>
              <w:ind w:left="232"/>
              <w:rPr>
                <w:sz w:val="24"/>
              </w:rPr>
            </w:pPr>
            <w:r>
              <w:rPr>
                <w:spacing w:val="-4"/>
                <w:sz w:val="24"/>
              </w:rPr>
              <w:t>0.691</w:t>
            </w:r>
          </w:p>
        </w:tc>
      </w:tr>
      <w:tr w:rsidR="00487D64">
        <w:trPr>
          <w:trHeight w:val="277"/>
        </w:trPr>
        <w:tc>
          <w:tcPr>
            <w:tcW w:w="614" w:type="dxa"/>
            <w:tcBorders>
              <w:bottom w:val="single" w:sz="4" w:space="0" w:color="000000"/>
            </w:tcBorders>
          </w:tcPr>
          <w:p w:rsidR="00487D64" w:rsidRDefault="006F0D93">
            <w:pPr>
              <w:pStyle w:val="TableParagraph"/>
              <w:spacing w:line="258" w:lineRule="exact"/>
              <w:ind w:left="13" w:right="74"/>
              <w:jc w:val="center"/>
              <w:rPr>
                <w:b/>
                <w:sz w:val="24"/>
              </w:rPr>
            </w:pPr>
            <w:r>
              <w:rPr>
                <w:b/>
                <w:spacing w:val="-5"/>
                <w:sz w:val="24"/>
              </w:rPr>
              <w:t>SF</w:t>
            </w:r>
          </w:p>
        </w:tc>
        <w:tc>
          <w:tcPr>
            <w:tcW w:w="1583" w:type="dxa"/>
            <w:tcBorders>
              <w:bottom w:val="single" w:sz="4" w:space="0" w:color="000000"/>
            </w:tcBorders>
          </w:tcPr>
          <w:p w:rsidR="00487D64" w:rsidRDefault="006F0D93">
            <w:pPr>
              <w:pStyle w:val="TableParagraph"/>
              <w:spacing w:line="258" w:lineRule="exact"/>
              <w:ind w:left="120"/>
              <w:rPr>
                <w:sz w:val="24"/>
              </w:rPr>
            </w:pPr>
            <w:r>
              <w:rPr>
                <w:spacing w:val="-4"/>
                <w:sz w:val="24"/>
              </w:rPr>
              <w:t>0.693</w:t>
            </w:r>
          </w:p>
        </w:tc>
        <w:tc>
          <w:tcPr>
            <w:tcW w:w="2324" w:type="dxa"/>
            <w:tcBorders>
              <w:bottom w:val="single" w:sz="4" w:space="0" w:color="000000"/>
            </w:tcBorders>
          </w:tcPr>
          <w:p w:rsidR="00487D64" w:rsidRDefault="006F0D93">
            <w:pPr>
              <w:pStyle w:val="TableParagraph"/>
              <w:spacing w:line="258" w:lineRule="exact"/>
              <w:ind w:left="280"/>
              <w:rPr>
                <w:sz w:val="24"/>
              </w:rPr>
            </w:pPr>
            <w:r>
              <w:rPr>
                <w:spacing w:val="-4"/>
                <w:sz w:val="24"/>
              </w:rPr>
              <w:t>0.817</w:t>
            </w:r>
          </w:p>
        </w:tc>
        <w:tc>
          <w:tcPr>
            <w:tcW w:w="2262" w:type="dxa"/>
            <w:tcBorders>
              <w:bottom w:val="single" w:sz="4" w:space="0" w:color="000000"/>
            </w:tcBorders>
          </w:tcPr>
          <w:p w:rsidR="00487D64" w:rsidRDefault="006F0D93">
            <w:pPr>
              <w:pStyle w:val="TableParagraph"/>
              <w:spacing w:line="258" w:lineRule="exact"/>
              <w:ind w:left="228"/>
              <w:rPr>
                <w:sz w:val="24"/>
              </w:rPr>
            </w:pPr>
            <w:r>
              <w:rPr>
                <w:spacing w:val="-4"/>
                <w:sz w:val="24"/>
              </w:rPr>
              <w:t>0.827</w:t>
            </w:r>
          </w:p>
        </w:tc>
        <w:tc>
          <w:tcPr>
            <w:tcW w:w="2595" w:type="dxa"/>
            <w:tcBorders>
              <w:bottom w:val="single" w:sz="4" w:space="0" w:color="000000"/>
            </w:tcBorders>
          </w:tcPr>
          <w:p w:rsidR="00487D64" w:rsidRDefault="006F0D93">
            <w:pPr>
              <w:pStyle w:val="TableParagraph"/>
              <w:spacing w:line="258" w:lineRule="exact"/>
              <w:ind w:left="232"/>
              <w:rPr>
                <w:sz w:val="24"/>
              </w:rPr>
            </w:pPr>
            <w:r>
              <w:rPr>
                <w:spacing w:val="-4"/>
                <w:sz w:val="24"/>
              </w:rPr>
              <w:t>0.628</w:t>
            </w:r>
          </w:p>
        </w:tc>
      </w:tr>
    </w:tbl>
    <w:p w:rsidR="00487D64" w:rsidRDefault="006F0D93">
      <w:pPr>
        <w:ind w:left="165" w:right="174"/>
        <w:jc w:val="both"/>
        <w:rPr>
          <w:sz w:val="24"/>
        </w:rPr>
      </w:pPr>
      <w:r>
        <w:rPr>
          <w:sz w:val="24"/>
        </w:rPr>
        <w:t>CU showed high reliability (α = 0.930, CR = 0.946, AVE = 0.746). CO and FC also exceeded recommended thresholds, confirming validity. SC demonstrated strong internal consistency (α = 0.886,</w:t>
      </w:r>
      <w:r>
        <w:rPr>
          <w:spacing w:val="-5"/>
          <w:sz w:val="24"/>
        </w:rPr>
        <w:t xml:space="preserve"> </w:t>
      </w:r>
      <w:r>
        <w:rPr>
          <w:sz w:val="24"/>
        </w:rPr>
        <w:t>CR</w:t>
      </w:r>
      <w:r>
        <w:rPr>
          <w:spacing w:val="-4"/>
          <w:sz w:val="24"/>
        </w:rPr>
        <w:t xml:space="preserve"> </w:t>
      </w:r>
      <w:r>
        <w:rPr>
          <w:sz w:val="24"/>
        </w:rPr>
        <w:t>=</w:t>
      </w:r>
      <w:r>
        <w:rPr>
          <w:spacing w:val="-3"/>
          <w:sz w:val="24"/>
        </w:rPr>
        <w:t xml:space="preserve"> </w:t>
      </w:r>
      <w:r>
        <w:rPr>
          <w:sz w:val="24"/>
        </w:rPr>
        <w:t>0.917, AVE</w:t>
      </w:r>
      <w:r>
        <w:rPr>
          <w:spacing w:val="-1"/>
          <w:sz w:val="24"/>
        </w:rPr>
        <w:t xml:space="preserve"> </w:t>
      </w:r>
      <w:r>
        <w:rPr>
          <w:sz w:val="24"/>
        </w:rPr>
        <w:t>=</w:t>
      </w:r>
      <w:r>
        <w:rPr>
          <w:spacing w:val="-3"/>
          <w:sz w:val="24"/>
        </w:rPr>
        <w:t xml:space="preserve"> </w:t>
      </w:r>
      <w:r>
        <w:rPr>
          <w:sz w:val="24"/>
        </w:rPr>
        <w:t>0.691). SF, despite</w:t>
      </w:r>
      <w:r>
        <w:rPr>
          <w:spacing w:val="-3"/>
          <w:sz w:val="24"/>
        </w:rPr>
        <w:t xml:space="preserve"> </w:t>
      </w:r>
      <w:r>
        <w:rPr>
          <w:sz w:val="24"/>
        </w:rPr>
        <w:t>α</w:t>
      </w:r>
      <w:r>
        <w:rPr>
          <w:spacing w:val="-3"/>
          <w:sz w:val="24"/>
        </w:rPr>
        <w:t xml:space="preserve"> </w:t>
      </w:r>
      <w:r>
        <w:rPr>
          <w:sz w:val="24"/>
        </w:rPr>
        <w:t>=</w:t>
      </w:r>
      <w:r>
        <w:rPr>
          <w:spacing w:val="-8"/>
          <w:sz w:val="24"/>
        </w:rPr>
        <w:t xml:space="preserve"> </w:t>
      </w:r>
      <w:r>
        <w:rPr>
          <w:sz w:val="24"/>
        </w:rPr>
        <w:t>0.693,</w:t>
      </w:r>
      <w:r>
        <w:rPr>
          <w:spacing w:val="-5"/>
          <w:sz w:val="24"/>
        </w:rPr>
        <w:t xml:space="preserve"> </w:t>
      </w:r>
      <w:r>
        <w:rPr>
          <w:sz w:val="24"/>
        </w:rPr>
        <w:t>met acceptable</w:t>
      </w:r>
      <w:r>
        <w:rPr>
          <w:spacing w:val="-3"/>
          <w:sz w:val="24"/>
        </w:rPr>
        <w:t xml:space="preserve"> </w:t>
      </w:r>
      <w:r>
        <w:rPr>
          <w:sz w:val="24"/>
        </w:rPr>
        <w:t>re</w:t>
      </w:r>
      <w:r>
        <w:rPr>
          <w:sz w:val="24"/>
        </w:rPr>
        <w:t>liability</w:t>
      </w:r>
      <w:r>
        <w:rPr>
          <w:spacing w:val="-11"/>
          <w:sz w:val="24"/>
        </w:rPr>
        <w:t xml:space="preserve"> </w:t>
      </w:r>
      <w:r>
        <w:rPr>
          <w:sz w:val="24"/>
        </w:rPr>
        <w:t>through</w:t>
      </w:r>
      <w:r>
        <w:rPr>
          <w:spacing w:val="-7"/>
          <w:sz w:val="24"/>
        </w:rPr>
        <w:t xml:space="preserve"> </w:t>
      </w:r>
      <w:r>
        <w:rPr>
          <w:sz w:val="24"/>
        </w:rPr>
        <w:t>CR</w:t>
      </w:r>
      <w:r>
        <w:rPr>
          <w:spacing w:val="-4"/>
          <w:sz w:val="24"/>
        </w:rPr>
        <w:t xml:space="preserve"> </w:t>
      </w:r>
      <w:r>
        <w:rPr>
          <w:sz w:val="24"/>
        </w:rPr>
        <w:t>= 0.827 and AVE = 0.628.</w:t>
      </w:r>
    </w:p>
    <w:p w:rsidR="00487D64" w:rsidRDefault="006F0D93">
      <w:pPr>
        <w:pStyle w:val="ListParagraph"/>
        <w:numPr>
          <w:ilvl w:val="3"/>
          <w:numId w:val="3"/>
        </w:numPr>
        <w:tabs>
          <w:tab w:val="left" w:pos="888"/>
        </w:tabs>
        <w:spacing w:before="274" w:line="275" w:lineRule="exact"/>
        <w:ind w:left="888" w:hanging="723"/>
        <w:jc w:val="both"/>
        <w:rPr>
          <w:b/>
          <w:sz w:val="24"/>
        </w:rPr>
      </w:pPr>
      <w:r>
        <w:rPr>
          <w:b/>
          <w:sz w:val="24"/>
        </w:rPr>
        <w:t>Discriminant</w:t>
      </w:r>
      <w:r>
        <w:rPr>
          <w:b/>
          <w:spacing w:val="-9"/>
          <w:sz w:val="24"/>
        </w:rPr>
        <w:t xml:space="preserve"> </w:t>
      </w:r>
      <w:r>
        <w:rPr>
          <w:b/>
          <w:spacing w:val="-2"/>
          <w:sz w:val="24"/>
        </w:rPr>
        <w:t>validity</w:t>
      </w:r>
    </w:p>
    <w:p w:rsidR="00487D64" w:rsidRDefault="006F0D93">
      <w:pPr>
        <w:ind w:left="165" w:right="165"/>
        <w:jc w:val="both"/>
        <w:rPr>
          <w:sz w:val="24"/>
        </w:rPr>
      </w:pPr>
      <w:r>
        <w:rPr>
          <w:sz w:val="24"/>
        </w:rPr>
        <w:t>HTMT analysis confirmed discriminant validity, with all values below 0.85. The highest (0.762 between</w:t>
      </w:r>
      <w:r>
        <w:rPr>
          <w:spacing w:val="-6"/>
          <w:sz w:val="24"/>
        </w:rPr>
        <w:t xml:space="preserve"> </w:t>
      </w:r>
      <w:r>
        <w:rPr>
          <w:sz w:val="24"/>
        </w:rPr>
        <w:t>SF</w:t>
      </w:r>
      <w:r>
        <w:rPr>
          <w:spacing w:val="-5"/>
          <w:sz w:val="24"/>
        </w:rPr>
        <w:t xml:space="preserve"> </w:t>
      </w:r>
      <w:r>
        <w:rPr>
          <w:sz w:val="24"/>
        </w:rPr>
        <w:t>and</w:t>
      </w:r>
      <w:r>
        <w:rPr>
          <w:spacing w:val="-2"/>
          <w:sz w:val="24"/>
        </w:rPr>
        <w:t xml:space="preserve"> </w:t>
      </w:r>
      <w:r>
        <w:rPr>
          <w:sz w:val="24"/>
        </w:rPr>
        <w:t>SC)</w:t>
      </w:r>
      <w:r>
        <w:rPr>
          <w:spacing w:val="-1"/>
          <w:sz w:val="24"/>
        </w:rPr>
        <w:t xml:space="preserve"> </w:t>
      </w:r>
      <w:r>
        <w:rPr>
          <w:sz w:val="24"/>
        </w:rPr>
        <w:t>remained</w:t>
      </w:r>
      <w:r>
        <w:rPr>
          <w:spacing w:val="-2"/>
          <w:sz w:val="24"/>
        </w:rPr>
        <w:t xml:space="preserve"> </w:t>
      </w:r>
      <w:r>
        <w:rPr>
          <w:sz w:val="24"/>
        </w:rPr>
        <w:t>acceptable, supporting</w:t>
      </w:r>
      <w:r>
        <w:rPr>
          <w:spacing w:val="-2"/>
          <w:sz w:val="24"/>
        </w:rPr>
        <w:t xml:space="preserve"> </w:t>
      </w:r>
      <w:r>
        <w:rPr>
          <w:sz w:val="24"/>
        </w:rPr>
        <w:t>construct distinctiveness</w:t>
      </w:r>
      <w:r>
        <w:rPr>
          <w:spacing w:val="-3"/>
          <w:sz w:val="24"/>
        </w:rPr>
        <w:t xml:space="preserve"> </w:t>
      </w:r>
      <w:r>
        <w:rPr>
          <w:sz w:val="24"/>
        </w:rPr>
        <w:t>per</w:t>
      </w:r>
      <w:r>
        <w:rPr>
          <w:spacing w:val="-1"/>
          <w:sz w:val="24"/>
        </w:rPr>
        <w:t xml:space="preserve"> </w:t>
      </w:r>
      <w:r>
        <w:rPr>
          <w:sz w:val="24"/>
        </w:rPr>
        <w:t>Sarstedt,</w:t>
      </w:r>
      <w:r>
        <w:rPr>
          <w:spacing w:val="-4"/>
          <w:sz w:val="24"/>
        </w:rPr>
        <w:t xml:space="preserve"> </w:t>
      </w:r>
      <w:r>
        <w:rPr>
          <w:sz w:val="24"/>
        </w:rPr>
        <w:t>et</w:t>
      </w:r>
      <w:r>
        <w:rPr>
          <w:spacing w:val="-2"/>
          <w:sz w:val="24"/>
        </w:rPr>
        <w:t xml:space="preserve"> </w:t>
      </w:r>
      <w:r>
        <w:rPr>
          <w:sz w:val="24"/>
        </w:rPr>
        <w:t>al. (2020). As Per table 2.</w:t>
      </w:r>
    </w:p>
    <w:p w:rsidR="00487D64" w:rsidRDefault="006F0D93">
      <w:pPr>
        <w:spacing w:before="1"/>
        <w:ind w:left="886"/>
        <w:jc w:val="both"/>
        <w:rPr>
          <w:b/>
          <w:sz w:val="24"/>
        </w:rPr>
      </w:pPr>
      <w:r>
        <w:rPr>
          <w:b/>
          <w:sz w:val="24"/>
        </w:rPr>
        <w:t>Table</w:t>
      </w:r>
      <w:r>
        <w:rPr>
          <w:b/>
          <w:spacing w:val="-6"/>
          <w:sz w:val="24"/>
        </w:rPr>
        <w:t xml:space="preserve"> </w:t>
      </w:r>
      <w:r>
        <w:rPr>
          <w:b/>
          <w:sz w:val="24"/>
        </w:rPr>
        <w:t>2:</w:t>
      </w:r>
      <w:r>
        <w:rPr>
          <w:b/>
          <w:spacing w:val="-2"/>
          <w:sz w:val="24"/>
        </w:rPr>
        <w:t xml:space="preserve"> </w:t>
      </w:r>
      <w:r>
        <w:rPr>
          <w:b/>
          <w:sz w:val="24"/>
        </w:rPr>
        <w:t>Discriminant</w:t>
      </w:r>
      <w:r>
        <w:rPr>
          <w:b/>
          <w:spacing w:val="-2"/>
          <w:sz w:val="24"/>
        </w:rPr>
        <w:t xml:space="preserve"> </w:t>
      </w:r>
      <w:r>
        <w:rPr>
          <w:b/>
          <w:sz w:val="24"/>
        </w:rPr>
        <w:t>validity</w:t>
      </w:r>
      <w:r>
        <w:rPr>
          <w:b/>
          <w:spacing w:val="-3"/>
          <w:sz w:val="24"/>
        </w:rPr>
        <w:t xml:space="preserve"> </w:t>
      </w:r>
      <w:r>
        <w:rPr>
          <w:b/>
          <w:sz w:val="24"/>
        </w:rPr>
        <w:t>Hetetroit</w:t>
      </w:r>
      <w:r>
        <w:rPr>
          <w:b/>
          <w:spacing w:val="-1"/>
          <w:sz w:val="24"/>
        </w:rPr>
        <w:t xml:space="preserve"> </w:t>
      </w:r>
      <w:r>
        <w:rPr>
          <w:b/>
          <w:sz w:val="24"/>
        </w:rPr>
        <w:t xml:space="preserve">monetrait </w:t>
      </w:r>
      <w:r>
        <w:rPr>
          <w:b/>
          <w:spacing w:val="-2"/>
          <w:sz w:val="24"/>
        </w:rPr>
        <w:t>ratio</w:t>
      </w:r>
    </w:p>
    <w:p w:rsidR="00487D64" w:rsidRDefault="00487D64">
      <w:pPr>
        <w:pStyle w:val="BodyText"/>
        <w:rPr>
          <w:b/>
          <w:sz w:val="18"/>
        </w:rPr>
      </w:pPr>
    </w:p>
    <w:tbl>
      <w:tblPr>
        <w:tblW w:w="0" w:type="auto"/>
        <w:tblInd w:w="158" w:type="dxa"/>
        <w:tblLayout w:type="fixed"/>
        <w:tblCellMar>
          <w:left w:w="0" w:type="dxa"/>
          <w:right w:w="0" w:type="dxa"/>
        </w:tblCellMar>
        <w:tblLook w:val="01E0" w:firstRow="1" w:lastRow="1" w:firstColumn="1" w:lastColumn="1" w:noHBand="0" w:noVBand="0"/>
      </w:tblPr>
      <w:tblGrid>
        <w:gridCol w:w="1202"/>
        <w:gridCol w:w="900"/>
        <w:gridCol w:w="876"/>
        <w:gridCol w:w="876"/>
        <w:gridCol w:w="878"/>
        <w:gridCol w:w="876"/>
        <w:gridCol w:w="1222"/>
        <w:gridCol w:w="1260"/>
        <w:gridCol w:w="1285"/>
      </w:tblGrid>
      <w:tr w:rsidR="00487D64">
        <w:trPr>
          <w:trHeight w:val="273"/>
        </w:trPr>
        <w:tc>
          <w:tcPr>
            <w:tcW w:w="1202" w:type="dxa"/>
            <w:tcBorders>
              <w:top w:val="single" w:sz="4" w:space="0" w:color="000000"/>
              <w:bottom w:val="single" w:sz="4" w:space="0" w:color="000000"/>
            </w:tcBorders>
          </w:tcPr>
          <w:p w:rsidR="00487D64" w:rsidRDefault="00487D64">
            <w:pPr>
              <w:pStyle w:val="TableParagraph"/>
              <w:rPr>
                <w:sz w:val="20"/>
              </w:rPr>
            </w:pPr>
          </w:p>
        </w:tc>
        <w:tc>
          <w:tcPr>
            <w:tcW w:w="900" w:type="dxa"/>
            <w:tcBorders>
              <w:top w:val="single" w:sz="4" w:space="0" w:color="000000"/>
              <w:bottom w:val="single" w:sz="4" w:space="0" w:color="000000"/>
            </w:tcBorders>
          </w:tcPr>
          <w:p w:rsidR="00487D64" w:rsidRDefault="006F0D93">
            <w:pPr>
              <w:pStyle w:val="TableParagraph"/>
              <w:spacing w:line="254" w:lineRule="exact"/>
              <w:ind w:left="190"/>
              <w:rPr>
                <w:b/>
                <w:sz w:val="24"/>
              </w:rPr>
            </w:pPr>
            <w:r>
              <w:rPr>
                <w:b/>
                <w:spacing w:val="-5"/>
                <w:sz w:val="24"/>
              </w:rPr>
              <w:t>CO</w:t>
            </w:r>
          </w:p>
        </w:tc>
        <w:tc>
          <w:tcPr>
            <w:tcW w:w="876" w:type="dxa"/>
            <w:tcBorders>
              <w:top w:val="single" w:sz="4" w:space="0" w:color="000000"/>
              <w:bottom w:val="single" w:sz="4" w:space="0" w:color="000000"/>
            </w:tcBorders>
          </w:tcPr>
          <w:p w:rsidR="00487D64" w:rsidRDefault="006F0D93">
            <w:pPr>
              <w:pStyle w:val="TableParagraph"/>
              <w:spacing w:line="254" w:lineRule="exact"/>
              <w:ind w:left="169"/>
              <w:rPr>
                <w:b/>
                <w:sz w:val="24"/>
              </w:rPr>
            </w:pPr>
            <w:r>
              <w:rPr>
                <w:b/>
                <w:spacing w:val="-5"/>
                <w:sz w:val="24"/>
              </w:rPr>
              <w:t>CU</w:t>
            </w:r>
          </w:p>
        </w:tc>
        <w:tc>
          <w:tcPr>
            <w:tcW w:w="876" w:type="dxa"/>
            <w:tcBorders>
              <w:top w:val="single" w:sz="4" w:space="0" w:color="000000"/>
              <w:bottom w:val="single" w:sz="4" w:space="0" w:color="000000"/>
            </w:tcBorders>
          </w:tcPr>
          <w:p w:rsidR="00487D64" w:rsidRDefault="006F0D93">
            <w:pPr>
              <w:pStyle w:val="TableParagraph"/>
              <w:spacing w:line="254" w:lineRule="exact"/>
              <w:ind w:left="167"/>
              <w:rPr>
                <w:b/>
                <w:sz w:val="24"/>
              </w:rPr>
            </w:pPr>
            <w:r>
              <w:rPr>
                <w:b/>
                <w:spacing w:val="-5"/>
                <w:sz w:val="24"/>
              </w:rPr>
              <w:t>FC</w:t>
            </w:r>
          </w:p>
        </w:tc>
        <w:tc>
          <w:tcPr>
            <w:tcW w:w="878" w:type="dxa"/>
            <w:tcBorders>
              <w:top w:val="single" w:sz="4" w:space="0" w:color="000000"/>
              <w:bottom w:val="single" w:sz="4" w:space="0" w:color="000000"/>
            </w:tcBorders>
          </w:tcPr>
          <w:p w:rsidR="00487D64" w:rsidRDefault="006F0D93">
            <w:pPr>
              <w:pStyle w:val="TableParagraph"/>
              <w:spacing w:line="254" w:lineRule="exact"/>
              <w:ind w:left="169"/>
              <w:rPr>
                <w:b/>
                <w:sz w:val="24"/>
              </w:rPr>
            </w:pPr>
            <w:r>
              <w:rPr>
                <w:b/>
                <w:spacing w:val="-5"/>
                <w:sz w:val="24"/>
              </w:rPr>
              <w:t>SC</w:t>
            </w:r>
          </w:p>
        </w:tc>
        <w:tc>
          <w:tcPr>
            <w:tcW w:w="876" w:type="dxa"/>
            <w:tcBorders>
              <w:top w:val="single" w:sz="4" w:space="0" w:color="000000"/>
              <w:bottom w:val="single" w:sz="4" w:space="0" w:color="000000"/>
            </w:tcBorders>
          </w:tcPr>
          <w:p w:rsidR="00487D64" w:rsidRDefault="006F0D93">
            <w:pPr>
              <w:pStyle w:val="TableParagraph"/>
              <w:spacing w:line="254" w:lineRule="exact"/>
              <w:ind w:left="170"/>
              <w:rPr>
                <w:b/>
                <w:sz w:val="24"/>
              </w:rPr>
            </w:pPr>
            <w:r>
              <w:rPr>
                <w:b/>
                <w:spacing w:val="-5"/>
                <w:sz w:val="24"/>
              </w:rPr>
              <w:t>SF</w:t>
            </w:r>
          </w:p>
        </w:tc>
        <w:tc>
          <w:tcPr>
            <w:tcW w:w="1222" w:type="dxa"/>
            <w:tcBorders>
              <w:top w:val="single" w:sz="4" w:space="0" w:color="000000"/>
              <w:bottom w:val="single" w:sz="4" w:space="0" w:color="000000"/>
            </w:tcBorders>
          </w:tcPr>
          <w:p w:rsidR="00487D64" w:rsidRDefault="006F0D93">
            <w:pPr>
              <w:pStyle w:val="TableParagraph"/>
              <w:spacing w:line="254" w:lineRule="exact"/>
              <w:ind w:left="168"/>
              <w:rPr>
                <w:b/>
                <w:sz w:val="24"/>
              </w:rPr>
            </w:pPr>
            <w:r>
              <w:rPr>
                <w:b/>
                <w:sz w:val="24"/>
              </w:rPr>
              <w:t>SF</w:t>
            </w:r>
            <w:r>
              <w:rPr>
                <w:b/>
                <w:spacing w:val="-1"/>
                <w:sz w:val="24"/>
              </w:rPr>
              <w:t xml:space="preserve"> </w:t>
            </w:r>
            <w:r>
              <w:rPr>
                <w:b/>
                <w:sz w:val="24"/>
              </w:rPr>
              <w:t>x</w:t>
            </w:r>
            <w:r>
              <w:rPr>
                <w:b/>
                <w:spacing w:val="-3"/>
                <w:sz w:val="24"/>
              </w:rPr>
              <w:t xml:space="preserve"> </w:t>
            </w:r>
            <w:r>
              <w:rPr>
                <w:b/>
                <w:spacing w:val="-5"/>
                <w:sz w:val="24"/>
              </w:rPr>
              <w:t>CU</w:t>
            </w:r>
          </w:p>
        </w:tc>
        <w:tc>
          <w:tcPr>
            <w:tcW w:w="1260" w:type="dxa"/>
            <w:tcBorders>
              <w:top w:val="single" w:sz="4" w:space="0" w:color="000000"/>
              <w:bottom w:val="single" w:sz="4" w:space="0" w:color="000000"/>
            </w:tcBorders>
          </w:tcPr>
          <w:p w:rsidR="00487D64" w:rsidRDefault="006F0D93">
            <w:pPr>
              <w:pStyle w:val="TableParagraph"/>
              <w:spacing w:line="254" w:lineRule="exact"/>
              <w:ind w:left="195"/>
              <w:rPr>
                <w:b/>
                <w:sz w:val="24"/>
              </w:rPr>
            </w:pPr>
            <w:r>
              <w:rPr>
                <w:b/>
                <w:sz w:val="24"/>
              </w:rPr>
              <w:t>SF</w:t>
            </w:r>
            <w:r>
              <w:rPr>
                <w:b/>
                <w:spacing w:val="-1"/>
                <w:sz w:val="24"/>
              </w:rPr>
              <w:t xml:space="preserve"> </w:t>
            </w:r>
            <w:r>
              <w:rPr>
                <w:b/>
                <w:sz w:val="24"/>
              </w:rPr>
              <w:t>x</w:t>
            </w:r>
            <w:r>
              <w:rPr>
                <w:b/>
                <w:spacing w:val="-3"/>
                <w:sz w:val="24"/>
              </w:rPr>
              <w:t xml:space="preserve"> </w:t>
            </w:r>
            <w:r>
              <w:rPr>
                <w:b/>
                <w:spacing w:val="-5"/>
                <w:sz w:val="24"/>
              </w:rPr>
              <w:t>CO</w:t>
            </w:r>
          </w:p>
        </w:tc>
        <w:tc>
          <w:tcPr>
            <w:tcW w:w="1285" w:type="dxa"/>
            <w:tcBorders>
              <w:top w:val="single" w:sz="4" w:space="0" w:color="000000"/>
              <w:bottom w:val="single" w:sz="4" w:space="0" w:color="000000"/>
            </w:tcBorders>
          </w:tcPr>
          <w:p w:rsidR="00487D64" w:rsidRDefault="006F0D93">
            <w:pPr>
              <w:pStyle w:val="TableParagraph"/>
              <w:spacing w:line="254" w:lineRule="exact"/>
              <w:ind w:left="193"/>
              <w:rPr>
                <w:b/>
                <w:sz w:val="24"/>
              </w:rPr>
            </w:pPr>
            <w:r>
              <w:rPr>
                <w:b/>
                <w:sz w:val="24"/>
              </w:rPr>
              <w:t>SF</w:t>
            </w:r>
            <w:r>
              <w:rPr>
                <w:b/>
                <w:spacing w:val="-1"/>
                <w:sz w:val="24"/>
              </w:rPr>
              <w:t xml:space="preserve"> </w:t>
            </w:r>
            <w:r>
              <w:rPr>
                <w:b/>
                <w:sz w:val="24"/>
              </w:rPr>
              <w:t>x</w:t>
            </w:r>
            <w:r>
              <w:rPr>
                <w:b/>
                <w:spacing w:val="-3"/>
                <w:sz w:val="24"/>
              </w:rPr>
              <w:t xml:space="preserve"> </w:t>
            </w:r>
            <w:r>
              <w:rPr>
                <w:b/>
                <w:spacing w:val="-5"/>
                <w:sz w:val="24"/>
              </w:rPr>
              <w:t>FC</w:t>
            </w:r>
          </w:p>
        </w:tc>
      </w:tr>
      <w:tr w:rsidR="00487D64">
        <w:trPr>
          <w:trHeight w:val="276"/>
        </w:trPr>
        <w:tc>
          <w:tcPr>
            <w:tcW w:w="1202" w:type="dxa"/>
            <w:tcBorders>
              <w:top w:val="single" w:sz="4" w:space="0" w:color="000000"/>
            </w:tcBorders>
          </w:tcPr>
          <w:p w:rsidR="00487D64" w:rsidRDefault="006F0D93">
            <w:pPr>
              <w:pStyle w:val="TableParagraph"/>
              <w:spacing w:line="256" w:lineRule="exact"/>
              <w:ind w:left="134"/>
              <w:rPr>
                <w:b/>
                <w:sz w:val="24"/>
              </w:rPr>
            </w:pPr>
            <w:r>
              <w:rPr>
                <w:b/>
                <w:spacing w:val="-5"/>
                <w:sz w:val="24"/>
              </w:rPr>
              <w:t>CO</w:t>
            </w:r>
          </w:p>
        </w:tc>
        <w:tc>
          <w:tcPr>
            <w:tcW w:w="900" w:type="dxa"/>
            <w:tcBorders>
              <w:top w:val="single" w:sz="4" w:space="0" w:color="000000"/>
            </w:tcBorders>
          </w:tcPr>
          <w:p w:rsidR="00487D64" w:rsidRDefault="00487D64">
            <w:pPr>
              <w:pStyle w:val="TableParagraph"/>
              <w:rPr>
                <w:sz w:val="20"/>
              </w:rPr>
            </w:pPr>
          </w:p>
        </w:tc>
        <w:tc>
          <w:tcPr>
            <w:tcW w:w="876" w:type="dxa"/>
            <w:tcBorders>
              <w:top w:val="single" w:sz="4" w:space="0" w:color="000000"/>
            </w:tcBorders>
          </w:tcPr>
          <w:p w:rsidR="00487D64" w:rsidRDefault="00487D64">
            <w:pPr>
              <w:pStyle w:val="TableParagraph"/>
              <w:rPr>
                <w:sz w:val="20"/>
              </w:rPr>
            </w:pPr>
          </w:p>
        </w:tc>
        <w:tc>
          <w:tcPr>
            <w:tcW w:w="876" w:type="dxa"/>
            <w:tcBorders>
              <w:top w:val="single" w:sz="4" w:space="0" w:color="000000"/>
            </w:tcBorders>
          </w:tcPr>
          <w:p w:rsidR="00487D64" w:rsidRDefault="00487D64">
            <w:pPr>
              <w:pStyle w:val="TableParagraph"/>
              <w:rPr>
                <w:sz w:val="20"/>
              </w:rPr>
            </w:pPr>
          </w:p>
        </w:tc>
        <w:tc>
          <w:tcPr>
            <w:tcW w:w="878" w:type="dxa"/>
            <w:tcBorders>
              <w:top w:val="single" w:sz="4" w:space="0" w:color="000000"/>
            </w:tcBorders>
          </w:tcPr>
          <w:p w:rsidR="00487D64" w:rsidRDefault="00487D64">
            <w:pPr>
              <w:pStyle w:val="TableParagraph"/>
              <w:rPr>
                <w:sz w:val="20"/>
              </w:rPr>
            </w:pPr>
          </w:p>
        </w:tc>
        <w:tc>
          <w:tcPr>
            <w:tcW w:w="876" w:type="dxa"/>
            <w:tcBorders>
              <w:top w:val="single" w:sz="4" w:space="0" w:color="000000"/>
            </w:tcBorders>
          </w:tcPr>
          <w:p w:rsidR="00487D64" w:rsidRDefault="00487D64">
            <w:pPr>
              <w:pStyle w:val="TableParagraph"/>
              <w:rPr>
                <w:sz w:val="20"/>
              </w:rPr>
            </w:pPr>
          </w:p>
        </w:tc>
        <w:tc>
          <w:tcPr>
            <w:tcW w:w="1222" w:type="dxa"/>
            <w:tcBorders>
              <w:top w:val="single" w:sz="4" w:space="0" w:color="000000"/>
            </w:tcBorders>
          </w:tcPr>
          <w:p w:rsidR="00487D64" w:rsidRDefault="00487D64">
            <w:pPr>
              <w:pStyle w:val="TableParagraph"/>
              <w:rPr>
                <w:sz w:val="20"/>
              </w:rPr>
            </w:pPr>
          </w:p>
        </w:tc>
        <w:tc>
          <w:tcPr>
            <w:tcW w:w="1260" w:type="dxa"/>
            <w:tcBorders>
              <w:top w:val="single" w:sz="4" w:space="0" w:color="000000"/>
            </w:tcBorders>
          </w:tcPr>
          <w:p w:rsidR="00487D64" w:rsidRDefault="00487D64">
            <w:pPr>
              <w:pStyle w:val="TableParagraph"/>
              <w:rPr>
                <w:sz w:val="20"/>
              </w:rPr>
            </w:pPr>
          </w:p>
        </w:tc>
        <w:tc>
          <w:tcPr>
            <w:tcW w:w="1285" w:type="dxa"/>
            <w:tcBorders>
              <w:top w:val="single" w:sz="4" w:space="0" w:color="000000"/>
            </w:tcBorders>
          </w:tcPr>
          <w:p w:rsidR="00487D64" w:rsidRDefault="00487D64">
            <w:pPr>
              <w:pStyle w:val="TableParagraph"/>
              <w:rPr>
                <w:sz w:val="20"/>
              </w:rPr>
            </w:pPr>
          </w:p>
        </w:tc>
      </w:tr>
      <w:tr w:rsidR="00487D64">
        <w:trPr>
          <w:trHeight w:val="276"/>
        </w:trPr>
        <w:tc>
          <w:tcPr>
            <w:tcW w:w="1202" w:type="dxa"/>
          </w:tcPr>
          <w:p w:rsidR="00487D64" w:rsidRDefault="006F0D93">
            <w:pPr>
              <w:pStyle w:val="TableParagraph"/>
              <w:spacing w:line="256" w:lineRule="exact"/>
              <w:ind w:left="134"/>
              <w:rPr>
                <w:b/>
                <w:sz w:val="24"/>
              </w:rPr>
            </w:pPr>
            <w:r>
              <w:rPr>
                <w:b/>
                <w:spacing w:val="-5"/>
                <w:sz w:val="24"/>
              </w:rPr>
              <w:t>CU</w:t>
            </w:r>
          </w:p>
        </w:tc>
        <w:tc>
          <w:tcPr>
            <w:tcW w:w="900" w:type="dxa"/>
          </w:tcPr>
          <w:p w:rsidR="00487D64" w:rsidRDefault="006F0D93">
            <w:pPr>
              <w:pStyle w:val="TableParagraph"/>
              <w:spacing w:line="256" w:lineRule="exact"/>
              <w:ind w:left="190"/>
              <w:rPr>
                <w:sz w:val="24"/>
              </w:rPr>
            </w:pPr>
            <w:r>
              <w:rPr>
                <w:spacing w:val="-4"/>
                <w:sz w:val="24"/>
              </w:rPr>
              <w:t>0.176</w:t>
            </w:r>
          </w:p>
        </w:tc>
        <w:tc>
          <w:tcPr>
            <w:tcW w:w="876" w:type="dxa"/>
          </w:tcPr>
          <w:p w:rsidR="00487D64" w:rsidRDefault="00487D64">
            <w:pPr>
              <w:pStyle w:val="TableParagraph"/>
              <w:rPr>
                <w:sz w:val="20"/>
              </w:rPr>
            </w:pPr>
          </w:p>
        </w:tc>
        <w:tc>
          <w:tcPr>
            <w:tcW w:w="876" w:type="dxa"/>
          </w:tcPr>
          <w:p w:rsidR="00487D64" w:rsidRDefault="00487D64">
            <w:pPr>
              <w:pStyle w:val="TableParagraph"/>
              <w:rPr>
                <w:sz w:val="20"/>
              </w:rPr>
            </w:pPr>
          </w:p>
        </w:tc>
        <w:tc>
          <w:tcPr>
            <w:tcW w:w="878" w:type="dxa"/>
          </w:tcPr>
          <w:p w:rsidR="00487D64" w:rsidRDefault="00487D64">
            <w:pPr>
              <w:pStyle w:val="TableParagraph"/>
              <w:rPr>
                <w:sz w:val="20"/>
              </w:rPr>
            </w:pPr>
          </w:p>
        </w:tc>
        <w:tc>
          <w:tcPr>
            <w:tcW w:w="876" w:type="dxa"/>
          </w:tcPr>
          <w:p w:rsidR="00487D64" w:rsidRDefault="00487D64">
            <w:pPr>
              <w:pStyle w:val="TableParagraph"/>
              <w:rPr>
                <w:sz w:val="20"/>
              </w:rPr>
            </w:pPr>
          </w:p>
        </w:tc>
        <w:tc>
          <w:tcPr>
            <w:tcW w:w="1222" w:type="dxa"/>
          </w:tcPr>
          <w:p w:rsidR="00487D64" w:rsidRDefault="00487D64">
            <w:pPr>
              <w:pStyle w:val="TableParagraph"/>
              <w:rPr>
                <w:sz w:val="20"/>
              </w:rPr>
            </w:pPr>
          </w:p>
        </w:tc>
        <w:tc>
          <w:tcPr>
            <w:tcW w:w="1260" w:type="dxa"/>
          </w:tcPr>
          <w:p w:rsidR="00487D64" w:rsidRDefault="00487D64">
            <w:pPr>
              <w:pStyle w:val="TableParagraph"/>
              <w:rPr>
                <w:sz w:val="20"/>
              </w:rPr>
            </w:pPr>
          </w:p>
        </w:tc>
        <w:tc>
          <w:tcPr>
            <w:tcW w:w="1285" w:type="dxa"/>
          </w:tcPr>
          <w:p w:rsidR="00487D64" w:rsidRDefault="00487D64">
            <w:pPr>
              <w:pStyle w:val="TableParagraph"/>
              <w:rPr>
                <w:sz w:val="20"/>
              </w:rPr>
            </w:pPr>
          </w:p>
        </w:tc>
      </w:tr>
      <w:tr w:rsidR="00487D64">
        <w:trPr>
          <w:trHeight w:val="275"/>
        </w:trPr>
        <w:tc>
          <w:tcPr>
            <w:tcW w:w="1202" w:type="dxa"/>
          </w:tcPr>
          <w:p w:rsidR="00487D64" w:rsidRDefault="006F0D93">
            <w:pPr>
              <w:pStyle w:val="TableParagraph"/>
              <w:spacing w:line="256" w:lineRule="exact"/>
              <w:ind w:left="134"/>
              <w:rPr>
                <w:b/>
                <w:sz w:val="24"/>
              </w:rPr>
            </w:pPr>
            <w:r>
              <w:rPr>
                <w:b/>
                <w:spacing w:val="-5"/>
                <w:sz w:val="24"/>
              </w:rPr>
              <w:t>FC</w:t>
            </w:r>
          </w:p>
        </w:tc>
        <w:tc>
          <w:tcPr>
            <w:tcW w:w="900" w:type="dxa"/>
          </w:tcPr>
          <w:p w:rsidR="00487D64" w:rsidRDefault="006F0D93">
            <w:pPr>
              <w:pStyle w:val="TableParagraph"/>
              <w:spacing w:line="256" w:lineRule="exact"/>
              <w:ind w:left="190"/>
              <w:rPr>
                <w:sz w:val="24"/>
              </w:rPr>
            </w:pPr>
            <w:r>
              <w:rPr>
                <w:spacing w:val="-4"/>
                <w:sz w:val="24"/>
              </w:rPr>
              <w:t>0.061</w:t>
            </w:r>
          </w:p>
        </w:tc>
        <w:tc>
          <w:tcPr>
            <w:tcW w:w="876" w:type="dxa"/>
          </w:tcPr>
          <w:p w:rsidR="00487D64" w:rsidRDefault="006F0D93">
            <w:pPr>
              <w:pStyle w:val="TableParagraph"/>
              <w:spacing w:line="256" w:lineRule="exact"/>
              <w:ind w:left="169"/>
              <w:rPr>
                <w:sz w:val="24"/>
              </w:rPr>
            </w:pPr>
            <w:r>
              <w:rPr>
                <w:spacing w:val="-4"/>
                <w:sz w:val="24"/>
              </w:rPr>
              <w:t>0.071</w:t>
            </w:r>
          </w:p>
        </w:tc>
        <w:tc>
          <w:tcPr>
            <w:tcW w:w="876" w:type="dxa"/>
          </w:tcPr>
          <w:p w:rsidR="00487D64" w:rsidRDefault="00487D64">
            <w:pPr>
              <w:pStyle w:val="TableParagraph"/>
              <w:rPr>
                <w:sz w:val="20"/>
              </w:rPr>
            </w:pPr>
          </w:p>
        </w:tc>
        <w:tc>
          <w:tcPr>
            <w:tcW w:w="878" w:type="dxa"/>
          </w:tcPr>
          <w:p w:rsidR="00487D64" w:rsidRDefault="00487D64">
            <w:pPr>
              <w:pStyle w:val="TableParagraph"/>
              <w:rPr>
                <w:sz w:val="20"/>
              </w:rPr>
            </w:pPr>
          </w:p>
        </w:tc>
        <w:tc>
          <w:tcPr>
            <w:tcW w:w="876" w:type="dxa"/>
          </w:tcPr>
          <w:p w:rsidR="00487D64" w:rsidRDefault="00487D64">
            <w:pPr>
              <w:pStyle w:val="TableParagraph"/>
              <w:rPr>
                <w:sz w:val="20"/>
              </w:rPr>
            </w:pPr>
          </w:p>
        </w:tc>
        <w:tc>
          <w:tcPr>
            <w:tcW w:w="1222" w:type="dxa"/>
          </w:tcPr>
          <w:p w:rsidR="00487D64" w:rsidRDefault="00487D64">
            <w:pPr>
              <w:pStyle w:val="TableParagraph"/>
              <w:rPr>
                <w:sz w:val="20"/>
              </w:rPr>
            </w:pPr>
          </w:p>
        </w:tc>
        <w:tc>
          <w:tcPr>
            <w:tcW w:w="1260" w:type="dxa"/>
          </w:tcPr>
          <w:p w:rsidR="00487D64" w:rsidRDefault="00487D64">
            <w:pPr>
              <w:pStyle w:val="TableParagraph"/>
              <w:rPr>
                <w:sz w:val="20"/>
              </w:rPr>
            </w:pPr>
          </w:p>
        </w:tc>
        <w:tc>
          <w:tcPr>
            <w:tcW w:w="1285" w:type="dxa"/>
          </w:tcPr>
          <w:p w:rsidR="00487D64" w:rsidRDefault="00487D64">
            <w:pPr>
              <w:pStyle w:val="TableParagraph"/>
              <w:rPr>
                <w:sz w:val="20"/>
              </w:rPr>
            </w:pPr>
          </w:p>
        </w:tc>
      </w:tr>
      <w:tr w:rsidR="00487D64">
        <w:trPr>
          <w:trHeight w:val="276"/>
        </w:trPr>
        <w:tc>
          <w:tcPr>
            <w:tcW w:w="1202" w:type="dxa"/>
          </w:tcPr>
          <w:p w:rsidR="00487D64" w:rsidRDefault="006F0D93">
            <w:pPr>
              <w:pStyle w:val="TableParagraph"/>
              <w:spacing w:line="256" w:lineRule="exact"/>
              <w:ind w:left="134"/>
              <w:rPr>
                <w:b/>
                <w:sz w:val="24"/>
              </w:rPr>
            </w:pPr>
            <w:r>
              <w:rPr>
                <w:b/>
                <w:spacing w:val="-5"/>
                <w:sz w:val="24"/>
              </w:rPr>
              <w:t>SC</w:t>
            </w:r>
          </w:p>
        </w:tc>
        <w:tc>
          <w:tcPr>
            <w:tcW w:w="900" w:type="dxa"/>
          </w:tcPr>
          <w:p w:rsidR="00487D64" w:rsidRDefault="006F0D93">
            <w:pPr>
              <w:pStyle w:val="TableParagraph"/>
              <w:spacing w:line="256" w:lineRule="exact"/>
              <w:ind w:left="190"/>
              <w:rPr>
                <w:sz w:val="24"/>
              </w:rPr>
            </w:pPr>
            <w:r>
              <w:rPr>
                <w:spacing w:val="-4"/>
                <w:sz w:val="24"/>
              </w:rPr>
              <w:t>0.377</w:t>
            </w:r>
          </w:p>
        </w:tc>
        <w:tc>
          <w:tcPr>
            <w:tcW w:w="876" w:type="dxa"/>
          </w:tcPr>
          <w:p w:rsidR="00487D64" w:rsidRDefault="006F0D93">
            <w:pPr>
              <w:pStyle w:val="TableParagraph"/>
              <w:spacing w:line="256" w:lineRule="exact"/>
              <w:ind w:left="169"/>
              <w:rPr>
                <w:sz w:val="24"/>
              </w:rPr>
            </w:pPr>
            <w:r>
              <w:rPr>
                <w:spacing w:val="-4"/>
                <w:sz w:val="24"/>
              </w:rPr>
              <w:t>0.396</w:t>
            </w:r>
          </w:p>
        </w:tc>
        <w:tc>
          <w:tcPr>
            <w:tcW w:w="876" w:type="dxa"/>
          </w:tcPr>
          <w:p w:rsidR="00487D64" w:rsidRDefault="006F0D93">
            <w:pPr>
              <w:pStyle w:val="TableParagraph"/>
              <w:spacing w:line="256" w:lineRule="exact"/>
              <w:ind w:left="167"/>
              <w:rPr>
                <w:sz w:val="24"/>
              </w:rPr>
            </w:pPr>
            <w:r>
              <w:rPr>
                <w:spacing w:val="-4"/>
                <w:sz w:val="24"/>
              </w:rPr>
              <w:t>0.093</w:t>
            </w:r>
          </w:p>
        </w:tc>
        <w:tc>
          <w:tcPr>
            <w:tcW w:w="878" w:type="dxa"/>
          </w:tcPr>
          <w:p w:rsidR="00487D64" w:rsidRDefault="00487D64">
            <w:pPr>
              <w:pStyle w:val="TableParagraph"/>
              <w:rPr>
                <w:sz w:val="20"/>
              </w:rPr>
            </w:pPr>
          </w:p>
        </w:tc>
        <w:tc>
          <w:tcPr>
            <w:tcW w:w="876" w:type="dxa"/>
          </w:tcPr>
          <w:p w:rsidR="00487D64" w:rsidRDefault="00487D64">
            <w:pPr>
              <w:pStyle w:val="TableParagraph"/>
              <w:rPr>
                <w:sz w:val="20"/>
              </w:rPr>
            </w:pPr>
          </w:p>
        </w:tc>
        <w:tc>
          <w:tcPr>
            <w:tcW w:w="1222" w:type="dxa"/>
          </w:tcPr>
          <w:p w:rsidR="00487D64" w:rsidRDefault="00487D64">
            <w:pPr>
              <w:pStyle w:val="TableParagraph"/>
              <w:rPr>
                <w:sz w:val="20"/>
              </w:rPr>
            </w:pPr>
          </w:p>
        </w:tc>
        <w:tc>
          <w:tcPr>
            <w:tcW w:w="1260" w:type="dxa"/>
          </w:tcPr>
          <w:p w:rsidR="00487D64" w:rsidRDefault="00487D64">
            <w:pPr>
              <w:pStyle w:val="TableParagraph"/>
              <w:rPr>
                <w:sz w:val="20"/>
              </w:rPr>
            </w:pPr>
          </w:p>
        </w:tc>
        <w:tc>
          <w:tcPr>
            <w:tcW w:w="1285" w:type="dxa"/>
          </w:tcPr>
          <w:p w:rsidR="00487D64" w:rsidRDefault="00487D64">
            <w:pPr>
              <w:pStyle w:val="TableParagraph"/>
              <w:rPr>
                <w:sz w:val="20"/>
              </w:rPr>
            </w:pPr>
          </w:p>
        </w:tc>
      </w:tr>
      <w:tr w:rsidR="00487D64">
        <w:trPr>
          <w:trHeight w:val="275"/>
        </w:trPr>
        <w:tc>
          <w:tcPr>
            <w:tcW w:w="1202" w:type="dxa"/>
          </w:tcPr>
          <w:p w:rsidR="00487D64" w:rsidRDefault="006F0D93">
            <w:pPr>
              <w:pStyle w:val="TableParagraph"/>
              <w:spacing w:line="256" w:lineRule="exact"/>
              <w:ind w:left="134"/>
              <w:rPr>
                <w:b/>
                <w:sz w:val="24"/>
              </w:rPr>
            </w:pPr>
            <w:r>
              <w:rPr>
                <w:b/>
                <w:spacing w:val="-5"/>
                <w:sz w:val="24"/>
              </w:rPr>
              <w:t>SF</w:t>
            </w:r>
          </w:p>
        </w:tc>
        <w:tc>
          <w:tcPr>
            <w:tcW w:w="900" w:type="dxa"/>
          </w:tcPr>
          <w:p w:rsidR="00487D64" w:rsidRDefault="006F0D93">
            <w:pPr>
              <w:pStyle w:val="TableParagraph"/>
              <w:spacing w:line="256" w:lineRule="exact"/>
              <w:ind w:left="190"/>
              <w:rPr>
                <w:sz w:val="24"/>
              </w:rPr>
            </w:pPr>
            <w:r>
              <w:rPr>
                <w:spacing w:val="-4"/>
                <w:sz w:val="24"/>
              </w:rPr>
              <w:t>0.124</w:t>
            </w:r>
          </w:p>
        </w:tc>
        <w:tc>
          <w:tcPr>
            <w:tcW w:w="876" w:type="dxa"/>
          </w:tcPr>
          <w:p w:rsidR="00487D64" w:rsidRDefault="006F0D93">
            <w:pPr>
              <w:pStyle w:val="TableParagraph"/>
              <w:spacing w:line="256" w:lineRule="exact"/>
              <w:ind w:left="169"/>
              <w:rPr>
                <w:sz w:val="24"/>
              </w:rPr>
            </w:pPr>
            <w:r>
              <w:rPr>
                <w:spacing w:val="-4"/>
                <w:sz w:val="24"/>
              </w:rPr>
              <w:t>0.228</w:t>
            </w:r>
          </w:p>
        </w:tc>
        <w:tc>
          <w:tcPr>
            <w:tcW w:w="876" w:type="dxa"/>
          </w:tcPr>
          <w:p w:rsidR="00487D64" w:rsidRDefault="006F0D93">
            <w:pPr>
              <w:pStyle w:val="TableParagraph"/>
              <w:spacing w:line="256" w:lineRule="exact"/>
              <w:ind w:left="167"/>
              <w:rPr>
                <w:sz w:val="24"/>
              </w:rPr>
            </w:pPr>
            <w:r>
              <w:rPr>
                <w:spacing w:val="-4"/>
                <w:sz w:val="24"/>
              </w:rPr>
              <w:t>0.069</w:t>
            </w:r>
          </w:p>
        </w:tc>
        <w:tc>
          <w:tcPr>
            <w:tcW w:w="878" w:type="dxa"/>
          </w:tcPr>
          <w:p w:rsidR="00487D64" w:rsidRDefault="006F0D93">
            <w:pPr>
              <w:pStyle w:val="TableParagraph"/>
              <w:spacing w:line="256" w:lineRule="exact"/>
              <w:ind w:left="169"/>
              <w:rPr>
                <w:sz w:val="24"/>
              </w:rPr>
            </w:pPr>
            <w:r>
              <w:rPr>
                <w:spacing w:val="-4"/>
                <w:sz w:val="24"/>
              </w:rPr>
              <w:t>0.762</w:t>
            </w:r>
          </w:p>
        </w:tc>
        <w:tc>
          <w:tcPr>
            <w:tcW w:w="876" w:type="dxa"/>
          </w:tcPr>
          <w:p w:rsidR="00487D64" w:rsidRDefault="00487D64">
            <w:pPr>
              <w:pStyle w:val="TableParagraph"/>
              <w:rPr>
                <w:sz w:val="20"/>
              </w:rPr>
            </w:pPr>
          </w:p>
        </w:tc>
        <w:tc>
          <w:tcPr>
            <w:tcW w:w="1222" w:type="dxa"/>
          </w:tcPr>
          <w:p w:rsidR="00487D64" w:rsidRDefault="00487D64">
            <w:pPr>
              <w:pStyle w:val="TableParagraph"/>
              <w:rPr>
                <w:sz w:val="20"/>
              </w:rPr>
            </w:pPr>
          </w:p>
        </w:tc>
        <w:tc>
          <w:tcPr>
            <w:tcW w:w="1260" w:type="dxa"/>
          </w:tcPr>
          <w:p w:rsidR="00487D64" w:rsidRDefault="00487D64">
            <w:pPr>
              <w:pStyle w:val="TableParagraph"/>
              <w:rPr>
                <w:sz w:val="20"/>
              </w:rPr>
            </w:pPr>
          </w:p>
        </w:tc>
        <w:tc>
          <w:tcPr>
            <w:tcW w:w="1285" w:type="dxa"/>
          </w:tcPr>
          <w:p w:rsidR="00487D64" w:rsidRDefault="00487D64">
            <w:pPr>
              <w:pStyle w:val="TableParagraph"/>
              <w:rPr>
                <w:sz w:val="20"/>
              </w:rPr>
            </w:pPr>
          </w:p>
        </w:tc>
      </w:tr>
      <w:tr w:rsidR="00487D64">
        <w:trPr>
          <w:trHeight w:val="276"/>
        </w:trPr>
        <w:tc>
          <w:tcPr>
            <w:tcW w:w="1202" w:type="dxa"/>
          </w:tcPr>
          <w:p w:rsidR="00487D64" w:rsidRDefault="006F0D93">
            <w:pPr>
              <w:pStyle w:val="TableParagraph"/>
              <w:spacing w:line="256" w:lineRule="exact"/>
              <w:ind w:left="134"/>
              <w:rPr>
                <w:b/>
                <w:sz w:val="24"/>
              </w:rPr>
            </w:pPr>
            <w:r>
              <w:rPr>
                <w:b/>
                <w:sz w:val="24"/>
              </w:rPr>
              <w:t>SF</w:t>
            </w:r>
            <w:r>
              <w:rPr>
                <w:b/>
                <w:spacing w:val="-1"/>
                <w:sz w:val="24"/>
              </w:rPr>
              <w:t xml:space="preserve"> </w:t>
            </w:r>
            <w:r>
              <w:rPr>
                <w:b/>
                <w:sz w:val="24"/>
              </w:rPr>
              <w:t>x</w:t>
            </w:r>
            <w:r>
              <w:rPr>
                <w:b/>
                <w:spacing w:val="-3"/>
                <w:sz w:val="24"/>
              </w:rPr>
              <w:t xml:space="preserve"> </w:t>
            </w:r>
            <w:r>
              <w:rPr>
                <w:b/>
                <w:spacing w:val="-5"/>
                <w:sz w:val="24"/>
              </w:rPr>
              <w:t>CU</w:t>
            </w:r>
          </w:p>
        </w:tc>
        <w:tc>
          <w:tcPr>
            <w:tcW w:w="900" w:type="dxa"/>
          </w:tcPr>
          <w:p w:rsidR="00487D64" w:rsidRDefault="006F0D93">
            <w:pPr>
              <w:pStyle w:val="TableParagraph"/>
              <w:spacing w:line="256" w:lineRule="exact"/>
              <w:ind w:left="190"/>
              <w:rPr>
                <w:sz w:val="24"/>
              </w:rPr>
            </w:pPr>
            <w:r>
              <w:rPr>
                <w:spacing w:val="-4"/>
                <w:sz w:val="24"/>
              </w:rPr>
              <w:t>0.076</w:t>
            </w:r>
          </w:p>
        </w:tc>
        <w:tc>
          <w:tcPr>
            <w:tcW w:w="876" w:type="dxa"/>
          </w:tcPr>
          <w:p w:rsidR="00487D64" w:rsidRDefault="006F0D93">
            <w:pPr>
              <w:pStyle w:val="TableParagraph"/>
              <w:spacing w:line="256" w:lineRule="exact"/>
              <w:ind w:left="169"/>
              <w:rPr>
                <w:sz w:val="24"/>
              </w:rPr>
            </w:pPr>
            <w:r>
              <w:rPr>
                <w:spacing w:val="-4"/>
                <w:sz w:val="24"/>
              </w:rPr>
              <w:t>0.038</w:t>
            </w:r>
          </w:p>
        </w:tc>
        <w:tc>
          <w:tcPr>
            <w:tcW w:w="876" w:type="dxa"/>
          </w:tcPr>
          <w:p w:rsidR="00487D64" w:rsidRDefault="006F0D93">
            <w:pPr>
              <w:pStyle w:val="TableParagraph"/>
              <w:spacing w:line="256" w:lineRule="exact"/>
              <w:ind w:left="167"/>
              <w:rPr>
                <w:sz w:val="24"/>
              </w:rPr>
            </w:pPr>
            <w:r>
              <w:rPr>
                <w:spacing w:val="-4"/>
                <w:sz w:val="24"/>
              </w:rPr>
              <w:t>0.035</w:t>
            </w:r>
          </w:p>
        </w:tc>
        <w:tc>
          <w:tcPr>
            <w:tcW w:w="878" w:type="dxa"/>
          </w:tcPr>
          <w:p w:rsidR="00487D64" w:rsidRDefault="006F0D93">
            <w:pPr>
              <w:pStyle w:val="TableParagraph"/>
              <w:spacing w:line="256" w:lineRule="exact"/>
              <w:ind w:left="169"/>
              <w:rPr>
                <w:sz w:val="24"/>
              </w:rPr>
            </w:pPr>
            <w:r>
              <w:rPr>
                <w:spacing w:val="-4"/>
                <w:sz w:val="24"/>
              </w:rPr>
              <w:t>0.204</w:t>
            </w:r>
          </w:p>
        </w:tc>
        <w:tc>
          <w:tcPr>
            <w:tcW w:w="876" w:type="dxa"/>
          </w:tcPr>
          <w:p w:rsidR="00487D64" w:rsidRDefault="006F0D93">
            <w:pPr>
              <w:pStyle w:val="TableParagraph"/>
              <w:spacing w:line="256" w:lineRule="exact"/>
              <w:ind w:left="170"/>
              <w:rPr>
                <w:sz w:val="24"/>
              </w:rPr>
            </w:pPr>
            <w:r>
              <w:rPr>
                <w:spacing w:val="-4"/>
                <w:sz w:val="24"/>
              </w:rPr>
              <w:t>0.237</w:t>
            </w:r>
          </w:p>
        </w:tc>
        <w:tc>
          <w:tcPr>
            <w:tcW w:w="1222" w:type="dxa"/>
          </w:tcPr>
          <w:p w:rsidR="00487D64" w:rsidRDefault="00487D64">
            <w:pPr>
              <w:pStyle w:val="TableParagraph"/>
              <w:rPr>
                <w:sz w:val="20"/>
              </w:rPr>
            </w:pPr>
          </w:p>
        </w:tc>
        <w:tc>
          <w:tcPr>
            <w:tcW w:w="1260" w:type="dxa"/>
          </w:tcPr>
          <w:p w:rsidR="00487D64" w:rsidRDefault="00487D64">
            <w:pPr>
              <w:pStyle w:val="TableParagraph"/>
              <w:rPr>
                <w:sz w:val="20"/>
              </w:rPr>
            </w:pPr>
          </w:p>
        </w:tc>
        <w:tc>
          <w:tcPr>
            <w:tcW w:w="1285" w:type="dxa"/>
          </w:tcPr>
          <w:p w:rsidR="00487D64" w:rsidRDefault="00487D64">
            <w:pPr>
              <w:pStyle w:val="TableParagraph"/>
              <w:rPr>
                <w:sz w:val="20"/>
              </w:rPr>
            </w:pPr>
          </w:p>
        </w:tc>
      </w:tr>
      <w:tr w:rsidR="00487D64">
        <w:trPr>
          <w:trHeight w:val="276"/>
        </w:trPr>
        <w:tc>
          <w:tcPr>
            <w:tcW w:w="1202" w:type="dxa"/>
          </w:tcPr>
          <w:p w:rsidR="00487D64" w:rsidRDefault="006F0D93">
            <w:pPr>
              <w:pStyle w:val="TableParagraph"/>
              <w:spacing w:line="256" w:lineRule="exact"/>
              <w:ind w:left="134"/>
              <w:rPr>
                <w:b/>
                <w:sz w:val="24"/>
              </w:rPr>
            </w:pPr>
            <w:r>
              <w:rPr>
                <w:b/>
                <w:sz w:val="24"/>
              </w:rPr>
              <w:t>SF</w:t>
            </w:r>
            <w:r>
              <w:rPr>
                <w:b/>
                <w:spacing w:val="-1"/>
                <w:sz w:val="24"/>
              </w:rPr>
              <w:t xml:space="preserve"> </w:t>
            </w:r>
            <w:r>
              <w:rPr>
                <w:b/>
                <w:sz w:val="24"/>
              </w:rPr>
              <w:t>x</w:t>
            </w:r>
            <w:r>
              <w:rPr>
                <w:b/>
                <w:spacing w:val="-3"/>
                <w:sz w:val="24"/>
              </w:rPr>
              <w:t xml:space="preserve"> </w:t>
            </w:r>
            <w:r>
              <w:rPr>
                <w:b/>
                <w:spacing w:val="-5"/>
                <w:sz w:val="24"/>
              </w:rPr>
              <w:t>CO</w:t>
            </w:r>
          </w:p>
        </w:tc>
        <w:tc>
          <w:tcPr>
            <w:tcW w:w="900" w:type="dxa"/>
          </w:tcPr>
          <w:p w:rsidR="00487D64" w:rsidRDefault="006F0D93">
            <w:pPr>
              <w:pStyle w:val="TableParagraph"/>
              <w:spacing w:line="256" w:lineRule="exact"/>
              <w:ind w:left="190"/>
              <w:rPr>
                <w:sz w:val="24"/>
              </w:rPr>
            </w:pPr>
            <w:r>
              <w:rPr>
                <w:spacing w:val="-4"/>
                <w:sz w:val="24"/>
              </w:rPr>
              <w:t>0.073</w:t>
            </w:r>
          </w:p>
        </w:tc>
        <w:tc>
          <w:tcPr>
            <w:tcW w:w="876" w:type="dxa"/>
          </w:tcPr>
          <w:p w:rsidR="00487D64" w:rsidRDefault="006F0D93">
            <w:pPr>
              <w:pStyle w:val="TableParagraph"/>
              <w:spacing w:line="256" w:lineRule="exact"/>
              <w:ind w:left="169"/>
              <w:rPr>
                <w:sz w:val="24"/>
              </w:rPr>
            </w:pPr>
            <w:r>
              <w:rPr>
                <w:spacing w:val="-4"/>
                <w:sz w:val="24"/>
              </w:rPr>
              <w:t>0.078</w:t>
            </w:r>
          </w:p>
        </w:tc>
        <w:tc>
          <w:tcPr>
            <w:tcW w:w="876" w:type="dxa"/>
          </w:tcPr>
          <w:p w:rsidR="00487D64" w:rsidRDefault="006F0D93">
            <w:pPr>
              <w:pStyle w:val="TableParagraph"/>
              <w:spacing w:line="256" w:lineRule="exact"/>
              <w:ind w:left="167"/>
              <w:rPr>
                <w:sz w:val="24"/>
              </w:rPr>
            </w:pPr>
            <w:r>
              <w:rPr>
                <w:spacing w:val="-4"/>
                <w:sz w:val="24"/>
              </w:rPr>
              <w:t>0.074</w:t>
            </w:r>
          </w:p>
        </w:tc>
        <w:tc>
          <w:tcPr>
            <w:tcW w:w="878" w:type="dxa"/>
          </w:tcPr>
          <w:p w:rsidR="00487D64" w:rsidRDefault="006F0D93">
            <w:pPr>
              <w:pStyle w:val="TableParagraph"/>
              <w:spacing w:line="256" w:lineRule="exact"/>
              <w:ind w:left="169"/>
              <w:rPr>
                <w:sz w:val="24"/>
              </w:rPr>
            </w:pPr>
            <w:r>
              <w:rPr>
                <w:spacing w:val="-4"/>
                <w:sz w:val="24"/>
              </w:rPr>
              <w:t>0.235</w:t>
            </w:r>
          </w:p>
        </w:tc>
        <w:tc>
          <w:tcPr>
            <w:tcW w:w="876" w:type="dxa"/>
          </w:tcPr>
          <w:p w:rsidR="00487D64" w:rsidRDefault="006F0D93">
            <w:pPr>
              <w:pStyle w:val="TableParagraph"/>
              <w:spacing w:line="256" w:lineRule="exact"/>
              <w:ind w:left="170"/>
              <w:rPr>
                <w:sz w:val="24"/>
              </w:rPr>
            </w:pPr>
            <w:r>
              <w:rPr>
                <w:spacing w:val="-4"/>
                <w:sz w:val="24"/>
              </w:rPr>
              <w:t>0.167</w:t>
            </w:r>
          </w:p>
        </w:tc>
        <w:tc>
          <w:tcPr>
            <w:tcW w:w="1222" w:type="dxa"/>
          </w:tcPr>
          <w:p w:rsidR="00487D64" w:rsidRDefault="006F0D93">
            <w:pPr>
              <w:pStyle w:val="TableParagraph"/>
              <w:spacing w:line="256" w:lineRule="exact"/>
              <w:ind w:left="168"/>
              <w:rPr>
                <w:sz w:val="24"/>
              </w:rPr>
            </w:pPr>
            <w:r>
              <w:rPr>
                <w:spacing w:val="-4"/>
                <w:sz w:val="24"/>
              </w:rPr>
              <w:t>0.125</w:t>
            </w:r>
          </w:p>
        </w:tc>
        <w:tc>
          <w:tcPr>
            <w:tcW w:w="1260" w:type="dxa"/>
          </w:tcPr>
          <w:p w:rsidR="00487D64" w:rsidRDefault="00487D64">
            <w:pPr>
              <w:pStyle w:val="TableParagraph"/>
              <w:rPr>
                <w:sz w:val="20"/>
              </w:rPr>
            </w:pPr>
          </w:p>
        </w:tc>
        <w:tc>
          <w:tcPr>
            <w:tcW w:w="1285" w:type="dxa"/>
          </w:tcPr>
          <w:p w:rsidR="00487D64" w:rsidRDefault="00487D64">
            <w:pPr>
              <w:pStyle w:val="TableParagraph"/>
              <w:rPr>
                <w:sz w:val="20"/>
              </w:rPr>
            </w:pPr>
          </w:p>
        </w:tc>
      </w:tr>
      <w:tr w:rsidR="00487D64">
        <w:trPr>
          <w:trHeight w:val="275"/>
        </w:trPr>
        <w:tc>
          <w:tcPr>
            <w:tcW w:w="1202" w:type="dxa"/>
            <w:tcBorders>
              <w:bottom w:val="single" w:sz="4" w:space="0" w:color="000000"/>
            </w:tcBorders>
          </w:tcPr>
          <w:p w:rsidR="00487D64" w:rsidRDefault="006F0D93">
            <w:pPr>
              <w:pStyle w:val="TableParagraph"/>
              <w:spacing w:line="255" w:lineRule="exact"/>
              <w:ind w:left="134"/>
              <w:rPr>
                <w:b/>
                <w:sz w:val="24"/>
              </w:rPr>
            </w:pPr>
            <w:r>
              <w:rPr>
                <w:b/>
                <w:sz w:val="24"/>
              </w:rPr>
              <w:t>SF</w:t>
            </w:r>
            <w:r>
              <w:rPr>
                <w:b/>
                <w:spacing w:val="-1"/>
                <w:sz w:val="24"/>
              </w:rPr>
              <w:t xml:space="preserve"> </w:t>
            </w:r>
            <w:r>
              <w:rPr>
                <w:b/>
                <w:sz w:val="24"/>
              </w:rPr>
              <w:t>x</w:t>
            </w:r>
            <w:r>
              <w:rPr>
                <w:b/>
                <w:spacing w:val="-3"/>
                <w:sz w:val="24"/>
              </w:rPr>
              <w:t xml:space="preserve"> </w:t>
            </w:r>
            <w:r>
              <w:rPr>
                <w:b/>
                <w:spacing w:val="-5"/>
                <w:sz w:val="24"/>
              </w:rPr>
              <w:t>FC</w:t>
            </w:r>
          </w:p>
        </w:tc>
        <w:tc>
          <w:tcPr>
            <w:tcW w:w="900" w:type="dxa"/>
            <w:tcBorders>
              <w:bottom w:val="single" w:sz="4" w:space="0" w:color="000000"/>
            </w:tcBorders>
          </w:tcPr>
          <w:p w:rsidR="00487D64" w:rsidRDefault="006F0D93">
            <w:pPr>
              <w:pStyle w:val="TableParagraph"/>
              <w:spacing w:line="255" w:lineRule="exact"/>
              <w:ind w:left="190"/>
              <w:rPr>
                <w:sz w:val="24"/>
              </w:rPr>
            </w:pPr>
            <w:r>
              <w:rPr>
                <w:spacing w:val="-4"/>
                <w:sz w:val="24"/>
              </w:rPr>
              <w:t>0.034</w:t>
            </w:r>
          </w:p>
        </w:tc>
        <w:tc>
          <w:tcPr>
            <w:tcW w:w="876" w:type="dxa"/>
            <w:tcBorders>
              <w:bottom w:val="single" w:sz="4" w:space="0" w:color="000000"/>
            </w:tcBorders>
          </w:tcPr>
          <w:p w:rsidR="00487D64" w:rsidRDefault="006F0D93">
            <w:pPr>
              <w:pStyle w:val="TableParagraph"/>
              <w:spacing w:line="255" w:lineRule="exact"/>
              <w:ind w:left="169"/>
              <w:rPr>
                <w:sz w:val="24"/>
              </w:rPr>
            </w:pPr>
            <w:r>
              <w:rPr>
                <w:spacing w:val="-4"/>
                <w:sz w:val="24"/>
              </w:rPr>
              <w:t>0.034</w:t>
            </w:r>
          </w:p>
        </w:tc>
        <w:tc>
          <w:tcPr>
            <w:tcW w:w="876" w:type="dxa"/>
            <w:tcBorders>
              <w:bottom w:val="single" w:sz="4" w:space="0" w:color="000000"/>
            </w:tcBorders>
          </w:tcPr>
          <w:p w:rsidR="00487D64" w:rsidRDefault="006F0D93">
            <w:pPr>
              <w:pStyle w:val="TableParagraph"/>
              <w:spacing w:line="255" w:lineRule="exact"/>
              <w:ind w:left="167"/>
              <w:rPr>
                <w:sz w:val="24"/>
              </w:rPr>
            </w:pPr>
            <w:r>
              <w:rPr>
                <w:spacing w:val="-4"/>
                <w:sz w:val="24"/>
              </w:rPr>
              <w:t>0.027</w:t>
            </w:r>
          </w:p>
        </w:tc>
        <w:tc>
          <w:tcPr>
            <w:tcW w:w="878" w:type="dxa"/>
            <w:tcBorders>
              <w:bottom w:val="single" w:sz="4" w:space="0" w:color="000000"/>
            </w:tcBorders>
          </w:tcPr>
          <w:p w:rsidR="00487D64" w:rsidRDefault="006F0D93">
            <w:pPr>
              <w:pStyle w:val="TableParagraph"/>
              <w:spacing w:line="255" w:lineRule="exact"/>
              <w:ind w:left="169"/>
              <w:rPr>
                <w:sz w:val="24"/>
              </w:rPr>
            </w:pPr>
            <w:r>
              <w:rPr>
                <w:spacing w:val="-4"/>
                <w:sz w:val="24"/>
              </w:rPr>
              <w:t>0.035</w:t>
            </w:r>
          </w:p>
        </w:tc>
        <w:tc>
          <w:tcPr>
            <w:tcW w:w="876" w:type="dxa"/>
            <w:tcBorders>
              <w:bottom w:val="single" w:sz="4" w:space="0" w:color="000000"/>
            </w:tcBorders>
          </w:tcPr>
          <w:p w:rsidR="00487D64" w:rsidRDefault="006F0D93">
            <w:pPr>
              <w:pStyle w:val="TableParagraph"/>
              <w:spacing w:line="255" w:lineRule="exact"/>
              <w:ind w:left="170"/>
              <w:rPr>
                <w:sz w:val="24"/>
              </w:rPr>
            </w:pPr>
            <w:r>
              <w:rPr>
                <w:spacing w:val="-4"/>
                <w:sz w:val="24"/>
              </w:rPr>
              <w:t>0.034</w:t>
            </w:r>
          </w:p>
        </w:tc>
        <w:tc>
          <w:tcPr>
            <w:tcW w:w="1222" w:type="dxa"/>
            <w:tcBorders>
              <w:bottom w:val="single" w:sz="4" w:space="0" w:color="000000"/>
            </w:tcBorders>
          </w:tcPr>
          <w:p w:rsidR="00487D64" w:rsidRDefault="006F0D93">
            <w:pPr>
              <w:pStyle w:val="TableParagraph"/>
              <w:spacing w:line="255" w:lineRule="exact"/>
              <w:ind w:left="168"/>
              <w:rPr>
                <w:sz w:val="24"/>
              </w:rPr>
            </w:pPr>
            <w:r>
              <w:rPr>
                <w:spacing w:val="-4"/>
                <w:sz w:val="24"/>
              </w:rPr>
              <w:t>0.077</w:t>
            </w:r>
          </w:p>
        </w:tc>
        <w:tc>
          <w:tcPr>
            <w:tcW w:w="1260" w:type="dxa"/>
            <w:tcBorders>
              <w:bottom w:val="single" w:sz="4" w:space="0" w:color="000000"/>
            </w:tcBorders>
          </w:tcPr>
          <w:p w:rsidR="00487D64" w:rsidRDefault="006F0D93">
            <w:pPr>
              <w:pStyle w:val="TableParagraph"/>
              <w:spacing w:line="255" w:lineRule="exact"/>
              <w:ind w:left="195"/>
              <w:rPr>
                <w:sz w:val="24"/>
              </w:rPr>
            </w:pPr>
            <w:r>
              <w:rPr>
                <w:spacing w:val="-4"/>
                <w:sz w:val="24"/>
              </w:rPr>
              <w:t>0.080</w:t>
            </w:r>
          </w:p>
        </w:tc>
        <w:tc>
          <w:tcPr>
            <w:tcW w:w="1285" w:type="dxa"/>
            <w:tcBorders>
              <w:bottom w:val="single" w:sz="4" w:space="0" w:color="000000"/>
            </w:tcBorders>
          </w:tcPr>
          <w:p w:rsidR="00487D64" w:rsidRDefault="00487D64">
            <w:pPr>
              <w:pStyle w:val="TableParagraph"/>
              <w:rPr>
                <w:sz w:val="20"/>
              </w:rPr>
            </w:pPr>
          </w:p>
        </w:tc>
      </w:tr>
    </w:tbl>
    <w:p w:rsidR="00487D64" w:rsidRDefault="00487D64">
      <w:pPr>
        <w:pStyle w:val="BodyText"/>
        <w:spacing w:before="2"/>
        <w:rPr>
          <w:b/>
          <w:sz w:val="24"/>
        </w:rPr>
      </w:pPr>
    </w:p>
    <w:p w:rsidR="00487D64" w:rsidRDefault="006F0D93">
      <w:pPr>
        <w:pStyle w:val="ListParagraph"/>
        <w:numPr>
          <w:ilvl w:val="2"/>
          <w:numId w:val="3"/>
        </w:numPr>
        <w:tabs>
          <w:tab w:val="left" w:pos="706"/>
        </w:tabs>
        <w:spacing w:line="272" w:lineRule="exact"/>
        <w:ind w:left="706" w:hanging="541"/>
        <w:jc w:val="both"/>
        <w:rPr>
          <w:b/>
          <w:sz w:val="24"/>
        </w:rPr>
      </w:pPr>
      <w:r>
        <w:rPr>
          <w:b/>
          <w:sz w:val="24"/>
        </w:rPr>
        <w:t>Assessment</w:t>
      </w:r>
      <w:r>
        <w:rPr>
          <w:b/>
          <w:spacing w:val="-3"/>
          <w:sz w:val="24"/>
        </w:rPr>
        <w:t xml:space="preserve"> </w:t>
      </w:r>
      <w:r>
        <w:rPr>
          <w:b/>
          <w:sz w:val="24"/>
        </w:rPr>
        <w:t>of</w:t>
      </w:r>
      <w:r>
        <w:rPr>
          <w:b/>
          <w:spacing w:val="-6"/>
          <w:sz w:val="24"/>
        </w:rPr>
        <w:t xml:space="preserve"> </w:t>
      </w:r>
      <w:r>
        <w:rPr>
          <w:b/>
          <w:sz w:val="24"/>
        </w:rPr>
        <w:t>the</w:t>
      </w:r>
      <w:r>
        <w:rPr>
          <w:b/>
          <w:spacing w:val="-4"/>
          <w:sz w:val="24"/>
        </w:rPr>
        <w:t xml:space="preserve"> </w:t>
      </w:r>
      <w:r>
        <w:rPr>
          <w:b/>
          <w:sz w:val="24"/>
        </w:rPr>
        <w:t>structural</w:t>
      </w:r>
      <w:r>
        <w:rPr>
          <w:b/>
          <w:spacing w:val="-3"/>
          <w:sz w:val="24"/>
        </w:rPr>
        <w:t xml:space="preserve"> </w:t>
      </w:r>
      <w:r>
        <w:rPr>
          <w:b/>
          <w:spacing w:val="-4"/>
          <w:sz w:val="24"/>
        </w:rPr>
        <w:t>model</w:t>
      </w:r>
    </w:p>
    <w:p w:rsidR="00487D64" w:rsidRDefault="006F0D93">
      <w:pPr>
        <w:ind w:left="165" w:right="159"/>
        <w:jc w:val="both"/>
        <w:rPr>
          <w:sz w:val="24"/>
        </w:rPr>
      </w:pPr>
      <w:r>
        <w:rPr>
          <w:sz w:val="24"/>
        </w:rPr>
        <w:t xml:space="preserve">After confirming measurement model reliability and validity, the next step in PLS-SEM is structural model evaluation, focusing on hypothesized relationships. This includes assessing </w:t>
      </w:r>
      <w:r>
        <w:rPr>
          <w:b/>
          <w:sz w:val="24"/>
        </w:rPr>
        <w:t xml:space="preserve">R² </w:t>
      </w:r>
      <w:r>
        <w:rPr>
          <w:sz w:val="24"/>
        </w:rPr>
        <w:t xml:space="preserve">for explanatory power, </w:t>
      </w:r>
      <w:r>
        <w:rPr>
          <w:b/>
          <w:sz w:val="24"/>
        </w:rPr>
        <w:t xml:space="preserve">Q² </w:t>
      </w:r>
      <w:r>
        <w:rPr>
          <w:sz w:val="24"/>
        </w:rPr>
        <w:t>for predictive relevance, and path coefficien</w:t>
      </w:r>
      <w:r>
        <w:rPr>
          <w:sz w:val="24"/>
        </w:rPr>
        <w:t>t significance, following thresholds by Hair et al. (2019).</w:t>
      </w:r>
    </w:p>
    <w:p w:rsidR="00487D64" w:rsidRDefault="00487D64">
      <w:pPr>
        <w:pStyle w:val="BodyText"/>
        <w:spacing w:before="4"/>
        <w:rPr>
          <w:sz w:val="24"/>
        </w:rPr>
      </w:pPr>
    </w:p>
    <w:p w:rsidR="00487D64" w:rsidRDefault="006F0D93">
      <w:pPr>
        <w:pStyle w:val="ListParagraph"/>
        <w:numPr>
          <w:ilvl w:val="3"/>
          <w:numId w:val="3"/>
        </w:numPr>
        <w:tabs>
          <w:tab w:val="left" w:pos="888"/>
        </w:tabs>
        <w:spacing w:line="272" w:lineRule="exact"/>
        <w:ind w:left="888" w:hanging="723"/>
        <w:jc w:val="both"/>
        <w:rPr>
          <w:b/>
          <w:sz w:val="24"/>
        </w:rPr>
      </w:pPr>
      <w:r>
        <w:rPr>
          <w:b/>
          <w:sz w:val="24"/>
        </w:rPr>
        <w:t>Collinearity</w:t>
      </w:r>
      <w:r>
        <w:rPr>
          <w:b/>
          <w:spacing w:val="-2"/>
          <w:sz w:val="24"/>
        </w:rPr>
        <w:t xml:space="preserve"> </w:t>
      </w:r>
      <w:r>
        <w:rPr>
          <w:b/>
          <w:sz w:val="24"/>
        </w:rPr>
        <w:t>Statistics</w:t>
      </w:r>
      <w:r>
        <w:rPr>
          <w:b/>
          <w:spacing w:val="-4"/>
          <w:sz w:val="24"/>
        </w:rPr>
        <w:t xml:space="preserve"> </w:t>
      </w:r>
      <w:r>
        <w:rPr>
          <w:b/>
          <w:sz w:val="24"/>
        </w:rPr>
        <w:t>VIF</w:t>
      </w:r>
      <w:r>
        <w:rPr>
          <w:b/>
          <w:spacing w:val="-4"/>
          <w:sz w:val="24"/>
        </w:rPr>
        <w:t xml:space="preserve"> </w:t>
      </w:r>
      <w:r>
        <w:rPr>
          <w:b/>
          <w:sz w:val="24"/>
        </w:rPr>
        <w:t>Inner</w:t>
      </w:r>
      <w:r>
        <w:rPr>
          <w:b/>
          <w:spacing w:val="-7"/>
          <w:sz w:val="24"/>
        </w:rPr>
        <w:t xml:space="preserve"> </w:t>
      </w:r>
      <w:r>
        <w:rPr>
          <w:b/>
          <w:sz w:val="24"/>
        </w:rPr>
        <w:t>Model</w:t>
      </w:r>
      <w:r>
        <w:rPr>
          <w:b/>
          <w:spacing w:val="-5"/>
          <w:sz w:val="24"/>
        </w:rPr>
        <w:t xml:space="preserve"> </w:t>
      </w:r>
      <w:r>
        <w:rPr>
          <w:b/>
          <w:spacing w:val="-2"/>
          <w:sz w:val="24"/>
        </w:rPr>
        <w:t>Statistics</w:t>
      </w:r>
    </w:p>
    <w:p w:rsidR="00487D64" w:rsidRDefault="006F0D93">
      <w:pPr>
        <w:spacing w:line="242" w:lineRule="auto"/>
        <w:ind w:left="165" w:right="163"/>
        <w:jc w:val="both"/>
        <w:rPr>
          <w:sz w:val="24"/>
        </w:rPr>
      </w:pPr>
      <w:r>
        <w:rPr>
          <w:sz w:val="24"/>
        </w:rPr>
        <w:t>Variance Inflation Factor (VIF) was used to assess multicollinearity among constructs and interaction</w:t>
      </w:r>
      <w:r>
        <w:rPr>
          <w:spacing w:val="-13"/>
          <w:sz w:val="24"/>
        </w:rPr>
        <w:t xml:space="preserve"> </w:t>
      </w:r>
      <w:r>
        <w:rPr>
          <w:sz w:val="24"/>
        </w:rPr>
        <w:t>terms.</w:t>
      </w:r>
      <w:r>
        <w:rPr>
          <w:spacing w:val="2"/>
          <w:sz w:val="24"/>
        </w:rPr>
        <w:t xml:space="preserve"> </w:t>
      </w:r>
      <w:r>
        <w:rPr>
          <w:sz w:val="24"/>
        </w:rPr>
        <w:t>All</w:t>
      </w:r>
      <w:r>
        <w:rPr>
          <w:spacing w:val="-10"/>
          <w:sz w:val="24"/>
        </w:rPr>
        <w:t xml:space="preserve"> </w:t>
      </w:r>
      <w:r>
        <w:rPr>
          <w:sz w:val="24"/>
        </w:rPr>
        <w:t>VIF</w:t>
      </w:r>
      <w:r>
        <w:rPr>
          <w:spacing w:val="-9"/>
          <w:sz w:val="24"/>
        </w:rPr>
        <w:t xml:space="preserve"> </w:t>
      </w:r>
      <w:r>
        <w:rPr>
          <w:sz w:val="24"/>
        </w:rPr>
        <w:t>values</w:t>
      </w:r>
      <w:r>
        <w:rPr>
          <w:spacing w:val="-7"/>
          <w:sz w:val="24"/>
        </w:rPr>
        <w:t xml:space="preserve"> </w:t>
      </w:r>
      <w:r>
        <w:rPr>
          <w:sz w:val="24"/>
        </w:rPr>
        <w:t>ranged</w:t>
      </w:r>
      <w:r>
        <w:rPr>
          <w:spacing w:val="-1"/>
          <w:sz w:val="24"/>
        </w:rPr>
        <w:t xml:space="preserve"> </w:t>
      </w:r>
      <w:r>
        <w:rPr>
          <w:sz w:val="24"/>
        </w:rPr>
        <w:t>from</w:t>
      </w:r>
      <w:r>
        <w:rPr>
          <w:spacing w:val="-14"/>
          <w:sz w:val="24"/>
        </w:rPr>
        <w:t xml:space="preserve"> </w:t>
      </w:r>
      <w:r>
        <w:rPr>
          <w:sz w:val="24"/>
        </w:rPr>
        <w:t>1.009</w:t>
      </w:r>
      <w:r>
        <w:rPr>
          <w:spacing w:val="-6"/>
          <w:sz w:val="24"/>
        </w:rPr>
        <w:t xml:space="preserve"> </w:t>
      </w:r>
      <w:r>
        <w:rPr>
          <w:sz w:val="24"/>
        </w:rPr>
        <w:t>to</w:t>
      </w:r>
      <w:r>
        <w:rPr>
          <w:spacing w:val="-4"/>
          <w:sz w:val="24"/>
        </w:rPr>
        <w:t xml:space="preserve"> </w:t>
      </w:r>
      <w:r>
        <w:rPr>
          <w:sz w:val="24"/>
        </w:rPr>
        <w:t>1.110,</w:t>
      </w:r>
      <w:r>
        <w:rPr>
          <w:spacing w:val="-4"/>
          <w:sz w:val="24"/>
        </w:rPr>
        <w:t xml:space="preserve"> </w:t>
      </w:r>
      <w:r>
        <w:rPr>
          <w:sz w:val="24"/>
        </w:rPr>
        <w:t>far</w:t>
      </w:r>
      <w:r>
        <w:rPr>
          <w:spacing w:val="-3"/>
          <w:sz w:val="24"/>
        </w:rPr>
        <w:t xml:space="preserve"> </w:t>
      </w:r>
      <w:r>
        <w:rPr>
          <w:sz w:val="24"/>
        </w:rPr>
        <w:t>below</w:t>
      </w:r>
      <w:r>
        <w:rPr>
          <w:spacing w:val="-6"/>
          <w:sz w:val="24"/>
        </w:rPr>
        <w:t xml:space="preserve"> </w:t>
      </w:r>
      <w:r>
        <w:rPr>
          <w:sz w:val="24"/>
        </w:rPr>
        <w:t>the</w:t>
      </w:r>
      <w:r>
        <w:rPr>
          <w:spacing w:val="-6"/>
          <w:sz w:val="24"/>
        </w:rPr>
        <w:t xml:space="preserve"> </w:t>
      </w:r>
      <w:r>
        <w:rPr>
          <w:sz w:val="24"/>
        </w:rPr>
        <w:t>threshold</w:t>
      </w:r>
      <w:r>
        <w:rPr>
          <w:spacing w:val="-5"/>
          <w:sz w:val="24"/>
        </w:rPr>
        <w:t xml:space="preserve"> </w:t>
      </w:r>
      <w:r>
        <w:rPr>
          <w:sz w:val="24"/>
        </w:rPr>
        <w:t>of</w:t>
      </w:r>
      <w:r>
        <w:rPr>
          <w:spacing w:val="-14"/>
          <w:sz w:val="24"/>
        </w:rPr>
        <w:t xml:space="preserve"> </w:t>
      </w:r>
      <w:r>
        <w:rPr>
          <w:sz w:val="24"/>
        </w:rPr>
        <w:t>5</w:t>
      </w:r>
      <w:r>
        <w:rPr>
          <w:spacing w:val="-5"/>
          <w:sz w:val="24"/>
        </w:rPr>
        <w:t xml:space="preserve"> </w:t>
      </w:r>
      <w:r>
        <w:rPr>
          <w:sz w:val="24"/>
        </w:rPr>
        <w:t>(Hair</w:t>
      </w:r>
      <w:r>
        <w:rPr>
          <w:spacing w:val="-3"/>
          <w:sz w:val="24"/>
        </w:rPr>
        <w:t xml:space="preserve"> </w:t>
      </w:r>
      <w:r>
        <w:rPr>
          <w:spacing w:val="-5"/>
          <w:sz w:val="24"/>
        </w:rPr>
        <w:t>et</w:t>
      </w:r>
    </w:p>
    <w:p w:rsidR="00487D64" w:rsidRDefault="006F0D93">
      <w:pPr>
        <w:pStyle w:val="BodyText"/>
        <w:spacing w:before="101"/>
        <w:rPr>
          <w:sz w:val="20"/>
        </w:rPr>
      </w:pPr>
      <w:r>
        <w:rPr>
          <w:noProof/>
          <w:sz w:val="20"/>
        </w:rPr>
        <mc:AlternateContent>
          <mc:Choice Requires="wps">
            <w:drawing>
              <wp:anchor distT="0" distB="0" distL="0" distR="0" simplePos="0" relativeHeight="487604736" behindDoc="1" locked="0" layoutInCell="1" allowOverlap="1">
                <wp:simplePos x="0" y="0"/>
                <wp:positionH relativeFrom="page">
                  <wp:posOffset>896416</wp:posOffset>
                </wp:positionH>
                <wp:positionV relativeFrom="paragraph">
                  <wp:posOffset>225412</wp:posOffset>
                </wp:positionV>
                <wp:extent cx="5982335" cy="55244"/>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5359967" id="Graphic 97" o:spid="_x0000_s1026" style="position:absolute;margin-left:70.6pt;margin-top:17.75pt;width:471.05pt;height:4.35pt;z-index:-15711744;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99" name="Graphic 99"/>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2E2B9ACB" id="Group 98"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">
                <v:shape id="Graphic 99"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" path="m5982335,18288l,18288,,54864r5982335,l5982335,18288xem5982335,l,,,9144r5982335,l5982335,xe" fillcolor="#612322" stroked="f">
                  <v:path arrowok="t"/>
                </v:shape>
                <w10:anchorlock/>
              </v:group>
            </w:pict>
          </mc:Fallback>
        </mc:AlternateContent>
      </w:r>
    </w:p>
    <w:p w:rsidR="00487D64" w:rsidRDefault="006F0D93">
      <w:pPr>
        <w:ind w:left="165" w:right="171"/>
        <w:jc w:val="both"/>
        <w:rPr>
          <w:sz w:val="24"/>
        </w:rPr>
      </w:pPr>
      <w:r>
        <w:rPr>
          <w:sz w:val="24"/>
        </w:rPr>
        <w:t>al.,</w:t>
      </w:r>
      <w:r>
        <w:rPr>
          <w:spacing w:val="-4"/>
          <w:sz w:val="24"/>
        </w:rPr>
        <w:t xml:space="preserve"> </w:t>
      </w:r>
      <w:r>
        <w:rPr>
          <w:sz w:val="24"/>
        </w:rPr>
        <w:t>2019),</w:t>
      </w:r>
      <w:r>
        <w:rPr>
          <w:spacing w:val="-8"/>
          <w:sz w:val="24"/>
        </w:rPr>
        <w:t xml:space="preserve"> </w:t>
      </w:r>
      <w:r>
        <w:rPr>
          <w:sz w:val="24"/>
        </w:rPr>
        <w:t>confirming</w:t>
      </w:r>
      <w:r>
        <w:rPr>
          <w:spacing w:val="-2"/>
          <w:sz w:val="24"/>
        </w:rPr>
        <w:t xml:space="preserve"> </w:t>
      </w:r>
      <w:r>
        <w:rPr>
          <w:sz w:val="24"/>
        </w:rPr>
        <w:t>negligible</w:t>
      </w:r>
      <w:r>
        <w:rPr>
          <w:spacing w:val="-2"/>
          <w:sz w:val="24"/>
        </w:rPr>
        <w:t xml:space="preserve"> </w:t>
      </w:r>
      <w:r>
        <w:rPr>
          <w:sz w:val="24"/>
        </w:rPr>
        <w:t>multicollinearity</w:t>
      </w:r>
      <w:r>
        <w:rPr>
          <w:spacing w:val="-10"/>
          <w:sz w:val="24"/>
        </w:rPr>
        <w:t xml:space="preserve"> </w:t>
      </w:r>
      <w:r>
        <w:rPr>
          <w:sz w:val="24"/>
        </w:rPr>
        <w:t>and</w:t>
      </w:r>
      <w:r>
        <w:rPr>
          <w:spacing w:val="-6"/>
          <w:sz w:val="24"/>
        </w:rPr>
        <w:t xml:space="preserve"> </w:t>
      </w:r>
      <w:r>
        <w:rPr>
          <w:sz w:val="24"/>
        </w:rPr>
        <w:t>ensuring</w:t>
      </w:r>
      <w:r>
        <w:rPr>
          <w:spacing w:val="-6"/>
          <w:sz w:val="24"/>
        </w:rPr>
        <w:t xml:space="preserve"> </w:t>
      </w:r>
      <w:r>
        <w:rPr>
          <w:sz w:val="24"/>
        </w:rPr>
        <w:t>reliable</w:t>
      </w:r>
      <w:r>
        <w:rPr>
          <w:spacing w:val="-6"/>
          <w:sz w:val="24"/>
        </w:rPr>
        <w:t xml:space="preserve"> </w:t>
      </w:r>
      <w:r>
        <w:rPr>
          <w:sz w:val="24"/>
        </w:rPr>
        <w:t>path</w:t>
      </w:r>
      <w:r>
        <w:rPr>
          <w:spacing w:val="-10"/>
          <w:sz w:val="24"/>
        </w:rPr>
        <w:t xml:space="preserve"> </w:t>
      </w:r>
      <w:r>
        <w:rPr>
          <w:sz w:val="24"/>
        </w:rPr>
        <w:t>coefficient</w:t>
      </w:r>
      <w:r>
        <w:rPr>
          <w:spacing w:val="-1"/>
          <w:sz w:val="24"/>
        </w:rPr>
        <w:t xml:space="preserve"> </w:t>
      </w:r>
      <w:r>
        <w:rPr>
          <w:sz w:val="24"/>
        </w:rPr>
        <w:t>estimates within the structural model. As per table 3.</w:t>
      </w:r>
    </w:p>
    <w:p w:rsidR="00487D64" w:rsidRDefault="006F0D93">
      <w:pPr>
        <w:ind w:left="886"/>
        <w:rPr>
          <w:b/>
          <w:sz w:val="24"/>
        </w:rPr>
      </w:pPr>
      <w:r>
        <w:rPr>
          <w:b/>
          <w:sz w:val="24"/>
        </w:rPr>
        <w:t>Table</w:t>
      </w:r>
      <w:r>
        <w:rPr>
          <w:b/>
          <w:spacing w:val="-3"/>
          <w:sz w:val="24"/>
        </w:rPr>
        <w:t xml:space="preserve"> </w:t>
      </w:r>
      <w:r>
        <w:rPr>
          <w:b/>
          <w:sz w:val="24"/>
        </w:rPr>
        <w:t>3:</w:t>
      </w:r>
      <w:r>
        <w:rPr>
          <w:b/>
          <w:spacing w:val="1"/>
          <w:sz w:val="24"/>
        </w:rPr>
        <w:t xml:space="preserve"> </w:t>
      </w:r>
      <w:r>
        <w:rPr>
          <w:b/>
          <w:sz w:val="24"/>
        </w:rPr>
        <w:t>VIF</w:t>
      </w:r>
      <w:r>
        <w:rPr>
          <w:b/>
          <w:spacing w:val="-2"/>
          <w:sz w:val="24"/>
        </w:rPr>
        <w:t xml:space="preserve"> </w:t>
      </w:r>
      <w:r>
        <w:rPr>
          <w:b/>
          <w:sz w:val="24"/>
        </w:rPr>
        <w:t>Inner</w:t>
      </w:r>
      <w:r>
        <w:rPr>
          <w:b/>
          <w:spacing w:val="-6"/>
          <w:sz w:val="24"/>
        </w:rPr>
        <w:t xml:space="preserve"> </w:t>
      </w:r>
      <w:r>
        <w:rPr>
          <w:b/>
          <w:sz w:val="24"/>
        </w:rPr>
        <w:t>Model</w:t>
      </w:r>
      <w:r>
        <w:rPr>
          <w:b/>
          <w:spacing w:val="-4"/>
          <w:sz w:val="24"/>
        </w:rPr>
        <w:t xml:space="preserve"> </w:t>
      </w:r>
      <w:r>
        <w:rPr>
          <w:b/>
          <w:spacing w:val="-2"/>
          <w:sz w:val="24"/>
        </w:rPr>
        <w:t>Statistics</w:t>
      </w:r>
    </w:p>
    <w:p w:rsidR="00487D64" w:rsidRDefault="00487D64">
      <w:pPr>
        <w:pStyle w:val="BodyText"/>
        <w:spacing w:before="4"/>
        <w:rPr>
          <w:b/>
          <w:sz w:val="17"/>
        </w:rPr>
      </w:pPr>
    </w:p>
    <w:tbl>
      <w:tblPr>
        <w:tblW w:w="0" w:type="auto"/>
        <w:tblInd w:w="165" w:type="dxa"/>
        <w:tblLayout w:type="fixed"/>
        <w:tblCellMar>
          <w:left w:w="0" w:type="dxa"/>
          <w:right w:w="0" w:type="dxa"/>
        </w:tblCellMar>
        <w:tblLook w:val="01E0" w:firstRow="1" w:lastRow="1" w:firstColumn="1" w:lastColumn="1" w:noHBand="0" w:noVBand="0"/>
      </w:tblPr>
      <w:tblGrid>
        <w:gridCol w:w="1454"/>
        <w:gridCol w:w="7917"/>
      </w:tblGrid>
      <w:tr w:rsidR="00487D64">
        <w:trPr>
          <w:trHeight w:val="273"/>
        </w:trPr>
        <w:tc>
          <w:tcPr>
            <w:tcW w:w="1454" w:type="dxa"/>
            <w:tcBorders>
              <w:top w:val="single" w:sz="4" w:space="0" w:color="000000"/>
              <w:bottom w:val="single" w:sz="4" w:space="0" w:color="000000"/>
            </w:tcBorders>
          </w:tcPr>
          <w:p w:rsidR="00487D64" w:rsidRDefault="006F0D93">
            <w:pPr>
              <w:pStyle w:val="TableParagraph"/>
              <w:spacing w:line="253" w:lineRule="exact"/>
              <w:ind w:left="127"/>
              <w:rPr>
                <w:b/>
                <w:sz w:val="24"/>
              </w:rPr>
            </w:pPr>
            <w:r>
              <w:rPr>
                <w:b/>
                <w:spacing w:val="-2"/>
                <w:sz w:val="24"/>
              </w:rPr>
              <w:t>Construct</w:t>
            </w:r>
          </w:p>
        </w:tc>
        <w:tc>
          <w:tcPr>
            <w:tcW w:w="7917" w:type="dxa"/>
            <w:tcBorders>
              <w:top w:val="single" w:sz="4" w:space="0" w:color="000000"/>
              <w:bottom w:val="single" w:sz="4" w:space="0" w:color="000000"/>
            </w:tcBorders>
          </w:tcPr>
          <w:p w:rsidR="00487D64" w:rsidRDefault="006F0D93">
            <w:pPr>
              <w:pStyle w:val="TableParagraph"/>
              <w:spacing w:line="253" w:lineRule="exact"/>
              <w:ind w:left="305"/>
              <w:rPr>
                <w:b/>
                <w:sz w:val="24"/>
              </w:rPr>
            </w:pPr>
            <w:r>
              <w:rPr>
                <w:b/>
                <w:spacing w:val="-5"/>
                <w:sz w:val="24"/>
              </w:rPr>
              <w:t>VIF</w:t>
            </w:r>
          </w:p>
        </w:tc>
      </w:tr>
      <w:tr w:rsidR="00487D64">
        <w:trPr>
          <w:trHeight w:val="276"/>
        </w:trPr>
        <w:tc>
          <w:tcPr>
            <w:tcW w:w="1454" w:type="dxa"/>
            <w:tcBorders>
              <w:top w:val="single" w:sz="4" w:space="0" w:color="000000"/>
            </w:tcBorders>
          </w:tcPr>
          <w:p w:rsidR="00487D64" w:rsidRDefault="006F0D93">
            <w:pPr>
              <w:pStyle w:val="TableParagraph"/>
              <w:spacing w:line="256" w:lineRule="exact"/>
              <w:ind w:left="127"/>
              <w:rPr>
                <w:b/>
                <w:sz w:val="24"/>
              </w:rPr>
            </w:pPr>
            <w:r>
              <w:rPr>
                <w:b/>
                <w:spacing w:val="-5"/>
                <w:sz w:val="24"/>
              </w:rPr>
              <w:t>CO</w:t>
            </w:r>
          </w:p>
        </w:tc>
        <w:tc>
          <w:tcPr>
            <w:tcW w:w="7917" w:type="dxa"/>
            <w:tcBorders>
              <w:top w:val="single" w:sz="4" w:space="0" w:color="000000"/>
            </w:tcBorders>
          </w:tcPr>
          <w:p w:rsidR="00487D64" w:rsidRDefault="006F0D93">
            <w:pPr>
              <w:pStyle w:val="TableParagraph"/>
              <w:spacing w:line="256" w:lineRule="exact"/>
              <w:ind w:left="305"/>
              <w:rPr>
                <w:sz w:val="24"/>
              </w:rPr>
            </w:pPr>
            <w:r>
              <w:rPr>
                <w:spacing w:val="-4"/>
                <w:sz w:val="24"/>
              </w:rPr>
              <w:t>1.054</w:t>
            </w:r>
          </w:p>
        </w:tc>
      </w:tr>
      <w:tr w:rsidR="00487D64">
        <w:trPr>
          <w:trHeight w:val="276"/>
        </w:trPr>
        <w:tc>
          <w:tcPr>
            <w:tcW w:w="1454" w:type="dxa"/>
          </w:tcPr>
          <w:p w:rsidR="00487D64" w:rsidRDefault="006F0D93">
            <w:pPr>
              <w:pStyle w:val="TableParagraph"/>
              <w:spacing w:line="256" w:lineRule="exact"/>
              <w:ind w:left="127"/>
              <w:rPr>
                <w:b/>
                <w:sz w:val="24"/>
              </w:rPr>
            </w:pPr>
            <w:r>
              <w:rPr>
                <w:b/>
                <w:spacing w:val="-5"/>
                <w:sz w:val="24"/>
              </w:rPr>
              <w:t>CU</w:t>
            </w:r>
          </w:p>
        </w:tc>
        <w:tc>
          <w:tcPr>
            <w:tcW w:w="7917" w:type="dxa"/>
          </w:tcPr>
          <w:p w:rsidR="00487D64" w:rsidRDefault="006F0D93">
            <w:pPr>
              <w:pStyle w:val="TableParagraph"/>
              <w:spacing w:line="256" w:lineRule="exact"/>
              <w:ind w:left="305"/>
              <w:rPr>
                <w:sz w:val="24"/>
              </w:rPr>
            </w:pPr>
            <w:r>
              <w:rPr>
                <w:spacing w:val="-4"/>
                <w:sz w:val="24"/>
              </w:rPr>
              <w:t>1.081</w:t>
            </w:r>
          </w:p>
        </w:tc>
      </w:tr>
      <w:tr w:rsidR="00487D64">
        <w:trPr>
          <w:trHeight w:val="276"/>
        </w:trPr>
        <w:tc>
          <w:tcPr>
            <w:tcW w:w="1454" w:type="dxa"/>
          </w:tcPr>
          <w:p w:rsidR="00487D64" w:rsidRDefault="006F0D93">
            <w:pPr>
              <w:pStyle w:val="TableParagraph"/>
              <w:spacing w:line="256" w:lineRule="exact"/>
              <w:ind w:left="127"/>
              <w:rPr>
                <w:b/>
                <w:sz w:val="24"/>
              </w:rPr>
            </w:pPr>
            <w:r>
              <w:rPr>
                <w:b/>
                <w:spacing w:val="-5"/>
                <w:sz w:val="24"/>
              </w:rPr>
              <w:t>FC</w:t>
            </w:r>
          </w:p>
        </w:tc>
        <w:tc>
          <w:tcPr>
            <w:tcW w:w="7917" w:type="dxa"/>
          </w:tcPr>
          <w:p w:rsidR="00487D64" w:rsidRDefault="006F0D93">
            <w:pPr>
              <w:pStyle w:val="TableParagraph"/>
              <w:spacing w:line="256" w:lineRule="exact"/>
              <w:ind w:left="305"/>
              <w:rPr>
                <w:sz w:val="24"/>
              </w:rPr>
            </w:pPr>
            <w:r>
              <w:rPr>
                <w:spacing w:val="-4"/>
                <w:sz w:val="24"/>
              </w:rPr>
              <w:t>1.009</w:t>
            </w:r>
          </w:p>
        </w:tc>
      </w:tr>
      <w:tr w:rsidR="00487D64">
        <w:trPr>
          <w:trHeight w:val="275"/>
        </w:trPr>
        <w:tc>
          <w:tcPr>
            <w:tcW w:w="1454" w:type="dxa"/>
          </w:tcPr>
          <w:p w:rsidR="00487D64" w:rsidRDefault="006F0D93">
            <w:pPr>
              <w:pStyle w:val="TableParagraph"/>
              <w:spacing w:line="256" w:lineRule="exact"/>
              <w:ind w:left="127"/>
              <w:rPr>
                <w:b/>
                <w:sz w:val="24"/>
              </w:rPr>
            </w:pPr>
            <w:r>
              <w:rPr>
                <w:b/>
                <w:spacing w:val="-5"/>
                <w:sz w:val="24"/>
              </w:rPr>
              <w:t>SF</w:t>
            </w:r>
          </w:p>
        </w:tc>
        <w:tc>
          <w:tcPr>
            <w:tcW w:w="7917" w:type="dxa"/>
          </w:tcPr>
          <w:p w:rsidR="00487D64" w:rsidRDefault="006F0D93">
            <w:pPr>
              <w:pStyle w:val="TableParagraph"/>
              <w:spacing w:line="256" w:lineRule="exact"/>
              <w:ind w:left="305"/>
              <w:rPr>
                <w:sz w:val="24"/>
              </w:rPr>
            </w:pPr>
            <w:r>
              <w:rPr>
                <w:spacing w:val="-4"/>
                <w:sz w:val="24"/>
              </w:rPr>
              <w:t>1.110</w:t>
            </w:r>
          </w:p>
        </w:tc>
      </w:tr>
      <w:tr w:rsidR="00487D64">
        <w:trPr>
          <w:trHeight w:val="275"/>
        </w:trPr>
        <w:tc>
          <w:tcPr>
            <w:tcW w:w="1454" w:type="dxa"/>
          </w:tcPr>
          <w:p w:rsidR="00487D64" w:rsidRDefault="006F0D93">
            <w:pPr>
              <w:pStyle w:val="TableParagraph"/>
              <w:spacing w:line="256" w:lineRule="exact"/>
              <w:ind w:left="127"/>
              <w:rPr>
                <w:b/>
                <w:sz w:val="24"/>
              </w:rPr>
            </w:pPr>
            <w:r>
              <w:rPr>
                <w:b/>
                <w:sz w:val="24"/>
              </w:rPr>
              <w:t>SF</w:t>
            </w:r>
            <w:r>
              <w:rPr>
                <w:b/>
                <w:spacing w:val="-1"/>
                <w:sz w:val="24"/>
              </w:rPr>
              <w:t xml:space="preserve"> </w:t>
            </w:r>
            <w:r>
              <w:rPr>
                <w:b/>
                <w:sz w:val="24"/>
              </w:rPr>
              <w:t>x</w:t>
            </w:r>
            <w:r>
              <w:rPr>
                <w:b/>
                <w:spacing w:val="-3"/>
                <w:sz w:val="24"/>
              </w:rPr>
              <w:t xml:space="preserve"> </w:t>
            </w:r>
            <w:r>
              <w:rPr>
                <w:b/>
                <w:spacing w:val="-5"/>
                <w:sz w:val="24"/>
              </w:rPr>
              <w:t>CO</w:t>
            </w:r>
          </w:p>
        </w:tc>
        <w:tc>
          <w:tcPr>
            <w:tcW w:w="7917" w:type="dxa"/>
          </w:tcPr>
          <w:p w:rsidR="00487D64" w:rsidRDefault="006F0D93">
            <w:pPr>
              <w:pStyle w:val="TableParagraph"/>
              <w:spacing w:line="256" w:lineRule="exact"/>
              <w:ind w:left="305"/>
              <w:rPr>
                <w:sz w:val="24"/>
              </w:rPr>
            </w:pPr>
            <w:r>
              <w:rPr>
                <w:spacing w:val="-4"/>
                <w:sz w:val="24"/>
              </w:rPr>
              <w:t>1.060</w:t>
            </w:r>
          </w:p>
        </w:tc>
      </w:tr>
      <w:tr w:rsidR="00487D64">
        <w:trPr>
          <w:trHeight w:val="275"/>
        </w:trPr>
        <w:tc>
          <w:tcPr>
            <w:tcW w:w="1454" w:type="dxa"/>
          </w:tcPr>
          <w:p w:rsidR="00487D64" w:rsidRDefault="006F0D93">
            <w:pPr>
              <w:pStyle w:val="TableParagraph"/>
              <w:spacing w:line="256" w:lineRule="exact"/>
              <w:ind w:left="127"/>
              <w:rPr>
                <w:b/>
                <w:sz w:val="24"/>
              </w:rPr>
            </w:pPr>
            <w:r>
              <w:rPr>
                <w:b/>
                <w:sz w:val="24"/>
              </w:rPr>
              <w:t>SF</w:t>
            </w:r>
            <w:r>
              <w:rPr>
                <w:b/>
                <w:spacing w:val="-1"/>
                <w:sz w:val="24"/>
              </w:rPr>
              <w:t xml:space="preserve"> </w:t>
            </w:r>
            <w:r>
              <w:rPr>
                <w:b/>
                <w:sz w:val="24"/>
              </w:rPr>
              <w:t>x</w:t>
            </w:r>
            <w:r>
              <w:rPr>
                <w:b/>
                <w:spacing w:val="-3"/>
                <w:sz w:val="24"/>
              </w:rPr>
              <w:t xml:space="preserve"> </w:t>
            </w:r>
            <w:r>
              <w:rPr>
                <w:b/>
                <w:spacing w:val="-5"/>
                <w:sz w:val="24"/>
              </w:rPr>
              <w:t>CU</w:t>
            </w:r>
          </w:p>
        </w:tc>
        <w:tc>
          <w:tcPr>
            <w:tcW w:w="7917" w:type="dxa"/>
          </w:tcPr>
          <w:p w:rsidR="00487D64" w:rsidRDefault="006F0D93">
            <w:pPr>
              <w:pStyle w:val="TableParagraph"/>
              <w:spacing w:line="256" w:lineRule="exact"/>
              <w:ind w:left="305"/>
              <w:rPr>
                <w:sz w:val="24"/>
              </w:rPr>
            </w:pPr>
            <w:r>
              <w:rPr>
                <w:spacing w:val="-4"/>
                <w:sz w:val="24"/>
              </w:rPr>
              <w:t>1.074</w:t>
            </w:r>
          </w:p>
        </w:tc>
      </w:tr>
      <w:tr w:rsidR="00487D64">
        <w:trPr>
          <w:trHeight w:val="277"/>
        </w:trPr>
        <w:tc>
          <w:tcPr>
            <w:tcW w:w="1454" w:type="dxa"/>
            <w:tcBorders>
              <w:bottom w:val="single" w:sz="4" w:space="0" w:color="000000"/>
            </w:tcBorders>
          </w:tcPr>
          <w:p w:rsidR="00487D64" w:rsidRDefault="006F0D93">
            <w:pPr>
              <w:pStyle w:val="TableParagraph"/>
              <w:spacing w:line="258" w:lineRule="exact"/>
              <w:ind w:left="127"/>
              <w:rPr>
                <w:b/>
                <w:sz w:val="24"/>
              </w:rPr>
            </w:pPr>
            <w:r>
              <w:rPr>
                <w:b/>
                <w:sz w:val="24"/>
              </w:rPr>
              <w:t>SF</w:t>
            </w:r>
            <w:r>
              <w:rPr>
                <w:b/>
                <w:spacing w:val="-1"/>
                <w:sz w:val="24"/>
              </w:rPr>
              <w:t xml:space="preserve"> </w:t>
            </w:r>
            <w:r>
              <w:rPr>
                <w:b/>
                <w:sz w:val="24"/>
              </w:rPr>
              <w:t>x</w:t>
            </w:r>
            <w:r>
              <w:rPr>
                <w:b/>
                <w:spacing w:val="-3"/>
                <w:sz w:val="24"/>
              </w:rPr>
              <w:t xml:space="preserve"> </w:t>
            </w:r>
            <w:r>
              <w:rPr>
                <w:b/>
                <w:spacing w:val="-5"/>
                <w:sz w:val="24"/>
              </w:rPr>
              <w:t>FC</w:t>
            </w:r>
          </w:p>
        </w:tc>
        <w:tc>
          <w:tcPr>
            <w:tcW w:w="7917" w:type="dxa"/>
            <w:tcBorders>
              <w:bottom w:val="single" w:sz="4" w:space="0" w:color="000000"/>
            </w:tcBorders>
          </w:tcPr>
          <w:p w:rsidR="00487D64" w:rsidRDefault="006F0D93">
            <w:pPr>
              <w:pStyle w:val="TableParagraph"/>
              <w:spacing w:line="258" w:lineRule="exact"/>
              <w:ind w:left="305"/>
              <w:rPr>
                <w:sz w:val="24"/>
              </w:rPr>
            </w:pPr>
            <w:r>
              <w:rPr>
                <w:spacing w:val="-4"/>
                <w:sz w:val="24"/>
              </w:rPr>
              <w:t>1.017</w:t>
            </w:r>
          </w:p>
        </w:tc>
      </w:tr>
    </w:tbl>
    <w:p w:rsidR="00487D64" w:rsidRDefault="00487D64">
      <w:pPr>
        <w:pStyle w:val="BodyText"/>
        <w:rPr>
          <w:b/>
          <w:sz w:val="24"/>
        </w:rPr>
      </w:pPr>
    </w:p>
    <w:p w:rsidR="00487D64" w:rsidRDefault="00487D64">
      <w:pPr>
        <w:pStyle w:val="BodyText"/>
        <w:spacing w:before="6"/>
        <w:rPr>
          <w:b/>
          <w:sz w:val="24"/>
        </w:rPr>
      </w:pPr>
    </w:p>
    <w:p w:rsidR="00487D64" w:rsidRDefault="006F0D93">
      <w:pPr>
        <w:pStyle w:val="ListParagraph"/>
        <w:numPr>
          <w:ilvl w:val="3"/>
          <w:numId w:val="3"/>
        </w:numPr>
        <w:tabs>
          <w:tab w:val="left" w:pos="888"/>
        </w:tabs>
        <w:spacing w:line="272" w:lineRule="exact"/>
        <w:ind w:left="888" w:hanging="723"/>
        <w:jc w:val="both"/>
        <w:rPr>
          <w:b/>
          <w:sz w:val="24"/>
        </w:rPr>
      </w:pPr>
      <w:bookmarkStart w:id="266" w:name="3.3.3.2_Coefficient_of_determination_(R²"/>
      <w:bookmarkEnd w:id="266"/>
      <w:r>
        <w:rPr>
          <w:b/>
          <w:sz w:val="24"/>
        </w:rPr>
        <w:t>Coefficient</w:t>
      </w:r>
      <w:r>
        <w:rPr>
          <w:b/>
          <w:spacing w:val="-4"/>
          <w:sz w:val="24"/>
        </w:rPr>
        <w:t xml:space="preserve"> </w:t>
      </w:r>
      <w:r>
        <w:rPr>
          <w:b/>
          <w:sz w:val="24"/>
        </w:rPr>
        <w:t>of</w:t>
      </w:r>
      <w:r>
        <w:rPr>
          <w:b/>
          <w:spacing w:val="-8"/>
          <w:sz w:val="24"/>
        </w:rPr>
        <w:t xml:space="preserve"> </w:t>
      </w:r>
      <w:r>
        <w:rPr>
          <w:b/>
          <w:sz w:val="24"/>
        </w:rPr>
        <w:t>determination</w:t>
      </w:r>
      <w:r>
        <w:rPr>
          <w:b/>
          <w:spacing w:val="-3"/>
          <w:sz w:val="24"/>
        </w:rPr>
        <w:t xml:space="preserve"> </w:t>
      </w:r>
      <w:r>
        <w:rPr>
          <w:b/>
          <w:spacing w:val="-4"/>
          <w:sz w:val="24"/>
        </w:rPr>
        <w:t>(R²)</w:t>
      </w:r>
    </w:p>
    <w:p w:rsidR="00487D64" w:rsidRDefault="006F0D93">
      <w:pPr>
        <w:ind w:left="165" w:right="170"/>
        <w:jc w:val="both"/>
        <w:rPr>
          <w:sz w:val="24"/>
        </w:rPr>
      </w:pPr>
      <w:r>
        <w:rPr>
          <w:sz w:val="24"/>
        </w:rPr>
        <w:t>R² assesses explanatory power of endogenous constructs, with higher values indicating stronger prediction. This study’s model explained 69% of Sustainable Competitiveness variance (R² = 0.690), reflecting moderate to substantial explanatory strength per Ni</w:t>
      </w:r>
      <w:r>
        <w:rPr>
          <w:sz w:val="24"/>
        </w:rPr>
        <w:t>tzl, &amp; Chin, (2017).</w:t>
      </w:r>
    </w:p>
    <w:p w:rsidR="00487D64" w:rsidRDefault="00487D64">
      <w:pPr>
        <w:pStyle w:val="BodyText"/>
        <w:spacing w:before="2"/>
        <w:rPr>
          <w:sz w:val="24"/>
        </w:rPr>
      </w:pPr>
    </w:p>
    <w:p w:rsidR="00487D64" w:rsidRDefault="006F0D93">
      <w:pPr>
        <w:pStyle w:val="ListParagraph"/>
        <w:numPr>
          <w:ilvl w:val="3"/>
          <w:numId w:val="3"/>
        </w:numPr>
        <w:tabs>
          <w:tab w:val="left" w:pos="888"/>
        </w:tabs>
        <w:spacing w:line="275" w:lineRule="exact"/>
        <w:ind w:left="888" w:hanging="723"/>
        <w:jc w:val="both"/>
        <w:rPr>
          <w:b/>
          <w:sz w:val="24"/>
        </w:rPr>
      </w:pPr>
      <w:r>
        <w:rPr>
          <w:b/>
          <w:sz w:val="24"/>
        </w:rPr>
        <w:t>Assessment</w:t>
      </w:r>
      <w:r>
        <w:rPr>
          <w:b/>
          <w:spacing w:val="-2"/>
          <w:sz w:val="24"/>
        </w:rPr>
        <w:t xml:space="preserve"> </w:t>
      </w:r>
      <w:r>
        <w:rPr>
          <w:b/>
          <w:sz w:val="24"/>
        </w:rPr>
        <w:t>of</w:t>
      </w:r>
      <w:r>
        <w:rPr>
          <w:b/>
          <w:spacing w:val="-5"/>
          <w:sz w:val="24"/>
        </w:rPr>
        <w:t xml:space="preserve"> </w:t>
      </w:r>
      <w:r>
        <w:rPr>
          <w:b/>
          <w:sz w:val="24"/>
        </w:rPr>
        <w:t>the</w:t>
      </w:r>
      <w:r>
        <w:rPr>
          <w:b/>
          <w:spacing w:val="-3"/>
          <w:sz w:val="24"/>
        </w:rPr>
        <w:t xml:space="preserve"> </w:t>
      </w:r>
      <w:r>
        <w:rPr>
          <w:b/>
          <w:sz w:val="24"/>
        </w:rPr>
        <w:t>Effect</w:t>
      </w:r>
      <w:r>
        <w:rPr>
          <w:b/>
          <w:spacing w:val="-1"/>
          <w:sz w:val="24"/>
        </w:rPr>
        <w:t xml:space="preserve"> </w:t>
      </w:r>
      <w:r>
        <w:rPr>
          <w:b/>
          <w:sz w:val="24"/>
        </w:rPr>
        <w:t>Size</w:t>
      </w:r>
      <w:r>
        <w:rPr>
          <w:b/>
          <w:spacing w:val="-3"/>
          <w:sz w:val="24"/>
        </w:rPr>
        <w:t xml:space="preserve"> </w:t>
      </w:r>
      <w:r>
        <w:rPr>
          <w:b/>
          <w:sz w:val="24"/>
        </w:rPr>
        <w:t>of</w:t>
      </w:r>
      <w:r>
        <w:rPr>
          <w:b/>
          <w:spacing w:val="-5"/>
          <w:sz w:val="24"/>
        </w:rPr>
        <w:t xml:space="preserve"> </w:t>
      </w:r>
      <w:r>
        <w:rPr>
          <w:b/>
          <w:sz w:val="24"/>
        </w:rPr>
        <w:t>the</w:t>
      </w:r>
      <w:r>
        <w:rPr>
          <w:b/>
          <w:spacing w:val="-3"/>
          <w:sz w:val="24"/>
        </w:rPr>
        <w:t xml:space="preserve"> </w:t>
      </w:r>
      <w:r>
        <w:rPr>
          <w:b/>
          <w:sz w:val="24"/>
        </w:rPr>
        <w:t>Coefficient</w:t>
      </w:r>
      <w:r>
        <w:rPr>
          <w:b/>
          <w:spacing w:val="-1"/>
          <w:sz w:val="24"/>
        </w:rPr>
        <w:t xml:space="preserve"> </w:t>
      </w:r>
      <w:r>
        <w:rPr>
          <w:b/>
          <w:sz w:val="24"/>
        </w:rPr>
        <w:t>of</w:t>
      </w:r>
      <w:r>
        <w:rPr>
          <w:b/>
          <w:spacing w:val="-5"/>
          <w:sz w:val="24"/>
        </w:rPr>
        <w:t xml:space="preserve"> </w:t>
      </w:r>
      <w:r>
        <w:rPr>
          <w:b/>
          <w:sz w:val="24"/>
        </w:rPr>
        <w:t>Determination</w:t>
      </w:r>
      <w:r>
        <w:rPr>
          <w:b/>
          <w:spacing w:val="-1"/>
          <w:sz w:val="24"/>
        </w:rPr>
        <w:t xml:space="preserve"> </w:t>
      </w:r>
      <w:r>
        <w:rPr>
          <w:b/>
          <w:spacing w:val="-4"/>
          <w:sz w:val="24"/>
        </w:rPr>
        <w:t>(f</w:t>
      </w:r>
      <w:r>
        <w:rPr>
          <w:b/>
          <w:spacing w:val="-4"/>
          <w:sz w:val="24"/>
          <w:vertAlign w:val="superscript"/>
        </w:rPr>
        <w:t>2</w:t>
      </w:r>
      <w:r>
        <w:rPr>
          <w:b/>
          <w:spacing w:val="-4"/>
          <w:sz w:val="24"/>
        </w:rPr>
        <w:t>)</w:t>
      </w:r>
    </w:p>
    <w:p w:rsidR="00487D64" w:rsidRDefault="006F0D93">
      <w:pPr>
        <w:ind w:left="165" w:right="169"/>
        <w:jc w:val="both"/>
        <w:rPr>
          <w:sz w:val="24"/>
        </w:rPr>
      </w:pPr>
      <w:r>
        <w:rPr>
          <w:sz w:val="24"/>
        </w:rPr>
        <w:t>After</w:t>
      </w:r>
      <w:r>
        <w:rPr>
          <w:spacing w:val="-1"/>
          <w:sz w:val="24"/>
        </w:rPr>
        <w:t xml:space="preserve"> </w:t>
      </w:r>
      <w:r>
        <w:rPr>
          <w:sz w:val="24"/>
        </w:rPr>
        <w:t>evaluating</w:t>
      </w:r>
      <w:r>
        <w:rPr>
          <w:spacing w:val="-2"/>
          <w:sz w:val="24"/>
        </w:rPr>
        <w:t xml:space="preserve"> </w:t>
      </w:r>
      <w:r>
        <w:rPr>
          <w:sz w:val="24"/>
        </w:rPr>
        <w:t>R², effect size</w:t>
      </w:r>
      <w:r>
        <w:rPr>
          <w:spacing w:val="-3"/>
          <w:sz w:val="24"/>
        </w:rPr>
        <w:t xml:space="preserve"> </w:t>
      </w:r>
      <w:r>
        <w:rPr>
          <w:sz w:val="24"/>
        </w:rPr>
        <w:t>(f²)</w:t>
      </w:r>
      <w:r>
        <w:rPr>
          <w:spacing w:val="-1"/>
          <w:sz w:val="24"/>
        </w:rPr>
        <w:t xml:space="preserve"> </w:t>
      </w:r>
      <w:r>
        <w:rPr>
          <w:sz w:val="24"/>
        </w:rPr>
        <w:t>was</w:t>
      </w:r>
      <w:r>
        <w:rPr>
          <w:spacing w:val="-5"/>
          <w:sz w:val="24"/>
        </w:rPr>
        <w:t xml:space="preserve"> </w:t>
      </w:r>
      <w:r>
        <w:rPr>
          <w:sz w:val="24"/>
        </w:rPr>
        <w:t>analyzed</w:t>
      </w:r>
      <w:r>
        <w:rPr>
          <w:spacing w:val="-2"/>
          <w:sz w:val="24"/>
        </w:rPr>
        <w:t xml:space="preserve"> </w:t>
      </w:r>
      <w:r>
        <w:rPr>
          <w:sz w:val="24"/>
        </w:rPr>
        <w:t>to determine</w:t>
      </w:r>
      <w:r>
        <w:rPr>
          <w:spacing w:val="-3"/>
          <w:sz w:val="24"/>
        </w:rPr>
        <w:t xml:space="preserve"> </w:t>
      </w:r>
      <w:r>
        <w:rPr>
          <w:sz w:val="24"/>
        </w:rPr>
        <w:t>each</w:t>
      </w:r>
      <w:r>
        <w:rPr>
          <w:spacing w:val="-7"/>
          <w:sz w:val="24"/>
        </w:rPr>
        <w:t xml:space="preserve"> </w:t>
      </w:r>
      <w:r>
        <w:rPr>
          <w:sz w:val="24"/>
        </w:rPr>
        <w:t>predictor’s</w:t>
      </w:r>
      <w:r>
        <w:rPr>
          <w:spacing w:val="-5"/>
          <w:sz w:val="24"/>
        </w:rPr>
        <w:t xml:space="preserve"> </w:t>
      </w:r>
      <w:r>
        <w:rPr>
          <w:sz w:val="24"/>
        </w:rPr>
        <w:t>contribution</w:t>
      </w:r>
      <w:r>
        <w:rPr>
          <w:spacing w:val="-7"/>
          <w:sz w:val="24"/>
        </w:rPr>
        <w:t xml:space="preserve"> </w:t>
      </w:r>
      <w:r>
        <w:rPr>
          <w:sz w:val="24"/>
        </w:rPr>
        <w:t>(Hair et al., 2019). Strategic Flexibility had the largest effect on Sustainable Competitiveness (f² = 0.571), while Competitor Orientation (0.146) and Customer Orientation (0.090) showed smaller effects.</w:t>
      </w:r>
      <w:r>
        <w:rPr>
          <w:spacing w:val="-1"/>
          <w:sz w:val="24"/>
        </w:rPr>
        <w:t xml:space="preserve"> </w:t>
      </w:r>
      <w:r>
        <w:rPr>
          <w:sz w:val="24"/>
        </w:rPr>
        <w:t>Functional</w:t>
      </w:r>
      <w:r>
        <w:rPr>
          <w:spacing w:val="-8"/>
          <w:sz w:val="24"/>
        </w:rPr>
        <w:t xml:space="preserve"> </w:t>
      </w:r>
      <w:r>
        <w:rPr>
          <w:sz w:val="24"/>
        </w:rPr>
        <w:t>Coordination</w:t>
      </w:r>
      <w:r>
        <w:rPr>
          <w:spacing w:val="-8"/>
          <w:sz w:val="24"/>
        </w:rPr>
        <w:t xml:space="preserve"> </w:t>
      </w:r>
      <w:r>
        <w:rPr>
          <w:sz w:val="24"/>
        </w:rPr>
        <w:t>(0.009)</w:t>
      </w:r>
      <w:r>
        <w:rPr>
          <w:spacing w:val="-2"/>
          <w:sz w:val="24"/>
        </w:rPr>
        <w:t xml:space="preserve"> </w:t>
      </w:r>
      <w:r>
        <w:rPr>
          <w:sz w:val="24"/>
        </w:rPr>
        <w:t>and interaction</w:t>
      </w:r>
      <w:r>
        <w:rPr>
          <w:spacing w:val="-8"/>
          <w:sz w:val="24"/>
        </w:rPr>
        <w:t xml:space="preserve"> </w:t>
      </w:r>
      <w:r>
        <w:rPr>
          <w:sz w:val="24"/>
        </w:rPr>
        <w:t>ter</w:t>
      </w:r>
      <w:r>
        <w:rPr>
          <w:sz w:val="24"/>
        </w:rPr>
        <w:t>ms</w:t>
      </w:r>
      <w:r>
        <w:rPr>
          <w:spacing w:val="-5"/>
          <w:sz w:val="24"/>
        </w:rPr>
        <w:t xml:space="preserve"> </w:t>
      </w:r>
      <w:r>
        <w:rPr>
          <w:sz w:val="24"/>
        </w:rPr>
        <w:t>demonstrated</w:t>
      </w:r>
      <w:r>
        <w:rPr>
          <w:spacing w:val="-3"/>
          <w:sz w:val="24"/>
        </w:rPr>
        <w:t xml:space="preserve"> </w:t>
      </w:r>
      <w:r>
        <w:rPr>
          <w:sz w:val="24"/>
        </w:rPr>
        <w:t>negligible influence. As per table 4.</w:t>
      </w:r>
    </w:p>
    <w:p w:rsidR="00487D64" w:rsidRDefault="006F0D93">
      <w:pPr>
        <w:spacing w:before="275" w:after="6"/>
        <w:ind w:left="165"/>
        <w:jc w:val="both"/>
        <w:rPr>
          <w:b/>
          <w:sz w:val="24"/>
        </w:rPr>
      </w:pPr>
      <w:r>
        <w:rPr>
          <w:b/>
          <w:sz w:val="24"/>
        </w:rPr>
        <w:t>Table</w:t>
      </w:r>
      <w:r>
        <w:rPr>
          <w:b/>
          <w:spacing w:val="-2"/>
          <w:sz w:val="24"/>
        </w:rPr>
        <w:t xml:space="preserve"> </w:t>
      </w:r>
      <w:r>
        <w:rPr>
          <w:b/>
          <w:sz w:val="24"/>
        </w:rPr>
        <w:t>4</w:t>
      </w:r>
      <w:r>
        <w:rPr>
          <w:sz w:val="24"/>
        </w:rPr>
        <w:t>:</w:t>
      </w:r>
      <w:r>
        <w:rPr>
          <w:spacing w:val="-1"/>
          <w:sz w:val="24"/>
        </w:rPr>
        <w:t xml:space="preserve"> </w:t>
      </w:r>
      <w:r>
        <w:rPr>
          <w:b/>
          <w:sz w:val="24"/>
        </w:rPr>
        <w:t>Coefficient of</w:t>
      </w:r>
      <w:r>
        <w:rPr>
          <w:b/>
          <w:spacing w:val="-4"/>
          <w:sz w:val="24"/>
        </w:rPr>
        <w:t xml:space="preserve"> </w:t>
      </w:r>
      <w:r>
        <w:rPr>
          <w:b/>
          <w:spacing w:val="-2"/>
          <w:sz w:val="24"/>
        </w:rPr>
        <w:t>Determination</w:t>
      </w:r>
    </w:p>
    <w:tbl>
      <w:tblPr>
        <w:tblW w:w="0" w:type="auto"/>
        <w:tblInd w:w="194" w:type="dxa"/>
        <w:tblLayout w:type="fixed"/>
        <w:tblCellMar>
          <w:left w:w="0" w:type="dxa"/>
          <w:right w:w="0" w:type="dxa"/>
        </w:tblCellMar>
        <w:tblLook w:val="01E0" w:firstRow="1" w:lastRow="1" w:firstColumn="1" w:lastColumn="1" w:noHBand="0" w:noVBand="0"/>
      </w:tblPr>
      <w:tblGrid>
        <w:gridCol w:w="2894"/>
        <w:gridCol w:w="3072"/>
        <w:gridCol w:w="3349"/>
      </w:tblGrid>
      <w:tr w:rsidR="00487D64">
        <w:trPr>
          <w:trHeight w:val="306"/>
        </w:trPr>
        <w:tc>
          <w:tcPr>
            <w:tcW w:w="2894" w:type="dxa"/>
            <w:tcBorders>
              <w:top w:val="single" w:sz="4" w:space="0" w:color="000000"/>
              <w:bottom w:val="single" w:sz="4" w:space="0" w:color="000000"/>
            </w:tcBorders>
          </w:tcPr>
          <w:p w:rsidR="00487D64" w:rsidRDefault="006F0D93">
            <w:pPr>
              <w:pStyle w:val="TableParagraph"/>
              <w:spacing w:before="11"/>
              <w:ind w:left="21"/>
              <w:rPr>
                <w:b/>
                <w:sz w:val="24"/>
              </w:rPr>
            </w:pPr>
            <w:r>
              <w:rPr>
                <w:b/>
                <w:spacing w:val="-2"/>
                <w:sz w:val="24"/>
              </w:rPr>
              <w:t>Construct</w:t>
            </w:r>
          </w:p>
        </w:tc>
        <w:tc>
          <w:tcPr>
            <w:tcW w:w="3072" w:type="dxa"/>
            <w:tcBorders>
              <w:top w:val="single" w:sz="4" w:space="0" w:color="000000"/>
              <w:bottom w:val="single" w:sz="4" w:space="0" w:color="000000"/>
            </w:tcBorders>
          </w:tcPr>
          <w:p w:rsidR="00487D64" w:rsidRDefault="006F0D93">
            <w:pPr>
              <w:pStyle w:val="TableParagraph"/>
              <w:spacing w:before="11"/>
              <w:ind w:left="1401"/>
              <w:rPr>
                <w:b/>
                <w:sz w:val="24"/>
              </w:rPr>
            </w:pPr>
            <w:r>
              <w:rPr>
                <w:b/>
                <w:sz w:val="24"/>
              </w:rPr>
              <w:t>Effect</w:t>
            </w:r>
            <w:r>
              <w:rPr>
                <w:b/>
                <w:spacing w:val="-3"/>
                <w:sz w:val="24"/>
              </w:rPr>
              <w:t xml:space="preserve"> </w:t>
            </w:r>
            <w:r>
              <w:rPr>
                <w:b/>
                <w:sz w:val="24"/>
              </w:rPr>
              <w:t>size</w:t>
            </w:r>
            <w:r>
              <w:rPr>
                <w:b/>
                <w:spacing w:val="-4"/>
                <w:sz w:val="24"/>
              </w:rPr>
              <w:t xml:space="preserve"> </w:t>
            </w:r>
            <w:r>
              <w:rPr>
                <w:b/>
                <w:spacing w:val="-5"/>
                <w:sz w:val="24"/>
              </w:rPr>
              <w:t>f</w:t>
            </w:r>
            <w:r>
              <w:rPr>
                <w:b/>
                <w:spacing w:val="-5"/>
                <w:sz w:val="24"/>
                <w:vertAlign w:val="superscript"/>
              </w:rPr>
              <w:t>2</w:t>
            </w:r>
          </w:p>
        </w:tc>
        <w:tc>
          <w:tcPr>
            <w:tcW w:w="3349" w:type="dxa"/>
            <w:tcBorders>
              <w:top w:val="single" w:sz="4" w:space="0" w:color="000000"/>
              <w:bottom w:val="single" w:sz="4" w:space="0" w:color="000000"/>
            </w:tcBorders>
          </w:tcPr>
          <w:p w:rsidR="00487D64" w:rsidRDefault="006F0D93">
            <w:pPr>
              <w:pStyle w:val="TableParagraph"/>
              <w:spacing w:before="11"/>
              <w:ind w:left="408"/>
              <w:rPr>
                <w:b/>
                <w:sz w:val="24"/>
              </w:rPr>
            </w:pPr>
            <w:r>
              <w:rPr>
                <w:b/>
                <w:spacing w:val="-2"/>
                <w:sz w:val="24"/>
              </w:rPr>
              <w:t>Decision</w:t>
            </w:r>
          </w:p>
        </w:tc>
      </w:tr>
      <w:tr w:rsidR="00487D64">
        <w:trPr>
          <w:trHeight w:val="302"/>
        </w:trPr>
        <w:tc>
          <w:tcPr>
            <w:tcW w:w="2894" w:type="dxa"/>
            <w:tcBorders>
              <w:top w:val="single" w:sz="4" w:space="0" w:color="000000"/>
            </w:tcBorders>
          </w:tcPr>
          <w:p w:rsidR="00487D64" w:rsidRDefault="006F0D93">
            <w:pPr>
              <w:pStyle w:val="TableParagraph"/>
              <w:spacing w:before="6"/>
              <w:ind w:left="21"/>
              <w:rPr>
                <w:sz w:val="24"/>
              </w:rPr>
            </w:pPr>
            <w:r>
              <w:rPr>
                <w:sz w:val="24"/>
              </w:rPr>
              <w:t>CO</w:t>
            </w:r>
            <w:r>
              <w:rPr>
                <w:spacing w:val="-1"/>
                <w:sz w:val="24"/>
              </w:rPr>
              <w:t xml:space="preserve"> </w:t>
            </w:r>
            <w:r>
              <w:rPr>
                <w:sz w:val="24"/>
              </w:rPr>
              <w:t>-&gt;</w:t>
            </w:r>
            <w:r>
              <w:rPr>
                <w:spacing w:val="1"/>
                <w:sz w:val="24"/>
              </w:rPr>
              <w:t xml:space="preserve"> </w:t>
            </w:r>
            <w:r>
              <w:rPr>
                <w:spacing w:val="-5"/>
                <w:sz w:val="24"/>
              </w:rPr>
              <w:t>SC</w:t>
            </w:r>
          </w:p>
        </w:tc>
        <w:tc>
          <w:tcPr>
            <w:tcW w:w="3072" w:type="dxa"/>
            <w:tcBorders>
              <w:top w:val="single" w:sz="4" w:space="0" w:color="000000"/>
            </w:tcBorders>
          </w:tcPr>
          <w:p w:rsidR="00487D64" w:rsidRDefault="006F0D93">
            <w:pPr>
              <w:pStyle w:val="TableParagraph"/>
              <w:spacing w:before="6"/>
              <w:ind w:left="1401"/>
              <w:rPr>
                <w:sz w:val="24"/>
              </w:rPr>
            </w:pPr>
            <w:r>
              <w:rPr>
                <w:spacing w:val="-4"/>
                <w:sz w:val="24"/>
              </w:rPr>
              <w:t>0.146</w:t>
            </w:r>
          </w:p>
        </w:tc>
        <w:tc>
          <w:tcPr>
            <w:tcW w:w="3349" w:type="dxa"/>
            <w:tcBorders>
              <w:top w:val="single" w:sz="4" w:space="0" w:color="000000"/>
            </w:tcBorders>
          </w:tcPr>
          <w:p w:rsidR="00487D64" w:rsidRDefault="006F0D93">
            <w:pPr>
              <w:pStyle w:val="TableParagraph"/>
              <w:spacing w:before="6"/>
              <w:ind w:left="408"/>
              <w:rPr>
                <w:sz w:val="24"/>
              </w:rPr>
            </w:pPr>
            <w:r>
              <w:rPr>
                <w:spacing w:val="-2"/>
                <w:sz w:val="24"/>
              </w:rPr>
              <w:t>Medium</w:t>
            </w:r>
          </w:p>
        </w:tc>
      </w:tr>
      <w:tr w:rsidR="00487D64">
        <w:trPr>
          <w:trHeight w:val="307"/>
        </w:trPr>
        <w:tc>
          <w:tcPr>
            <w:tcW w:w="2894" w:type="dxa"/>
          </w:tcPr>
          <w:p w:rsidR="00487D64" w:rsidRDefault="006F0D93">
            <w:pPr>
              <w:pStyle w:val="TableParagraph"/>
              <w:spacing w:before="10"/>
              <w:ind w:left="21"/>
              <w:rPr>
                <w:sz w:val="24"/>
              </w:rPr>
            </w:pPr>
            <w:r>
              <w:rPr>
                <w:sz w:val="24"/>
              </w:rPr>
              <w:t>CU</w:t>
            </w:r>
            <w:r>
              <w:rPr>
                <w:spacing w:val="-1"/>
                <w:sz w:val="24"/>
              </w:rPr>
              <w:t xml:space="preserve"> </w:t>
            </w:r>
            <w:r>
              <w:rPr>
                <w:sz w:val="24"/>
              </w:rPr>
              <w:t>-&gt;</w:t>
            </w:r>
            <w:r>
              <w:rPr>
                <w:spacing w:val="1"/>
                <w:sz w:val="24"/>
              </w:rPr>
              <w:t xml:space="preserve"> </w:t>
            </w:r>
            <w:r>
              <w:rPr>
                <w:spacing w:val="-5"/>
                <w:sz w:val="24"/>
              </w:rPr>
              <w:t>SC</w:t>
            </w:r>
          </w:p>
        </w:tc>
        <w:tc>
          <w:tcPr>
            <w:tcW w:w="3072" w:type="dxa"/>
          </w:tcPr>
          <w:p w:rsidR="00487D64" w:rsidRDefault="006F0D93">
            <w:pPr>
              <w:pStyle w:val="TableParagraph"/>
              <w:spacing w:before="10"/>
              <w:ind w:left="1401"/>
              <w:rPr>
                <w:sz w:val="24"/>
              </w:rPr>
            </w:pPr>
            <w:r>
              <w:rPr>
                <w:spacing w:val="-4"/>
                <w:sz w:val="24"/>
              </w:rPr>
              <w:t>0.090</w:t>
            </w:r>
          </w:p>
        </w:tc>
        <w:tc>
          <w:tcPr>
            <w:tcW w:w="3349" w:type="dxa"/>
          </w:tcPr>
          <w:p w:rsidR="00487D64" w:rsidRDefault="006F0D93">
            <w:pPr>
              <w:pStyle w:val="TableParagraph"/>
              <w:spacing w:before="10"/>
              <w:ind w:left="408"/>
              <w:rPr>
                <w:sz w:val="24"/>
              </w:rPr>
            </w:pPr>
            <w:r>
              <w:rPr>
                <w:spacing w:val="-4"/>
                <w:sz w:val="24"/>
              </w:rPr>
              <w:t>Small</w:t>
            </w:r>
          </w:p>
        </w:tc>
      </w:tr>
      <w:tr w:rsidR="00487D64">
        <w:trPr>
          <w:trHeight w:val="305"/>
        </w:trPr>
        <w:tc>
          <w:tcPr>
            <w:tcW w:w="2894" w:type="dxa"/>
          </w:tcPr>
          <w:p w:rsidR="00487D64" w:rsidRDefault="006F0D93">
            <w:pPr>
              <w:pStyle w:val="TableParagraph"/>
              <w:spacing w:before="10" w:line="275" w:lineRule="exact"/>
              <w:ind w:left="21"/>
              <w:rPr>
                <w:sz w:val="24"/>
              </w:rPr>
            </w:pPr>
            <w:r>
              <w:rPr>
                <w:sz w:val="24"/>
              </w:rPr>
              <w:t>FC</w:t>
            </w:r>
            <w:r>
              <w:rPr>
                <w:spacing w:val="-1"/>
                <w:sz w:val="24"/>
              </w:rPr>
              <w:t xml:space="preserve"> </w:t>
            </w:r>
            <w:r>
              <w:rPr>
                <w:sz w:val="24"/>
              </w:rPr>
              <w:t xml:space="preserve">-&gt; </w:t>
            </w:r>
            <w:r>
              <w:rPr>
                <w:spacing w:val="-5"/>
                <w:sz w:val="24"/>
              </w:rPr>
              <w:t>SC</w:t>
            </w:r>
          </w:p>
        </w:tc>
        <w:tc>
          <w:tcPr>
            <w:tcW w:w="3072" w:type="dxa"/>
          </w:tcPr>
          <w:p w:rsidR="00487D64" w:rsidRDefault="006F0D93">
            <w:pPr>
              <w:pStyle w:val="TableParagraph"/>
              <w:spacing w:before="10" w:line="275" w:lineRule="exact"/>
              <w:ind w:left="1401"/>
              <w:rPr>
                <w:sz w:val="24"/>
              </w:rPr>
            </w:pPr>
            <w:r>
              <w:rPr>
                <w:spacing w:val="-4"/>
                <w:sz w:val="24"/>
              </w:rPr>
              <w:t>0.009</w:t>
            </w:r>
          </w:p>
        </w:tc>
        <w:tc>
          <w:tcPr>
            <w:tcW w:w="3349" w:type="dxa"/>
          </w:tcPr>
          <w:p w:rsidR="00487D64" w:rsidRDefault="006F0D93">
            <w:pPr>
              <w:pStyle w:val="TableParagraph"/>
              <w:spacing w:before="10" w:line="275" w:lineRule="exact"/>
              <w:ind w:left="408"/>
              <w:rPr>
                <w:sz w:val="24"/>
              </w:rPr>
            </w:pPr>
            <w:r>
              <w:rPr>
                <w:spacing w:val="-5"/>
                <w:sz w:val="24"/>
              </w:rPr>
              <w:t>No</w:t>
            </w:r>
          </w:p>
        </w:tc>
      </w:tr>
      <w:tr w:rsidR="00487D64">
        <w:trPr>
          <w:trHeight w:val="305"/>
        </w:trPr>
        <w:tc>
          <w:tcPr>
            <w:tcW w:w="2894" w:type="dxa"/>
          </w:tcPr>
          <w:p w:rsidR="00487D64" w:rsidRDefault="006F0D93">
            <w:pPr>
              <w:pStyle w:val="TableParagraph"/>
              <w:spacing w:before="8"/>
              <w:ind w:left="21"/>
              <w:rPr>
                <w:sz w:val="24"/>
              </w:rPr>
            </w:pPr>
            <w:r>
              <w:rPr>
                <w:sz w:val="24"/>
              </w:rPr>
              <w:t>SF</w:t>
            </w:r>
            <w:r>
              <w:rPr>
                <w:spacing w:val="-2"/>
                <w:sz w:val="24"/>
              </w:rPr>
              <w:t xml:space="preserve"> </w:t>
            </w:r>
            <w:r>
              <w:rPr>
                <w:sz w:val="24"/>
              </w:rPr>
              <w:t>-&gt;</w:t>
            </w:r>
            <w:r>
              <w:rPr>
                <w:spacing w:val="2"/>
                <w:sz w:val="24"/>
              </w:rPr>
              <w:t xml:space="preserve"> </w:t>
            </w:r>
            <w:r>
              <w:rPr>
                <w:spacing w:val="-5"/>
                <w:sz w:val="24"/>
              </w:rPr>
              <w:t>SC</w:t>
            </w:r>
          </w:p>
        </w:tc>
        <w:tc>
          <w:tcPr>
            <w:tcW w:w="3072" w:type="dxa"/>
          </w:tcPr>
          <w:p w:rsidR="00487D64" w:rsidRDefault="006F0D93">
            <w:pPr>
              <w:pStyle w:val="TableParagraph"/>
              <w:spacing w:before="8"/>
              <w:ind w:left="1401"/>
              <w:rPr>
                <w:sz w:val="24"/>
              </w:rPr>
            </w:pPr>
            <w:r>
              <w:rPr>
                <w:spacing w:val="-4"/>
                <w:sz w:val="24"/>
              </w:rPr>
              <w:t>0.571</w:t>
            </w:r>
          </w:p>
        </w:tc>
        <w:tc>
          <w:tcPr>
            <w:tcW w:w="3349" w:type="dxa"/>
          </w:tcPr>
          <w:p w:rsidR="00487D64" w:rsidRDefault="006F0D93">
            <w:pPr>
              <w:pStyle w:val="TableParagraph"/>
              <w:spacing w:before="8"/>
              <w:ind w:left="408"/>
              <w:rPr>
                <w:sz w:val="24"/>
              </w:rPr>
            </w:pPr>
            <w:r>
              <w:rPr>
                <w:spacing w:val="-4"/>
                <w:sz w:val="24"/>
              </w:rPr>
              <w:t>High</w:t>
            </w:r>
          </w:p>
        </w:tc>
      </w:tr>
      <w:tr w:rsidR="00487D64">
        <w:trPr>
          <w:trHeight w:val="307"/>
        </w:trPr>
        <w:tc>
          <w:tcPr>
            <w:tcW w:w="2894" w:type="dxa"/>
          </w:tcPr>
          <w:p w:rsidR="00487D64" w:rsidRDefault="006F0D93">
            <w:pPr>
              <w:pStyle w:val="TableParagraph"/>
              <w:spacing w:before="10"/>
              <w:ind w:left="21"/>
              <w:rPr>
                <w:sz w:val="24"/>
              </w:rPr>
            </w:pPr>
            <w:r>
              <w:rPr>
                <w:sz w:val="24"/>
              </w:rPr>
              <w:t>SF</w:t>
            </w:r>
            <w:r>
              <w:rPr>
                <w:spacing w:val="-5"/>
                <w:sz w:val="24"/>
              </w:rPr>
              <w:t xml:space="preserve"> </w:t>
            </w:r>
            <w:r>
              <w:rPr>
                <w:sz w:val="24"/>
              </w:rPr>
              <w:t>x</w:t>
            </w:r>
            <w:r>
              <w:rPr>
                <w:spacing w:val="-3"/>
                <w:sz w:val="24"/>
              </w:rPr>
              <w:t xml:space="preserve"> </w:t>
            </w:r>
            <w:r>
              <w:rPr>
                <w:sz w:val="24"/>
              </w:rPr>
              <w:t>CO</w:t>
            </w:r>
            <w:r>
              <w:rPr>
                <w:spacing w:val="3"/>
                <w:sz w:val="24"/>
              </w:rPr>
              <w:t xml:space="preserve"> </w:t>
            </w:r>
            <w:r>
              <w:rPr>
                <w:sz w:val="24"/>
              </w:rPr>
              <w:t>-&gt;</w:t>
            </w:r>
            <w:r>
              <w:rPr>
                <w:spacing w:val="1"/>
                <w:sz w:val="24"/>
              </w:rPr>
              <w:t xml:space="preserve"> </w:t>
            </w:r>
            <w:r>
              <w:rPr>
                <w:spacing w:val="-5"/>
                <w:sz w:val="24"/>
              </w:rPr>
              <w:t>SC</w:t>
            </w:r>
          </w:p>
        </w:tc>
        <w:tc>
          <w:tcPr>
            <w:tcW w:w="3072" w:type="dxa"/>
          </w:tcPr>
          <w:p w:rsidR="00487D64" w:rsidRDefault="006F0D93">
            <w:pPr>
              <w:pStyle w:val="TableParagraph"/>
              <w:spacing w:before="10"/>
              <w:ind w:left="1401"/>
              <w:rPr>
                <w:sz w:val="24"/>
              </w:rPr>
            </w:pPr>
            <w:r>
              <w:rPr>
                <w:spacing w:val="-4"/>
                <w:sz w:val="24"/>
              </w:rPr>
              <w:t>0.042</w:t>
            </w:r>
          </w:p>
        </w:tc>
        <w:tc>
          <w:tcPr>
            <w:tcW w:w="3349" w:type="dxa"/>
          </w:tcPr>
          <w:p w:rsidR="00487D64" w:rsidRDefault="006F0D93">
            <w:pPr>
              <w:pStyle w:val="TableParagraph"/>
              <w:spacing w:before="10"/>
              <w:ind w:left="408"/>
              <w:rPr>
                <w:sz w:val="24"/>
              </w:rPr>
            </w:pPr>
            <w:r>
              <w:rPr>
                <w:spacing w:val="-4"/>
                <w:sz w:val="24"/>
              </w:rPr>
              <w:t>Small</w:t>
            </w:r>
          </w:p>
        </w:tc>
      </w:tr>
      <w:tr w:rsidR="00487D64">
        <w:trPr>
          <w:trHeight w:val="311"/>
        </w:trPr>
        <w:tc>
          <w:tcPr>
            <w:tcW w:w="2894" w:type="dxa"/>
            <w:tcBorders>
              <w:bottom w:val="single" w:sz="4" w:space="0" w:color="000000"/>
            </w:tcBorders>
          </w:tcPr>
          <w:p w:rsidR="00487D64" w:rsidRDefault="006F0D93">
            <w:pPr>
              <w:pStyle w:val="TableParagraph"/>
              <w:spacing w:before="10"/>
              <w:ind w:left="21"/>
              <w:rPr>
                <w:sz w:val="24"/>
              </w:rPr>
            </w:pPr>
            <w:r>
              <w:rPr>
                <w:sz w:val="24"/>
              </w:rPr>
              <w:t>SF</w:t>
            </w:r>
            <w:r>
              <w:rPr>
                <w:spacing w:val="-5"/>
                <w:sz w:val="24"/>
              </w:rPr>
              <w:t xml:space="preserve"> </w:t>
            </w:r>
            <w:r>
              <w:rPr>
                <w:sz w:val="24"/>
              </w:rPr>
              <w:t>x</w:t>
            </w:r>
            <w:r>
              <w:rPr>
                <w:spacing w:val="-3"/>
                <w:sz w:val="24"/>
              </w:rPr>
              <w:t xml:space="preserve"> </w:t>
            </w:r>
            <w:r>
              <w:rPr>
                <w:sz w:val="24"/>
              </w:rPr>
              <w:t>CU</w:t>
            </w:r>
            <w:r>
              <w:rPr>
                <w:spacing w:val="3"/>
                <w:sz w:val="24"/>
              </w:rPr>
              <w:t xml:space="preserve"> </w:t>
            </w:r>
            <w:r>
              <w:rPr>
                <w:sz w:val="24"/>
              </w:rPr>
              <w:t>-&gt;</w:t>
            </w:r>
            <w:r>
              <w:rPr>
                <w:spacing w:val="1"/>
                <w:sz w:val="24"/>
              </w:rPr>
              <w:t xml:space="preserve"> </w:t>
            </w:r>
            <w:r>
              <w:rPr>
                <w:spacing w:val="-5"/>
                <w:sz w:val="24"/>
              </w:rPr>
              <w:t>SC</w:t>
            </w:r>
          </w:p>
        </w:tc>
        <w:tc>
          <w:tcPr>
            <w:tcW w:w="3072" w:type="dxa"/>
            <w:tcBorders>
              <w:bottom w:val="single" w:sz="4" w:space="0" w:color="000000"/>
            </w:tcBorders>
          </w:tcPr>
          <w:p w:rsidR="00487D64" w:rsidRDefault="006F0D93">
            <w:pPr>
              <w:pStyle w:val="TableParagraph"/>
              <w:spacing w:before="10"/>
              <w:ind w:left="1401"/>
              <w:rPr>
                <w:sz w:val="24"/>
              </w:rPr>
            </w:pPr>
            <w:r>
              <w:rPr>
                <w:spacing w:val="-4"/>
                <w:sz w:val="24"/>
              </w:rPr>
              <w:t>0.006</w:t>
            </w:r>
          </w:p>
        </w:tc>
        <w:tc>
          <w:tcPr>
            <w:tcW w:w="3349" w:type="dxa"/>
            <w:tcBorders>
              <w:bottom w:val="single" w:sz="4" w:space="0" w:color="000000"/>
            </w:tcBorders>
          </w:tcPr>
          <w:p w:rsidR="00487D64" w:rsidRDefault="006F0D93">
            <w:pPr>
              <w:pStyle w:val="TableParagraph"/>
              <w:spacing w:before="10"/>
              <w:ind w:left="408"/>
              <w:rPr>
                <w:sz w:val="24"/>
              </w:rPr>
            </w:pPr>
            <w:r>
              <w:rPr>
                <w:spacing w:val="-5"/>
                <w:sz w:val="24"/>
              </w:rPr>
              <w:t>No</w:t>
            </w:r>
          </w:p>
        </w:tc>
      </w:tr>
    </w:tbl>
    <w:p w:rsidR="00487D64" w:rsidRDefault="006F0D93">
      <w:pPr>
        <w:pStyle w:val="ListParagraph"/>
        <w:numPr>
          <w:ilvl w:val="3"/>
          <w:numId w:val="3"/>
        </w:numPr>
        <w:tabs>
          <w:tab w:val="left" w:pos="888"/>
        </w:tabs>
        <w:spacing w:before="272" w:line="275" w:lineRule="exact"/>
        <w:ind w:left="888" w:hanging="723"/>
        <w:jc w:val="both"/>
        <w:rPr>
          <w:b/>
          <w:sz w:val="24"/>
        </w:rPr>
      </w:pPr>
      <w:r>
        <w:rPr>
          <w:b/>
          <w:sz w:val="24"/>
        </w:rPr>
        <w:t>Assessment</w:t>
      </w:r>
      <w:r>
        <w:rPr>
          <w:b/>
          <w:spacing w:val="-4"/>
          <w:sz w:val="24"/>
        </w:rPr>
        <w:t xml:space="preserve"> </w:t>
      </w:r>
      <w:r>
        <w:rPr>
          <w:b/>
          <w:sz w:val="24"/>
        </w:rPr>
        <w:t>of</w:t>
      </w:r>
      <w:r>
        <w:rPr>
          <w:b/>
          <w:spacing w:val="-6"/>
          <w:sz w:val="24"/>
        </w:rPr>
        <w:t xml:space="preserve"> </w:t>
      </w:r>
      <w:r>
        <w:rPr>
          <w:b/>
          <w:sz w:val="24"/>
        </w:rPr>
        <w:t>Predictive</w:t>
      </w:r>
      <w:r>
        <w:rPr>
          <w:b/>
          <w:spacing w:val="-5"/>
          <w:sz w:val="24"/>
        </w:rPr>
        <w:t xml:space="preserve"> </w:t>
      </w:r>
      <w:r>
        <w:rPr>
          <w:b/>
          <w:sz w:val="24"/>
        </w:rPr>
        <w:t>Relevance</w:t>
      </w:r>
      <w:r>
        <w:rPr>
          <w:b/>
          <w:spacing w:val="-5"/>
          <w:sz w:val="24"/>
        </w:rPr>
        <w:t xml:space="preserve"> </w:t>
      </w:r>
      <w:r>
        <w:rPr>
          <w:b/>
          <w:spacing w:val="-4"/>
          <w:sz w:val="24"/>
        </w:rPr>
        <w:t>(Q2)</w:t>
      </w:r>
    </w:p>
    <w:p w:rsidR="00487D64" w:rsidRDefault="006F0D93">
      <w:pPr>
        <w:ind w:left="165" w:right="164"/>
        <w:jc w:val="both"/>
        <w:rPr>
          <w:sz w:val="24"/>
        </w:rPr>
      </w:pPr>
      <w:r>
        <w:rPr>
          <w:sz w:val="24"/>
        </w:rPr>
        <w:t>Predictive</w:t>
      </w:r>
      <w:r>
        <w:rPr>
          <w:spacing w:val="-10"/>
          <w:sz w:val="24"/>
        </w:rPr>
        <w:t xml:space="preserve"> </w:t>
      </w:r>
      <w:r>
        <w:rPr>
          <w:sz w:val="24"/>
        </w:rPr>
        <w:t>relevance</w:t>
      </w:r>
      <w:r>
        <w:rPr>
          <w:spacing w:val="-9"/>
          <w:sz w:val="24"/>
        </w:rPr>
        <w:t xml:space="preserve"> </w:t>
      </w:r>
      <w:r>
        <w:rPr>
          <w:sz w:val="24"/>
        </w:rPr>
        <w:t>(Q²)</w:t>
      </w:r>
      <w:r>
        <w:rPr>
          <w:spacing w:val="-7"/>
          <w:sz w:val="24"/>
        </w:rPr>
        <w:t xml:space="preserve"> </w:t>
      </w:r>
      <w:r>
        <w:rPr>
          <w:sz w:val="24"/>
        </w:rPr>
        <w:t>was</w:t>
      </w:r>
      <w:r>
        <w:rPr>
          <w:spacing w:val="-10"/>
          <w:sz w:val="24"/>
        </w:rPr>
        <w:t xml:space="preserve"> </w:t>
      </w:r>
      <w:r>
        <w:rPr>
          <w:sz w:val="24"/>
        </w:rPr>
        <w:t>assessed</w:t>
      </w:r>
      <w:r>
        <w:rPr>
          <w:spacing w:val="-8"/>
          <w:sz w:val="24"/>
        </w:rPr>
        <w:t xml:space="preserve"> </w:t>
      </w:r>
      <w:r>
        <w:rPr>
          <w:sz w:val="24"/>
        </w:rPr>
        <w:t>using</w:t>
      </w:r>
      <w:r>
        <w:rPr>
          <w:spacing w:val="-8"/>
          <w:sz w:val="24"/>
        </w:rPr>
        <w:t xml:space="preserve"> </w:t>
      </w:r>
      <w:r>
        <w:rPr>
          <w:sz w:val="24"/>
        </w:rPr>
        <w:t>the</w:t>
      </w:r>
      <w:r>
        <w:rPr>
          <w:spacing w:val="-5"/>
          <w:sz w:val="24"/>
        </w:rPr>
        <w:t xml:space="preserve"> </w:t>
      </w:r>
      <w:r>
        <w:rPr>
          <w:sz w:val="24"/>
        </w:rPr>
        <w:t>blindfolding</w:t>
      </w:r>
      <w:r>
        <w:rPr>
          <w:spacing w:val="-8"/>
          <w:sz w:val="24"/>
        </w:rPr>
        <w:t xml:space="preserve"> </w:t>
      </w:r>
      <w:r>
        <w:rPr>
          <w:sz w:val="24"/>
        </w:rPr>
        <w:t>procedure</w:t>
      </w:r>
      <w:r>
        <w:rPr>
          <w:spacing w:val="-9"/>
          <w:sz w:val="24"/>
        </w:rPr>
        <w:t xml:space="preserve"> </w:t>
      </w:r>
      <w:r>
        <w:rPr>
          <w:sz w:val="24"/>
        </w:rPr>
        <w:t>(Hair</w:t>
      </w:r>
      <w:r>
        <w:rPr>
          <w:spacing w:val="-6"/>
          <w:sz w:val="24"/>
        </w:rPr>
        <w:t xml:space="preserve"> </w:t>
      </w:r>
      <w:r>
        <w:rPr>
          <w:sz w:val="24"/>
        </w:rPr>
        <w:t>et</w:t>
      </w:r>
      <w:r>
        <w:rPr>
          <w:spacing w:val="-4"/>
          <w:sz w:val="24"/>
        </w:rPr>
        <w:t xml:space="preserve"> </w:t>
      </w:r>
      <w:r>
        <w:rPr>
          <w:sz w:val="24"/>
        </w:rPr>
        <w:t>al.,</w:t>
      </w:r>
      <w:r>
        <w:rPr>
          <w:spacing w:val="-6"/>
          <w:sz w:val="24"/>
        </w:rPr>
        <w:t xml:space="preserve"> </w:t>
      </w:r>
      <w:r>
        <w:rPr>
          <w:sz w:val="24"/>
        </w:rPr>
        <w:t>2019).</w:t>
      </w:r>
      <w:r>
        <w:rPr>
          <w:spacing w:val="-6"/>
          <w:sz w:val="24"/>
        </w:rPr>
        <w:t xml:space="preserve"> </w:t>
      </w:r>
      <w:r>
        <w:rPr>
          <w:sz w:val="24"/>
        </w:rPr>
        <w:t>All</w:t>
      </w:r>
      <w:r>
        <w:rPr>
          <w:spacing w:val="-15"/>
          <w:sz w:val="24"/>
        </w:rPr>
        <w:t xml:space="preserve"> </w:t>
      </w:r>
      <w:r>
        <w:rPr>
          <w:sz w:val="24"/>
        </w:rPr>
        <w:t>Q² values</w:t>
      </w:r>
      <w:r>
        <w:rPr>
          <w:spacing w:val="-1"/>
          <w:sz w:val="24"/>
        </w:rPr>
        <w:t xml:space="preserve"> </w:t>
      </w:r>
      <w:r>
        <w:rPr>
          <w:sz w:val="24"/>
        </w:rPr>
        <w:t>exceeded zero, confirming predictive capability. Sustainable Competitiveness</w:t>
      </w:r>
      <w:r>
        <w:rPr>
          <w:spacing w:val="-1"/>
          <w:sz w:val="24"/>
        </w:rPr>
        <w:t xml:space="preserve"> </w:t>
      </w:r>
      <w:r>
        <w:rPr>
          <w:sz w:val="24"/>
        </w:rPr>
        <w:t>(0.369) and Strategic Flexibility (0.368) showed strong predictive relevance, while Customer Orientation (0.258),</w:t>
      </w:r>
      <w:r>
        <w:rPr>
          <w:spacing w:val="-2"/>
          <w:sz w:val="24"/>
        </w:rPr>
        <w:t xml:space="preserve"> </w:t>
      </w:r>
      <w:r>
        <w:rPr>
          <w:sz w:val="24"/>
        </w:rPr>
        <w:t>Competitor</w:t>
      </w:r>
      <w:r>
        <w:rPr>
          <w:spacing w:val="-7"/>
          <w:sz w:val="24"/>
        </w:rPr>
        <w:t xml:space="preserve"> </w:t>
      </w:r>
      <w:r>
        <w:rPr>
          <w:sz w:val="24"/>
        </w:rPr>
        <w:t>Orientation</w:t>
      </w:r>
      <w:r>
        <w:rPr>
          <w:spacing w:val="-9"/>
          <w:sz w:val="24"/>
        </w:rPr>
        <w:t xml:space="preserve"> </w:t>
      </w:r>
      <w:r>
        <w:rPr>
          <w:sz w:val="24"/>
        </w:rPr>
        <w:t>(0.237),</w:t>
      </w:r>
      <w:r>
        <w:rPr>
          <w:spacing w:val="-7"/>
          <w:sz w:val="24"/>
        </w:rPr>
        <w:t xml:space="preserve"> </w:t>
      </w:r>
      <w:r>
        <w:rPr>
          <w:sz w:val="24"/>
        </w:rPr>
        <w:t>and</w:t>
      </w:r>
      <w:r>
        <w:rPr>
          <w:spacing w:val="-4"/>
          <w:sz w:val="24"/>
        </w:rPr>
        <w:t xml:space="preserve"> </w:t>
      </w:r>
      <w:r>
        <w:rPr>
          <w:sz w:val="24"/>
        </w:rPr>
        <w:t>Functional</w:t>
      </w:r>
      <w:r>
        <w:rPr>
          <w:spacing w:val="-9"/>
          <w:sz w:val="24"/>
        </w:rPr>
        <w:t xml:space="preserve"> </w:t>
      </w:r>
      <w:r>
        <w:rPr>
          <w:sz w:val="24"/>
        </w:rPr>
        <w:t>Coordination</w:t>
      </w:r>
      <w:r>
        <w:rPr>
          <w:spacing w:val="-9"/>
          <w:sz w:val="24"/>
        </w:rPr>
        <w:t xml:space="preserve"> </w:t>
      </w:r>
      <w:r>
        <w:rPr>
          <w:sz w:val="24"/>
        </w:rPr>
        <w:t>(0.236)</w:t>
      </w:r>
      <w:r>
        <w:rPr>
          <w:spacing w:val="-7"/>
          <w:sz w:val="24"/>
        </w:rPr>
        <w:t xml:space="preserve"> </w:t>
      </w:r>
      <w:r>
        <w:rPr>
          <w:sz w:val="24"/>
        </w:rPr>
        <w:t>exhibited</w:t>
      </w:r>
      <w:r>
        <w:rPr>
          <w:spacing w:val="-1"/>
          <w:sz w:val="24"/>
        </w:rPr>
        <w:t xml:space="preserve"> </w:t>
      </w:r>
      <w:r>
        <w:rPr>
          <w:sz w:val="24"/>
        </w:rPr>
        <w:t xml:space="preserve">moderate levels, indicating acceptable model robustness. As per </w:t>
      </w:r>
      <w:r>
        <w:rPr>
          <w:sz w:val="24"/>
        </w:rPr>
        <w:t>table 5.</w:t>
      </w:r>
    </w:p>
    <w:p w:rsidR="00487D64" w:rsidRDefault="00487D64">
      <w:pPr>
        <w:pStyle w:val="BodyText"/>
        <w:rPr>
          <w:sz w:val="20"/>
        </w:rPr>
      </w:pPr>
    </w:p>
    <w:p w:rsidR="00487D64" w:rsidRDefault="00487D64">
      <w:pPr>
        <w:pStyle w:val="BodyText"/>
        <w:rPr>
          <w:sz w:val="20"/>
        </w:rPr>
      </w:pPr>
    </w:p>
    <w:p w:rsidR="00487D64" w:rsidRDefault="006F0D93">
      <w:pPr>
        <w:pStyle w:val="BodyText"/>
        <w:spacing w:before="184"/>
        <w:rPr>
          <w:sz w:val="20"/>
        </w:rPr>
      </w:pPr>
      <w:r>
        <w:rPr>
          <w:noProof/>
          <w:sz w:val="20"/>
        </w:rPr>
        <mc:AlternateContent>
          <mc:Choice Requires="wps">
            <w:drawing>
              <wp:anchor distT="0" distB="0" distL="0" distR="0" simplePos="0" relativeHeight="487605760" behindDoc="1" locked="0" layoutInCell="1" allowOverlap="1">
                <wp:simplePos x="0" y="0"/>
                <wp:positionH relativeFrom="page">
                  <wp:posOffset>896416</wp:posOffset>
                </wp:positionH>
                <wp:positionV relativeFrom="paragraph">
                  <wp:posOffset>278117</wp:posOffset>
                </wp:positionV>
                <wp:extent cx="5982335" cy="55244"/>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AA7A35E" id="Graphic 100" o:spid="_x0000_s1026" style="position:absolute;margin-left:70.6pt;margin-top:21.9pt;width:471.05pt;height:4.35pt;z-index:-15710720;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102" name="Graphic 102"/>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1F915BC0" id="Group 101"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">
                <v:shape id="Graphic 102"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" path="m5982335,18288l,18288,,54864r5982335,l5982335,18288xem5982335,l,,,9144r5982335,l5982335,xe" fillcolor="#612322" stroked="f">
                  <v:path arrowok="t"/>
                </v:shape>
                <w10:anchorlock/>
              </v:group>
            </w:pict>
          </mc:Fallback>
        </mc:AlternateContent>
      </w:r>
    </w:p>
    <w:p w:rsidR="00487D64" w:rsidRDefault="006F0D93">
      <w:pPr>
        <w:ind w:left="886"/>
        <w:rPr>
          <w:b/>
          <w:sz w:val="24"/>
        </w:rPr>
      </w:pPr>
      <w:r>
        <w:rPr>
          <w:b/>
          <w:sz w:val="24"/>
        </w:rPr>
        <w:t>Table</w:t>
      </w:r>
      <w:r>
        <w:rPr>
          <w:b/>
          <w:spacing w:val="-7"/>
          <w:sz w:val="24"/>
        </w:rPr>
        <w:t xml:space="preserve"> </w:t>
      </w:r>
      <w:r>
        <w:rPr>
          <w:b/>
          <w:sz w:val="24"/>
        </w:rPr>
        <w:t>5:</w:t>
      </w:r>
      <w:r>
        <w:rPr>
          <w:b/>
          <w:spacing w:val="-2"/>
          <w:sz w:val="24"/>
        </w:rPr>
        <w:t xml:space="preserve"> </w:t>
      </w:r>
      <w:r>
        <w:rPr>
          <w:b/>
          <w:sz w:val="24"/>
        </w:rPr>
        <w:t>Construct</w:t>
      </w:r>
      <w:r>
        <w:rPr>
          <w:b/>
          <w:spacing w:val="-2"/>
          <w:sz w:val="24"/>
        </w:rPr>
        <w:t xml:space="preserve"> </w:t>
      </w:r>
      <w:r>
        <w:rPr>
          <w:b/>
          <w:sz w:val="24"/>
        </w:rPr>
        <w:t>Cross-Validated</w:t>
      </w:r>
      <w:r>
        <w:rPr>
          <w:b/>
          <w:spacing w:val="-3"/>
          <w:sz w:val="24"/>
        </w:rPr>
        <w:t xml:space="preserve"> </w:t>
      </w:r>
      <w:r>
        <w:rPr>
          <w:b/>
          <w:sz w:val="24"/>
        </w:rPr>
        <w:t>Redundancy</w:t>
      </w:r>
      <w:r>
        <w:rPr>
          <w:b/>
          <w:spacing w:val="-3"/>
          <w:sz w:val="24"/>
        </w:rPr>
        <w:t xml:space="preserve"> </w:t>
      </w:r>
      <w:r>
        <w:rPr>
          <w:b/>
          <w:sz w:val="24"/>
        </w:rPr>
        <w:t>(Predictive</w:t>
      </w:r>
      <w:r>
        <w:rPr>
          <w:b/>
          <w:spacing w:val="-4"/>
          <w:sz w:val="24"/>
        </w:rPr>
        <w:t xml:space="preserve"> </w:t>
      </w:r>
      <w:r>
        <w:rPr>
          <w:b/>
          <w:sz w:val="24"/>
        </w:rPr>
        <w:t>Relevance</w:t>
      </w:r>
      <w:r>
        <w:rPr>
          <w:b/>
          <w:spacing w:val="-4"/>
          <w:sz w:val="24"/>
        </w:rPr>
        <w:t xml:space="preserve"> </w:t>
      </w:r>
      <w:r>
        <w:rPr>
          <w:b/>
          <w:spacing w:val="-2"/>
          <w:sz w:val="24"/>
        </w:rPr>
        <w:t>(Q2))</w:t>
      </w:r>
    </w:p>
    <w:p w:rsidR="00487D64" w:rsidRDefault="00487D64">
      <w:pPr>
        <w:pStyle w:val="BodyText"/>
        <w:spacing w:before="4"/>
        <w:rPr>
          <w:b/>
          <w:sz w:val="17"/>
        </w:rPr>
      </w:pPr>
    </w:p>
    <w:tbl>
      <w:tblPr>
        <w:tblW w:w="0" w:type="auto"/>
        <w:tblInd w:w="163" w:type="dxa"/>
        <w:tblLayout w:type="fixed"/>
        <w:tblCellMar>
          <w:left w:w="0" w:type="dxa"/>
          <w:right w:w="0" w:type="dxa"/>
        </w:tblCellMar>
        <w:tblLook w:val="01E0" w:firstRow="1" w:lastRow="1" w:firstColumn="1" w:lastColumn="1" w:noHBand="0" w:noVBand="0"/>
      </w:tblPr>
      <w:tblGrid>
        <w:gridCol w:w="861"/>
        <w:gridCol w:w="1964"/>
        <w:gridCol w:w="2232"/>
        <w:gridCol w:w="4313"/>
      </w:tblGrid>
      <w:tr w:rsidR="00487D64">
        <w:trPr>
          <w:trHeight w:val="277"/>
        </w:trPr>
        <w:tc>
          <w:tcPr>
            <w:tcW w:w="861" w:type="dxa"/>
            <w:tcBorders>
              <w:top w:val="single" w:sz="4" w:space="0" w:color="000000"/>
              <w:bottom w:val="single" w:sz="4" w:space="0" w:color="000000"/>
            </w:tcBorders>
          </w:tcPr>
          <w:p w:rsidR="00487D64" w:rsidRDefault="00487D64">
            <w:pPr>
              <w:pStyle w:val="TableParagraph"/>
              <w:rPr>
                <w:sz w:val="20"/>
              </w:rPr>
            </w:pPr>
          </w:p>
        </w:tc>
        <w:tc>
          <w:tcPr>
            <w:tcW w:w="1964" w:type="dxa"/>
            <w:tcBorders>
              <w:top w:val="single" w:sz="4" w:space="0" w:color="000000"/>
              <w:bottom w:val="single" w:sz="4" w:space="0" w:color="000000"/>
            </w:tcBorders>
          </w:tcPr>
          <w:p w:rsidR="00487D64" w:rsidRDefault="006F0D93">
            <w:pPr>
              <w:pStyle w:val="TableParagraph"/>
              <w:spacing w:line="258" w:lineRule="exact"/>
              <w:ind w:left="397"/>
              <w:rPr>
                <w:b/>
                <w:sz w:val="24"/>
              </w:rPr>
            </w:pPr>
            <w:r>
              <w:rPr>
                <w:b/>
                <w:spacing w:val="-5"/>
                <w:sz w:val="24"/>
              </w:rPr>
              <w:t>SSO</w:t>
            </w:r>
          </w:p>
        </w:tc>
        <w:tc>
          <w:tcPr>
            <w:tcW w:w="2232" w:type="dxa"/>
            <w:tcBorders>
              <w:top w:val="single" w:sz="4" w:space="0" w:color="000000"/>
              <w:bottom w:val="single" w:sz="4" w:space="0" w:color="000000"/>
            </w:tcBorders>
          </w:tcPr>
          <w:p w:rsidR="00487D64" w:rsidRDefault="006F0D93">
            <w:pPr>
              <w:pStyle w:val="TableParagraph"/>
              <w:spacing w:line="258" w:lineRule="exact"/>
              <w:ind w:left="666"/>
              <w:rPr>
                <w:b/>
                <w:sz w:val="24"/>
              </w:rPr>
            </w:pPr>
            <w:r>
              <w:rPr>
                <w:b/>
                <w:spacing w:val="-5"/>
                <w:sz w:val="24"/>
              </w:rPr>
              <w:t>SSE</w:t>
            </w:r>
          </w:p>
        </w:tc>
        <w:tc>
          <w:tcPr>
            <w:tcW w:w="4313" w:type="dxa"/>
            <w:tcBorders>
              <w:top w:val="single" w:sz="4" w:space="0" w:color="000000"/>
              <w:bottom w:val="single" w:sz="4" w:space="0" w:color="000000"/>
            </w:tcBorders>
          </w:tcPr>
          <w:p w:rsidR="00487D64" w:rsidRDefault="006F0D93">
            <w:pPr>
              <w:pStyle w:val="TableParagraph"/>
              <w:spacing w:line="258" w:lineRule="exact"/>
              <w:ind w:left="666"/>
              <w:rPr>
                <w:b/>
                <w:sz w:val="24"/>
              </w:rPr>
            </w:pPr>
            <w:r>
              <w:rPr>
                <w:b/>
                <w:sz w:val="24"/>
              </w:rPr>
              <w:t>Q²</w:t>
            </w:r>
            <w:r>
              <w:rPr>
                <w:b/>
                <w:spacing w:val="1"/>
                <w:sz w:val="24"/>
              </w:rPr>
              <w:t xml:space="preserve"> </w:t>
            </w:r>
            <w:r>
              <w:rPr>
                <w:b/>
                <w:sz w:val="24"/>
              </w:rPr>
              <w:t>(=1-</w:t>
            </w:r>
            <w:r>
              <w:rPr>
                <w:b/>
                <w:spacing w:val="-2"/>
                <w:sz w:val="24"/>
              </w:rPr>
              <w:t>SSE/SSO)</w:t>
            </w:r>
          </w:p>
        </w:tc>
      </w:tr>
      <w:tr w:rsidR="00487D64">
        <w:trPr>
          <w:trHeight w:val="274"/>
        </w:trPr>
        <w:tc>
          <w:tcPr>
            <w:tcW w:w="861" w:type="dxa"/>
            <w:tcBorders>
              <w:top w:val="single" w:sz="4" w:space="0" w:color="000000"/>
            </w:tcBorders>
          </w:tcPr>
          <w:p w:rsidR="00487D64" w:rsidRDefault="006F0D93">
            <w:pPr>
              <w:pStyle w:val="TableParagraph"/>
              <w:spacing w:line="254" w:lineRule="exact"/>
              <w:ind w:left="134"/>
              <w:rPr>
                <w:sz w:val="24"/>
              </w:rPr>
            </w:pPr>
            <w:r>
              <w:rPr>
                <w:spacing w:val="-5"/>
                <w:sz w:val="24"/>
              </w:rPr>
              <w:t>CO</w:t>
            </w:r>
          </w:p>
        </w:tc>
        <w:tc>
          <w:tcPr>
            <w:tcW w:w="1964" w:type="dxa"/>
            <w:tcBorders>
              <w:top w:val="single" w:sz="4" w:space="0" w:color="000000"/>
            </w:tcBorders>
          </w:tcPr>
          <w:p w:rsidR="00487D64" w:rsidRDefault="006F0D93">
            <w:pPr>
              <w:pStyle w:val="TableParagraph"/>
              <w:spacing w:line="254" w:lineRule="exact"/>
              <w:ind w:left="397"/>
              <w:rPr>
                <w:sz w:val="24"/>
              </w:rPr>
            </w:pPr>
            <w:r>
              <w:rPr>
                <w:spacing w:val="-2"/>
                <w:sz w:val="24"/>
              </w:rPr>
              <w:t>3080.000</w:t>
            </w:r>
          </w:p>
        </w:tc>
        <w:tc>
          <w:tcPr>
            <w:tcW w:w="2232" w:type="dxa"/>
            <w:tcBorders>
              <w:top w:val="single" w:sz="4" w:space="0" w:color="000000"/>
            </w:tcBorders>
          </w:tcPr>
          <w:p w:rsidR="00487D64" w:rsidRDefault="006F0D93">
            <w:pPr>
              <w:pStyle w:val="TableParagraph"/>
              <w:spacing w:line="254" w:lineRule="exact"/>
              <w:ind w:left="666"/>
              <w:rPr>
                <w:sz w:val="24"/>
              </w:rPr>
            </w:pPr>
            <w:r>
              <w:rPr>
                <w:spacing w:val="-2"/>
                <w:sz w:val="24"/>
              </w:rPr>
              <w:t>2349.358</w:t>
            </w:r>
          </w:p>
        </w:tc>
        <w:tc>
          <w:tcPr>
            <w:tcW w:w="4313" w:type="dxa"/>
            <w:tcBorders>
              <w:top w:val="single" w:sz="4" w:space="0" w:color="000000"/>
            </w:tcBorders>
          </w:tcPr>
          <w:p w:rsidR="00487D64" w:rsidRDefault="006F0D93">
            <w:pPr>
              <w:pStyle w:val="TableParagraph"/>
              <w:spacing w:line="254" w:lineRule="exact"/>
              <w:ind w:left="666"/>
              <w:rPr>
                <w:sz w:val="24"/>
              </w:rPr>
            </w:pPr>
            <w:r>
              <w:rPr>
                <w:spacing w:val="-4"/>
                <w:sz w:val="24"/>
              </w:rPr>
              <w:t>0.237</w:t>
            </w:r>
          </w:p>
        </w:tc>
      </w:tr>
      <w:tr w:rsidR="00487D64">
        <w:trPr>
          <w:trHeight w:val="278"/>
        </w:trPr>
        <w:tc>
          <w:tcPr>
            <w:tcW w:w="861" w:type="dxa"/>
          </w:tcPr>
          <w:p w:rsidR="00487D64" w:rsidRDefault="006F0D93">
            <w:pPr>
              <w:pStyle w:val="TableParagraph"/>
              <w:spacing w:line="258" w:lineRule="exact"/>
              <w:ind w:left="134"/>
              <w:rPr>
                <w:sz w:val="24"/>
              </w:rPr>
            </w:pPr>
            <w:r>
              <w:rPr>
                <w:spacing w:val="-5"/>
                <w:sz w:val="24"/>
              </w:rPr>
              <w:t>CU</w:t>
            </w:r>
          </w:p>
        </w:tc>
        <w:tc>
          <w:tcPr>
            <w:tcW w:w="1964" w:type="dxa"/>
          </w:tcPr>
          <w:p w:rsidR="00487D64" w:rsidRDefault="006F0D93">
            <w:pPr>
              <w:pStyle w:val="TableParagraph"/>
              <w:spacing w:line="258" w:lineRule="exact"/>
              <w:ind w:left="397"/>
              <w:rPr>
                <w:sz w:val="24"/>
              </w:rPr>
            </w:pPr>
            <w:r>
              <w:rPr>
                <w:spacing w:val="-2"/>
                <w:sz w:val="24"/>
              </w:rPr>
              <w:t>1155.000</w:t>
            </w:r>
          </w:p>
        </w:tc>
        <w:tc>
          <w:tcPr>
            <w:tcW w:w="2232" w:type="dxa"/>
          </w:tcPr>
          <w:p w:rsidR="00487D64" w:rsidRDefault="006F0D93">
            <w:pPr>
              <w:pStyle w:val="TableParagraph"/>
              <w:spacing w:line="258" w:lineRule="exact"/>
              <w:ind w:left="666"/>
              <w:rPr>
                <w:sz w:val="24"/>
              </w:rPr>
            </w:pPr>
            <w:r>
              <w:rPr>
                <w:spacing w:val="-2"/>
                <w:sz w:val="24"/>
              </w:rPr>
              <w:t>856.959</w:t>
            </w:r>
          </w:p>
        </w:tc>
        <w:tc>
          <w:tcPr>
            <w:tcW w:w="4313" w:type="dxa"/>
          </w:tcPr>
          <w:p w:rsidR="00487D64" w:rsidRDefault="006F0D93">
            <w:pPr>
              <w:pStyle w:val="TableParagraph"/>
              <w:spacing w:line="258" w:lineRule="exact"/>
              <w:ind w:left="666"/>
              <w:rPr>
                <w:sz w:val="24"/>
              </w:rPr>
            </w:pPr>
            <w:r>
              <w:rPr>
                <w:spacing w:val="-4"/>
                <w:sz w:val="24"/>
              </w:rPr>
              <w:t>0.258</w:t>
            </w:r>
          </w:p>
        </w:tc>
      </w:tr>
      <w:tr w:rsidR="00487D64">
        <w:trPr>
          <w:trHeight w:val="278"/>
        </w:trPr>
        <w:tc>
          <w:tcPr>
            <w:tcW w:w="861" w:type="dxa"/>
          </w:tcPr>
          <w:p w:rsidR="00487D64" w:rsidRDefault="006F0D93">
            <w:pPr>
              <w:pStyle w:val="TableParagraph"/>
              <w:spacing w:line="258" w:lineRule="exact"/>
              <w:ind w:left="134"/>
              <w:rPr>
                <w:sz w:val="24"/>
              </w:rPr>
            </w:pPr>
            <w:r>
              <w:rPr>
                <w:spacing w:val="-5"/>
                <w:sz w:val="24"/>
              </w:rPr>
              <w:t>FC</w:t>
            </w:r>
          </w:p>
        </w:tc>
        <w:tc>
          <w:tcPr>
            <w:tcW w:w="1964" w:type="dxa"/>
          </w:tcPr>
          <w:p w:rsidR="00487D64" w:rsidRDefault="006F0D93">
            <w:pPr>
              <w:pStyle w:val="TableParagraph"/>
              <w:spacing w:line="258" w:lineRule="exact"/>
              <w:ind w:left="397"/>
              <w:rPr>
                <w:sz w:val="24"/>
              </w:rPr>
            </w:pPr>
            <w:r>
              <w:rPr>
                <w:spacing w:val="-2"/>
                <w:sz w:val="24"/>
              </w:rPr>
              <w:t>1898.000</w:t>
            </w:r>
          </w:p>
        </w:tc>
        <w:tc>
          <w:tcPr>
            <w:tcW w:w="2232" w:type="dxa"/>
          </w:tcPr>
          <w:p w:rsidR="00487D64" w:rsidRDefault="006F0D93">
            <w:pPr>
              <w:pStyle w:val="TableParagraph"/>
              <w:spacing w:line="258" w:lineRule="exact"/>
              <w:ind w:left="666"/>
              <w:rPr>
                <w:sz w:val="24"/>
              </w:rPr>
            </w:pPr>
            <w:r>
              <w:rPr>
                <w:spacing w:val="-2"/>
                <w:sz w:val="24"/>
              </w:rPr>
              <w:t>1450.000</w:t>
            </w:r>
          </w:p>
        </w:tc>
        <w:tc>
          <w:tcPr>
            <w:tcW w:w="4313" w:type="dxa"/>
          </w:tcPr>
          <w:p w:rsidR="00487D64" w:rsidRDefault="006F0D93">
            <w:pPr>
              <w:pStyle w:val="TableParagraph"/>
              <w:spacing w:line="258" w:lineRule="exact"/>
              <w:ind w:left="666"/>
              <w:rPr>
                <w:sz w:val="24"/>
              </w:rPr>
            </w:pPr>
            <w:r>
              <w:rPr>
                <w:spacing w:val="-4"/>
                <w:sz w:val="24"/>
              </w:rPr>
              <w:t>0.236</w:t>
            </w:r>
          </w:p>
        </w:tc>
      </w:tr>
      <w:tr w:rsidR="00487D64">
        <w:trPr>
          <w:trHeight w:val="280"/>
        </w:trPr>
        <w:tc>
          <w:tcPr>
            <w:tcW w:w="861" w:type="dxa"/>
          </w:tcPr>
          <w:p w:rsidR="00487D64" w:rsidRDefault="006F0D93">
            <w:pPr>
              <w:pStyle w:val="TableParagraph"/>
              <w:spacing w:line="261" w:lineRule="exact"/>
              <w:ind w:left="134"/>
              <w:rPr>
                <w:sz w:val="24"/>
              </w:rPr>
            </w:pPr>
            <w:r>
              <w:rPr>
                <w:spacing w:val="-5"/>
                <w:sz w:val="24"/>
              </w:rPr>
              <w:t>SC</w:t>
            </w:r>
          </w:p>
        </w:tc>
        <w:tc>
          <w:tcPr>
            <w:tcW w:w="1964" w:type="dxa"/>
          </w:tcPr>
          <w:p w:rsidR="00487D64" w:rsidRDefault="006F0D93">
            <w:pPr>
              <w:pStyle w:val="TableParagraph"/>
              <w:spacing w:line="261" w:lineRule="exact"/>
              <w:ind w:left="397"/>
              <w:rPr>
                <w:sz w:val="24"/>
              </w:rPr>
            </w:pPr>
            <w:r>
              <w:rPr>
                <w:spacing w:val="-2"/>
                <w:sz w:val="24"/>
              </w:rPr>
              <w:t>1965.000</w:t>
            </w:r>
          </w:p>
        </w:tc>
        <w:tc>
          <w:tcPr>
            <w:tcW w:w="2232" w:type="dxa"/>
          </w:tcPr>
          <w:p w:rsidR="00487D64" w:rsidRDefault="006F0D93">
            <w:pPr>
              <w:pStyle w:val="TableParagraph"/>
              <w:spacing w:line="261" w:lineRule="exact"/>
              <w:ind w:left="666"/>
              <w:rPr>
                <w:sz w:val="24"/>
              </w:rPr>
            </w:pPr>
            <w:r>
              <w:rPr>
                <w:spacing w:val="-2"/>
                <w:sz w:val="24"/>
              </w:rPr>
              <w:t>1239.369</w:t>
            </w:r>
          </w:p>
        </w:tc>
        <w:tc>
          <w:tcPr>
            <w:tcW w:w="4313" w:type="dxa"/>
          </w:tcPr>
          <w:p w:rsidR="00487D64" w:rsidRDefault="006F0D93">
            <w:pPr>
              <w:pStyle w:val="TableParagraph"/>
              <w:spacing w:line="261" w:lineRule="exact"/>
              <w:ind w:left="666"/>
              <w:rPr>
                <w:sz w:val="24"/>
              </w:rPr>
            </w:pPr>
            <w:r>
              <w:rPr>
                <w:spacing w:val="-4"/>
                <w:sz w:val="24"/>
              </w:rPr>
              <w:t>0.369</w:t>
            </w:r>
          </w:p>
        </w:tc>
      </w:tr>
      <w:tr w:rsidR="00487D64">
        <w:trPr>
          <w:trHeight w:val="289"/>
        </w:trPr>
        <w:tc>
          <w:tcPr>
            <w:tcW w:w="861" w:type="dxa"/>
            <w:tcBorders>
              <w:bottom w:val="single" w:sz="4" w:space="0" w:color="000000"/>
            </w:tcBorders>
          </w:tcPr>
          <w:p w:rsidR="00487D64" w:rsidRDefault="006F0D93">
            <w:pPr>
              <w:pStyle w:val="TableParagraph"/>
              <w:spacing w:line="270" w:lineRule="exact"/>
              <w:ind w:left="134"/>
              <w:rPr>
                <w:sz w:val="24"/>
              </w:rPr>
            </w:pPr>
            <w:r>
              <w:rPr>
                <w:spacing w:val="-5"/>
                <w:sz w:val="24"/>
              </w:rPr>
              <w:t>SF</w:t>
            </w:r>
          </w:p>
        </w:tc>
        <w:tc>
          <w:tcPr>
            <w:tcW w:w="1964" w:type="dxa"/>
            <w:tcBorders>
              <w:bottom w:val="single" w:sz="4" w:space="0" w:color="000000"/>
            </w:tcBorders>
          </w:tcPr>
          <w:p w:rsidR="00487D64" w:rsidRDefault="006F0D93">
            <w:pPr>
              <w:pStyle w:val="TableParagraph"/>
              <w:spacing w:line="270" w:lineRule="exact"/>
              <w:ind w:left="397"/>
              <w:rPr>
                <w:sz w:val="24"/>
              </w:rPr>
            </w:pPr>
            <w:r>
              <w:rPr>
                <w:spacing w:val="-2"/>
                <w:sz w:val="24"/>
              </w:rPr>
              <w:t>1898.000</w:t>
            </w:r>
          </w:p>
        </w:tc>
        <w:tc>
          <w:tcPr>
            <w:tcW w:w="2232" w:type="dxa"/>
            <w:tcBorders>
              <w:bottom w:val="single" w:sz="4" w:space="0" w:color="000000"/>
            </w:tcBorders>
          </w:tcPr>
          <w:p w:rsidR="00487D64" w:rsidRDefault="006F0D93">
            <w:pPr>
              <w:pStyle w:val="TableParagraph"/>
              <w:spacing w:line="270" w:lineRule="exact"/>
              <w:ind w:left="666"/>
              <w:rPr>
                <w:sz w:val="24"/>
              </w:rPr>
            </w:pPr>
            <w:r>
              <w:rPr>
                <w:spacing w:val="-2"/>
                <w:sz w:val="24"/>
              </w:rPr>
              <w:t>1200.000</w:t>
            </w:r>
          </w:p>
        </w:tc>
        <w:tc>
          <w:tcPr>
            <w:tcW w:w="4313" w:type="dxa"/>
            <w:tcBorders>
              <w:bottom w:val="single" w:sz="4" w:space="0" w:color="000000"/>
            </w:tcBorders>
          </w:tcPr>
          <w:p w:rsidR="00487D64" w:rsidRDefault="006F0D93">
            <w:pPr>
              <w:pStyle w:val="TableParagraph"/>
              <w:spacing w:line="270" w:lineRule="exact"/>
              <w:ind w:left="666"/>
              <w:rPr>
                <w:sz w:val="24"/>
              </w:rPr>
            </w:pPr>
            <w:r>
              <w:rPr>
                <w:spacing w:val="-4"/>
                <w:sz w:val="24"/>
              </w:rPr>
              <w:t>0.368</w:t>
            </w:r>
          </w:p>
        </w:tc>
      </w:tr>
    </w:tbl>
    <w:p w:rsidR="00487D64" w:rsidRDefault="00487D64">
      <w:pPr>
        <w:pStyle w:val="BodyText"/>
        <w:spacing w:before="2"/>
        <w:rPr>
          <w:b/>
          <w:sz w:val="24"/>
        </w:rPr>
      </w:pPr>
    </w:p>
    <w:p w:rsidR="00487D64" w:rsidRDefault="006F0D93">
      <w:pPr>
        <w:pStyle w:val="ListParagraph"/>
        <w:numPr>
          <w:ilvl w:val="3"/>
          <w:numId w:val="3"/>
        </w:numPr>
        <w:tabs>
          <w:tab w:val="left" w:pos="888"/>
        </w:tabs>
        <w:spacing w:line="272" w:lineRule="exact"/>
        <w:ind w:left="888" w:hanging="723"/>
        <w:jc w:val="both"/>
        <w:rPr>
          <w:b/>
          <w:sz w:val="24"/>
        </w:rPr>
      </w:pPr>
      <w:r>
        <w:rPr>
          <w:b/>
          <w:sz w:val="24"/>
        </w:rPr>
        <w:t>Path</w:t>
      </w:r>
      <w:r>
        <w:rPr>
          <w:b/>
          <w:spacing w:val="-6"/>
          <w:sz w:val="24"/>
        </w:rPr>
        <w:t xml:space="preserve"> </w:t>
      </w:r>
      <w:r>
        <w:rPr>
          <w:b/>
          <w:spacing w:val="-2"/>
          <w:sz w:val="24"/>
        </w:rPr>
        <w:t>Coefficient</w:t>
      </w:r>
    </w:p>
    <w:p w:rsidR="00487D64" w:rsidRDefault="006F0D93">
      <w:pPr>
        <w:ind w:left="165" w:right="164"/>
        <w:jc w:val="both"/>
        <w:rPr>
          <w:sz w:val="24"/>
        </w:rPr>
      </w:pPr>
      <w:r>
        <w:rPr>
          <w:noProof/>
          <w:sz w:val="24"/>
        </w:rPr>
        <mc:AlternateContent>
          <mc:Choice Requires="wpg">
            <w:drawing>
              <wp:anchor distT="0" distB="0" distL="0" distR="0" simplePos="0" relativeHeight="487606784" behindDoc="1" locked="0" layoutInCell="1" allowOverlap="1">
                <wp:simplePos x="0" y="0"/>
                <wp:positionH relativeFrom="page">
                  <wp:posOffset>923925</wp:posOffset>
                </wp:positionH>
                <wp:positionV relativeFrom="paragraph">
                  <wp:posOffset>713825</wp:posOffset>
                </wp:positionV>
                <wp:extent cx="5676900" cy="3585845"/>
                <wp:effectExtent l="0" t="0" r="0" b="0"/>
                <wp:wrapTopAndBottom/>
                <wp:docPr id="103" name="Group 103" descr="C:\Users\Denis\AppData\Local\Temp\image6443100702848070801.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3585845"/>
                          <a:chOff x="0" y="0"/>
                          <a:chExt cx="5676900" cy="3585845"/>
                        </a:xfrm>
                      </wpg:grpSpPr>
                      <pic:pic xmlns:pic="http://schemas.openxmlformats.org/drawingml/2006/picture">
                        <pic:nvPicPr>
                          <pic:cNvPr id="104" name="Image 104" descr="C:\Users\Denis\AppData\Local\Temp\image6443100702848070801.png"/>
                          <pic:cNvPicPr/>
                        </pic:nvPicPr>
                        <pic:blipFill>
                          <a:blip r:embed="rId12" cstate="print"/>
                          <a:stretch>
                            <a:fillRect/>
                          </a:stretch>
                        </pic:blipFill>
                        <pic:spPr>
                          <a:xfrm>
                            <a:off x="16382" y="16320"/>
                            <a:ext cx="5650611" cy="3553076"/>
                          </a:xfrm>
                          <a:prstGeom prst="rect">
                            <a:avLst/>
                          </a:prstGeom>
                        </pic:spPr>
                      </pic:pic>
                      <wps:wsp>
                        <wps:cNvPr id="105" name="Graphic 105"/>
                        <wps:cNvSpPr/>
                        <wps:spPr>
                          <a:xfrm>
                            <a:off x="4762" y="4762"/>
                            <a:ext cx="5667375" cy="3576320"/>
                          </a:xfrm>
                          <a:custGeom>
                            <a:avLst/>
                            <a:gdLst/>
                            <a:ahLst/>
                            <a:cxnLst/>
                            <a:rect l="l" t="t" r="r" b="b"/>
                            <a:pathLst>
                              <a:path w="5667375" h="3576320">
                                <a:moveTo>
                                  <a:pt x="0" y="3576320"/>
                                </a:moveTo>
                                <a:lnTo>
                                  <a:pt x="5666994" y="3576320"/>
                                </a:lnTo>
                                <a:lnTo>
                                  <a:pt x="5666994" y="0"/>
                                </a:lnTo>
                                <a:lnTo>
                                  <a:pt x="0" y="0"/>
                                </a:lnTo>
                                <a:lnTo>
                                  <a:pt x="0" y="357632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4C2105" id="Group 103" o:spid="_x0000_s1026" style="position:absolute;margin-left:72.75pt;margin-top:56.2pt;width:447pt;height:282.35pt;z-index:-15709696;mso-wrap-distance-left:0;mso-wrap-distance-right:0;mso-position-horizontal-relative:page" coordsize="56769,35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">
                <v:shape id="Image 104" o:spid="_x0000_s1027" type="#_x0000_t75" style="position:absolute;left:163;top:163;width:56506;height:3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">
                  <v:imagedata r:id="rId62" o:title="image6443100702848070801"/>
                </v:shape>
                <v:shape id="Graphic 105" o:spid="_x0000_s1028" style="position:absolute;left:47;top:47;width:56674;height:35763;visibility:visible;mso-wrap-style:square;v-text-anchor:top" coordsize="5667375,35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" path="m,3576320r5666994,l5666994,,,,,3576320xe" filled="f">
                  <v:path arrowok="t"/>
                </v:shape>
                <w10:wrap type="topAndBottom" anchorx="page"/>
              </v:group>
            </w:pict>
          </mc:Fallback>
        </mc:AlternateContent>
      </w:r>
      <w:r>
        <w:rPr>
          <w:sz w:val="24"/>
        </w:rPr>
        <w:t xml:space="preserve">The final step assessed causal relationships by analyzing path coefficients, which indicate hypothesized links between constructs in PLS-SEM (Hair et al., 2019). Significance was tested using bootstrapping with 5,000 resamples, generating T-statistics and </w:t>
      </w:r>
      <w:r>
        <w:rPr>
          <w:sz w:val="24"/>
        </w:rPr>
        <w:t>confidence intervals. Hypotheses were accepted when p-values &lt; 0.05 and T-values exceeded 1.645 or 1.96.</w:t>
      </w:r>
    </w:p>
    <w:p w:rsidR="00487D64" w:rsidRDefault="006F0D93">
      <w:pPr>
        <w:spacing w:before="5"/>
        <w:ind w:left="165"/>
        <w:jc w:val="both"/>
        <w:rPr>
          <w:sz w:val="24"/>
        </w:rPr>
      </w:pPr>
      <w:r>
        <w:rPr>
          <w:b/>
          <w:sz w:val="24"/>
        </w:rPr>
        <w:t>Figure</w:t>
      </w:r>
      <w:r>
        <w:rPr>
          <w:b/>
          <w:spacing w:val="-6"/>
          <w:sz w:val="24"/>
        </w:rPr>
        <w:t xml:space="preserve"> </w:t>
      </w:r>
      <w:r>
        <w:rPr>
          <w:b/>
          <w:sz w:val="24"/>
        </w:rPr>
        <w:t xml:space="preserve">3: </w:t>
      </w:r>
      <w:r>
        <w:rPr>
          <w:sz w:val="24"/>
        </w:rPr>
        <w:t>Bootstrapping;</w:t>
      </w:r>
      <w:r>
        <w:rPr>
          <w:spacing w:val="-8"/>
          <w:sz w:val="24"/>
        </w:rPr>
        <w:t xml:space="preserve"> </w:t>
      </w:r>
      <w:r>
        <w:rPr>
          <w:sz w:val="24"/>
        </w:rPr>
        <w:t>T</w:t>
      </w:r>
      <w:r>
        <w:rPr>
          <w:spacing w:val="-1"/>
          <w:sz w:val="24"/>
        </w:rPr>
        <w:t xml:space="preserve"> </w:t>
      </w:r>
      <w:r>
        <w:rPr>
          <w:sz w:val="24"/>
        </w:rPr>
        <w:t>Statistics</w:t>
      </w:r>
      <w:r>
        <w:rPr>
          <w:spacing w:val="-4"/>
          <w:sz w:val="24"/>
        </w:rPr>
        <w:t xml:space="preserve"> </w:t>
      </w:r>
      <w:r>
        <w:rPr>
          <w:spacing w:val="-2"/>
          <w:sz w:val="24"/>
        </w:rPr>
        <w:t>(|O/STDEV|)</w:t>
      </w:r>
    </w:p>
    <w:p w:rsidR="00487D64" w:rsidRDefault="00487D64">
      <w:pPr>
        <w:pStyle w:val="BodyText"/>
        <w:spacing w:before="5"/>
        <w:rPr>
          <w:sz w:val="24"/>
        </w:rPr>
      </w:pPr>
    </w:p>
    <w:p w:rsidR="00487D64" w:rsidRDefault="006F0D93">
      <w:pPr>
        <w:pStyle w:val="ListParagraph"/>
        <w:numPr>
          <w:ilvl w:val="3"/>
          <w:numId w:val="3"/>
        </w:numPr>
        <w:tabs>
          <w:tab w:val="left" w:pos="888"/>
        </w:tabs>
        <w:spacing w:line="273" w:lineRule="exact"/>
        <w:ind w:left="888" w:hanging="723"/>
        <w:jc w:val="both"/>
        <w:rPr>
          <w:b/>
          <w:sz w:val="24"/>
        </w:rPr>
      </w:pPr>
      <w:r>
        <w:rPr>
          <w:b/>
          <w:sz w:val="24"/>
        </w:rPr>
        <w:t>Direct</w:t>
      </w:r>
      <w:r>
        <w:rPr>
          <w:b/>
          <w:spacing w:val="-3"/>
          <w:sz w:val="24"/>
        </w:rPr>
        <w:t xml:space="preserve"> </w:t>
      </w:r>
      <w:r>
        <w:rPr>
          <w:b/>
          <w:sz w:val="24"/>
        </w:rPr>
        <w:t>effect</w:t>
      </w:r>
      <w:r>
        <w:rPr>
          <w:b/>
          <w:spacing w:val="-3"/>
          <w:sz w:val="24"/>
        </w:rPr>
        <w:t xml:space="preserve"> </w:t>
      </w:r>
      <w:r>
        <w:rPr>
          <w:b/>
          <w:sz w:val="24"/>
        </w:rPr>
        <w:t>Hypothesis</w:t>
      </w:r>
      <w:r>
        <w:rPr>
          <w:b/>
          <w:spacing w:val="-5"/>
          <w:sz w:val="24"/>
        </w:rPr>
        <w:t xml:space="preserve"> </w:t>
      </w:r>
      <w:r>
        <w:rPr>
          <w:b/>
          <w:spacing w:val="-2"/>
          <w:sz w:val="24"/>
        </w:rPr>
        <w:t>testing</w:t>
      </w:r>
    </w:p>
    <w:p w:rsidR="00487D64" w:rsidRDefault="006F0D93">
      <w:pPr>
        <w:spacing w:line="242" w:lineRule="auto"/>
        <w:ind w:left="165" w:right="179"/>
        <w:jc w:val="both"/>
        <w:rPr>
          <w:sz w:val="24"/>
        </w:rPr>
      </w:pPr>
      <w:r>
        <w:rPr>
          <w:sz w:val="24"/>
        </w:rPr>
        <w:t>After confirming measurement model validity, the structural model w</w:t>
      </w:r>
      <w:r>
        <w:rPr>
          <w:sz w:val="24"/>
        </w:rPr>
        <w:t>as evaluated to test direct effect hypotheses (H1–H6), as presented in Figure 17 and Table 6.</w:t>
      </w: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6F0D93">
      <w:pPr>
        <w:pStyle w:val="BodyText"/>
        <w:spacing w:before="107"/>
        <w:rPr>
          <w:sz w:val="20"/>
        </w:rPr>
      </w:pPr>
      <w:r>
        <w:rPr>
          <w:noProof/>
          <w:sz w:val="20"/>
        </w:rPr>
        <mc:AlternateContent>
          <mc:Choice Requires="wps">
            <w:drawing>
              <wp:anchor distT="0" distB="0" distL="0" distR="0" simplePos="0" relativeHeight="487607296" behindDoc="1" locked="0" layoutInCell="1" allowOverlap="1">
                <wp:simplePos x="0" y="0"/>
                <wp:positionH relativeFrom="page">
                  <wp:posOffset>896416</wp:posOffset>
                </wp:positionH>
                <wp:positionV relativeFrom="paragraph">
                  <wp:posOffset>229222</wp:posOffset>
                </wp:positionV>
                <wp:extent cx="5982335" cy="55244"/>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BB65268" id="Graphic 106" o:spid="_x0000_s1026" style="position:absolute;margin-left:70.6pt;margin-top:18.05pt;width:471.05pt;height:4.35pt;z-index:-15709184;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108" name="Graphic 108"/>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20D5A558" id="Group 107"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">
                <v:shape id="Graphic 108"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" path="m5982335,18288l,18288,,54864r5982335,l5982335,18288xem5982335,l,,,9144r5982335,l5982335,xe" fillcolor="#612322" stroked="f">
                  <v:path arrowok="t"/>
                </v:shape>
                <w10:anchorlock/>
              </v:group>
            </w:pict>
          </mc:Fallback>
        </mc:AlternateContent>
      </w:r>
    </w:p>
    <w:p w:rsidR="00487D64" w:rsidRDefault="006F0D93">
      <w:pPr>
        <w:ind w:left="165"/>
        <w:jc w:val="both"/>
        <w:rPr>
          <w:b/>
          <w:sz w:val="24"/>
        </w:rPr>
      </w:pPr>
      <w:r>
        <w:rPr>
          <w:b/>
          <w:sz w:val="24"/>
        </w:rPr>
        <w:t>Table</w:t>
      </w:r>
      <w:r>
        <w:rPr>
          <w:b/>
          <w:spacing w:val="-5"/>
          <w:sz w:val="24"/>
        </w:rPr>
        <w:t xml:space="preserve"> </w:t>
      </w:r>
      <w:r>
        <w:rPr>
          <w:b/>
          <w:sz w:val="24"/>
        </w:rPr>
        <w:t>6: Assessment</w:t>
      </w:r>
      <w:r>
        <w:rPr>
          <w:b/>
          <w:spacing w:val="-1"/>
          <w:sz w:val="24"/>
        </w:rPr>
        <w:t xml:space="preserve"> </w:t>
      </w:r>
      <w:r>
        <w:rPr>
          <w:b/>
          <w:sz w:val="24"/>
        </w:rPr>
        <w:t>of</w:t>
      </w:r>
      <w:r>
        <w:rPr>
          <w:b/>
          <w:spacing w:val="-4"/>
          <w:sz w:val="24"/>
        </w:rPr>
        <w:t xml:space="preserve"> </w:t>
      </w:r>
      <w:r>
        <w:rPr>
          <w:b/>
          <w:sz w:val="24"/>
        </w:rPr>
        <w:t>Structural</w:t>
      </w:r>
      <w:r>
        <w:rPr>
          <w:b/>
          <w:spacing w:val="-7"/>
          <w:sz w:val="24"/>
        </w:rPr>
        <w:t xml:space="preserve"> </w:t>
      </w:r>
      <w:r>
        <w:rPr>
          <w:b/>
          <w:sz w:val="24"/>
        </w:rPr>
        <w:t>Model</w:t>
      </w:r>
      <w:r>
        <w:rPr>
          <w:b/>
          <w:spacing w:val="-6"/>
          <w:sz w:val="24"/>
        </w:rPr>
        <w:t xml:space="preserve"> </w:t>
      </w:r>
      <w:r>
        <w:rPr>
          <w:b/>
          <w:sz w:val="24"/>
        </w:rPr>
        <w:t>Direct Relationships</w:t>
      </w:r>
      <w:r>
        <w:rPr>
          <w:b/>
          <w:spacing w:val="-4"/>
          <w:sz w:val="24"/>
        </w:rPr>
        <w:t xml:space="preserve"> </w:t>
      </w:r>
      <w:r>
        <w:rPr>
          <w:b/>
          <w:sz w:val="24"/>
        </w:rPr>
        <w:t>and</w:t>
      </w:r>
      <w:r>
        <w:rPr>
          <w:b/>
          <w:spacing w:val="-5"/>
          <w:sz w:val="24"/>
        </w:rPr>
        <w:t xml:space="preserve"> </w:t>
      </w:r>
      <w:r>
        <w:rPr>
          <w:b/>
          <w:sz w:val="24"/>
        </w:rPr>
        <w:t>Moderating</w:t>
      </w:r>
      <w:r>
        <w:rPr>
          <w:b/>
          <w:spacing w:val="-1"/>
          <w:sz w:val="24"/>
        </w:rPr>
        <w:t xml:space="preserve"> </w:t>
      </w:r>
      <w:r>
        <w:rPr>
          <w:b/>
          <w:spacing w:val="-2"/>
          <w:sz w:val="24"/>
        </w:rPr>
        <w:t>Variable</w:t>
      </w:r>
    </w:p>
    <w:p w:rsidR="00487D64" w:rsidRDefault="00487D64">
      <w:pPr>
        <w:pStyle w:val="BodyText"/>
        <w:spacing w:before="4"/>
        <w:rPr>
          <w:b/>
          <w:sz w:val="17"/>
        </w:rPr>
      </w:pPr>
    </w:p>
    <w:tbl>
      <w:tblPr>
        <w:tblW w:w="0" w:type="auto"/>
        <w:tblInd w:w="165" w:type="dxa"/>
        <w:tblLayout w:type="fixed"/>
        <w:tblCellMar>
          <w:left w:w="0" w:type="dxa"/>
          <w:right w:w="0" w:type="dxa"/>
        </w:tblCellMar>
        <w:tblLook w:val="01E0" w:firstRow="1" w:lastRow="1" w:firstColumn="1" w:lastColumn="1" w:noHBand="0" w:noVBand="0"/>
      </w:tblPr>
      <w:tblGrid>
        <w:gridCol w:w="1225"/>
        <w:gridCol w:w="1535"/>
        <w:gridCol w:w="1032"/>
        <w:gridCol w:w="1584"/>
        <w:gridCol w:w="2177"/>
        <w:gridCol w:w="826"/>
        <w:gridCol w:w="993"/>
      </w:tblGrid>
      <w:tr w:rsidR="00487D64">
        <w:trPr>
          <w:trHeight w:val="858"/>
        </w:trPr>
        <w:tc>
          <w:tcPr>
            <w:tcW w:w="1225" w:type="dxa"/>
            <w:tcBorders>
              <w:top w:val="single" w:sz="4" w:space="0" w:color="000000"/>
              <w:bottom w:val="single" w:sz="4" w:space="0" w:color="000000"/>
            </w:tcBorders>
          </w:tcPr>
          <w:p w:rsidR="00487D64" w:rsidRDefault="006F0D93">
            <w:pPr>
              <w:pStyle w:val="TableParagraph"/>
              <w:spacing w:before="11"/>
              <w:ind w:left="21"/>
              <w:rPr>
                <w:b/>
                <w:sz w:val="24"/>
              </w:rPr>
            </w:pPr>
            <w:r>
              <w:rPr>
                <w:b/>
                <w:spacing w:val="-2"/>
                <w:sz w:val="24"/>
              </w:rPr>
              <w:t>Hypothesis</w:t>
            </w:r>
          </w:p>
        </w:tc>
        <w:tc>
          <w:tcPr>
            <w:tcW w:w="1535" w:type="dxa"/>
            <w:tcBorders>
              <w:top w:val="single" w:sz="4" w:space="0" w:color="000000"/>
              <w:bottom w:val="single" w:sz="4" w:space="0" w:color="000000"/>
            </w:tcBorders>
          </w:tcPr>
          <w:p w:rsidR="00487D64" w:rsidRDefault="006F0D93">
            <w:pPr>
              <w:pStyle w:val="TableParagraph"/>
              <w:tabs>
                <w:tab w:val="left" w:pos="946"/>
              </w:tabs>
              <w:spacing w:before="152" w:line="237" w:lineRule="auto"/>
              <w:ind w:left="69" w:right="117"/>
              <w:rPr>
                <w:b/>
                <w:sz w:val="24"/>
              </w:rPr>
            </w:pPr>
            <w:r>
              <w:rPr>
                <w:b/>
                <w:spacing w:val="-2"/>
                <w:sz w:val="24"/>
              </w:rPr>
              <w:t>Direct</w:t>
            </w:r>
            <w:r>
              <w:rPr>
                <w:b/>
                <w:sz w:val="24"/>
              </w:rPr>
              <w:tab/>
            </w:r>
            <w:r>
              <w:rPr>
                <w:b/>
                <w:spacing w:val="-4"/>
                <w:sz w:val="24"/>
              </w:rPr>
              <w:t xml:space="preserve">path </w:t>
            </w:r>
            <w:r>
              <w:rPr>
                <w:b/>
                <w:spacing w:val="-2"/>
                <w:sz w:val="24"/>
              </w:rPr>
              <w:t>relationship</w:t>
            </w:r>
          </w:p>
        </w:tc>
        <w:tc>
          <w:tcPr>
            <w:tcW w:w="1032" w:type="dxa"/>
            <w:tcBorders>
              <w:top w:val="single" w:sz="4" w:space="0" w:color="000000"/>
              <w:bottom w:val="single" w:sz="4" w:space="0" w:color="000000"/>
            </w:tcBorders>
          </w:tcPr>
          <w:p w:rsidR="00487D64" w:rsidRDefault="006F0D93">
            <w:pPr>
              <w:pStyle w:val="TableParagraph"/>
              <w:spacing w:before="13" w:line="237" w:lineRule="auto"/>
              <w:ind w:left="118"/>
              <w:rPr>
                <w:b/>
                <w:sz w:val="24"/>
              </w:rPr>
            </w:pPr>
            <w:r>
              <w:rPr>
                <w:b/>
                <w:spacing w:val="-4"/>
                <w:sz w:val="24"/>
              </w:rPr>
              <w:t>Sample mean</w:t>
            </w:r>
          </w:p>
          <w:p w:rsidR="00487D64" w:rsidRDefault="006F0D93">
            <w:pPr>
              <w:pStyle w:val="TableParagraph"/>
              <w:spacing w:before="3"/>
              <w:ind w:left="118"/>
              <w:rPr>
                <w:b/>
                <w:sz w:val="24"/>
              </w:rPr>
            </w:pPr>
            <w:r>
              <w:rPr>
                <w:b/>
                <w:spacing w:val="-5"/>
                <w:sz w:val="24"/>
              </w:rPr>
              <w:t>(M)</w:t>
            </w:r>
          </w:p>
        </w:tc>
        <w:tc>
          <w:tcPr>
            <w:tcW w:w="1584" w:type="dxa"/>
            <w:tcBorders>
              <w:top w:val="single" w:sz="4" w:space="0" w:color="000000"/>
              <w:bottom w:val="single" w:sz="4" w:space="0" w:color="000000"/>
            </w:tcBorders>
          </w:tcPr>
          <w:p w:rsidR="00487D64" w:rsidRDefault="006F0D93">
            <w:pPr>
              <w:pStyle w:val="TableParagraph"/>
              <w:spacing w:before="13" w:line="237" w:lineRule="auto"/>
              <w:ind w:left="157" w:right="462"/>
              <w:rPr>
                <w:b/>
                <w:sz w:val="24"/>
              </w:rPr>
            </w:pPr>
            <w:r>
              <w:rPr>
                <w:b/>
                <w:spacing w:val="-2"/>
                <w:sz w:val="24"/>
              </w:rPr>
              <w:t>Standard deviation</w:t>
            </w:r>
          </w:p>
          <w:p w:rsidR="00487D64" w:rsidRDefault="006F0D93">
            <w:pPr>
              <w:pStyle w:val="TableParagraph"/>
              <w:spacing w:before="3"/>
              <w:ind w:left="157"/>
              <w:rPr>
                <w:b/>
                <w:sz w:val="24"/>
              </w:rPr>
            </w:pPr>
            <w:r>
              <w:rPr>
                <w:b/>
                <w:spacing w:val="-2"/>
                <w:sz w:val="24"/>
              </w:rPr>
              <w:t>(STDEV)</w:t>
            </w:r>
          </w:p>
        </w:tc>
        <w:tc>
          <w:tcPr>
            <w:tcW w:w="2177" w:type="dxa"/>
            <w:tcBorders>
              <w:top w:val="single" w:sz="4" w:space="0" w:color="000000"/>
              <w:bottom w:val="single" w:sz="4" w:space="0" w:color="000000"/>
            </w:tcBorders>
          </w:tcPr>
          <w:p w:rsidR="00487D64" w:rsidRDefault="006F0D93">
            <w:pPr>
              <w:pStyle w:val="TableParagraph"/>
              <w:tabs>
                <w:tab w:val="left" w:pos="1175"/>
              </w:tabs>
              <w:spacing w:before="152" w:line="237" w:lineRule="auto"/>
              <w:ind w:left="465" w:right="120"/>
              <w:rPr>
                <w:b/>
                <w:sz w:val="24"/>
              </w:rPr>
            </w:pPr>
            <w:r>
              <w:rPr>
                <w:b/>
                <w:spacing w:val="-10"/>
                <w:sz w:val="24"/>
              </w:rPr>
              <w:t>T</w:t>
            </w:r>
            <w:r>
              <w:rPr>
                <w:b/>
                <w:sz w:val="24"/>
              </w:rPr>
              <w:tab/>
            </w:r>
            <w:r>
              <w:rPr>
                <w:b/>
                <w:spacing w:val="-2"/>
                <w:sz w:val="24"/>
              </w:rPr>
              <w:t>statistics (|O/STDEV|)</w:t>
            </w:r>
          </w:p>
        </w:tc>
        <w:tc>
          <w:tcPr>
            <w:tcW w:w="826" w:type="dxa"/>
            <w:tcBorders>
              <w:top w:val="single" w:sz="4" w:space="0" w:color="000000"/>
              <w:bottom w:val="single" w:sz="4" w:space="0" w:color="000000"/>
            </w:tcBorders>
          </w:tcPr>
          <w:p w:rsidR="00487D64" w:rsidRDefault="006F0D93">
            <w:pPr>
              <w:pStyle w:val="TableParagraph"/>
              <w:spacing w:before="150" w:line="275" w:lineRule="exact"/>
              <w:ind w:left="117"/>
              <w:rPr>
                <w:b/>
                <w:sz w:val="24"/>
              </w:rPr>
            </w:pPr>
            <w:r>
              <w:rPr>
                <w:b/>
                <w:spacing w:val="-10"/>
                <w:sz w:val="24"/>
              </w:rPr>
              <w:t>P</w:t>
            </w:r>
          </w:p>
          <w:p w:rsidR="00487D64" w:rsidRDefault="006F0D93">
            <w:pPr>
              <w:pStyle w:val="TableParagraph"/>
              <w:spacing w:line="275" w:lineRule="exact"/>
              <w:ind w:left="117"/>
              <w:rPr>
                <w:b/>
                <w:sz w:val="24"/>
              </w:rPr>
            </w:pPr>
            <w:r>
              <w:rPr>
                <w:b/>
                <w:spacing w:val="-2"/>
                <w:sz w:val="24"/>
              </w:rPr>
              <w:t>values</w:t>
            </w:r>
          </w:p>
        </w:tc>
        <w:tc>
          <w:tcPr>
            <w:tcW w:w="993" w:type="dxa"/>
            <w:tcBorders>
              <w:top w:val="single" w:sz="4" w:space="0" w:color="000000"/>
              <w:bottom w:val="single" w:sz="4" w:space="0" w:color="000000"/>
            </w:tcBorders>
          </w:tcPr>
          <w:p w:rsidR="00487D64" w:rsidRDefault="006F0D93">
            <w:pPr>
              <w:pStyle w:val="TableParagraph"/>
              <w:spacing w:before="11"/>
              <w:ind w:left="9"/>
              <w:jc w:val="center"/>
              <w:rPr>
                <w:b/>
                <w:sz w:val="24"/>
              </w:rPr>
            </w:pPr>
            <w:r>
              <w:rPr>
                <w:b/>
                <w:spacing w:val="-2"/>
                <w:sz w:val="24"/>
              </w:rPr>
              <w:t>Decision</w:t>
            </w:r>
          </w:p>
        </w:tc>
      </w:tr>
      <w:tr w:rsidR="00487D64">
        <w:trPr>
          <w:trHeight w:val="300"/>
        </w:trPr>
        <w:tc>
          <w:tcPr>
            <w:tcW w:w="1225" w:type="dxa"/>
            <w:tcBorders>
              <w:top w:val="single" w:sz="4" w:space="0" w:color="000000"/>
            </w:tcBorders>
          </w:tcPr>
          <w:p w:rsidR="00487D64" w:rsidRDefault="006F0D93">
            <w:pPr>
              <w:pStyle w:val="TableParagraph"/>
              <w:spacing w:before="6" w:line="274" w:lineRule="exact"/>
              <w:ind w:left="21"/>
              <w:rPr>
                <w:sz w:val="24"/>
              </w:rPr>
            </w:pPr>
            <w:r>
              <w:rPr>
                <w:spacing w:val="-5"/>
                <w:sz w:val="24"/>
              </w:rPr>
              <w:t>H1</w:t>
            </w:r>
          </w:p>
        </w:tc>
        <w:tc>
          <w:tcPr>
            <w:tcW w:w="1535" w:type="dxa"/>
            <w:tcBorders>
              <w:top w:val="single" w:sz="4" w:space="0" w:color="000000"/>
            </w:tcBorders>
          </w:tcPr>
          <w:p w:rsidR="00487D64" w:rsidRDefault="006F0D93">
            <w:pPr>
              <w:pStyle w:val="TableParagraph"/>
              <w:spacing w:before="6" w:line="274" w:lineRule="exact"/>
              <w:ind w:left="69"/>
              <w:rPr>
                <w:sz w:val="24"/>
              </w:rPr>
            </w:pPr>
            <w:r>
              <w:rPr>
                <w:sz w:val="24"/>
              </w:rPr>
              <w:t>CU</w:t>
            </w:r>
            <w:r>
              <w:rPr>
                <w:spacing w:val="-1"/>
                <w:sz w:val="24"/>
              </w:rPr>
              <w:t xml:space="preserve"> </w:t>
            </w:r>
            <w:r>
              <w:rPr>
                <w:sz w:val="24"/>
              </w:rPr>
              <w:t>-&gt;</w:t>
            </w:r>
            <w:r>
              <w:rPr>
                <w:spacing w:val="1"/>
                <w:sz w:val="24"/>
              </w:rPr>
              <w:t xml:space="preserve"> </w:t>
            </w:r>
            <w:r>
              <w:rPr>
                <w:spacing w:val="-5"/>
                <w:sz w:val="24"/>
              </w:rPr>
              <w:t>SC</w:t>
            </w:r>
          </w:p>
        </w:tc>
        <w:tc>
          <w:tcPr>
            <w:tcW w:w="1032" w:type="dxa"/>
            <w:tcBorders>
              <w:top w:val="single" w:sz="4" w:space="0" w:color="000000"/>
            </w:tcBorders>
          </w:tcPr>
          <w:p w:rsidR="00487D64" w:rsidRDefault="006F0D93">
            <w:pPr>
              <w:pStyle w:val="TableParagraph"/>
              <w:spacing w:before="6" w:line="274" w:lineRule="exact"/>
              <w:ind w:right="250"/>
              <w:jc w:val="center"/>
              <w:rPr>
                <w:sz w:val="24"/>
              </w:rPr>
            </w:pPr>
            <w:r>
              <w:rPr>
                <w:spacing w:val="-4"/>
                <w:sz w:val="24"/>
              </w:rPr>
              <w:t>0.224</w:t>
            </w:r>
          </w:p>
        </w:tc>
        <w:tc>
          <w:tcPr>
            <w:tcW w:w="1584" w:type="dxa"/>
            <w:tcBorders>
              <w:top w:val="single" w:sz="4" w:space="0" w:color="000000"/>
            </w:tcBorders>
          </w:tcPr>
          <w:p w:rsidR="00487D64" w:rsidRDefault="006F0D93">
            <w:pPr>
              <w:pStyle w:val="TableParagraph"/>
              <w:spacing w:before="6" w:line="274" w:lineRule="exact"/>
              <w:ind w:left="157"/>
              <w:rPr>
                <w:sz w:val="24"/>
              </w:rPr>
            </w:pPr>
            <w:r>
              <w:rPr>
                <w:spacing w:val="-4"/>
                <w:sz w:val="24"/>
              </w:rPr>
              <w:t>0.227</w:t>
            </w:r>
          </w:p>
        </w:tc>
        <w:tc>
          <w:tcPr>
            <w:tcW w:w="2177" w:type="dxa"/>
            <w:tcBorders>
              <w:top w:val="single" w:sz="4" w:space="0" w:color="000000"/>
            </w:tcBorders>
          </w:tcPr>
          <w:p w:rsidR="00487D64" w:rsidRDefault="006F0D93">
            <w:pPr>
              <w:pStyle w:val="TableParagraph"/>
              <w:spacing w:before="6" w:line="274" w:lineRule="exact"/>
              <w:ind w:left="465"/>
              <w:rPr>
                <w:sz w:val="24"/>
              </w:rPr>
            </w:pPr>
            <w:r>
              <w:rPr>
                <w:spacing w:val="-4"/>
                <w:sz w:val="24"/>
              </w:rPr>
              <w:t>5.069</w:t>
            </w:r>
          </w:p>
        </w:tc>
        <w:tc>
          <w:tcPr>
            <w:tcW w:w="826" w:type="dxa"/>
            <w:tcBorders>
              <w:top w:val="single" w:sz="4" w:space="0" w:color="000000"/>
            </w:tcBorders>
          </w:tcPr>
          <w:p w:rsidR="00487D64" w:rsidRDefault="006F0D93">
            <w:pPr>
              <w:pStyle w:val="TableParagraph"/>
              <w:spacing w:before="6" w:line="274" w:lineRule="exact"/>
              <w:ind w:right="47"/>
              <w:jc w:val="center"/>
              <w:rPr>
                <w:sz w:val="24"/>
              </w:rPr>
            </w:pPr>
            <w:r>
              <w:rPr>
                <w:spacing w:val="-4"/>
                <w:sz w:val="24"/>
              </w:rPr>
              <w:t>0.000</w:t>
            </w:r>
          </w:p>
        </w:tc>
        <w:tc>
          <w:tcPr>
            <w:tcW w:w="993" w:type="dxa"/>
            <w:tcBorders>
              <w:top w:val="single" w:sz="4" w:space="0" w:color="000000"/>
            </w:tcBorders>
          </w:tcPr>
          <w:p w:rsidR="00487D64" w:rsidRDefault="006F0D93">
            <w:pPr>
              <w:pStyle w:val="TableParagraph"/>
              <w:spacing w:before="6" w:line="274" w:lineRule="exact"/>
              <w:ind w:left="53"/>
              <w:jc w:val="center"/>
              <w:rPr>
                <w:sz w:val="24"/>
              </w:rPr>
            </w:pPr>
            <w:r>
              <w:rPr>
                <w:spacing w:val="-2"/>
                <w:sz w:val="24"/>
              </w:rPr>
              <w:t>Accepted</w:t>
            </w:r>
          </w:p>
        </w:tc>
      </w:tr>
      <w:tr w:rsidR="00487D64">
        <w:trPr>
          <w:trHeight w:val="305"/>
        </w:trPr>
        <w:tc>
          <w:tcPr>
            <w:tcW w:w="1225" w:type="dxa"/>
          </w:tcPr>
          <w:p w:rsidR="00487D64" w:rsidRDefault="006F0D93">
            <w:pPr>
              <w:pStyle w:val="TableParagraph"/>
              <w:spacing w:before="8"/>
              <w:ind w:left="21"/>
              <w:rPr>
                <w:sz w:val="24"/>
              </w:rPr>
            </w:pPr>
            <w:r>
              <w:rPr>
                <w:spacing w:val="-5"/>
                <w:sz w:val="24"/>
              </w:rPr>
              <w:t>H2</w:t>
            </w:r>
          </w:p>
        </w:tc>
        <w:tc>
          <w:tcPr>
            <w:tcW w:w="1535" w:type="dxa"/>
          </w:tcPr>
          <w:p w:rsidR="00487D64" w:rsidRDefault="006F0D93">
            <w:pPr>
              <w:pStyle w:val="TableParagraph"/>
              <w:spacing w:before="8"/>
              <w:ind w:left="69"/>
              <w:rPr>
                <w:sz w:val="24"/>
              </w:rPr>
            </w:pPr>
            <w:r>
              <w:rPr>
                <w:sz w:val="24"/>
              </w:rPr>
              <w:t>CO</w:t>
            </w:r>
            <w:r>
              <w:rPr>
                <w:spacing w:val="-1"/>
                <w:sz w:val="24"/>
              </w:rPr>
              <w:t xml:space="preserve"> </w:t>
            </w:r>
            <w:r>
              <w:rPr>
                <w:sz w:val="24"/>
              </w:rPr>
              <w:t>-&gt;</w:t>
            </w:r>
            <w:r>
              <w:rPr>
                <w:spacing w:val="1"/>
                <w:sz w:val="24"/>
              </w:rPr>
              <w:t xml:space="preserve"> </w:t>
            </w:r>
            <w:r>
              <w:rPr>
                <w:spacing w:val="-5"/>
                <w:sz w:val="24"/>
              </w:rPr>
              <w:t>SC</w:t>
            </w:r>
          </w:p>
        </w:tc>
        <w:tc>
          <w:tcPr>
            <w:tcW w:w="1032" w:type="dxa"/>
          </w:tcPr>
          <w:p w:rsidR="00487D64" w:rsidRDefault="006F0D93">
            <w:pPr>
              <w:pStyle w:val="TableParagraph"/>
              <w:spacing w:before="8"/>
              <w:ind w:right="250"/>
              <w:jc w:val="center"/>
              <w:rPr>
                <w:sz w:val="24"/>
              </w:rPr>
            </w:pPr>
            <w:r>
              <w:rPr>
                <w:spacing w:val="-4"/>
                <w:sz w:val="24"/>
              </w:rPr>
              <w:t>0.226</w:t>
            </w:r>
          </w:p>
        </w:tc>
        <w:tc>
          <w:tcPr>
            <w:tcW w:w="1584" w:type="dxa"/>
          </w:tcPr>
          <w:p w:rsidR="00487D64" w:rsidRDefault="006F0D93">
            <w:pPr>
              <w:pStyle w:val="TableParagraph"/>
              <w:spacing w:before="8"/>
              <w:ind w:left="157"/>
              <w:rPr>
                <w:sz w:val="24"/>
              </w:rPr>
            </w:pPr>
            <w:r>
              <w:rPr>
                <w:spacing w:val="-4"/>
                <w:sz w:val="24"/>
              </w:rPr>
              <w:t>0.229</w:t>
            </w:r>
          </w:p>
        </w:tc>
        <w:tc>
          <w:tcPr>
            <w:tcW w:w="2177" w:type="dxa"/>
          </w:tcPr>
          <w:p w:rsidR="00487D64" w:rsidRDefault="006F0D93">
            <w:pPr>
              <w:pStyle w:val="TableParagraph"/>
              <w:spacing w:before="8"/>
              <w:ind w:left="465"/>
              <w:rPr>
                <w:sz w:val="24"/>
              </w:rPr>
            </w:pPr>
            <w:r>
              <w:rPr>
                <w:spacing w:val="-4"/>
                <w:sz w:val="24"/>
              </w:rPr>
              <w:t>6.437</w:t>
            </w:r>
          </w:p>
        </w:tc>
        <w:tc>
          <w:tcPr>
            <w:tcW w:w="826" w:type="dxa"/>
          </w:tcPr>
          <w:p w:rsidR="00487D64" w:rsidRDefault="006F0D93">
            <w:pPr>
              <w:pStyle w:val="TableParagraph"/>
              <w:spacing w:before="8"/>
              <w:ind w:right="47"/>
              <w:jc w:val="center"/>
              <w:rPr>
                <w:sz w:val="24"/>
              </w:rPr>
            </w:pPr>
            <w:r>
              <w:rPr>
                <w:spacing w:val="-4"/>
                <w:sz w:val="24"/>
              </w:rPr>
              <w:t>0.000</w:t>
            </w:r>
          </w:p>
        </w:tc>
        <w:tc>
          <w:tcPr>
            <w:tcW w:w="993" w:type="dxa"/>
          </w:tcPr>
          <w:p w:rsidR="00487D64" w:rsidRDefault="006F0D93">
            <w:pPr>
              <w:pStyle w:val="TableParagraph"/>
              <w:spacing w:before="8"/>
              <w:ind w:left="53"/>
              <w:jc w:val="center"/>
              <w:rPr>
                <w:sz w:val="24"/>
              </w:rPr>
            </w:pPr>
            <w:r>
              <w:rPr>
                <w:spacing w:val="-2"/>
                <w:sz w:val="24"/>
              </w:rPr>
              <w:t>Accepted</w:t>
            </w:r>
          </w:p>
        </w:tc>
      </w:tr>
      <w:tr w:rsidR="00487D64">
        <w:trPr>
          <w:trHeight w:val="307"/>
        </w:trPr>
        <w:tc>
          <w:tcPr>
            <w:tcW w:w="1225" w:type="dxa"/>
          </w:tcPr>
          <w:p w:rsidR="00487D64" w:rsidRDefault="006F0D93">
            <w:pPr>
              <w:pStyle w:val="TableParagraph"/>
              <w:spacing w:before="10"/>
              <w:ind w:left="21"/>
              <w:rPr>
                <w:sz w:val="24"/>
              </w:rPr>
            </w:pPr>
            <w:r>
              <w:rPr>
                <w:spacing w:val="-5"/>
                <w:sz w:val="24"/>
              </w:rPr>
              <w:t>H3</w:t>
            </w:r>
          </w:p>
        </w:tc>
        <w:tc>
          <w:tcPr>
            <w:tcW w:w="1535" w:type="dxa"/>
          </w:tcPr>
          <w:p w:rsidR="00487D64" w:rsidRDefault="006F0D93">
            <w:pPr>
              <w:pStyle w:val="TableParagraph"/>
              <w:spacing w:before="10"/>
              <w:ind w:left="69"/>
              <w:rPr>
                <w:sz w:val="24"/>
              </w:rPr>
            </w:pPr>
            <w:r>
              <w:rPr>
                <w:sz w:val="24"/>
              </w:rPr>
              <w:t>FC</w:t>
            </w:r>
            <w:r>
              <w:rPr>
                <w:spacing w:val="-2"/>
                <w:sz w:val="24"/>
              </w:rPr>
              <w:t xml:space="preserve"> </w:t>
            </w:r>
            <w:r>
              <w:rPr>
                <w:sz w:val="24"/>
              </w:rPr>
              <w:t xml:space="preserve">-&gt; </w:t>
            </w:r>
            <w:r>
              <w:rPr>
                <w:spacing w:val="-5"/>
                <w:sz w:val="24"/>
              </w:rPr>
              <w:t>SC</w:t>
            </w:r>
          </w:p>
        </w:tc>
        <w:tc>
          <w:tcPr>
            <w:tcW w:w="1032" w:type="dxa"/>
          </w:tcPr>
          <w:p w:rsidR="00487D64" w:rsidRDefault="006F0D93">
            <w:pPr>
              <w:pStyle w:val="TableParagraph"/>
              <w:spacing w:before="10"/>
              <w:ind w:right="250"/>
              <w:jc w:val="center"/>
              <w:rPr>
                <w:sz w:val="24"/>
              </w:rPr>
            </w:pPr>
            <w:r>
              <w:rPr>
                <w:spacing w:val="-4"/>
                <w:sz w:val="24"/>
              </w:rPr>
              <w:t>0.098</w:t>
            </w:r>
          </w:p>
        </w:tc>
        <w:tc>
          <w:tcPr>
            <w:tcW w:w="1584" w:type="dxa"/>
          </w:tcPr>
          <w:p w:rsidR="00487D64" w:rsidRDefault="006F0D93">
            <w:pPr>
              <w:pStyle w:val="TableParagraph"/>
              <w:spacing w:before="10"/>
              <w:ind w:left="157"/>
              <w:rPr>
                <w:sz w:val="24"/>
              </w:rPr>
            </w:pPr>
            <w:r>
              <w:rPr>
                <w:spacing w:val="-4"/>
                <w:sz w:val="24"/>
              </w:rPr>
              <w:t>0.100</w:t>
            </w:r>
          </w:p>
        </w:tc>
        <w:tc>
          <w:tcPr>
            <w:tcW w:w="2177" w:type="dxa"/>
          </w:tcPr>
          <w:p w:rsidR="00487D64" w:rsidRDefault="006F0D93">
            <w:pPr>
              <w:pStyle w:val="TableParagraph"/>
              <w:spacing w:before="10"/>
              <w:ind w:left="465"/>
              <w:rPr>
                <w:sz w:val="24"/>
              </w:rPr>
            </w:pPr>
            <w:r>
              <w:rPr>
                <w:spacing w:val="-4"/>
                <w:sz w:val="24"/>
              </w:rPr>
              <w:t>1.556</w:t>
            </w:r>
          </w:p>
        </w:tc>
        <w:tc>
          <w:tcPr>
            <w:tcW w:w="826" w:type="dxa"/>
          </w:tcPr>
          <w:p w:rsidR="00487D64" w:rsidRDefault="006F0D93">
            <w:pPr>
              <w:pStyle w:val="TableParagraph"/>
              <w:spacing w:before="10"/>
              <w:ind w:right="47"/>
              <w:jc w:val="center"/>
              <w:rPr>
                <w:sz w:val="24"/>
              </w:rPr>
            </w:pPr>
            <w:r>
              <w:rPr>
                <w:spacing w:val="-4"/>
                <w:sz w:val="24"/>
              </w:rPr>
              <w:t>0.120</w:t>
            </w:r>
          </w:p>
        </w:tc>
        <w:tc>
          <w:tcPr>
            <w:tcW w:w="993" w:type="dxa"/>
          </w:tcPr>
          <w:p w:rsidR="00487D64" w:rsidRDefault="006F0D93">
            <w:pPr>
              <w:pStyle w:val="TableParagraph"/>
              <w:spacing w:before="10"/>
              <w:ind w:left="53" w:right="64"/>
              <w:jc w:val="center"/>
              <w:rPr>
                <w:sz w:val="24"/>
              </w:rPr>
            </w:pPr>
            <w:r>
              <w:rPr>
                <w:spacing w:val="-2"/>
                <w:sz w:val="24"/>
              </w:rPr>
              <w:t>Rejected</w:t>
            </w:r>
          </w:p>
        </w:tc>
      </w:tr>
      <w:tr w:rsidR="00487D64">
        <w:trPr>
          <w:trHeight w:val="580"/>
        </w:trPr>
        <w:tc>
          <w:tcPr>
            <w:tcW w:w="1225" w:type="dxa"/>
          </w:tcPr>
          <w:p w:rsidR="00487D64" w:rsidRDefault="006F0D93">
            <w:pPr>
              <w:pStyle w:val="TableParagraph"/>
              <w:spacing w:before="10"/>
              <w:ind w:left="21"/>
              <w:rPr>
                <w:sz w:val="24"/>
              </w:rPr>
            </w:pPr>
            <w:r>
              <w:rPr>
                <w:spacing w:val="-5"/>
                <w:sz w:val="24"/>
              </w:rPr>
              <w:t>H4</w:t>
            </w:r>
          </w:p>
        </w:tc>
        <w:tc>
          <w:tcPr>
            <w:tcW w:w="1535" w:type="dxa"/>
          </w:tcPr>
          <w:p w:rsidR="00487D64" w:rsidRDefault="006F0D93">
            <w:pPr>
              <w:pStyle w:val="TableParagraph"/>
              <w:spacing w:before="12" w:line="237" w:lineRule="auto"/>
              <w:ind w:left="69" w:right="43"/>
              <w:rPr>
                <w:sz w:val="24"/>
              </w:rPr>
            </w:pPr>
            <w:r>
              <w:rPr>
                <w:sz w:val="24"/>
              </w:rPr>
              <w:t>SF</w:t>
            </w:r>
            <w:r>
              <w:rPr>
                <w:spacing w:val="40"/>
                <w:sz w:val="24"/>
              </w:rPr>
              <w:t xml:space="preserve"> </w:t>
            </w:r>
            <w:r>
              <w:rPr>
                <w:sz w:val="24"/>
              </w:rPr>
              <w:t>x</w:t>
            </w:r>
            <w:r>
              <w:rPr>
                <w:spacing w:val="40"/>
                <w:sz w:val="24"/>
              </w:rPr>
              <w:t xml:space="preserve"> </w:t>
            </w:r>
            <w:r>
              <w:rPr>
                <w:sz w:val="24"/>
              </w:rPr>
              <w:t>CU</w:t>
            </w:r>
            <w:r>
              <w:rPr>
                <w:spacing w:val="40"/>
                <w:sz w:val="24"/>
              </w:rPr>
              <w:t xml:space="preserve"> </w:t>
            </w:r>
            <w:r>
              <w:rPr>
                <w:sz w:val="24"/>
              </w:rPr>
              <w:t xml:space="preserve">-&gt; </w:t>
            </w:r>
            <w:r>
              <w:rPr>
                <w:spacing w:val="-6"/>
                <w:sz w:val="24"/>
              </w:rPr>
              <w:t>SC</w:t>
            </w:r>
          </w:p>
        </w:tc>
        <w:tc>
          <w:tcPr>
            <w:tcW w:w="1032" w:type="dxa"/>
          </w:tcPr>
          <w:p w:rsidR="00487D64" w:rsidRDefault="006F0D93">
            <w:pPr>
              <w:pStyle w:val="TableParagraph"/>
              <w:spacing w:before="149"/>
              <w:ind w:left="81" w:right="250"/>
              <w:jc w:val="center"/>
              <w:rPr>
                <w:sz w:val="24"/>
              </w:rPr>
            </w:pPr>
            <w:r>
              <w:rPr>
                <w:sz w:val="24"/>
              </w:rPr>
              <w:t>-</w:t>
            </w:r>
            <w:r>
              <w:rPr>
                <w:spacing w:val="-4"/>
                <w:sz w:val="24"/>
              </w:rPr>
              <w:t>0.078</w:t>
            </w:r>
          </w:p>
        </w:tc>
        <w:tc>
          <w:tcPr>
            <w:tcW w:w="1584" w:type="dxa"/>
          </w:tcPr>
          <w:p w:rsidR="00487D64" w:rsidRDefault="006F0D93">
            <w:pPr>
              <w:pStyle w:val="TableParagraph"/>
              <w:spacing w:before="149"/>
              <w:ind w:left="157"/>
              <w:rPr>
                <w:sz w:val="24"/>
              </w:rPr>
            </w:pPr>
            <w:r>
              <w:rPr>
                <w:sz w:val="24"/>
              </w:rPr>
              <w:t>-</w:t>
            </w:r>
            <w:r>
              <w:rPr>
                <w:spacing w:val="-4"/>
                <w:sz w:val="24"/>
              </w:rPr>
              <w:t>0.080</w:t>
            </w:r>
          </w:p>
        </w:tc>
        <w:tc>
          <w:tcPr>
            <w:tcW w:w="2177" w:type="dxa"/>
          </w:tcPr>
          <w:p w:rsidR="00487D64" w:rsidRDefault="006F0D93">
            <w:pPr>
              <w:pStyle w:val="TableParagraph"/>
              <w:spacing w:before="149"/>
              <w:ind w:left="465"/>
              <w:rPr>
                <w:sz w:val="24"/>
              </w:rPr>
            </w:pPr>
            <w:r>
              <w:rPr>
                <w:spacing w:val="-4"/>
                <w:sz w:val="24"/>
              </w:rPr>
              <w:t>1.469</w:t>
            </w:r>
          </w:p>
        </w:tc>
        <w:tc>
          <w:tcPr>
            <w:tcW w:w="826" w:type="dxa"/>
          </w:tcPr>
          <w:p w:rsidR="00487D64" w:rsidRDefault="006F0D93">
            <w:pPr>
              <w:pStyle w:val="TableParagraph"/>
              <w:spacing w:before="149"/>
              <w:ind w:right="47"/>
              <w:jc w:val="center"/>
              <w:rPr>
                <w:sz w:val="24"/>
              </w:rPr>
            </w:pPr>
            <w:r>
              <w:rPr>
                <w:spacing w:val="-4"/>
                <w:sz w:val="24"/>
              </w:rPr>
              <w:t>0.142</w:t>
            </w:r>
          </w:p>
        </w:tc>
        <w:tc>
          <w:tcPr>
            <w:tcW w:w="993" w:type="dxa"/>
          </w:tcPr>
          <w:p w:rsidR="00487D64" w:rsidRDefault="006F0D93">
            <w:pPr>
              <w:pStyle w:val="TableParagraph"/>
              <w:spacing w:before="10"/>
              <w:ind w:left="53" w:right="64"/>
              <w:jc w:val="center"/>
              <w:rPr>
                <w:sz w:val="24"/>
              </w:rPr>
            </w:pPr>
            <w:r>
              <w:rPr>
                <w:spacing w:val="-2"/>
                <w:sz w:val="24"/>
              </w:rPr>
              <w:t>Rejected</w:t>
            </w:r>
          </w:p>
        </w:tc>
      </w:tr>
      <w:tr w:rsidR="00487D64">
        <w:trPr>
          <w:trHeight w:val="583"/>
        </w:trPr>
        <w:tc>
          <w:tcPr>
            <w:tcW w:w="1225" w:type="dxa"/>
          </w:tcPr>
          <w:p w:rsidR="00487D64" w:rsidRDefault="006F0D93">
            <w:pPr>
              <w:pStyle w:val="TableParagraph"/>
              <w:spacing w:before="10"/>
              <w:ind w:left="21"/>
              <w:rPr>
                <w:sz w:val="24"/>
              </w:rPr>
            </w:pPr>
            <w:r>
              <w:rPr>
                <w:spacing w:val="-5"/>
                <w:sz w:val="24"/>
              </w:rPr>
              <w:t>H5</w:t>
            </w:r>
          </w:p>
        </w:tc>
        <w:tc>
          <w:tcPr>
            <w:tcW w:w="1535" w:type="dxa"/>
          </w:tcPr>
          <w:p w:rsidR="00487D64" w:rsidRDefault="006F0D93">
            <w:pPr>
              <w:pStyle w:val="TableParagraph"/>
              <w:spacing w:before="3" w:line="280" w:lineRule="atLeast"/>
              <w:ind w:left="69" w:right="43"/>
              <w:rPr>
                <w:sz w:val="24"/>
              </w:rPr>
            </w:pPr>
            <w:r>
              <w:rPr>
                <w:sz w:val="24"/>
              </w:rPr>
              <w:t>SF</w:t>
            </w:r>
            <w:r>
              <w:rPr>
                <w:spacing w:val="40"/>
                <w:sz w:val="24"/>
              </w:rPr>
              <w:t xml:space="preserve"> </w:t>
            </w:r>
            <w:r>
              <w:rPr>
                <w:sz w:val="24"/>
              </w:rPr>
              <w:t>x</w:t>
            </w:r>
            <w:r>
              <w:rPr>
                <w:spacing w:val="40"/>
                <w:sz w:val="24"/>
              </w:rPr>
              <w:t xml:space="preserve"> </w:t>
            </w:r>
            <w:r>
              <w:rPr>
                <w:sz w:val="24"/>
              </w:rPr>
              <w:t>CO</w:t>
            </w:r>
            <w:r>
              <w:rPr>
                <w:spacing w:val="40"/>
                <w:sz w:val="24"/>
              </w:rPr>
              <w:t xml:space="preserve"> </w:t>
            </w:r>
            <w:r>
              <w:rPr>
                <w:sz w:val="24"/>
              </w:rPr>
              <w:t xml:space="preserve">-&gt; </w:t>
            </w:r>
            <w:r>
              <w:rPr>
                <w:spacing w:val="-6"/>
                <w:sz w:val="24"/>
              </w:rPr>
              <w:t>SC</w:t>
            </w:r>
          </w:p>
        </w:tc>
        <w:tc>
          <w:tcPr>
            <w:tcW w:w="1032" w:type="dxa"/>
          </w:tcPr>
          <w:p w:rsidR="00487D64" w:rsidRDefault="006F0D93">
            <w:pPr>
              <w:pStyle w:val="TableParagraph"/>
              <w:spacing w:before="149"/>
              <w:ind w:left="81" w:right="250"/>
              <w:jc w:val="center"/>
              <w:rPr>
                <w:sz w:val="24"/>
              </w:rPr>
            </w:pPr>
            <w:r>
              <w:rPr>
                <w:sz w:val="24"/>
              </w:rPr>
              <w:t>-</w:t>
            </w:r>
            <w:r>
              <w:rPr>
                <w:spacing w:val="-4"/>
                <w:sz w:val="24"/>
              </w:rPr>
              <w:t>0.166</w:t>
            </w:r>
          </w:p>
        </w:tc>
        <w:tc>
          <w:tcPr>
            <w:tcW w:w="1584" w:type="dxa"/>
          </w:tcPr>
          <w:p w:rsidR="00487D64" w:rsidRDefault="006F0D93">
            <w:pPr>
              <w:pStyle w:val="TableParagraph"/>
              <w:spacing w:before="149"/>
              <w:ind w:left="157"/>
              <w:rPr>
                <w:sz w:val="24"/>
              </w:rPr>
            </w:pPr>
            <w:r>
              <w:rPr>
                <w:sz w:val="24"/>
              </w:rPr>
              <w:t>-</w:t>
            </w:r>
            <w:r>
              <w:rPr>
                <w:spacing w:val="-4"/>
                <w:sz w:val="24"/>
              </w:rPr>
              <w:t>0.175</w:t>
            </w:r>
          </w:p>
        </w:tc>
        <w:tc>
          <w:tcPr>
            <w:tcW w:w="2177" w:type="dxa"/>
          </w:tcPr>
          <w:p w:rsidR="00487D64" w:rsidRDefault="006F0D93">
            <w:pPr>
              <w:pStyle w:val="TableParagraph"/>
              <w:spacing w:before="149"/>
              <w:ind w:left="465"/>
              <w:rPr>
                <w:sz w:val="24"/>
              </w:rPr>
            </w:pPr>
            <w:r>
              <w:rPr>
                <w:spacing w:val="-4"/>
                <w:sz w:val="24"/>
              </w:rPr>
              <w:t>3.378</w:t>
            </w:r>
          </w:p>
        </w:tc>
        <w:tc>
          <w:tcPr>
            <w:tcW w:w="826" w:type="dxa"/>
          </w:tcPr>
          <w:p w:rsidR="00487D64" w:rsidRDefault="006F0D93">
            <w:pPr>
              <w:pStyle w:val="TableParagraph"/>
              <w:spacing w:before="149"/>
              <w:ind w:right="47"/>
              <w:jc w:val="center"/>
              <w:rPr>
                <w:sz w:val="24"/>
              </w:rPr>
            </w:pPr>
            <w:r>
              <w:rPr>
                <w:spacing w:val="-4"/>
                <w:sz w:val="24"/>
              </w:rPr>
              <w:t>0.001</w:t>
            </w:r>
          </w:p>
        </w:tc>
        <w:tc>
          <w:tcPr>
            <w:tcW w:w="993" w:type="dxa"/>
          </w:tcPr>
          <w:p w:rsidR="00487D64" w:rsidRDefault="006F0D93">
            <w:pPr>
              <w:pStyle w:val="TableParagraph"/>
              <w:spacing w:before="10"/>
              <w:ind w:left="53"/>
              <w:jc w:val="center"/>
              <w:rPr>
                <w:sz w:val="24"/>
              </w:rPr>
            </w:pPr>
            <w:r>
              <w:rPr>
                <w:spacing w:val="-2"/>
                <w:sz w:val="24"/>
              </w:rPr>
              <w:t>Accepted</w:t>
            </w:r>
          </w:p>
        </w:tc>
      </w:tr>
      <w:tr w:rsidR="00487D64">
        <w:trPr>
          <w:trHeight w:val="587"/>
        </w:trPr>
        <w:tc>
          <w:tcPr>
            <w:tcW w:w="1225" w:type="dxa"/>
            <w:tcBorders>
              <w:bottom w:val="single" w:sz="4" w:space="0" w:color="000000"/>
            </w:tcBorders>
          </w:tcPr>
          <w:p w:rsidR="00487D64" w:rsidRDefault="006F0D93">
            <w:pPr>
              <w:pStyle w:val="TableParagraph"/>
              <w:spacing w:before="8"/>
              <w:ind w:left="21"/>
              <w:rPr>
                <w:sz w:val="24"/>
              </w:rPr>
            </w:pPr>
            <w:r>
              <w:rPr>
                <w:spacing w:val="-5"/>
                <w:sz w:val="24"/>
              </w:rPr>
              <w:t>H6</w:t>
            </w:r>
          </w:p>
        </w:tc>
        <w:tc>
          <w:tcPr>
            <w:tcW w:w="1535" w:type="dxa"/>
            <w:tcBorders>
              <w:bottom w:val="single" w:sz="4" w:space="0" w:color="000000"/>
            </w:tcBorders>
          </w:tcPr>
          <w:p w:rsidR="00487D64" w:rsidRDefault="006F0D93">
            <w:pPr>
              <w:pStyle w:val="TableParagraph"/>
              <w:spacing w:before="8" w:line="242" w:lineRule="auto"/>
              <w:ind w:left="69" w:right="43"/>
              <w:rPr>
                <w:sz w:val="24"/>
              </w:rPr>
            </w:pPr>
            <w:r>
              <w:rPr>
                <w:sz w:val="24"/>
              </w:rPr>
              <w:t>SF</w:t>
            </w:r>
            <w:r>
              <w:rPr>
                <w:spacing w:val="40"/>
                <w:sz w:val="24"/>
              </w:rPr>
              <w:t xml:space="preserve"> </w:t>
            </w:r>
            <w:r>
              <w:rPr>
                <w:sz w:val="24"/>
              </w:rPr>
              <w:t>x</w:t>
            </w:r>
            <w:r>
              <w:rPr>
                <w:spacing w:val="40"/>
                <w:sz w:val="24"/>
              </w:rPr>
              <w:t xml:space="preserve"> </w:t>
            </w:r>
            <w:r>
              <w:rPr>
                <w:sz w:val="24"/>
              </w:rPr>
              <w:t>FC</w:t>
            </w:r>
            <w:r>
              <w:rPr>
                <w:spacing w:val="40"/>
                <w:sz w:val="24"/>
              </w:rPr>
              <w:t xml:space="preserve"> </w:t>
            </w:r>
            <w:r>
              <w:rPr>
                <w:sz w:val="24"/>
              </w:rPr>
              <w:t xml:space="preserve">-&gt; </w:t>
            </w:r>
            <w:r>
              <w:rPr>
                <w:spacing w:val="-6"/>
                <w:sz w:val="24"/>
              </w:rPr>
              <w:t>SC</w:t>
            </w:r>
          </w:p>
        </w:tc>
        <w:tc>
          <w:tcPr>
            <w:tcW w:w="1032" w:type="dxa"/>
            <w:tcBorders>
              <w:bottom w:val="single" w:sz="4" w:space="0" w:color="000000"/>
            </w:tcBorders>
          </w:tcPr>
          <w:p w:rsidR="00487D64" w:rsidRDefault="006F0D93">
            <w:pPr>
              <w:pStyle w:val="TableParagraph"/>
              <w:spacing w:before="148"/>
              <w:ind w:left="81" w:right="250"/>
              <w:jc w:val="center"/>
              <w:rPr>
                <w:sz w:val="24"/>
              </w:rPr>
            </w:pPr>
            <w:r>
              <w:rPr>
                <w:sz w:val="24"/>
              </w:rPr>
              <w:t>-</w:t>
            </w:r>
            <w:r>
              <w:rPr>
                <w:spacing w:val="-4"/>
                <w:sz w:val="24"/>
              </w:rPr>
              <w:t>0.003</w:t>
            </w:r>
          </w:p>
        </w:tc>
        <w:tc>
          <w:tcPr>
            <w:tcW w:w="1584" w:type="dxa"/>
            <w:tcBorders>
              <w:bottom w:val="single" w:sz="4" w:space="0" w:color="000000"/>
            </w:tcBorders>
          </w:tcPr>
          <w:p w:rsidR="00487D64" w:rsidRDefault="006F0D93">
            <w:pPr>
              <w:pStyle w:val="TableParagraph"/>
              <w:spacing w:before="148"/>
              <w:ind w:left="157"/>
              <w:rPr>
                <w:sz w:val="24"/>
              </w:rPr>
            </w:pPr>
            <w:r>
              <w:rPr>
                <w:spacing w:val="-4"/>
                <w:sz w:val="24"/>
              </w:rPr>
              <w:t>0.006</w:t>
            </w:r>
          </w:p>
        </w:tc>
        <w:tc>
          <w:tcPr>
            <w:tcW w:w="2177" w:type="dxa"/>
            <w:tcBorders>
              <w:bottom w:val="single" w:sz="4" w:space="0" w:color="000000"/>
            </w:tcBorders>
          </w:tcPr>
          <w:p w:rsidR="00487D64" w:rsidRDefault="006F0D93">
            <w:pPr>
              <w:pStyle w:val="TableParagraph"/>
              <w:spacing w:before="148"/>
              <w:ind w:left="465"/>
              <w:rPr>
                <w:sz w:val="24"/>
              </w:rPr>
            </w:pPr>
            <w:r>
              <w:rPr>
                <w:spacing w:val="-4"/>
                <w:sz w:val="24"/>
              </w:rPr>
              <w:t>0.028</w:t>
            </w:r>
          </w:p>
        </w:tc>
        <w:tc>
          <w:tcPr>
            <w:tcW w:w="826" w:type="dxa"/>
            <w:tcBorders>
              <w:bottom w:val="single" w:sz="4" w:space="0" w:color="000000"/>
            </w:tcBorders>
          </w:tcPr>
          <w:p w:rsidR="00487D64" w:rsidRDefault="006F0D93">
            <w:pPr>
              <w:pStyle w:val="TableParagraph"/>
              <w:spacing w:before="148"/>
              <w:ind w:right="47"/>
              <w:jc w:val="center"/>
              <w:rPr>
                <w:sz w:val="24"/>
              </w:rPr>
            </w:pPr>
            <w:r>
              <w:rPr>
                <w:spacing w:val="-4"/>
                <w:sz w:val="24"/>
              </w:rPr>
              <w:t>0.978</w:t>
            </w:r>
          </w:p>
        </w:tc>
        <w:tc>
          <w:tcPr>
            <w:tcW w:w="993" w:type="dxa"/>
            <w:tcBorders>
              <w:bottom w:val="single" w:sz="4" w:space="0" w:color="000000"/>
            </w:tcBorders>
          </w:tcPr>
          <w:p w:rsidR="00487D64" w:rsidRDefault="006F0D93">
            <w:pPr>
              <w:pStyle w:val="TableParagraph"/>
              <w:spacing w:before="8"/>
              <w:ind w:left="53" w:right="64"/>
              <w:jc w:val="center"/>
              <w:rPr>
                <w:sz w:val="24"/>
              </w:rPr>
            </w:pPr>
            <w:r>
              <w:rPr>
                <w:spacing w:val="-2"/>
                <w:sz w:val="24"/>
              </w:rPr>
              <w:t>Rejected</w:t>
            </w:r>
          </w:p>
        </w:tc>
      </w:tr>
    </w:tbl>
    <w:p w:rsidR="00487D64" w:rsidRDefault="006F0D93">
      <w:pPr>
        <w:spacing w:line="269" w:lineRule="exact"/>
        <w:ind w:left="165"/>
        <w:jc w:val="both"/>
        <w:rPr>
          <w:sz w:val="24"/>
        </w:rPr>
      </w:pPr>
      <w:r>
        <w:rPr>
          <w:sz w:val="24"/>
        </w:rPr>
        <w:t>Note:</w:t>
      </w:r>
      <w:r>
        <w:rPr>
          <w:spacing w:val="-2"/>
          <w:sz w:val="24"/>
        </w:rPr>
        <w:t xml:space="preserve"> </w:t>
      </w:r>
      <w:r>
        <w:rPr>
          <w:sz w:val="24"/>
        </w:rPr>
        <w:t>*p</w:t>
      </w:r>
      <w:r>
        <w:rPr>
          <w:spacing w:val="-4"/>
          <w:sz w:val="24"/>
        </w:rPr>
        <w:t xml:space="preserve"> </w:t>
      </w:r>
      <w:r>
        <w:rPr>
          <w:sz w:val="24"/>
        </w:rPr>
        <w:t>&lt; 0.05;</w:t>
      </w:r>
      <w:r>
        <w:rPr>
          <w:spacing w:val="-4"/>
          <w:sz w:val="24"/>
        </w:rPr>
        <w:t xml:space="preserve"> </w:t>
      </w:r>
      <w:r>
        <w:rPr>
          <w:sz w:val="24"/>
        </w:rPr>
        <w:t>t-value</w:t>
      </w:r>
      <w:r>
        <w:rPr>
          <w:spacing w:val="-1"/>
          <w:sz w:val="24"/>
        </w:rPr>
        <w:t xml:space="preserve"> </w:t>
      </w:r>
      <w:r>
        <w:rPr>
          <w:sz w:val="24"/>
        </w:rPr>
        <w:t>= two</w:t>
      </w:r>
      <w:r>
        <w:rPr>
          <w:spacing w:val="-4"/>
          <w:sz w:val="24"/>
        </w:rPr>
        <w:t xml:space="preserve"> </w:t>
      </w:r>
      <w:r>
        <w:rPr>
          <w:sz w:val="24"/>
        </w:rPr>
        <w:t>tailed</w:t>
      </w:r>
      <w:r>
        <w:rPr>
          <w:spacing w:val="1"/>
          <w:sz w:val="24"/>
        </w:rPr>
        <w:t xml:space="preserve"> </w:t>
      </w:r>
      <w:r>
        <w:rPr>
          <w:spacing w:val="-2"/>
          <w:sz w:val="24"/>
        </w:rPr>
        <w:t>(1.96&gt;)</w:t>
      </w:r>
    </w:p>
    <w:p w:rsidR="00487D64" w:rsidRDefault="006F0D93">
      <w:pPr>
        <w:ind w:left="165" w:right="164"/>
        <w:jc w:val="both"/>
        <w:rPr>
          <w:sz w:val="24"/>
        </w:rPr>
      </w:pPr>
      <w:r>
        <w:rPr>
          <w:sz w:val="24"/>
        </w:rPr>
        <w:t>The structural model results showed significant positive effects of Customer Orientation (p = 0.000)</w:t>
      </w:r>
      <w:r>
        <w:rPr>
          <w:spacing w:val="-2"/>
          <w:sz w:val="24"/>
        </w:rPr>
        <w:t xml:space="preserve"> </w:t>
      </w:r>
      <w:r>
        <w:rPr>
          <w:sz w:val="24"/>
        </w:rPr>
        <w:t>and</w:t>
      </w:r>
      <w:r>
        <w:rPr>
          <w:spacing w:val="-3"/>
          <w:sz w:val="24"/>
        </w:rPr>
        <w:t xml:space="preserve"> </w:t>
      </w:r>
      <w:r>
        <w:rPr>
          <w:sz w:val="24"/>
        </w:rPr>
        <w:t>Competitor</w:t>
      </w:r>
      <w:r>
        <w:rPr>
          <w:spacing w:val="-2"/>
          <w:sz w:val="24"/>
        </w:rPr>
        <w:t xml:space="preserve"> </w:t>
      </w:r>
      <w:r>
        <w:rPr>
          <w:sz w:val="24"/>
        </w:rPr>
        <w:t>Orientation</w:t>
      </w:r>
      <w:r>
        <w:rPr>
          <w:spacing w:val="-7"/>
          <w:sz w:val="24"/>
        </w:rPr>
        <w:t xml:space="preserve"> </w:t>
      </w:r>
      <w:r>
        <w:rPr>
          <w:sz w:val="24"/>
        </w:rPr>
        <w:t>(p</w:t>
      </w:r>
      <w:r>
        <w:rPr>
          <w:spacing w:val="-3"/>
          <w:sz w:val="24"/>
        </w:rPr>
        <w:t xml:space="preserve"> </w:t>
      </w:r>
      <w:r>
        <w:rPr>
          <w:sz w:val="24"/>
        </w:rPr>
        <w:t>=</w:t>
      </w:r>
      <w:r>
        <w:rPr>
          <w:spacing w:val="-4"/>
          <w:sz w:val="24"/>
        </w:rPr>
        <w:t xml:space="preserve"> </w:t>
      </w:r>
      <w:r>
        <w:rPr>
          <w:sz w:val="24"/>
        </w:rPr>
        <w:t>0.000)</w:t>
      </w:r>
      <w:r>
        <w:rPr>
          <w:spacing w:val="-2"/>
          <w:sz w:val="24"/>
        </w:rPr>
        <w:t xml:space="preserve"> </w:t>
      </w:r>
      <w:r>
        <w:rPr>
          <w:sz w:val="24"/>
        </w:rPr>
        <w:t>on</w:t>
      </w:r>
      <w:r>
        <w:rPr>
          <w:spacing w:val="-7"/>
          <w:sz w:val="24"/>
        </w:rPr>
        <w:t xml:space="preserve"> </w:t>
      </w:r>
      <w:r>
        <w:rPr>
          <w:sz w:val="24"/>
        </w:rPr>
        <w:t>Sustainable Competitiveness,</w:t>
      </w:r>
      <w:r>
        <w:rPr>
          <w:spacing w:val="-1"/>
          <w:sz w:val="24"/>
        </w:rPr>
        <w:t xml:space="preserve"> </w:t>
      </w:r>
      <w:r>
        <w:rPr>
          <w:sz w:val="24"/>
        </w:rPr>
        <w:t>while Functional Coordination was insignificant. Strategic Flexibility significantly</w:t>
      </w:r>
      <w:r>
        <w:rPr>
          <w:sz w:val="24"/>
        </w:rPr>
        <w:t xml:space="preserve"> moderated Competitor Orientation–Sustainable</w:t>
      </w:r>
      <w:r>
        <w:rPr>
          <w:spacing w:val="-4"/>
          <w:sz w:val="24"/>
        </w:rPr>
        <w:t xml:space="preserve"> </w:t>
      </w:r>
      <w:r>
        <w:rPr>
          <w:sz w:val="24"/>
        </w:rPr>
        <w:t>Competitiveness</w:t>
      </w:r>
      <w:r>
        <w:rPr>
          <w:spacing w:val="-5"/>
          <w:sz w:val="24"/>
        </w:rPr>
        <w:t xml:space="preserve"> </w:t>
      </w:r>
      <w:r>
        <w:rPr>
          <w:sz w:val="24"/>
        </w:rPr>
        <w:t>(p</w:t>
      </w:r>
      <w:r>
        <w:rPr>
          <w:spacing w:val="-3"/>
          <w:sz w:val="24"/>
        </w:rPr>
        <w:t xml:space="preserve"> </w:t>
      </w:r>
      <w:r>
        <w:rPr>
          <w:sz w:val="24"/>
        </w:rPr>
        <w:t>=</w:t>
      </w:r>
      <w:r>
        <w:rPr>
          <w:spacing w:val="-4"/>
          <w:sz w:val="24"/>
        </w:rPr>
        <w:t xml:space="preserve"> </w:t>
      </w:r>
      <w:r>
        <w:rPr>
          <w:sz w:val="24"/>
        </w:rPr>
        <w:t>0.001)</w:t>
      </w:r>
      <w:r>
        <w:rPr>
          <w:spacing w:val="-2"/>
          <w:sz w:val="24"/>
        </w:rPr>
        <w:t xml:space="preserve"> </w:t>
      </w:r>
      <w:r>
        <w:rPr>
          <w:sz w:val="24"/>
        </w:rPr>
        <w:t>but not Customer</w:t>
      </w:r>
      <w:r>
        <w:rPr>
          <w:spacing w:val="-2"/>
          <w:sz w:val="24"/>
        </w:rPr>
        <w:t xml:space="preserve"> </w:t>
      </w:r>
      <w:r>
        <w:rPr>
          <w:sz w:val="24"/>
        </w:rPr>
        <w:t>Orientation</w:t>
      </w:r>
      <w:r>
        <w:rPr>
          <w:spacing w:val="-7"/>
          <w:sz w:val="24"/>
        </w:rPr>
        <w:t xml:space="preserve"> </w:t>
      </w:r>
      <w:r>
        <w:rPr>
          <w:sz w:val="24"/>
        </w:rPr>
        <w:t>or</w:t>
      </w:r>
      <w:r>
        <w:rPr>
          <w:spacing w:val="-2"/>
          <w:sz w:val="24"/>
        </w:rPr>
        <w:t xml:space="preserve"> </w:t>
      </w:r>
      <w:r>
        <w:rPr>
          <w:sz w:val="24"/>
        </w:rPr>
        <w:t>Functional Coordination relationships.</w:t>
      </w:r>
    </w:p>
    <w:p w:rsidR="00487D64" w:rsidRDefault="00487D64">
      <w:pPr>
        <w:pStyle w:val="BodyText"/>
        <w:spacing w:before="4"/>
        <w:rPr>
          <w:sz w:val="24"/>
        </w:rPr>
      </w:pPr>
    </w:p>
    <w:p w:rsidR="00487D64" w:rsidRDefault="006F0D93">
      <w:pPr>
        <w:pStyle w:val="ListParagraph"/>
        <w:numPr>
          <w:ilvl w:val="0"/>
          <w:numId w:val="3"/>
        </w:numPr>
        <w:tabs>
          <w:tab w:val="left" w:pos="409"/>
        </w:tabs>
        <w:spacing w:line="275" w:lineRule="exact"/>
        <w:ind w:left="409" w:hanging="244"/>
        <w:rPr>
          <w:b/>
          <w:sz w:val="24"/>
        </w:rPr>
      </w:pPr>
      <w:r>
        <w:rPr>
          <w:b/>
          <w:sz w:val="24"/>
        </w:rPr>
        <w:t>FINDINGS</w:t>
      </w:r>
      <w:r>
        <w:rPr>
          <w:b/>
          <w:spacing w:val="-5"/>
          <w:sz w:val="24"/>
        </w:rPr>
        <w:t xml:space="preserve"> </w:t>
      </w:r>
      <w:r>
        <w:rPr>
          <w:b/>
          <w:sz w:val="24"/>
        </w:rPr>
        <w:t>AND</w:t>
      </w:r>
      <w:r>
        <w:rPr>
          <w:b/>
          <w:spacing w:val="-5"/>
          <w:sz w:val="24"/>
        </w:rPr>
        <w:t xml:space="preserve"> </w:t>
      </w:r>
      <w:r>
        <w:rPr>
          <w:b/>
          <w:spacing w:val="-2"/>
          <w:sz w:val="24"/>
        </w:rPr>
        <w:t>CONCLUSION</w:t>
      </w:r>
    </w:p>
    <w:p w:rsidR="00487D64" w:rsidRDefault="006F0D93">
      <w:pPr>
        <w:spacing w:line="274" w:lineRule="exact"/>
        <w:ind w:left="165"/>
        <w:jc w:val="both"/>
        <w:rPr>
          <w:sz w:val="24"/>
        </w:rPr>
      </w:pPr>
      <w:bookmarkStart w:id="267" w:name="Customer_Orientation_and_Sustainable_Com"/>
      <w:bookmarkEnd w:id="267"/>
      <w:r>
        <w:rPr>
          <w:sz w:val="24"/>
        </w:rPr>
        <w:t>Customer</w:t>
      </w:r>
      <w:r>
        <w:rPr>
          <w:spacing w:val="-4"/>
          <w:sz w:val="24"/>
        </w:rPr>
        <w:t xml:space="preserve"> </w:t>
      </w:r>
      <w:r>
        <w:rPr>
          <w:sz w:val="24"/>
        </w:rPr>
        <w:t>Orientation</w:t>
      </w:r>
      <w:r>
        <w:rPr>
          <w:spacing w:val="-8"/>
          <w:sz w:val="24"/>
        </w:rPr>
        <w:t xml:space="preserve"> </w:t>
      </w:r>
      <w:r>
        <w:rPr>
          <w:sz w:val="24"/>
        </w:rPr>
        <w:t>and</w:t>
      </w:r>
      <w:r>
        <w:rPr>
          <w:spacing w:val="-4"/>
          <w:sz w:val="24"/>
        </w:rPr>
        <w:t xml:space="preserve"> </w:t>
      </w:r>
      <w:r>
        <w:rPr>
          <w:sz w:val="24"/>
        </w:rPr>
        <w:t>Sustainable</w:t>
      </w:r>
      <w:r>
        <w:rPr>
          <w:spacing w:val="-5"/>
          <w:sz w:val="24"/>
        </w:rPr>
        <w:t xml:space="preserve"> </w:t>
      </w:r>
      <w:r>
        <w:rPr>
          <w:spacing w:val="-2"/>
          <w:sz w:val="24"/>
        </w:rPr>
        <w:t>Competitiveness</w:t>
      </w:r>
    </w:p>
    <w:p w:rsidR="00487D64" w:rsidRDefault="006F0D93">
      <w:pPr>
        <w:ind w:left="165" w:right="157"/>
        <w:jc w:val="both"/>
        <w:rPr>
          <w:sz w:val="24"/>
        </w:rPr>
      </w:pPr>
      <w:r>
        <w:rPr>
          <w:sz w:val="24"/>
        </w:rPr>
        <w:t>CU</w:t>
      </w:r>
      <w:r>
        <w:rPr>
          <w:spacing w:val="-15"/>
          <w:sz w:val="24"/>
        </w:rPr>
        <w:t xml:space="preserve"> </w:t>
      </w:r>
      <w:r>
        <w:rPr>
          <w:sz w:val="24"/>
        </w:rPr>
        <w:t>significantly</w:t>
      </w:r>
      <w:r>
        <w:rPr>
          <w:spacing w:val="-15"/>
          <w:sz w:val="24"/>
        </w:rPr>
        <w:t xml:space="preserve"> </w:t>
      </w:r>
      <w:r>
        <w:rPr>
          <w:sz w:val="24"/>
        </w:rPr>
        <w:t>and</w:t>
      </w:r>
      <w:r>
        <w:rPr>
          <w:spacing w:val="-15"/>
          <w:sz w:val="24"/>
        </w:rPr>
        <w:t xml:space="preserve"> </w:t>
      </w:r>
      <w:r>
        <w:rPr>
          <w:sz w:val="24"/>
        </w:rPr>
        <w:t>positively</w:t>
      </w:r>
      <w:r>
        <w:rPr>
          <w:spacing w:val="-13"/>
          <w:sz w:val="24"/>
        </w:rPr>
        <w:t xml:space="preserve"> </w:t>
      </w:r>
      <w:r>
        <w:rPr>
          <w:sz w:val="24"/>
        </w:rPr>
        <w:t>influences</w:t>
      </w:r>
      <w:r>
        <w:rPr>
          <w:spacing w:val="-15"/>
          <w:sz w:val="24"/>
        </w:rPr>
        <w:t xml:space="preserve"> </w:t>
      </w:r>
      <w:r>
        <w:rPr>
          <w:sz w:val="24"/>
        </w:rPr>
        <w:t>sustainable</w:t>
      </w:r>
      <w:r>
        <w:rPr>
          <w:spacing w:val="-14"/>
          <w:sz w:val="24"/>
        </w:rPr>
        <w:t xml:space="preserve"> </w:t>
      </w:r>
      <w:r>
        <w:rPr>
          <w:sz w:val="24"/>
        </w:rPr>
        <w:t>competitiveness</w:t>
      </w:r>
      <w:r>
        <w:rPr>
          <w:spacing w:val="-15"/>
          <w:sz w:val="24"/>
        </w:rPr>
        <w:t xml:space="preserve"> </w:t>
      </w:r>
      <w:r>
        <w:rPr>
          <w:sz w:val="24"/>
        </w:rPr>
        <w:t>(p</w:t>
      </w:r>
      <w:r>
        <w:rPr>
          <w:spacing w:val="-13"/>
          <w:sz w:val="24"/>
        </w:rPr>
        <w:t xml:space="preserve"> </w:t>
      </w:r>
      <w:r>
        <w:rPr>
          <w:sz w:val="24"/>
        </w:rPr>
        <w:t>=</w:t>
      </w:r>
      <w:r>
        <w:rPr>
          <w:spacing w:val="-14"/>
          <w:sz w:val="24"/>
        </w:rPr>
        <w:t xml:space="preserve"> </w:t>
      </w:r>
      <w:r>
        <w:rPr>
          <w:sz w:val="24"/>
        </w:rPr>
        <w:t>0.000),</w:t>
      </w:r>
      <w:r>
        <w:rPr>
          <w:spacing w:val="-15"/>
          <w:sz w:val="24"/>
        </w:rPr>
        <w:t xml:space="preserve"> </w:t>
      </w:r>
      <w:r>
        <w:rPr>
          <w:sz w:val="24"/>
        </w:rPr>
        <w:t>supporting</w:t>
      </w:r>
      <w:r>
        <w:rPr>
          <w:spacing w:val="-13"/>
          <w:sz w:val="24"/>
        </w:rPr>
        <w:t xml:space="preserve"> </w:t>
      </w:r>
      <w:r>
        <w:rPr>
          <w:sz w:val="24"/>
        </w:rPr>
        <w:t>H1. SMEs focusing on customer needs enhance responsiveness, compliance, and service quality, improving</w:t>
      </w:r>
      <w:r>
        <w:rPr>
          <w:spacing w:val="-15"/>
          <w:sz w:val="24"/>
        </w:rPr>
        <w:t xml:space="preserve"> </w:t>
      </w:r>
      <w:r>
        <w:rPr>
          <w:sz w:val="24"/>
        </w:rPr>
        <w:t>competitive</w:t>
      </w:r>
      <w:r>
        <w:rPr>
          <w:spacing w:val="-15"/>
          <w:sz w:val="24"/>
        </w:rPr>
        <w:t xml:space="preserve"> </w:t>
      </w:r>
      <w:r>
        <w:rPr>
          <w:sz w:val="24"/>
        </w:rPr>
        <w:t>positioning.</w:t>
      </w:r>
      <w:r>
        <w:rPr>
          <w:spacing w:val="-15"/>
          <w:sz w:val="24"/>
        </w:rPr>
        <w:t xml:space="preserve"> </w:t>
      </w:r>
      <w:r>
        <w:rPr>
          <w:sz w:val="24"/>
        </w:rPr>
        <w:t>These</w:t>
      </w:r>
      <w:r>
        <w:rPr>
          <w:spacing w:val="-15"/>
          <w:sz w:val="24"/>
        </w:rPr>
        <w:t xml:space="preserve"> </w:t>
      </w:r>
      <w:r>
        <w:rPr>
          <w:sz w:val="24"/>
        </w:rPr>
        <w:t>findings</w:t>
      </w:r>
      <w:r>
        <w:rPr>
          <w:spacing w:val="-15"/>
          <w:sz w:val="24"/>
        </w:rPr>
        <w:t xml:space="preserve"> </w:t>
      </w:r>
      <w:r>
        <w:rPr>
          <w:sz w:val="24"/>
        </w:rPr>
        <w:t>align</w:t>
      </w:r>
      <w:r>
        <w:rPr>
          <w:spacing w:val="-15"/>
          <w:sz w:val="24"/>
        </w:rPr>
        <w:t xml:space="preserve"> </w:t>
      </w:r>
      <w:r>
        <w:rPr>
          <w:sz w:val="24"/>
        </w:rPr>
        <w:t>with</w:t>
      </w:r>
      <w:r>
        <w:rPr>
          <w:spacing w:val="-15"/>
          <w:sz w:val="24"/>
        </w:rPr>
        <w:t xml:space="preserve"> </w:t>
      </w:r>
      <w:r>
        <w:rPr>
          <w:sz w:val="24"/>
        </w:rPr>
        <w:t>Market</w:t>
      </w:r>
      <w:r>
        <w:rPr>
          <w:spacing w:val="-15"/>
          <w:sz w:val="24"/>
        </w:rPr>
        <w:t xml:space="preserve"> </w:t>
      </w:r>
      <w:r>
        <w:rPr>
          <w:sz w:val="24"/>
        </w:rPr>
        <w:t>Orientation</w:t>
      </w:r>
      <w:r>
        <w:rPr>
          <w:spacing w:val="-15"/>
          <w:sz w:val="24"/>
        </w:rPr>
        <w:t xml:space="preserve"> </w:t>
      </w:r>
      <w:r>
        <w:rPr>
          <w:sz w:val="24"/>
        </w:rPr>
        <w:t>Theory</w:t>
      </w:r>
      <w:r>
        <w:rPr>
          <w:spacing w:val="-15"/>
          <w:sz w:val="24"/>
        </w:rPr>
        <w:t xml:space="preserve"> </w:t>
      </w:r>
      <w:r>
        <w:rPr>
          <w:sz w:val="24"/>
        </w:rPr>
        <w:t>and</w:t>
      </w:r>
      <w:r>
        <w:rPr>
          <w:spacing w:val="-14"/>
          <w:sz w:val="24"/>
        </w:rPr>
        <w:t xml:space="preserve"> </w:t>
      </w:r>
      <w:r>
        <w:rPr>
          <w:sz w:val="24"/>
        </w:rPr>
        <w:t>prior studies linking customer-centric strategies to superior performance and long-term sustainability (Narver &amp; Slater, 1990; Bankole et al., 2022).</w:t>
      </w:r>
    </w:p>
    <w:p w:rsidR="00487D64" w:rsidRDefault="00487D64">
      <w:pPr>
        <w:pStyle w:val="BodyText"/>
        <w:spacing w:before="4"/>
        <w:rPr>
          <w:sz w:val="24"/>
        </w:rPr>
      </w:pPr>
    </w:p>
    <w:p w:rsidR="00487D64" w:rsidRDefault="006F0D93">
      <w:pPr>
        <w:spacing w:line="275" w:lineRule="exact"/>
        <w:ind w:left="165"/>
        <w:jc w:val="both"/>
        <w:rPr>
          <w:sz w:val="24"/>
        </w:rPr>
      </w:pPr>
      <w:bookmarkStart w:id="268" w:name="Competitor_Orientation_and_Sustainable_C"/>
      <w:bookmarkEnd w:id="268"/>
      <w:r>
        <w:rPr>
          <w:sz w:val="24"/>
        </w:rPr>
        <w:t>Competitor</w:t>
      </w:r>
      <w:r>
        <w:rPr>
          <w:spacing w:val="-7"/>
          <w:sz w:val="24"/>
        </w:rPr>
        <w:t xml:space="preserve"> </w:t>
      </w:r>
      <w:r>
        <w:rPr>
          <w:sz w:val="24"/>
        </w:rPr>
        <w:t>Orientation</w:t>
      </w:r>
      <w:r>
        <w:rPr>
          <w:spacing w:val="-8"/>
          <w:sz w:val="24"/>
        </w:rPr>
        <w:t xml:space="preserve"> </w:t>
      </w:r>
      <w:r>
        <w:rPr>
          <w:sz w:val="24"/>
        </w:rPr>
        <w:t>and</w:t>
      </w:r>
      <w:r>
        <w:rPr>
          <w:spacing w:val="-4"/>
          <w:sz w:val="24"/>
        </w:rPr>
        <w:t xml:space="preserve"> </w:t>
      </w:r>
      <w:r>
        <w:rPr>
          <w:sz w:val="24"/>
        </w:rPr>
        <w:t>Sustainable</w:t>
      </w:r>
      <w:r>
        <w:rPr>
          <w:spacing w:val="-4"/>
          <w:sz w:val="24"/>
        </w:rPr>
        <w:t xml:space="preserve"> </w:t>
      </w:r>
      <w:r>
        <w:rPr>
          <w:spacing w:val="-2"/>
          <w:sz w:val="24"/>
        </w:rPr>
        <w:t>Competitiveness</w:t>
      </w:r>
    </w:p>
    <w:p w:rsidR="00487D64" w:rsidRDefault="006F0D93">
      <w:pPr>
        <w:ind w:left="165" w:right="167"/>
        <w:jc w:val="both"/>
        <w:rPr>
          <w:sz w:val="24"/>
        </w:rPr>
      </w:pPr>
      <w:r>
        <w:rPr>
          <w:sz w:val="24"/>
        </w:rPr>
        <w:t>CO showed a significant positive relationship with</w:t>
      </w:r>
      <w:r>
        <w:rPr>
          <w:sz w:val="24"/>
        </w:rPr>
        <w:t xml:space="preserve"> SC (p = 0.000), confirming H2. SMEs monitoring</w:t>
      </w:r>
      <w:r>
        <w:rPr>
          <w:spacing w:val="-4"/>
          <w:sz w:val="24"/>
        </w:rPr>
        <w:t xml:space="preserve"> </w:t>
      </w:r>
      <w:r>
        <w:rPr>
          <w:sz w:val="24"/>
        </w:rPr>
        <w:t>competitors’</w:t>
      </w:r>
      <w:r>
        <w:rPr>
          <w:spacing w:val="-7"/>
          <w:sz w:val="24"/>
        </w:rPr>
        <w:t xml:space="preserve"> </w:t>
      </w:r>
      <w:r>
        <w:rPr>
          <w:sz w:val="24"/>
        </w:rPr>
        <w:t>strategies</w:t>
      </w:r>
      <w:r>
        <w:rPr>
          <w:spacing w:val="-7"/>
          <w:sz w:val="24"/>
        </w:rPr>
        <w:t xml:space="preserve"> </w:t>
      </w:r>
      <w:r>
        <w:rPr>
          <w:sz w:val="24"/>
        </w:rPr>
        <w:t>gain</w:t>
      </w:r>
      <w:r>
        <w:rPr>
          <w:spacing w:val="-4"/>
          <w:sz w:val="24"/>
        </w:rPr>
        <w:t xml:space="preserve"> </w:t>
      </w:r>
      <w:r>
        <w:rPr>
          <w:sz w:val="24"/>
        </w:rPr>
        <w:t>bidding</w:t>
      </w:r>
      <w:r>
        <w:rPr>
          <w:spacing w:val="-4"/>
          <w:sz w:val="24"/>
        </w:rPr>
        <w:t xml:space="preserve"> </w:t>
      </w:r>
      <w:r>
        <w:rPr>
          <w:sz w:val="24"/>
        </w:rPr>
        <w:t>advantages</w:t>
      </w:r>
      <w:r>
        <w:rPr>
          <w:spacing w:val="-7"/>
          <w:sz w:val="24"/>
        </w:rPr>
        <w:t xml:space="preserve"> </w:t>
      </w:r>
      <w:r>
        <w:rPr>
          <w:sz w:val="24"/>
        </w:rPr>
        <w:t>and</w:t>
      </w:r>
      <w:r>
        <w:rPr>
          <w:spacing w:val="-4"/>
          <w:sz w:val="24"/>
        </w:rPr>
        <w:t xml:space="preserve"> </w:t>
      </w:r>
      <w:r>
        <w:rPr>
          <w:sz w:val="24"/>
        </w:rPr>
        <w:t>adaptability</w:t>
      </w:r>
      <w:r>
        <w:rPr>
          <w:spacing w:val="-9"/>
          <w:sz w:val="24"/>
        </w:rPr>
        <w:t xml:space="preserve"> </w:t>
      </w:r>
      <w:r>
        <w:rPr>
          <w:sz w:val="24"/>
        </w:rPr>
        <w:t>in</w:t>
      </w:r>
      <w:r>
        <w:rPr>
          <w:spacing w:val="-4"/>
          <w:sz w:val="24"/>
        </w:rPr>
        <w:t xml:space="preserve"> </w:t>
      </w:r>
      <w:r>
        <w:rPr>
          <w:sz w:val="24"/>
        </w:rPr>
        <w:t>procurement.</w:t>
      </w:r>
      <w:r>
        <w:rPr>
          <w:spacing w:val="-2"/>
          <w:sz w:val="24"/>
        </w:rPr>
        <w:t xml:space="preserve"> </w:t>
      </w:r>
      <w:r>
        <w:rPr>
          <w:sz w:val="24"/>
        </w:rPr>
        <w:t>This supports</w:t>
      </w:r>
      <w:r>
        <w:rPr>
          <w:spacing w:val="-15"/>
          <w:sz w:val="24"/>
        </w:rPr>
        <w:t xml:space="preserve"> </w:t>
      </w:r>
      <w:r>
        <w:rPr>
          <w:sz w:val="24"/>
        </w:rPr>
        <w:t>literature</w:t>
      </w:r>
      <w:r>
        <w:rPr>
          <w:spacing w:val="-15"/>
          <w:sz w:val="24"/>
        </w:rPr>
        <w:t xml:space="preserve"> </w:t>
      </w:r>
      <w:r>
        <w:rPr>
          <w:sz w:val="24"/>
        </w:rPr>
        <w:t>emphasizing</w:t>
      </w:r>
      <w:r>
        <w:rPr>
          <w:spacing w:val="-11"/>
          <w:sz w:val="24"/>
        </w:rPr>
        <w:t xml:space="preserve"> </w:t>
      </w:r>
      <w:r>
        <w:rPr>
          <w:sz w:val="24"/>
        </w:rPr>
        <w:t>competitor</w:t>
      </w:r>
      <w:r>
        <w:rPr>
          <w:spacing w:val="-15"/>
          <w:sz w:val="24"/>
        </w:rPr>
        <w:t xml:space="preserve"> </w:t>
      </w:r>
      <w:r>
        <w:rPr>
          <w:sz w:val="24"/>
        </w:rPr>
        <w:t>orientation’s</w:t>
      </w:r>
      <w:r>
        <w:rPr>
          <w:spacing w:val="-13"/>
          <w:sz w:val="24"/>
        </w:rPr>
        <w:t xml:space="preserve"> </w:t>
      </w:r>
      <w:r>
        <w:rPr>
          <w:sz w:val="24"/>
        </w:rPr>
        <w:t>role</w:t>
      </w:r>
      <w:r>
        <w:rPr>
          <w:spacing w:val="-7"/>
          <w:sz w:val="24"/>
        </w:rPr>
        <w:t xml:space="preserve"> </w:t>
      </w:r>
      <w:r>
        <w:rPr>
          <w:sz w:val="24"/>
        </w:rPr>
        <w:t>in</w:t>
      </w:r>
      <w:r>
        <w:rPr>
          <w:spacing w:val="-11"/>
          <w:sz w:val="24"/>
        </w:rPr>
        <w:t xml:space="preserve"> </w:t>
      </w:r>
      <w:r>
        <w:rPr>
          <w:sz w:val="24"/>
        </w:rPr>
        <w:t>market</w:t>
      </w:r>
      <w:r>
        <w:rPr>
          <w:spacing w:val="-6"/>
          <w:sz w:val="24"/>
        </w:rPr>
        <w:t xml:space="preserve"> </w:t>
      </w:r>
      <w:r>
        <w:rPr>
          <w:sz w:val="24"/>
        </w:rPr>
        <w:t>positioning</w:t>
      </w:r>
      <w:r>
        <w:rPr>
          <w:spacing w:val="-11"/>
          <w:sz w:val="24"/>
        </w:rPr>
        <w:t xml:space="preserve"> </w:t>
      </w:r>
      <w:r>
        <w:rPr>
          <w:sz w:val="24"/>
        </w:rPr>
        <w:t>and</w:t>
      </w:r>
      <w:r>
        <w:rPr>
          <w:spacing w:val="-6"/>
          <w:sz w:val="24"/>
        </w:rPr>
        <w:t xml:space="preserve"> </w:t>
      </w:r>
      <w:r>
        <w:rPr>
          <w:sz w:val="24"/>
        </w:rPr>
        <w:t>innovation capabilities critical f</w:t>
      </w:r>
      <w:r>
        <w:rPr>
          <w:sz w:val="24"/>
        </w:rPr>
        <w:t>or sustainable advantage in competitive environments (Lee &amp; Wang, 2023; Sondhi et al., 2024).</w:t>
      </w:r>
    </w:p>
    <w:p w:rsidR="00487D64" w:rsidRDefault="00487D64">
      <w:pPr>
        <w:pStyle w:val="BodyText"/>
        <w:spacing w:before="9"/>
        <w:rPr>
          <w:sz w:val="24"/>
        </w:rPr>
      </w:pPr>
    </w:p>
    <w:p w:rsidR="00487D64" w:rsidRDefault="006F0D93">
      <w:pPr>
        <w:spacing w:line="275" w:lineRule="exact"/>
        <w:ind w:left="165"/>
        <w:jc w:val="both"/>
        <w:rPr>
          <w:sz w:val="24"/>
        </w:rPr>
      </w:pPr>
      <w:bookmarkStart w:id="269" w:name="Functional_Coordination_and_Sustainable_"/>
      <w:bookmarkEnd w:id="269"/>
      <w:r>
        <w:rPr>
          <w:sz w:val="24"/>
        </w:rPr>
        <w:t>Functional</w:t>
      </w:r>
      <w:r>
        <w:rPr>
          <w:spacing w:val="-8"/>
          <w:sz w:val="24"/>
        </w:rPr>
        <w:t xml:space="preserve"> </w:t>
      </w:r>
      <w:r>
        <w:rPr>
          <w:sz w:val="24"/>
        </w:rPr>
        <w:t>Coordination</w:t>
      </w:r>
      <w:r>
        <w:rPr>
          <w:spacing w:val="-8"/>
          <w:sz w:val="24"/>
        </w:rPr>
        <w:t xml:space="preserve"> </w:t>
      </w:r>
      <w:r>
        <w:rPr>
          <w:sz w:val="24"/>
        </w:rPr>
        <w:t>and</w:t>
      </w:r>
      <w:r>
        <w:rPr>
          <w:spacing w:val="-3"/>
          <w:sz w:val="24"/>
        </w:rPr>
        <w:t xml:space="preserve"> </w:t>
      </w:r>
      <w:r>
        <w:rPr>
          <w:sz w:val="24"/>
        </w:rPr>
        <w:t>Sustainable</w:t>
      </w:r>
      <w:r>
        <w:rPr>
          <w:spacing w:val="-3"/>
          <w:sz w:val="24"/>
        </w:rPr>
        <w:t xml:space="preserve"> </w:t>
      </w:r>
      <w:r>
        <w:rPr>
          <w:spacing w:val="-2"/>
          <w:sz w:val="24"/>
        </w:rPr>
        <w:t>Competitiveness</w:t>
      </w:r>
    </w:p>
    <w:p w:rsidR="00487D64" w:rsidRDefault="006F0D93">
      <w:pPr>
        <w:ind w:left="165" w:right="164"/>
        <w:jc w:val="both"/>
        <w:rPr>
          <w:sz w:val="24"/>
        </w:rPr>
      </w:pPr>
      <w:r>
        <w:rPr>
          <w:sz w:val="24"/>
        </w:rPr>
        <w:t>The relationship between FC and SC was not significant (p =</w:t>
      </w:r>
      <w:r>
        <w:rPr>
          <w:spacing w:val="-3"/>
          <w:sz w:val="24"/>
        </w:rPr>
        <w:t xml:space="preserve"> </w:t>
      </w:r>
      <w:r>
        <w:rPr>
          <w:sz w:val="24"/>
        </w:rPr>
        <w:t>0.120), rejecting H3. This suggests complianc</w:t>
      </w:r>
      <w:r>
        <w:rPr>
          <w:sz w:val="24"/>
        </w:rPr>
        <w:t>e-driven coordination fails to generate strategic advantage in public procurement contexts,</w:t>
      </w:r>
      <w:r>
        <w:rPr>
          <w:spacing w:val="-4"/>
          <w:sz w:val="24"/>
        </w:rPr>
        <w:t xml:space="preserve"> </w:t>
      </w:r>
      <w:r>
        <w:rPr>
          <w:sz w:val="24"/>
        </w:rPr>
        <w:t>aligning</w:t>
      </w:r>
      <w:r>
        <w:rPr>
          <w:spacing w:val="-2"/>
          <w:sz w:val="24"/>
        </w:rPr>
        <w:t xml:space="preserve"> </w:t>
      </w:r>
      <w:r>
        <w:rPr>
          <w:sz w:val="24"/>
        </w:rPr>
        <w:t>with</w:t>
      </w:r>
      <w:r>
        <w:rPr>
          <w:spacing w:val="-6"/>
          <w:sz w:val="24"/>
        </w:rPr>
        <w:t xml:space="preserve"> </w:t>
      </w:r>
      <w:r>
        <w:rPr>
          <w:sz w:val="24"/>
        </w:rPr>
        <w:t>studies</w:t>
      </w:r>
      <w:r>
        <w:rPr>
          <w:spacing w:val="-4"/>
          <w:sz w:val="24"/>
        </w:rPr>
        <w:t xml:space="preserve"> </w:t>
      </w:r>
      <w:r>
        <w:rPr>
          <w:sz w:val="24"/>
        </w:rPr>
        <w:t>calling</w:t>
      </w:r>
      <w:r>
        <w:rPr>
          <w:spacing w:val="-2"/>
          <w:sz w:val="24"/>
        </w:rPr>
        <w:t xml:space="preserve"> </w:t>
      </w:r>
      <w:r>
        <w:rPr>
          <w:sz w:val="24"/>
        </w:rPr>
        <w:t>for adaptive, innovation-oriented</w:t>
      </w:r>
      <w:r>
        <w:rPr>
          <w:spacing w:val="-2"/>
          <w:sz w:val="24"/>
        </w:rPr>
        <w:t xml:space="preserve"> </w:t>
      </w:r>
      <w:r>
        <w:rPr>
          <w:sz w:val="24"/>
        </w:rPr>
        <w:t>coordination</w:t>
      </w:r>
      <w:r>
        <w:rPr>
          <w:spacing w:val="-2"/>
          <w:sz w:val="24"/>
        </w:rPr>
        <w:t xml:space="preserve"> </w:t>
      </w:r>
      <w:r>
        <w:rPr>
          <w:sz w:val="24"/>
        </w:rPr>
        <w:t>frameworks over traditional efficiency-based mechanisms (Maurer, 2022; Waruiru et al., 2018).</w:t>
      </w:r>
    </w:p>
    <w:p w:rsidR="00487D64" w:rsidRDefault="00487D64">
      <w:pPr>
        <w:pStyle w:val="BodyText"/>
        <w:rPr>
          <w:sz w:val="20"/>
        </w:rPr>
      </w:pPr>
    </w:p>
    <w:p w:rsidR="00487D64" w:rsidRDefault="00487D64">
      <w:pPr>
        <w:pStyle w:val="BodyText"/>
        <w:rPr>
          <w:sz w:val="20"/>
        </w:rPr>
      </w:pPr>
    </w:p>
    <w:p w:rsidR="00487D64" w:rsidRDefault="006F0D93">
      <w:pPr>
        <w:pStyle w:val="BodyText"/>
        <w:spacing w:before="211"/>
        <w:rPr>
          <w:sz w:val="20"/>
        </w:rPr>
      </w:pPr>
      <w:r>
        <w:rPr>
          <w:noProof/>
          <w:sz w:val="20"/>
        </w:rPr>
        <mc:AlternateContent>
          <mc:Choice Requires="wps">
            <w:drawing>
              <wp:anchor distT="0" distB="0" distL="0" distR="0" simplePos="0" relativeHeight="487608320" behindDoc="1" locked="0" layoutInCell="1" allowOverlap="1">
                <wp:simplePos x="0" y="0"/>
                <wp:positionH relativeFrom="page">
                  <wp:posOffset>896416</wp:posOffset>
                </wp:positionH>
                <wp:positionV relativeFrom="paragraph">
                  <wp:posOffset>295264</wp:posOffset>
                </wp:positionV>
                <wp:extent cx="5982335" cy="55244"/>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26F8152" id="Graphic 109" o:spid="_x0000_s1026" style="position:absolute;margin-left:70.6pt;margin-top:23.25pt;width:471.05pt;height:4.3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111" name="Graphic 111"/>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5361A2B0" id="Group 110"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">
                <v:shape id="Graphic 111"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" path="m5982335,18288l,18288,,54864r5982335,l5982335,18288xem5982335,l,,,9144r5982335,l5982335,xe" fillcolor="#612322" stroked="f">
                  <v:path arrowok="t"/>
                </v:shape>
                <w10:anchorlock/>
              </v:group>
            </w:pict>
          </mc:Fallback>
        </mc:AlternateContent>
      </w:r>
    </w:p>
    <w:p w:rsidR="00487D64" w:rsidRDefault="006F0D93">
      <w:pPr>
        <w:spacing w:line="267" w:lineRule="exact"/>
        <w:ind w:left="165"/>
        <w:jc w:val="both"/>
        <w:rPr>
          <w:sz w:val="24"/>
        </w:rPr>
      </w:pPr>
      <w:bookmarkStart w:id="270" w:name="Moderation:_Strategic_Flexibility_on_CU–"/>
      <w:bookmarkEnd w:id="270"/>
      <w:r>
        <w:rPr>
          <w:sz w:val="24"/>
        </w:rPr>
        <w:t>Moderation:</w:t>
      </w:r>
      <w:r>
        <w:rPr>
          <w:spacing w:val="-4"/>
          <w:sz w:val="24"/>
        </w:rPr>
        <w:t xml:space="preserve"> </w:t>
      </w:r>
      <w:r>
        <w:rPr>
          <w:sz w:val="24"/>
        </w:rPr>
        <w:t>Strategic</w:t>
      </w:r>
      <w:r>
        <w:rPr>
          <w:spacing w:val="2"/>
          <w:sz w:val="24"/>
        </w:rPr>
        <w:t xml:space="preserve"> </w:t>
      </w:r>
      <w:r>
        <w:rPr>
          <w:sz w:val="24"/>
        </w:rPr>
        <w:t>Flexibility</w:t>
      </w:r>
      <w:r>
        <w:rPr>
          <w:spacing w:val="-7"/>
          <w:sz w:val="24"/>
        </w:rPr>
        <w:t xml:space="preserve"> </w:t>
      </w:r>
      <w:r>
        <w:rPr>
          <w:sz w:val="24"/>
        </w:rPr>
        <w:t>on</w:t>
      </w:r>
      <w:r>
        <w:rPr>
          <w:spacing w:val="-6"/>
          <w:sz w:val="24"/>
        </w:rPr>
        <w:t xml:space="preserve"> </w:t>
      </w:r>
      <w:r>
        <w:rPr>
          <w:sz w:val="24"/>
        </w:rPr>
        <w:t>CU–SC</w:t>
      </w:r>
      <w:r>
        <w:rPr>
          <w:spacing w:val="-3"/>
          <w:sz w:val="24"/>
        </w:rPr>
        <w:t xml:space="preserve"> </w:t>
      </w:r>
      <w:r>
        <w:rPr>
          <w:spacing w:val="-2"/>
          <w:sz w:val="24"/>
        </w:rPr>
        <w:t>Relationship</w:t>
      </w:r>
    </w:p>
    <w:p w:rsidR="00487D64" w:rsidRDefault="006F0D93">
      <w:pPr>
        <w:ind w:left="165" w:right="160"/>
        <w:jc w:val="both"/>
        <w:rPr>
          <w:sz w:val="24"/>
        </w:rPr>
      </w:pPr>
      <w:r>
        <w:rPr>
          <w:sz w:val="24"/>
        </w:rPr>
        <w:t>SF did not significantly moderate the CU–SC relationship (p = 0.142), rejecting H4. Regulatory rigidity and resource limitations may restrict SMEs’ ability to leverage flexibility for customer- driven strategies, supporting findings that moderation effects</w:t>
      </w:r>
      <w:r>
        <w:rPr>
          <w:sz w:val="24"/>
        </w:rPr>
        <w:t xml:space="preserve"> depend on technological and contextual enablers (Pekovic &amp; Rolland, 2016; Kasumaningtyas &amp; Cempena, 2024).</w:t>
      </w:r>
    </w:p>
    <w:p w:rsidR="00487D64" w:rsidRDefault="00487D64">
      <w:pPr>
        <w:pStyle w:val="BodyText"/>
        <w:spacing w:before="6"/>
        <w:rPr>
          <w:sz w:val="24"/>
        </w:rPr>
      </w:pPr>
    </w:p>
    <w:p w:rsidR="00487D64" w:rsidRDefault="006F0D93">
      <w:pPr>
        <w:spacing w:line="275" w:lineRule="exact"/>
        <w:ind w:left="165"/>
        <w:jc w:val="both"/>
        <w:rPr>
          <w:sz w:val="24"/>
        </w:rPr>
      </w:pPr>
      <w:bookmarkStart w:id="271" w:name="Moderation:_Strategic_Flexibility_on_CO–"/>
      <w:bookmarkEnd w:id="271"/>
      <w:r>
        <w:rPr>
          <w:sz w:val="24"/>
        </w:rPr>
        <w:t>Moderation:</w:t>
      </w:r>
      <w:r>
        <w:rPr>
          <w:spacing w:val="-4"/>
          <w:sz w:val="24"/>
        </w:rPr>
        <w:t xml:space="preserve"> </w:t>
      </w:r>
      <w:r>
        <w:rPr>
          <w:sz w:val="24"/>
        </w:rPr>
        <w:t>Strategic</w:t>
      </w:r>
      <w:r>
        <w:rPr>
          <w:spacing w:val="2"/>
          <w:sz w:val="24"/>
        </w:rPr>
        <w:t xml:space="preserve"> </w:t>
      </w:r>
      <w:r>
        <w:rPr>
          <w:sz w:val="24"/>
        </w:rPr>
        <w:t>Flexibility</w:t>
      </w:r>
      <w:r>
        <w:rPr>
          <w:spacing w:val="-7"/>
          <w:sz w:val="24"/>
        </w:rPr>
        <w:t xml:space="preserve"> </w:t>
      </w:r>
      <w:r>
        <w:rPr>
          <w:sz w:val="24"/>
        </w:rPr>
        <w:t>on</w:t>
      </w:r>
      <w:r>
        <w:rPr>
          <w:spacing w:val="-6"/>
          <w:sz w:val="24"/>
        </w:rPr>
        <w:t xml:space="preserve"> </w:t>
      </w:r>
      <w:r>
        <w:rPr>
          <w:sz w:val="24"/>
        </w:rPr>
        <w:t>CO–SC</w:t>
      </w:r>
      <w:r>
        <w:rPr>
          <w:spacing w:val="-3"/>
          <w:sz w:val="24"/>
        </w:rPr>
        <w:t xml:space="preserve"> </w:t>
      </w:r>
      <w:r>
        <w:rPr>
          <w:spacing w:val="-2"/>
          <w:sz w:val="24"/>
        </w:rPr>
        <w:t>Relationship</w:t>
      </w:r>
    </w:p>
    <w:p w:rsidR="00487D64" w:rsidRDefault="006F0D93">
      <w:pPr>
        <w:ind w:left="165" w:right="169"/>
        <w:jc w:val="both"/>
        <w:rPr>
          <w:sz w:val="24"/>
        </w:rPr>
      </w:pPr>
      <w:r>
        <w:rPr>
          <w:sz w:val="24"/>
        </w:rPr>
        <w:t>SF</w:t>
      </w:r>
      <w:r>
        <w:rPr>
          <w:spacing w:val="-6"/>
          <w:sz w:val="24"/>
        </w:rPr>
        <w:t xml:space="preserve"> </w:t>
      </w:r>
      <w:r>
        <w:rPr>
          <w:sz w:val="24"/>
        </w:rPr>
        <w:t>significantly</w:t>
      </w:r>
      <w:r>
        <w:rPr>
          <w:spacing w:val="-7"/>
          <w:sz w:val="24"/>
        </w:rPr>
        <w:t xml:space="preserve"> </w:t>
      </w:r>
      <w:r>
        <w:rPr>
          <w:sz w:val="24"/>
        </w:rPr>
        <w:t>moderated</w:t>
      </w:r>
      <w:r>
        <w:rPr>
          <w:spacing w:val="-7"/>
          <w:sz w:val="24"/>
        </w:rPr>
        <w:t xml:space="preserve"> </w:t>
      </w:r>
      <w:r>
        <w:rPr>
          <w:sz w:val="24"/>
        </w:rPr>
        <w:t>the</w:t>
      </w:r>
      <w:r>
        <w:rPr>
          <w:spacing w:val="-4"/>
          <w:sz w:val="24"/>
        </w:rPr>
        <w:t xml:space="preserve"> </w:t>
      </w:r>
      <w:r>
        <w:rPr>
          <w:sz w:val="24"/>
        </w:rPr>
        <w:t>CO–SC</w:t>
      </w:r>
      <w:r>
        <w:rPr>
          <w:spacing w:val="-5"/>
          <w:sz w:val="24"/>
        </w:rPr>
        <w:t xml:space="preserve"> </w:t>
      </w:r>
      <w:r>
        <w:rPr>
          <w:sz w:val="24"/>
        </w:rPr>
        <w:t>link</w:t>
      </w:r>
      <w:r>
        <w:rPr>
          <w:spacing w:val="-3"/>
          <w:sz w:val="24"/>
        </w:rPr>
        <w:t xml:space="preserve"> </w:t>
      </w:r>
      <w:r>
        <w:rPr>
          <w:sz w:val="24"/>
        </w:rPr>
        <w:t>(p</w:t>
      </w:r>
      <w:r>
        <w:rPr>
          <w:spacing w:val="-3"/>
          <w:sz w:val="24"/>
        </w:rPr>
        <w:t xml:space="preserve"> </w:t>
      </w:r>
      <w:r>
        <w:rPr>
          <w:sz w:val="24"/>
        </w:rPr>
        <w:t>=</w:t>
      </w:r>
      <w:r>
        <w:rPr>
          <w:spacing w:val="-4"/>
          <w:sz w:val="24"/>
        </w:rPr>
        <w:t xml:space="preserve"> </w:t>
      </w:r>
      <w:r>
        <w:rPr>
          <w:sz w:val="24"/>
        </w:rPr>
        <w:t>0.001),</w:t>
      </w:r>
      <w:r>
        <w:rPr>
          <w:spacing w:val="-6"/>
          <w:sz w:val="24"/>
        </w:rPr>
        <w:t xml:space="preserve"> </w:t>
      </w:r>
      <w:r>
        <w:rPr>
          <w:sz w:val="24"/>
        </w:rPr>
        <w:t>supporting</w:t>
      </w:r>
      <w:r>
        <w:rPr>
          <w:spacing w:val="-3"/>
          <w:sz w:val="24"/>
        </w:rPr>
        <w:t xml:space="preserve"> </w:t>
      </w:r>
      <w:r>
        <w:rPr>
          <w:sz w:val="24"/>
        </w:rPr>
        <w:t>H5.</w:t>
      </w:r>
      <w:r>
        <w:rPr>
          <w:spacing w:val="-2"/>
          <w:sz w:val="24"/>
        </w:rPr>
        <w:t xml:space="preserve"> </w:t>
      </w:r>
      <w:r>
        <w:rPr>
          <w:sz w:val="24"/>
        </w:rPr>
        <w:t>Flexibility</w:t>
      </w:r>
      <w:r>
        <w:rPr>
          <w:spacing w:val="-12"/>
          <w:sz w:val="24"/>
        </w:rPr>
        <w:t xml:space="preserve"> </w:t>
      </w:r>
      <w:r>
        <w:rPr>
          <w:sz w:val="24"/>
        </w:rPr>
        <w:t>enables</w:t>
      </w:r>
      <w:r>
        <w:rPr>
          <w:spacing w:val="-5"/>
          <w:sz w:val="24"/>
        </w:rPr>
        <w:t xml:space="preserve"> </w:t>
      </w:r>
      <w:r>
        <w:rPr>
          <w:sz w:val="24"/>
        </w:rPr>
        <w:t>SMEs to reconfigure resources, respond to competitive intelligence, and enhance bid strategies, confirming its</w:t>
      </w:r>
      <w:r>
        <w:rPr>
          <w:spacing w:val="-2"/>
          <w:sz w:val="24"/>
        </w:rPr>
        <w:t xml:space="preserve"> </w:t>
      </w:r>
      <w:r>
        <w:rPr>
          <w:sz w:val="24"/>
        </w:rPr>
        <w:t>role in</w:t>
      </w:r>
      <w:r>
        <w:rPr>
          <w:spacing w:val="-4"/>
          <w:sz w:val="24"/>
        </w:rPr>
        <w:t xml:space="preserve"> </w:t>
      </w:r>
      <w:r>
        <w:rPr>
          <w:sz w:val="24"/>
        </w:rPr>
        <w:t>strengthening competitor</w:t>
      </w:r>
      <w:r>
        <w:rPr>
          <w:spacing w:val="-7"/>
          <w:sz w:val="24"/>
        </w:rPr>
        <w:t xml:space="preserve"> </w:t>
      </w:r>
      <w:r>
        <w:rPr>
          <w:sz w:val="24"/>
        </w:rPr>
        <w:t>orientation</w:t>
      </w:r>
      <w:r>
        <w:rPr>
          <w:spacing w:val="-4"/>
          <w:sz w:val="24"/>
        </w:rPr>
        <w:t xml:space="preserve"> </w:t>
      </w:r>
      <w:r>
        <w:rPr>
          <w:sz w:val="24"/>
        </w:rPr>
        <w:t>effects</w:t>
      </w:r>
      <w:r>
        <w:rPr>
          <w:spacing w:val="-2"/>
          <w:sz w:val="24"/>
        </w:rPr>
        <w:t xml:space="preserve"> </w:t>
      </w:r>
      <w:r>
        <w:rPr>
          <w:sz w:val="24"/>
        </w:rPr>
        <w:t>(Khan</w:t>
      </w:r>
      <w:r>
        <w:rPr>
          <w:spacing w:val="-4"/>
          <w:sz w:val="24"/>
        </w:rPr>
        <w:t xml:space="preserve"> </w:t>
      </w:r>
      <w:r>
        <w:rPr>
          <w:sz w:val="24"/>
        </w:rPr>
        <w:t>et al., 2022;</w:t>
      </w:r>
      <w:r>
        <w:rPr>
          <w:spacing w:val="-4"/>
          <w:sz w:val="24"/>
        </w:rPr>
        <w:t xml:space="preserve"> </w:t>
      </w:r>
      <w:r>
        <w:rPr>
          <w:sz w:val="24"/>
        </w:rPr>
        <w:t xml:space="preserve">Yang et al., </w:t>
      </w:r>
      <w:r>
        <w:rPr>
          <w:spacing w:val="-2"/>
          <w:sz w:val="24"/>
        </w:rPr>
        <w:t>2022).</w:t>
      </w:r>
    </w:p>
    <w:p w:rsidR="00487D64" w:rsidRDefault="00487D64">
      <w:pPr>
        <w:pStyle w:val="BodyText"/>
        <w:spacing w:before="6"/>
        <w:rPr>
          <w:sz w:val="24"/>
        </w:rPr>
      </w:pPr>
    </w:p>
    <w:p w:rsidR="00487D64" w:rsidRDefault="006F0D93">
      <w:pPr>
        <w:spacing w:line="275" w:lineRule="exact"/>
        <w:ind w:left="165"/>
        <w:jc w:val="both"/>
        <w:rPr>
          <w:sz w:val="24"/>
        </w:rPr>
      </w:pPr>
      <w:bookmarkStart w:id="272" w:name="Moderation:_Strategic_Flexibility_on_FC–"/>
      <w:bookmarkEnd w:id="272"/>
      <w:r>
        <w:rPr>
          <w:sz w:val="24"/>
        </w:rPr>
        <w:t>Moderation:</w:t>
      </w:r>
      <w:r>
        <w:rPr>
          <w:spacing w:val="-3"/>
          <w:sz w:val="24"/>
        </w:rPr>
        <w:t xml:space="preserve"> </w:t>
      </w:r>
      <w:r>
        <w:rPr>
          <w:sz w:val="24"/>
        </w:rPr>
        <w:t>Strategic</w:t>
      </w:r>
      <w:r>
        <w:rPr>
          <w:spacing w:val="2"/>
          <w:sz w:val="24"/>
        </w:rPr>
        <w:t xml:space="preserve"> </w:t>
      </w:r>
      <w:r>
        <w:rPr>
          <w:sz w:val="24"/>
        </w:rPr>
        <w:t>Flexibility</w:t>
      </w:r>
      <w:r>
        <w:rPr>
          <w:spacing w:val="-7"/>
          <w:sz w:val="24"/>
        </w:rPr>
        <w:t xml:space="preserve"> </w:t>
      </w:r>
      <w:r>
        <w:rPr>
          <w:sz w:val="24"/>
        </w:rPr>
        <w:t>on</w:t>
      </w:r>
      <w:r>
        <w:rPr>
          <w:spacing w:val="-7"/>
          <w:sz w:val="24"/>
        </w:rPr>
        <w:t xml:space="preserve"> </w:t>
      </w:r>
      <w:r>
        <w:rPr>
          <w:sz w:val="24"/>
        </w:rPr>
        <w:t>FC–SC</w:t>
      </w:r>
      <w:r>
        <w:rPr>
          <w:spacing w:val="-4"/>
          <w:sz w:val="24"/>
        </w:rPr>
        <w:t xml:space="preserve"> </w:t>
      </w:r>
      <w:r>
        <w:rPr>
          <w:spacing w:val="-2"/>
          <w:sz w:val="24"/>
        </w:rPr>
        <w:t>Relation</w:t>
      </w:r>
      <w:r>
        <w:rPr>
          <w:spacing w:val="-2"/>
          <w:sz w:val="24"/>
        </w:rPr>
        <w:t>ship</w:t>
      </w:r>
    </w:p>
    <w:p w:rsidR="00487D64" w:rsidRDefault="006F0D93">
      <w:pPr>
        <w:ind w:left="165" w:right="164"/>
        <w:jc w:val="both"/>
        <w:rPr>
          <w:sz w:val="24"/>
        </w:rPr>
      </w:pPr>
      <w:r>
        <w:rPr>
          <w:sz w:val="24"/>
        </w:rPr>
        <w:t>Strategic flexibility did not significantly moderate the FC–SC relationship (p = 0.978), rejecting H6. This aligns with evidence suggesting coordination capabilities require complementary mechanisms to influence competitiveness, especially in rigid pr</w:t>
      </w:r>
      <w:r>
        <w:rPr>
          <w:sz w:val="24"/>
        </w:rPr>
        <w:t>ocurement contexts where flexibility alone cannot offset structural limitations (Vem et al., 2022; Mohammad et al., 2024).</w:t>
      </w:r>
    </w:p>
    <w:p w:rsidR="00487D64" w:rsidRDefault="00487D64">
      <w:pPr>
        <w:pStyle w:val="BodyText"/>
        <w:spacing w:before="2"/>
        <w:rPr>
          <w:sz w:val="24"/>
        </w:rPr>
      </w:pPr>
    </w:p>
    <w:p w:rsidR="00487D64" w:rsidRDefault="006F0D93">
      <w:pPr>
        <w:spacing w:line="275" w:lineRule="exact"/>
        <w:ind w:left="165"/>
        <w:rPr>
          <w:b/>
          <w:sz w:val="24"/>
        </w:rPr>
      </w:pPr>
      <w:r>
        <w:rPr>
          <w:b/>
          <w:spacing w:val="-2"/>
          <w:sz w:val="24"/>
        </w:rPr>
        <w:t>Conclusion</w:t>
      </w:r>
    </w:p>
    <w:p w:rsidR="00487D64" w:rsidRDefault="006F0D93">
      <w:pPr>
        <w:ind w:left="165" w:right="164"/>
        <w:jc w:val="both"/>
        <w:rPr>
          <w:sz w:val="24"/>
        </w:rPr>
      </w:pPr>
      <w:r>
        <w:rPr>
          <w:sz w:val="24"/>
        </w:rPr>
        <w:t>Findings</w:t>
      </w:r>
      <w:r>
        <w:rPr>
          <w:spacing w:val="-12"/>
          <w:sz w:val="24"/>
        </w:rPr>
        <w:t xml:space="preserve"> </w:t>
      </w:r>
      <w:r>
        <w:rPr>
          <w:sz w:val="24"/>
        </w:rPr>
        <w:t>show</w:t>
      </w:r>
      <w:r>
        <w:rPr>
          <w:spacing w:val="-9"/>
          <w:sz w:val="24"/>
        </w:rPr>
        <w:t xml:space="preserve"> </w:t>
      </w:r>
      <w:r>
        <w:rPr>
          <w:sz w:val="24"/>
        </w:rPr>
        <w:t>customer</w:t>
      </w:r>
      <w:r>
        <w:rPr>
          <w:spacing w:val="-7"/>
          <w:sz w:val="24"/>
        </w:rPr>
        <w:t xml:space="preserve"> </w:t>
      </w:r>
      <w:r>
        <w:rPr>
          <w:sz w:val="24"/>
        </w:rPr>
        <w:t>and</w:t>
      </w:r>
      <w:r>
        <w:rPr>
          <w:spacing w:val="-9"/>
          <w:sz w:val="24"/>
        </w:rPr>
        <w:t xml:space="preserve"> </w:t>
      </w:r>
      <w:r>
        <w:rPr>
          <w:sz w:val="24"/>
        </w:rPr>
        <w:t>competitor</w:t>
      </w:r>
      <w:r>
        <w:rPr>
          <w:spacing w:val="-15"/>
          <w:sz w:val="24"/>
        </w:rPr>
        <w:t xml:space="preserve"> </w:t>
      </w:r>
      <w:r>
        <w:rPr>
          <w:sz w:val="24"/>
        </w:rPr>
        <w:t>orientations</w:t>
      </w:r>
      <w:r>
        <w:rPr>
          <w:spacing w:val="-11"/>
          <w:sz w:val="24"/>
        </w:rPr>
        <w:t xml:space="preserve"> </w:t>
      </w:r>
      <w:r>
        <w:rPr>
          <w:sz w:val="24"/>
        </w:rPr>
        <w:t>significantly</w:t>
      </w:r>
      <w:r>
        <w:rPr>
          <w:spacing w:val="-15"/>
          <w:sz w:val="24"/>
        </w:rPr>
        <w:t xml:space="preserve"> </w:t>
      </w:r>
      <w:r>
        <w:rPr>
          <w:sz w:val="24"/>
        </w:rPr>
        <w:t>enhance</w:t>
      </w:r>
      <w:r>
        <w:rPr>
          <w:spacing w:val="-10"/>
          <w:sz w:val="24"/>
        </w:rPr>
        <w:t xml:space="preserve"> </w:t>
      </w:r>
      <w:r>
        <w:rPr>
          <w:sz w:val="24"/>
        </w:rPr>
        <w:t>competitiveness,</w:t>
      </w:r>
      <w:r>
        <w:rPr>
          <w:spacing w:val="-7"/>
          <w:sz w:val="24"/>
        </w:rPr>
        <w:t xml:space="preserve"> </w:t>
      </w:r>
      <w:r>
        <w:rPr>
          <w:sz w:val="24"/>
        </w:rPr>
        <w:t>while functional coordination i</w:t>
      </w:r>
      <w:r>
        <w:rPr>
          <w:sz w:val="24"/>
        </w:rPr>
        <w:t>s insignificant. Strategic flexibility strengthens competitor orientation’s effect but shows limited influence elsewhere. Thus, SMEs need strong market orientation supported</w:t>
      </w:r>
      <w:r>
        <w:rPr>
          <w:spacing w:val="-3"/>
          <w:sz w:val="24"/>
        </w:rPr>
        <w:t xml:space="preserve"> </w:t>
      </w:r>
      <w:r>
        <w:rPr>
          <w:sz w:val="24"/>
        </w:rPr>
        <w:t>by</w:t>
      </w:r>
      <w:r>
        <w:rPr>
          <w:spacing w:val="-12"/>
          <w:sz w:val="24"/>
        </w:rPr>
        <w:t xml:space="preserve"> </w:t>
      </w:r>
      <w:r>
        <w:rPr>
          <w:sz w:val="24"/>
        </w:rPr>
        <w:t>adaptive capabilities</w:t>
      </w:r>
      <w:r>
        <w:rPr>
          <w:spacing w:val="-4"/>
          <w:sz w:val="24"/>
        </w:rPr>
        <w:t xml:space="preserve"> </w:t>
      </w:r>
      <w:r>
        <w:rPr>
          <w:sz w:val="24"/>
        </w:rPr>
        <w:t>to remain</w:t>
      </w:r>
      <w:r>
        <w:rPr>
          <w:spacing w:val="-3"/>
          <w:sz w:val="24"/>
        </w:rPr>
        <w:t xml:space="preserve"> </w:t>
      </w:r>
      <w:r>
        <w:rPr>
          <w:sz w:val="24"/>
        </w:rPr>
        <w:t>competitive in</w:t>
      </w:r>
      <w:r>
        <w:rPr>
          <w:spacing w:val="-3"/>
          <w:sz w:val="24"/>
        </w:rPr>
        <w:t xml:space="preserve"> </w:t>
      </w:r>
      <w:r>
        <w:rPr>
          <w:sz w:val="24"/>
        </w:rPr>
        <w:t>regulated</w:t>
      </w:r>
      <w:r>
        <w:rPr>
          <w:spacing w:val="-3"/>
          <w:sz w:val="24"/>
        </w:rPr>
        <w:t xml:space="preserve"> </w:t>
      </w:r>
      <w:r>
        <w:rPr>
          <w:sz w:val="24"/>
        </w:rPr>
        <w:t>procurement environmen</w:t>
      </w:r>
      <w:r>
        <w:rPr>
          <w:sz w:val="24"/>
        </w:rPr>
        <w:t>ts. However, flexibility</w:t>
      </w:r>
      <w:r>
        <w:rPr>
          <w:spacing w:val="-9"/>
          <w:sz w:val="24"/>
        </w:rPr>
        <w:t xml:space="preserve"> </w:t>
      </w:r>
      <w:r>
        <w:rPr>
          <w:sz w:val="24"/>
        </w:rPr>
        <w:t>and internal</w:t>
      </w:r>
      <w:r>
        <w:rPr>
          <w:spacing w:val="-9"/>
          <w:sz w:val="24"/>
        </w:rPr>
        <w:t xml:space="preserve"> </w:t>
      </w:r>
      <w:r>
        <w:rPr>
          <w:sz w:val="24"/>
        </w:rPr>
        <w:t>coordination</w:t>
      </w:r>
      <w:r>
        <w:rPr>
          <w:spacing w:val="-4"/>
          <w:sz w:val="24"/>
        </w:rPr>
        <w:t xml:space="preserve"> </w:t>
      </w:r>
      <w:r>
        <w:rPr>
          <w:sz w:val="24"/>
        </w:rPr>
        <w:t>alone</w:t>
      </w:r>
      <w:r>
        <w:rPr>
          <w:spacing w:val="-1"/>
          <w:sz w:val="24"/>
        </w:rPr>
        <w:t xml:space="preserve"> </w:t>
      </w:r>
      <w:r>
        <w:rPr>
          <w:sz w:val="24"/>
        </w:rPr>
        <w:t>are</w:t>
      </w:r>
      <w:r>
        <w:rPr>
          <w:spacing w:val="-5"/>
          <w:sz w:val="24"/>
        </w:rPr>
        <w:t xml:space="preserve"> </w:t>
      </w:r>
      <w:r>
        <w:rPr>
          <w:sz w:val="24"/>
        </w:rPr>
        <w:t>insufficient without innovation, enabling infrastructure, and supportive institutional frameworks for sustainable success.</w:t>
      </w:r>
    </w:p>
    <w:p w:rsidR="00487D64" w:rsidRDefault="00487D64">
      <w:pPr>
        <w:pStyle w:val="BodyText"/>
        <w:spacing w:before="2"/>
        <w:rPr>
          <w:sz w:val="24"/>
        </w:rPr>
      </w:pPr>
    </w:p>
    <w:p w:rsidR="00487D64" w:rsidRDefault="006F0D93">
      <w:pPr>
        <w:spacing w:line="275" w:lineRule="exact"/>
        <w:ind w:left="165"/>
        <w:rPr>
          <w:b/>
          <w:sz w:val="24"/>
        </w:rPr>
      </w:pPr>
      <w:r>
        <w:rPr>
          <w:b/>
          <w:spacing w:val="-2"/>
          <w:sz w:val="24"/>
        </w:rPr>
        <w:t>REFERENCE</w:t>
      </w:r>
    </w:p>
    <w:p w:rsidR="00487D64" w:rsidRDefault="006F0D93">
      <w:pPr>
        <w:pStyle w:val="ListParagraph"/>
        <w:numPr>
          <w:ilvl w:val="0"/>
          <w:numId w:val="2"/>
        </w:numPr>
        <w:tabs>
          <w:tab w:val="left" w:pos="561"/>
          <w:tab w:val="left" w:pos="563"/>
        </w:tabs>
        <w:spacing w:before="1" w:line="237" w:lineRule="auto"/>
        <w:ind w:right="169"/>
        <w:jc w:val="both"/>
        <w:rPr>
          <w:sz w:val="24"/>
        </w:rPr>
      </w:pPr>
      <w:r>
        <w:rPr>
          <w:sz w:val="24"/>
        </w:rPr>
        <w:t>Aabo, T., Pantzalis, C., Park, J. C.,</w:t>
      </w:r>
      <w:r>
        <w:rPr>
          <w:spacing w:val="-1"/>
          <w:sz w:val="24"/>
        </w:rPr>
        <w:t xml:space="preserve"> </w:t>
      </w:r>
      <w:r>
        <w:rPr>
          <w:sz w:val="24"/>
        </w:rPr>
        <w:t>Trigeorgis, L., and Wulff, J. N. (2024). CEO personality traits, strategic flexibility, and firm dynamics. Journal of Corporate Finance, 84, 102524.</w:t>
      </w:r>
    </w:p>
    <w:p w:rsidR="00487D64" w:rsidRDefault="006F0D93">
      <w:pPr>
        <w:pStyle w:val="ListParagraph"/>
        <w:numPr>
          <w:ilvl w:val="0"/>
          <w:numId w:val="2"/>
        </w:numPr>
        <w:tabs>
          <w:tab w:val="left" w:pos="561"/>
          <w:tab w:val="left" w:pos="563"/>
        </w:tabs>
        <w:spacing w:before="3"/>
        <w:ind w:right="159"/>
        <w:jc w:val="both"/>
        <w:rPr>
          <w:sz w:val="24"/>
        </w:rPr>
      </w:pPr>
      <w:r>
        <w:rPr>
          <w:sz w:val="24"/>
        </w:rPr>
        <w:t>Bankole, O. A., Olaremu, Y. B., &amp; Oghogho, V. O. (2022). Customer Orientation and Firm Competitiveness of S</w:t>
      </w:r>
      <w:r>
        <w:rPr>
          <w:sz w:val="24"/>
        </w:rPr>
        <w:t>elected Banks in Ekiti State, Nigeria. Turk Turizm Arastirmalari Dergisi, 5(1), 15-25.</w:t>
      </w:r>
    </w:p>
    <w:p w:rsidR="00487D64" w:rsidRDefault="006F0D93">
      <w:pPr>
        <w:pStyle w:val="ListParagraph"/>
        <w:numPr>
          <w:ilvl w:val="0"/>
          <w:numId w:val="2"/>
        </w:numPr>
        <w:tabs>
          <w:tab w:val="left" w:pos="561"/>
          <w:tab w:val="left" w:pos="563"/>
        </w:tabs>
        <w:ind w:right="161"/>
        <w:jc w:val="both"/>
        <w:rPr>
          <w:sz w:val="24"/>
        </w:rPr>
      </w:pPr>
      <w:r>
        <w:rPr>
          <w:sz w:val="24"/>
        </w:rPr>
        <w:t>Bekata, A. T., &amp; Kero, C. A. (2025). Modeling the significance of strategic orientation for innovation capabilities and enterprise performance: evidence from Ethiopian SME. Cogent Business &amp; Management, 12(1), 2440122.</w:t>
      </w:r>
    </w:p>
    <w:p w:rsidR="00487D64" w:rsidRDefault="006F0D93">
      <w:pPr>
        <w:pStyle w:val="ListParagraph"/>
        <w:numPr>
          <w:ilvl w:val="0"/>
          <w:numId w:val="2"/>
        </w:numPr>
        <w:tabs>
          <w:tab w:val="left" w:pos="561"/>
          <w:tab w:val="left" w:pos="563"/>
        </w:tabs>
        <w:spacing w:before="3" w:line="237" w:lineRule="auto"/>
        <w:ind w:right="168"/>
        <w:jc w:val="both"/>
        <w:rPr>
          <w:sz w:val="24"/>
        </w:rPr>
      </w:pPr>
      <w:r>
        <w:rPr>
          <w:sz w:val="24"/>
        </w:rPr>
        <w:t>Brozović, D., Jansson, C., and</w:t>
      </w:r>
      <w:r>
        <w:rPr>
          <w:spacing w:val="-1"/>
          <w:sz w:val="24"/>
        </w:rPr>
        <w:t xml:space="preserve"> </w:t>
      </w:r>
      <w:r>
        <w:rPr>
          <w:sz w:val="24"/>
        </w:rPr>
        <w:t>Boers,</w:t>
      </w:r>
      <w:r>
        <w:rPr>
          <w:sz w:val="24"/>
        </w:rPr>
        <w:t xml:space="preserve"> B. (2023). Strategic flexibility</w:t>
      </w:r>
      <w:r>
        <w:rPr>
          <w:spacing w:val="-6"/>
          <w:sz w:val="24"/>
        </w:rPr>
        <w:t xml:space="preserve"> </w:t>
      </w:r>
      <w:r>
        <w:rPr>
          <w:sz w:val="24"/>
        </w:rPr>
        <w:t>and</w:t>
      </w:r>
      <w:r>
        <w:rPr>
          <w:spacing w:val="-1"/>
          <w:sz w:val="24"/>
        </w:rPr>
        <w:t xml:space="preserve"> </w:t>
      </w:r>
      <w:r>
        <w:rPr>
          <w:sz w:val="24"/>
        </w:rPr>
        <w:t>growth</w:t>
      </w:r>
      <w:r>
        <w:rPr>
          <w:spacing w:val="-11"/>
          <w:sz w:val="24"/>
        </w:rPr>
        <w:t xml:space="preserve"> </w:t>
      </w:r>
      <w:r>
        <w:rPr>
          <w:sz w:val="24"/>
        </w:rPr>
        <w:t>of</w:t>
      </w:r>
      <w:r>
        <w:rPr>
          <w:spacing w:val="-9"/>
          <w:sz w:val="24"/>
        </w:rPr>
        <w:t xml:space="preserve"> </w:t>
      </w:r>
      <w:r>
        <w:rPr>
          <w:sz w:val="24"/>
        </w:rPr>
        <w:t>small</w:t>
      </w:r>
      <w:r>
        <w:rPr>
          <w:spacing w:val="-5"/>
          <w:sz w:val="24"/>
        </w:rPr>
        <w:t xml:space="preserve"> </w:t>
      </w:r>
      <w:r>
        <w:rPr>
          <w:sz w:val="24"/>
        </w:rPr>
        <w:t>and medium-sized enterprises: a study of enablers and barriers. Management Decision.</w:t>
      </w:r>
    </w:p>
    <w:p w:rsidR="00487D64" w:rsidRDefault="006F0D93">
      <w:pPr>
        <w:pStyle w:val="ListParagraph"/>
        <w:numPr>
          <w:ilvl w:val="0"/>
          <w:numId w:val="2"/>
        </w:numPr>
        <w:tabs>
          <w:tab w:val="left" w:pos="561"/>
        </w:tabs>
        <w:spacing w:before="4" w:line="275" w:lineRule="exact"/>
        <w:ind w:left="561" w:hanging="430"/>
        <w:jc w:val="both"/>
        <w:rPr>
          <w:sz w:val="24"/>
        </w:rPr>
      </w:pPr>
      <w:r>
        <w:rPr>
          <w:sz w:val="24"/>
        </w:rPr>
        <w:t>Bryman,</w:t>
      </w:r>
      <w:r>
        <w:rPr>
          <w:spacing w:val="-4"/>
          <w:sz w:val="24"/>
        </w:rPr>
        <w:t xml:space="preserve"> </w:t>
      </w:r>
      <w:r>
        <w:rPr>
          <w:sz w:val="24"/>
        </w:rPr>
        <w:t>A.</w:t>
      </w:r>
      <w:r>
        <w:rPr>
          <w:spacing w:val="-1"/>
          <w:sz w:val="24"/>
        </w:rPr>
        <w:t xml:space="preserve"> </w:t>
      </w:r>
      <w:r>
        <w:rPr>
          <w:sz w:val="24"/>
        </w:rPr>
        <w:t>(2016).</w:t>
      </w:r>
      <w:r>
        <w:rPr>
          <w:spacing w:val="-3"/>
          <w:sz w:val="24"/>
        </w:rPr>
        <w:t xml:space="preserve"> </w:t>
      </w:r>
      <w:r>
        <w:rPr>
          <w:sz w:val="24"/>
        </w:rPr>
        <w:t>Social</w:t>
      </w:r>
      <w:r>
        <w:rPr>
          <w:spacing w:val="-7"/>
          <w:sz w:val="24"/>
        </w:rPr>
        <w:t xml:space="preserve"> </w:t>
      </w:r>
      <w:r>
        <w:rPr>
          <w:sz w:val="24"/>
        </w:rPr>
        <w:t>research</w:t>
      </w:r>
      <w:r>
        <w:rPr>
          <w:spacing w:val="-3"/>
          <w:sz w:val="24"/>
        </w:rPr>
        <w:t xml:space="preserve"> </w:t>
      </w:r>
      <w:r>
        <w:rPr>
          <w:sz w:val="24"/>
        </w:rPr>
        <w:t>methods.</w:t>
      </w:r>
      <w:r>
        <w:rPr>
          <w:spacing w:val="-1"/>
          <w:sz w:val="24"/>
        </w:rPr>
        <w:t xml:space="preserve"> </w:t>
      </w:r>
      <w:r>
        <w:rPr>
          <w:sz w:val="24"/>
        </w:rPr>
        <w:t>Oxford</w:t>
      </w:r>
      <w:r>
        <w:rPr>
          <w:spacing w:val="-3"/>
          <w:sz w:val="24"/>
        </w:rPr>
        <w:t xml:space="preserve"> </w:t>
      </w:r>
      <w:r>
        <w:rPr>
          <w:sz w:val="24"/>
        </w:rPr>
        <w:t>university</w:t>
      </w:r>
      <w:r>
        <w:rPr>
          <w:spacing w:val="-7"/>
          <w:sz w:val="24"/>
        </w:rPr>
        <w:t xml:space="preserve"> </w:t>
      </w:r>
      <w:r>
        <w:rPr>
          <w:spacing w:val="-2"/>
          <w:sz w:val="24"/>
        </w:rPr>
        <w:t>press.</w:t>
      </w:r>
    </w:p>
    <w:p w:rsidR="00487D64" w:rsidRDefault="006F0D93">
      <w:pPr>
        <w:pStyle w:val="ListParagraph"/>
        <w:numPr>
          <w:ilvl w:val="0"/>
          <w:numId w:val="2"/>
        </w:numPr>
        <w:tabs>
          <w:tab w:val="left" w:pos="561"/>
          <w:tab w:val="left" w:pos="563"/>
        </w:tabs>
        <w:ind w:right="156"/>
        <w:jc w:val="both"/>
        <w:rPr>
          <w:sz w:val="24"/>
        </w:rPr>
      </w:pPr>
      <w:r>
        <w:rPr>
          <w:sz w:val="24"/>
        </w:rPr>
        <w:t>Didonet, S. R., Díaz, G., &amp; Machado, A. M. (2016</w:t>
      </w:r>
      <w:r>
        <w:rPr>
          <w:sz w:val="24"/>
        </w:rPr>
        <w:t>). Market orientation and sources of knowledge to innovate in SMEs: A firm level study. Journal of technology management &amp; innovation, 11(3), 1-10.</w:t>
      </w:r>
    </w:p>
    <w:p w:rsidR="00487D64" w:rsidRDefault="006F0D93">
      <w:pPr>
        <w:pStyle w:val="ListParagraph"/>
        <w:numPr>
          <w:ilvl w:val="0"/>
          <w:numId w:val="2"/>
        </w:numPr>
        <w:tabs>
          <w:tab w:val="left" w:pos="561"/>
          <w:tab w:val="left" w:pos="563"/>
        </w:tabs>
        <w:spacing w:line="242" w:lineRule="auto"/>
        <w:ind w:right="178"/>
        <w:jc w:val="both"/>
        <w:rPr>
          <w:sz w:val="24"/>
        </w:rPr>
      </w:pPr>
      <w:r>
        <w:rPr>
          <w:sz w:val="24"/>
        </w:rPr>
        <w:t>Frambach, R. T., Fiss, P. C., and Ingenbleek, P. T. (2016). How important is customer orientation for firm p</w:t>
      </w:r>
      <w:r>
        <w:rPr>
          <w:sz w:val="24"/>
        </w:rPr>
        <w:t>erformance? A fuzzy set analysis of orientations, strategies</w:t>
      </w:r>
    </w:p>
    <w:p w:rsidR="00487D64" w:rsidRDefault="006F0D93">
      <w:pPr>
        <w:pStyle w:val="ListParagraph"/>
        <w:numPr>
          <w:ilvl w:val="0"/>
          <w:numId w:val="2"/>
        </w:numPr>
        <w:tabs>
          <w:tab w:val="left" w:pos="561"/>
        </w:tabs>
        <w:spacing w:line="271" w:lineRule="exact"/>
        <w:ind w:left="561" w:hanging="430"/>
        <w:jc w:val="both"/>
        <w:rPr>
          <w:sz w:val="24"/>
        </w:rPr>
      </w:pPr>
      <w:r>
        <w:rPr>
          <w:sz w:val="24"/>
        </w:rPr>
        <w:t>Grandia,</w:t>
      </w:r>
      <w:r>
        <w:rPr>
          <w:spacing w:val="27"/>
          <w:sz w:val="24"/>
        </w:rPr>
        <w:t xml:space="preserve"> </w:t>
      </w:r>
      <w:r>
        <w:rPr>
          <w:sz w:val="24"/>
        </w:rPr>
        <w:t>J.,</w:t>
      </w:r>
      <w:r>
        <w:rPr>
          <w:spacing w:val="29"/>
          <w:sz w:val="24"/>
        </w:rPr>
        <w:t xml:space="preserve"> </w:t>
      </w:r>
      <w:r>
        <w:rPr>
          <w:sz w:val="24"/>
        </w:rPr>
        <w:t>&amp;</w:t>
      </w:r>
      <w:r>
        <w:rPr>
          <w:spacing w:val="23"/>
          <w:sz w:val="24"/>
        </w:rPr>
        <w:t xml:space="preserve"> </w:t>
      </w:r>
      <w:r>
        <w:rPr>
          <w:sz w:val="24"/>
        </w:rPr>
        <w:t>Volker,</w:t>
      </w:r>
      <w:r>
        <w:rPr>
          <w:spacing w:val="29"/>
          <w:sz w:val="24"/>
        </w:rPr>
        <w:t xml:space="preserve"> </w:t>
      </w:r>
      <w:r>
        <w:rPr>
          <w:sz w:val="24"/>
        </w:rPr>
        <w:t>L.</w:t>
      </w:r>
      <w:r>
        <w:rPr>
          <w:spacing w:val="29"/>
          <w:sz w:val="24"/>
        </w:rPr>
        <w:t xml:space="preserve"> </w:t>
      </w:r>
      <w:r>
        <w:rPr>
          <w:sz w:val="24"/>
        </w:rPr>
        <w:t>(2023).</w:t>
      </w:r>
      <w:r>
        <w:rPr>
          <w:spacing w:val="8"/>
          <w:sz w:val="24"/>
        </w:rPr>
        <w:t xml:space="preserve"> </w:t>
      </w:r>
      <w:r>
        <w:rPr>
          <w:sz w:val="24"/>
        </w:rPr>
        <w:t>Public</w:t>
      </w:r>
      <w:r>
        <w:rPr>
          <w:spacing w:val="26"/>
          <w:sz w:val="24"/>
        </w:rPr>
        <w:t xml:space="preserve"> </w:t>
      </w:r>
      <w:r>
        <w:rPr>
          <w:sz w:val="24"/>
        </w:rPr>
        <w:t>procurement:</w:t>
      </w:r>
      <w:r>
        <w:rPr>
          <w:spacing w:val="23"/>
          <w:sz w:val="24"/>
        </w:rPr>
        <w:t xml:space="preserve"> </w:t>
      </w:r>
      <w:r>
        <w:rPr>
          <w:sz w:val="24"/>
        </w:rPr>
        <w:t>theory,</w:t>
      </w:r>
      <w:r>
        <w:rPr>
          <w:spacing w:val="29"/>
          <w:sz w:val="24"/>
        </w:rPr>
        <w:t xml:space="preserve"> </w:t>
      </w:r>
      <w:r>
        <w:rPr>
          <w:sz w:val="24"/>
        </w:rPr>
        <w:t>practices</w:t>
      </w:r>
      <w:r>
        <w:rPr>
          <w:spacing w:val="24"/>
          <w:sz w:val="24"/>
        </w:rPr>
        <w:t xml:space="preserve"> </w:t>
      </w:r>
      <w:r>
        <w:rPr>
          <w:sz w:val="24"/>
        </w:rPr>
        <w:t>and</w:t>
      </w:r>
      <w:r>
        <w:rPr>
          <w:spacing w:val="27"/>
          <w:sz w:val="24"/>
        </w:rPr>
        <w:t xml:space="preserve"> </w:t>
      </w:r>
      <w:r>
        <w:rPr>
          <w:sz w:val="24"/>
        </w:rPr>
        <w:t>tools</w:t>
      </w:r>
      <w:r>
        <w:rPr>
          <w:spacing w:val="4"/>
          <w:sz w:val="24"/>
        </w:rPr>
        <w:t xml:space="preserve"> </w:t>
      </w:r>
      <w:r>
        <w:rPr>
          <w:sz w:val="24"/>
        </w:rPr>
        <w:t>(p.</w:t>
      </w:r>
      <w:r>
        <w:rPr>
          <w:spacing w:val="30"/>
          <w:sz w:val="24"/>
        </w:rPr>
        <w:t xml:space="preserve"> </w:t>
      </w:r>
      <w:r>
        <w:rPr>
          <w:spacing w:val="-2"/>
          <w:sz w:val="24"/>
        </w:rPr>
        <w:t>157).</w:t>
      </w:r>
    </w:p>
    <w:p w:rsidR="00487D64" w:rsidRDefault="006F0D93">
      <w:pPr>
        <w:pStyle w:val="BodyText"/>
        <w:spacing w:before="7"/>
        <w:rPr>
          <w:sz w:val="20"/>
        </w:rPr>
      </w:pPr>
      <w:r>
        <w:rPr>
          <w:noProof/>
          <w:sz w:val="20"/>
        </w:rPr>
        <mc:AlternateContent>
          <mc:Choice Requires="wps">
            <w:drawing>
              <wp:anchor distT="0" distB="0" distL="0" distR="0" simplePos="0" relativeHeight="487609344" behindDoc="1" locked="0" layoutInCell="1" allowOverlap="1">
                <wp:simplePos x="0" y="0"/>
                <wp:positionH relativeFrom="page">
                  <wp:posOffset>896416</wp:posOffset>
                </wp:positionH>
                <wp:positionV relativeFrom="paragraph">
                  <wp:posOffset>165722</wp:posOffset>
                </wp:positionV>
                <wp:extent cx="5982335" cy="55244"/>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90F73F0" id="Graphic 112" o:spid="_x0000_s1026" style="position:absolute;margin-left:70.6pt;margin-top:13.05pt;width:471.05pt;height:4.35pt;z-index:-15707136;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114" name="Graphic 114"/>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788BD881" id="Group 113"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">
                <v:shape id="Graphic 114"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" path="m5982335,18288l,18288,,54864r5982335,l5982335,18288xem5982335,l,,,9144r5982335,l5982335,xe" fillcolor="#612322" stroked="f">
                  <v:path arrowok="t"/>
                </v:shape>
                <w10:anchorlock/>
              </v:group>
            </w:pict>
          </mc:Fallback>
        </mc:AlternateContent>
      </w:r>
    </w:p>
    <w:p w:rsidR="00487D64" w:rsidRDefault="006F0D93">
      <w:pPr>
        <w:spacing w:line="267" w:lineRule="exact"/>
        <w:ind w:left="563"/>
        <w:jc w:val="both"/>
        <w:rPr>
          <w:sz w:val="24"/>
        </w:rPr>
      </w:pPr>
      <w:r>
        <w:rPr>
          <w:sz w:val="24"/>
        </w:rPr>
        <w:t>Springer</w:t>
      </w:r>
      <w:r>
        <w:rPr>
          <w:spacing w:val="-3"/>
          <w:sz w:val="24"/>
        </w:rPr>
        <w:t xml:space="preserve"> </w:t>
      </w:r>
      <w:r>
        <w:rPr>
          <w:spacing w:val="-2"/>
          <w:sz w:val="24"/>
        </w:rPr>
        <w:t>Nature.</w:t>
      </w:r>
    </w:p>
    <w:p w:rsidR="00487D64" w:rsidRDefault="006F0D93">
      <w:pPr>
        <w:pStyle w:val="ListParagraph"/>
        <w:numPr>
          <w:ilvl w:val="0"/>
          <w:numId w:val="2"/>
        </w:numPr>
        <w:tabs>
          <w:tab w:val="left" w:pos="561"/>
          <w:tab w:val="left" w:pos="563"/>
        </w:tabs>
        <w:ind w:right="157"/>
        <w:jc w:val="both"/>
        <w:rPr>
          <w:sz w:val="24"/>
        </w:rPr>
      </w:pPr>
      <w:r>
        <w:rPr>
          <w:sz w:val="24"/>
        </w:rPr>
        <w:t>Guo, H., and Cao, Z. (2014). Strategic flexibility and SME performance in an emerging economy: A</w:t>
      </w:r>
      <w:r>
        <w:rPr>
          <w:spacing w:val="-4"/>
          <w:sz w:val="24"/>
        </w:rPr>
        <w:t xml:space="preserve"> </w:t>
      </w:r>
      <w:r>
        <w:rPr>
          <w:sz w:val="24"/>
        </w:rPr>
        <w:t>contingency</w:t>
      </w:r>
      <w:r>
        <w:rPr>
          <w:spacing w:val="-5"/>
          <w:sz w:val="24"/>
        </w:rPr>
        <w:t xml:space="preserve"> </w:t>
      </w:r>
      <w:r>
        <w:rPr>
          <w:sz w:val="24"/>
        </w:rPr>
        <w:t>perspective. Journal</w:t>
      </w:r>
      <w:r>
        <w:rPr>
          <w:spacing w:val="-7"/>
          <w:sz w:val="24"/>
        </w:rPr>
        <w:t xml:space="preserve"> </w:t>
      </w:r>
      <w:r>
        <w:rPr>
          <w:sz w:val="24"/>
        </w:rPr>
        <w:t>of</w:t>
      </w:r>
      <w:r>
        <w:rPr>
          <w:spacing w:val="-5"/>
          <w:sz w:val="24"/>
        </w:rPr>
        <w:t xml:space="preserve"> </w:t>
      </w:r>
      <w:r>
        <w:rPr>
          <w:sz w:val="24"/>
        </w:rPr>
        <w:t>Organizational</w:t>
      </w:r>
      <w:r>
        <w:rPr>
          <w:spacing w:val="-7"/>
          <w:sz w:val="24"/>
        </w:rPr>
        <w:t xml:space="preserve"> </w:t>
      </w:r>
      <w:r>
        <w:rPr>
          <w:sz w:val="24"/>
        </w:rPr>
        <w:t xml:space="preserve">Change Management, 27(2), </w:t>
      </w:r>
      <w:r>
        <w:rPr>
          <w:spacing w:val="-2"/>
          <w:sz w:val="24"/>
        </w:rPr>
        <w:t>273-298.</w:t>
      </w:r>
    </w:p>
    <w:p w:rsidR="00487D64" w:rsidRDefault="006F0D93">
      <w:pPr>
        <w:pStyle w:val="ListParagraph"/>
        <w:numPr>
          <w:ilvl w:val="0"/>
          <w:numId w:val="2"/>
        </w:numPr>
        <w:tabs>
          <w:tab w:val="left" w:pos="561"/>
          <w:tab w:val="left" w:pos="563"/>
        </w:tabs>
        <w:spacing w:before="4" w:line="237" w:lineRule="auto"/>
        <w:ind w:right="166"/>
        <w:jc w:val="both"/>
        <w:rPr>
          <w:sz w:val="24"/>
        </w:rPr>
      </w:pPr>
      <w:r>
        <w:rPr>
          <w:sz w:val="24"/>
        </w:rPr>
        <w:t>Hair Jr, J., Page, M., and Brunsveld, N. (2019). Essentials of business r</w:t>
      </w:r>
      <w:r>
        <w:rPr>
          <w:sz w:val="24"/>
        </w:rPr>
        <w:t xml:space="preserve">esearch methods. </w:t>
      </w:r>
      <w:r>
        <w:rPr>
          <w:spacing w:val="-2"/>
          <w:sz w:val="24"/>
        </w:rPr>
        <w:t>Routledge.</w:t>
      </w:r>
    </w:p>
    <w:p w:rsidR="00487D64" w:rsidRDefault="006F0D93">
      <w:pPr>
        <w:pStyle w:val="ListParagraph"/>
        <w:numPr>
          <w:ilvl w:val="0"/>
          <w:numId w:val="2"/>
        </w:numPr>
        <w:tabs>
          <w:tab w:val="left" w:pos="561"/>
          <w:tab w:val="left" w:pos="563"/>
        </w:tabs>
        <w:spacing w:before="3"/>
        <w:ind w:right="162"/>
        <w:jc w:val="both"/>
        <w:rPr>
          <w:sz w:val="24"/>
        </w:rPr>
      </w:pPr>
      <w:r>
        <w:rPr>
          <w:sz w:val="24"/>
        </w:rPr>
        <w:t xml:space="preserve">Hair Jr, J., Page, M., and Brunsveld, N. (2022). Essentials of business research methods. </w:t>
      </w:r>
      <w:r>
        <w:rPr>
          <w:spacing w:val="-2"/>
          <w:sz w:val="24"/>
        </w:rPr>
        <w:t>Routledge.</w:t>
      </w:r>
    </w:p>
    <w:p w:rsidR="00487D64" w:rsidRDefault="006F0D93">
      <w:pPr>
        <w:pStyle w:val="ListParagraph"/>
        <w:numPr>
          <w:ilvl w:val="0"/>
          <w:numId w:val="2"/>
        </w:numPr>
        <w:tabs>
          <w:tab w:val="left" w:pos="561"/>
          <w:tab w:val="left" w:pos="563"/>
        </w:tabs>
        <w:ind w:right="168"/>
        <w:jc w:val="both"/>
        <w:rPr>
          <w:sz w:val="24"/>
        </w:rPr>
      </w:pPr>
      <w:r>
        <w:rPr>
          <w:sz w:val="24"/>
        </w:rPr>
        <w:t>Henseler,</w:t>
      </w:r>
      <w:r>
        <w:rPr>
          <w:spacing w:val="-1"/>
          <w:sz w:val="24"/>
        </w:rPr>
        <w:t xml:space="preserve"> </w:t>
      </w:r>
      <w:r>
        <w:rPr>
          <w:sz w:val="24"/>
        </w:rPr>
        <w:t>J.,</w:t>
      </w:r>
      <w:r>
        <w:rPr>
          <w:spacing w:val="-6"/>
          <w:sz w:val="24"/>
        </w:rPr>
        <w:t xml:space="preserve"> </w:t>
      </w:r>
      <w:r>
        <w:rPr>
          <w:sz w:val="24"/>
        </w:rPr>
        <w:t>Ringle,</w:t>
      </w:r>
      <w:r>
        <w:rPr>
          <w:spacing w:val="-1"/>
          <w:sz w:val="24"/>
        </w:rPr>
        <w:t xml:space="preserve"> </w:t>
      </w:r>
      <w:r>
        <w:rPr>
          <w:sz w:val="24"/>
        </w:rPr>
        <w:t>C.</w:t>
      </w:r>
      <w:r>
        <w:rPr>
          <w:spacing w:val="-1"/>
          <w:sz w:val="24"/>
        </w:rPr>
        <w:t xml:space="preserve"> </w:t>
      </w:r>
      <w:r>
        <w:rPr>
          <w:sz w:val="24"/>
        </w:rPr>
        <w:t>M.,</w:t>
      </w:r>
      <w:r>
        <w:rPr>
          <w:spacing w:val="-1"/>
          <w:sz w:val="24"/>
        </w:rPr>
        <w:t xml:space="preserve"> </w:t>
      </w:r>
      <w:r>
        <w:rPr>
          <w:sz w:val="24"/>
        </w:rPr>
        <w:t>&amp;</w:t>
      </w:r>
      <w:r>
        <w:rPr>
          <w:spacing w:val="-8"/>
          <w:sz w:val="24"/>
        </w:rPr>
        <w:t xml:space="preserve"> </w:t>
      </w:r>
      <w:r>
        <w:rPr>
          <w:sz w:val="24"/>
        </w:rPr>
        <w:t>Sarstedt,</w:t>
      </w:r>
      <w:r>
        <w:rPr>
          <w:spacing w:val="-1"/>
          <w:sz w:val="24"/>
        </w:rPr>
        <w:t xml:space="preserve"> </w:t>
      </w:r>
      <w:r>
        <w:rPr>
          <w:sz w:val="24"/>
        </w:rPr>
        <w:t>M.</w:t>
      </w:r>
      <w:r>
        <w:rPr>
          <w:spacing w:val="-6"/>
          <w:sz w:val="24"/>
        </w:rPr>
        <w:t xml:space="preserve"> </w:t>
      </w:r>
      <w:r>
        <w:rPr>
          <w:sz w:val="24"/>
        </w:rPr>
        <w:t>(2015).</w:t>
      </w:r>
      <w:r>
        <w:rPr>
          <w:spacing w:val="-10"/>
          <w:sz w:val="24"/>
        </w:rPr>
        <w:t xml:space="preserve"> </w:t>
      </w:r>
      <w:r>
        <w:rPr>
          <w:sz w:val="24"/>
        </w:rPr>
        <w:t>A</w:t>
      </w:r>
      <w:r>
        <w:rPr>
          <w:spacing w:val="-9"/>
          <w:sz w:val="24"/>
        </w:rPr>
        <w:t xml:space="preserve"> </w:t>
      </w:r>
      <w:r>
        <w:rPr>
          <w:sz w:val="24"/>
        </w:rPr>
        <w:t>new</w:t>
      </w:r>
      <w:r>
        <w:rPr>
          <w:spacing w:val="-4"/>
          <w:sz w:val="24"/>
        </w:rPr>
        <w:t xml:space="preserve"> </w:t>
      </w:r>
      <w:r>
        <w:rPr>
          <w:sz w:val="24"/>
        </w:rPr>
        <w:t>criterion</w:t>
      </w:r>
      <w:r>
        <w:rPr>
          <w:spacing w:val="-3"/>
          <w:sz w:val="24"/>
        </w:rPr>
        <w:t xml:space="preserve"> </w:t>
      </w:r>
      <w:r>
        <w:rPr>
          <w:sz w:val="24"/>
        </w:rPr>
        <w:t>for</w:t>
      </w:r>
      <w:r>
        <w:rPr>
          <w:spacing w:val="-2"/>
          <w:sz w:val="24"/>
        </w:rPr>
        <w:t xml:space="preserve"> </w:t>
      </w:r>
      <w:r>
        <w:rPr>
          <w:sz w:val="24"/>
        </w:rPr>
        <w:t>assessing</w:t>
      </w:r>
      <w:r>
        <w:rPr>
          <w:spacing w:val="-3"/>
          <w:sz w:val="24"/>
        </w:rPr>
        <w:t xml:space="preserve"> </w:t>
      </w:r>
      <w:r>
        <w:rPr>
          <w:sz w:val="24"/>
        </w:rPr>
        <w:t>discriminant validity</w:t>
      </w:r>
      <w:r>
        <w:rPr>
          <w:spacing w:val="-1"/>
          <w:sz w:val="24"/>
        </w:rPr>
        <w:t xml:space="preserve"> </w:t>
      </w:r>
      <w:r>
        <w:rPr>
          <w:sz w:val="24"/>
        </w:rPr>
        <w:t>in</w:t>
      </w:r>
      <w:r>
        <w:rPr>
          <w:spacing w:val="-1"/>
          <w:sz w:val="24"/>
        </w:rPr>
        <w:t xml:space="preserve"> </w:t>
      </w:r>
      <w:r>
        <w:rPr>
          <w:sz w:val="24"/>
        </w:rPr>
        <w:t>variance-based structural</w:t>
      </w:r>
      <w:r>
        <w:rPr>
          <w:spacing w:val="-9"/>
          <w:sz w:val="24"/>
        </w:rPr>
        <w:t xml:space="preserve"> </w:t>
      </w:r>
      <w:r>
        <w:rPr>
          <w:sz w:val="24"/>
        </w:rPr>
        <w:t>equation</w:t>
      </w:r>
      <w:r>
        <w:rPr>
          <w:spacing w:val="-1"/>
          <w:sz w:val="24"/>
        </w:rPr>
        <w:t xml:space="preserve"> </w:t>
      </w:r>
      <w:r>
        <w:rPr>
          <w:sz w:val="24"/>
        </w:rPr>
        <w:t>modeling. Journal</w:t>
      </w:r>
      <w:r>
        <w:rPr>
          <w:spacing w:val="-9"/>
          <w:sz w:val="24"/>
        </w:rPr>
        <w:t xml:space="preserve"> </w:t>
      </w:r>
      <w:r>
        <w:rPr>
          <w:sz w:val="24"/>
        </w:rPr>
        <w:t>of</w:t>
      </w:r>
      <w:r>
        <w:rPr>
          <w:spacing w:val="-8"/>
          <w:sz w:val="24"/>
        </w:rPr>
        <w:t xml:space="preserve"> </w:t>
      </w:r>
      <w:r>
        <w:rPr>
          <w:sz w:val="24"/>
        </w:rPr>
        <w:t>the</w:t>
      </w:r>
      <w:r>
        <w:rPr>
          <w:spacing w:val="-2"/>
          <w:sz w:val="24"/>
        </w:rPr>
        <w:t xml:space="preserve"> </w:t>
      </w:r>
      <w:r>
        <w:rPr>
          <w:sz w:val="24"/>
        </w:rPr>
        <w:t>academy</w:t>
      </w:r>
      <w:r>
        <w:rPr>
          <w:spacing w:val="-5"/>
          <w:sz w:val="24"/>
        </w:rPr>
        <w:t xml:space="preserve"> </w:t>
      </w:r>
      <w:r>
        <w:rPr>
          <w:sz w:val="24"/>
        </w:rPr>
        <w:t>of</w:t>
      </w:r>
      <w:r>
        <w:rPr>
          <w:spacing w:val="-4"/>
          <w:sz w:val="24"/>
        </w:rPr>
        <w:t xml:space="preserve"> </w:t>
      </w:r>
      <w:r>
        <w:rPr>
          <w:sz w:val="24"/>
        </w:rPr>
        <w:t>marketing science, 43, 115-135.</w:t>
      </w:r>
    </w:p>
    <w:p w:rsidR="00487D64" w:rsidRDefault="006F0D93">
      <w:pPr>
        <w:pStyle w:val="ListParagraph"/>
        <w:numPr>
          <w:ilvl w:val="0"/>
          <w:numId w:val="2"/>
        </w:numPr>
        <w:tabs>
          <w:tab w:val="left" w:pos="561"/>
          <w:tab w:val="left" w:pos="563"/>
        </w:tabs>
        <w:ind w:right="163"/>
        <w:jc w:val="both"/>
        <w:rPr>
          <w:sz w:val="24"/>
        </w:rPr>
      </w:pPr>
      <w:r>
        <w:rPr>
          <w:sz w:val="24"/>
        </w:rPr>
        <w:t xml:space="preserve">Hübnerová, Z., Tomášková, E., &amp; Bednář, J. (2020). Identification of Interfunctional Coordination Items Important for Business Performance of SMEs. Acta </w:t>
      </w:r>
      <w:r>
        <w:rPr>
          <w:sz w:val="24"/>
        </w:rPr>
        <w:t>universitatis agriculturae et silviculturae Mendelianae Brunensis, 68(1).</w:t>
      </w:r>
    </w:p>
    <w:p w:rsidR="00487D64" w:rsidRDefault="006F0D93">
      <w:pPr>
        <w:spacing w:line="274" w:lineRule="exact"/>
        <w:ind w:left="563"/>
        <w:jc w:val="both"/>
        <w:rPr>
          <w:sz w:val="24"/>
        </w:rPr>
      </w:pPr>
      <w:r>
        <w:rPr>
          <w:sz w:val="24"/>
        </w:rPr>
        <w:t>International</w:t>
      </w:r>
      <w:r>
        <w:rPr>
          <w:spacing w:val="-9"/>
          <w:sz w:val="24"/>
        </w:rPr>
        <w:t xml:space="preserve"> </w:t>
      </w:r>
      <w:r>
        <w:rPr>
          <w:sz w:val="24"/>
        </w:rPr>
        <w:t>Journal</w:t>
      </w:r>
      <w:r>
        <w:rPr>
          <w:spacing w:val="-5"/>
          <w:sz w:val="24"/>
        </w:rPr>
        <w:t xml:space="preserve"> </w:t>
      </w:r>
      <w:r>
        <w:rPr>
          <w:sz w:val="24"/>
        </w:rPr>
        <w:t>of</w:t>
      </w:r>
      <w:r>
        <w:rPr>
          <w:spacing w:val="-7"/>
          <w:sz w:val="24"/>
        </w:rPr>
        <w:t xml:space="preserve"> </w:t>
      </w:r>
      <w:r>
        <w:rPr>
          <w:sz w:val="24"/>
        </w:rPr>
        <w:t>Market</w:t>
      </w:r>
      <w:r>
        <w:rPr>
          <w:spacing w:val="5"/>
          <w:sz w:val="24"/>
        </w:rPr>
        <w:t xml:space="preserve"> </w:t>
      </w:r>
      <w:r>
        <w:rPr>
          <w:sz w:val="24"/>
        </w:rPr>
        <w:t>Research,</w:t>
      </w:r>
      <w:r>
        <w:rPr>
          <w:spacing w:val="2"/>
          <w:sz w:val="24"/>
        </w:rPr>
        <w:t xml:space="preserve"> </w:t>
      </w:r>
      <w:r>
        <w:rPr>
          <w:sz w:val="24"/>
        </w:rPr>
        <w:t>62(3),</w:t>
      </w:r>
      <w:r>
        <w:rPr>
          <w:spacing w:val="-2"/>
          <w:sz w:val="24"/>
        </w:rPr>
        <w:t xml:space="preserve"> 288–299.</w:t>
      </w:r>
    </w:p>
    <w:p w:rsidR="00487D64" w:rsidRDefault="006F0D93">
      <w:pPr>
        <w:pStyle w:val="ListParagraph"/>
        <w:numPr>
          <w:ilvl w:val="0"/>
          <w:numId w:val="2"/>
        </w:numPr>
        <w:tabs>
          <w:tab w:val="left" w:pos="561"/>
          <w:tab w:val="left" w:pos="563"/>
        </w:tabs>
        <w:spacing w:before="3" w:line="237" w:lineRule="auto"/>
        <w:ind w:right="170"/>
        <w:jc w:val="both"/>
        <w:rPr>
          <w:sz w:val="24"/>
        </w:rPr>
      </w:pPr>
      <w:r>
        <w:rPr>
          <w:sz w:val="24"/>
        </w:rPr>
        <w:t>Israel,</w:t>
      </w:r>
      <w:r>
        <w:rPr>
          <w:spacing w:val="-6"/>
          <w:sz w:val="24"/>
        </w:rPr>
        <w:t xml:space="preserve"> </w:t>
      </w:r>
      <w:r>
        <w:rPr>
          <w:sz w:val="24"/>
        </w:rPr>
        <w:t>B.,</w:t>
      </w:r>
      <w:r>
        <w:rPr>
          <w:spacing w:val="-9"/>
          <w:sz w:val="24"/>
        </w:rPr>
        <w:t xml:space="preserve"> </w:t>
      </w:r>
      <w:r>
        <w:rPr>
          <w:sz w:val="24"/>
        </w:rPr>
        <w:t>&amp;</w:t>
      </w:r>
      <w:r>
        <w:rPr>
          <w:spacing w:val="-11"/>
          <w:sz w:val="24"/>
        </w:rPr>
        <w:t xml:space="preserve"> </w:t>
      </w:r>
      <w:r>
        <w:rPr>
          <w:sz w:val="24"/>
        </w:rPr>
        <w:t>Kazungu,</w:t>
      </w:r>
      <w:r>
        <w:rPr>
          <w:spacing w:val="-5"/>
          <w:sz w:val="24"/>
        </w:rPr>
        <w:t xml:space="preserve"> </w:t>
      </w:r>
      <w:r>
        <w:rPr>
          <w:sz w:val="24"/>
        </w:rPr>
        <w:t>I.</w:t>
      </w:r>
      <w:r>
        <w:rPr>
          <w:spacing w:val="-14"/>
          <w:sz w:val="24"/>
        </w:rPr>
        <w:t xml:space="preserve"> </w:t>
      </w:r>
      <w:r>
        <w:rPr>
          <w:sz w:val="24"/>
        </w:rPr>
        <w:t>(2019).</w:t>
      </w:r>
      <w:r>
        <w:rPr>
          <w:spacing w:val="-14"/>
          <w:sz w:val="24"/>
        </w:rPr>
        <w:t xml:space="preserve"> </w:t>
      </w:r>
      <w:r>
        <w:rPr>
          <w:sz w:val="24"/>
        </w:rPr>
        <w:t>The</w:t>
      </w:r>
      <w:r>
        <w:rPr>
          <w:spacing w:val="-8"/>
          <w:sz w:val="24"/>
        </w:rPr>
        <w:t xml:space="preserve"> </w:t>
      </w:r>
      <w:r>
        <w:rPr>
          <w:sz w:val="24"/>
        </w:rPr>
        <w:t>role</w:t>
      </w:r>
      <w:r>
        <w:rPr>
          <w:spacing w:val="-8"/>
          <w:sz w:val="24"/>
        </w:rPr>
        <w:t xml:space="preserve"> </w:t>
      </w:r>
      <w:r>
        <w:rPr>
          <w:sz w:val="24"/>
        </w:rPr>
        <w:t>of</w:t>
      </w:r>
      <w:r>
        <w:rPr>
          <w:spacing w:val="-15"/>
          <w:sz w:val="24"/>
        </w:rPr>
        <w:t xml:space="preserve"> </w:t>
      </w:r>
      <w:r>
        <w:rPr>
          <w:sz w:val="24"/>
        </w:rPr>
        <w:t>public</w:t>
      </w:r>
      <w:r>
        <w:rPr>
          <w:spacing w:val="-4"/>
          <w:sz w:val="24"/>
        </w:rPr>
        <w:t xml:space="preserve"> </w:t>
      </w:r>
      <w:r>
        <w:rPr>
          <w:sz w:val="24"/>
        </w:rPr>
        <w:t>procurement</w:t>
      </w:r>
      <w:r>
        <w:rPr>
          <w:spacing w:val="-3"/>
          <w:sz w:val="24"/>
        </w:rPr>
        <w:t xml:space="preserve"> </w:t>
      </w:r>
      <w:r>
        <w:rPr>
          <w:sz w:val="24"/>
        </w:rPr>
        <w:t>in</w:t>
      </w:r>
      <w:r>
        <w:rPr>
          <w:spacing w:val="-12"/>
          <w:sz w:val="24"/>
        </w:rPr>
        <w:t xml:space="preserve"> </w:t>
      </w:r>
      <w:r>
        <w:rPr>
          <w:sz w:val="24"/>
        </w:rPr>
        <w:t>enhancing</w:t>
      </w:r>
      <w:r>
        <w:rPr>
          <w:spacing w:val="-7"/>
          <w:sz w:val="24"/>
        </w:rPr>
        <w:t xml:space="preserve"> </w:t>
      </w:r>
      <w:r>
        <w:rPr>
          <w:sz w:val="24"/>
        </w:rPr>
        <w:t>growth</w:t>
      </w:r>
      <w:r>
        <w:rPr>
          <w:spacing w:val="-15"/>
          <w:sz w:val="24"/>
        </w:rPr>
        <w:t xml:space="preserve"> </w:t>
      </w:r>
      <w:r>
        <w:rPr>
          <w:sz w:val="24"/>
        </w:rPr>
        <w:t>of</w:t>
      </w:r>
      <w:r>
        <w:rPr>
          <w:spacing w:val="-15"/>
          <w:sz w:val="24"/>
        </w:rPr>
        <w:t xml:space="preserve"> </w:t>
      </w:r>
      <w:r>
        <w:rPr>
          <w:sz w:val="24"/>
        </w:rPr>
        <w:t>small and medium sized-enterprises: experince from Mbeya Tanzania.</w:t>
      </w:r>
    </w:p>
    <w:p w:rsidR="00487D64" w:rsidRDefault="006F0D93">
      <w:pPr>
        <w:pStyle w:val="ListParagraph"/>
        <w:numPr>
          <w:ilvl w:val="0"/>
          <w:numId w:val="2"/>
        </w:numPr>
        <w:tabs>
          <w:tab w:val="left" w:pos="561"/>
          <w:tab w:val="left" w:pos="563"/>
        </w:tabs>
        <w:spacing w:before="3"/>
        <w:ind w:right="173"/>
        <w:jc w:val="both"/>
        <w:rPr>
          <w:sz w:val="24"/>
        </w:rPr>
      </w:pPr>
      <w:r>
        <w:rPr>
          <w:sz w:val="24"/>
        </w:rPr>
        <w:t>Khan, R. U., Salamzadeh, Y., Abbasi, M. A., Amin, A., &amp; Sahar, N. E. (2022). Strategic orientation</w:t>
      </w:r>
      <w:r>
        <w:rPr>
          <w:spacing w:val="-15"/>
          <w:sz w:val="24"/>
        </w:rPr>
        <w:t xml:space="preserve"> </w:t>
      </w:r>
      <w:r>
        <w:rPr>
          <w:sz w:val="24"/>
        </w:rPr>
        <w:t>and</w:t>
      </w:r>
      <w:r>
        <w:rPr>
          <w:spacing w:val="-15"/>
          <w:sz w:val="24"/>
        </w:rPr>
        <w:t xml:space="preserve"> </w:t>
      </w:r>
      <w:r>
        <w:rPr>
          <w:sz w:val="24"/>
        </w:rPr>
        <w:t>sustainable</w:t>
      </w:r>
      <w:r>
        <w:rPr>
          <w:spacing w:val="-15"/>
          <w:sz w:val="24"/>
        </w:rPr>
        <w:t xml:space="preserve"> </w:t>
      </w:r>
      <w:r>
        <w:rPr>
          <w:sz w:val="24"/>
        </w:rPr>
        <w:t>competitive</w:t>
      </w:r>
      <w:r>
        <w:rPr>
          <w:spacing w:val="-15"/>
          <w:sz w:val="24"/>
        </w:rPr>
        <w:t xml:space="preserve"> </w:t>
      </w:r>
      <w:r>
        <w:rPr>
          <w:sz w:val="24"/>
        </w:rPr>
        <w:t>performance</w:t>
      </w:r>
      <w:r>
        <w:rPr>
          <w:spacing w:val="-15"/>
          <w:sz w:val="24"/>
        </w:rPr>
        <w:t xml:space="preserve"> </w:t>
      </w:r>
      <w:r>
        <w:rPr>
          <w:sz w:val="24"/>
        </w:rPr>
        <w:t>of</w:t>
      </w:r>
      <w:r>
        <w:rPr>
          <w:spacing w:val="-15"/>
          <w:sz w:val="24"/>
        </w:rPr>
        <w:t xml:space="preserve"> </w:t>
      </w:r>
      <w:r>
        <w:rPr>
          <w:sz w:val="24"/>
        </w:rPr>
        <w:t>family</w:t>
      </w:r>
      <w:r>
        <w:rPr>
          <w:spacing w:val="-15"/>
          <w:sz w:val="24"/>
        </w:rPr>
        <w:t xml:space="preserve"> </w:t>
      </w:r>
      <w:r>
        <w:rPr>
          <w:sz w:val="24"/>
        </w:rPr>
        <w:t>firms:</w:t>
      </w:r>
      <w:r>
        <w:rPr>
          <w:spacing w:val="-15"/>
          <w:sz w:val="24"/>
        </w:rPr>
        <w:t xml:space="preserve"> </w:t>
      </w:r>
      <w:r>
        <w:rPr>
          <w:sz w:val="24"/>
        </w:rPr>
        <w:t>Evidence</w:t>
      </w:r>
      <w:r>
        <w:rPr>
          <w:spacing w:val="-15"/>
          <w:sz w:val="24"/>
        </w:rPr>
        <w:t xml:space="preserve"> </w:t>
      </w:r>
      <w:r>
        <w:rPr>
          <w:sz w:val="24"/>
        </w:rPr>
        <w:t>of</w:t>
      </w:r>
      <w:r>
        <w:rPr>
          <w:spacing w:val="-15"/>
          <w:sz w:val="24"/>
        </w:rPr>
        <w:t xml:space="preserve"> </w:t>
      </w:r>
      <w:r>
        <w:rPr>
          <w:sz w:val="24"/>
        </w:rPr>
        <w:t>an</w:t>
      </w:r>
      <w:r>
        <w:rPr>
          <w:spacing w:val="-15"/>
          <w:sz w:val="24"/>
        </w:rPr>
        <w:t xml:space="preserve"> </w:t>
      </w:r>
      <w:r>
        <w:rPr>
          <w:sz w:val="24"/>
        </w:rPr>
        <w:t xml:space="preserve">emerging economy. </w:t>
      </w:r>
      <w:r>
        <w:rPr>
          <w:sz w:val="24"/>
        </w:rPr>
        <w:t>Journal of Small Business Strategy, 32(2), 67-82.</w:t>
      </w:r>
    </w:p>
    <w:p w:rsidR="00487D64" w:rsidRDefault="006F0D93">
      <w:pPr>
        <w:pStyle w:val="ListParagraph"/>
        <w:numPr>
          <w:ilvl w:val="0"/>
          <w:numId w:val="2"/>
        </w:numPr>
        <w:tabs>
          <w:tab w:val="left" w:pos="561"/>
          <w:tab w:val="left" w:pos="563"/>
        </w:tabs>
        <w:spacing w:line="242" w:lineRule="auto"/>
        <w:ind w:right="159"/>
        <w:jc w:val="both"/>
        <w:rPr>
          <w:i/>
          <w:sz w:val="24"/>
        </w:rPr>
      </w:pPr>
      <w:r>
        <w:rPr>
          <w:sz w:val="24"/>
        </w:rPr>
        <w:t xml:space="preserve">Kim, J., Lee, C., Kim, S., &amp; Im, H. (2019). </w:t>
      </w:r>
      <w:r>
        <w:rPr>
          <w:i/>
          <w:sz w:val="24"/>
        </w:rPr>
        <w:t>An empirical study on the effect of innovation financing on technology innovation competency: Business performance of SMEs in Korea.</w:t>
      </w:r>
    </w:p>
    <w:p w:rsidR="00487D64" w:rsidRDefault="006F0D93">
      <w:pPr>
        <w:pStyle w:val="ListParagraph"/>
        <w:numPr>
          <w:ilvl w:val="0"/>
          <w:numId w:val="2"/>
        </w:numPr>
        <w:tabs>
          <w:tab w:val="left" w:pos="561"/>
          <w:tab w:val="left" w:pos="563"/>
        </w:tabs>
        <w:spacing w:line="242" w:lineRule="auto"/>
        <w:ind w:right="172"/>
        <w:jc w:val="both"/>
        <w:rPr>
          <w:sz w:val="24"/>
        </w:rPr>
      </w:pPr>
      <w:r>
        <w:rPr>
          <w:sz w:val="24"/>
        </w:rPr>
        <w:t>Kohli, A. K., &amp; Jaworski, B. J. (1990). Market orientation: the construct, research propositions, and managerial implications. Journal of marketing, 54(2), 1-18.</w:t>
      </w:r>
    </w:p>
    <w:p w:rsidR="00487D64" w:rsidRDefault="006F0D93">
      <w:pPr>
        <w:pStyle w:val="ListParagraph"/>
        <w:numPr>
          <w:ilvl w:val="0"/>
          <w:numId w:val="2"/>
        </w:numPr>
        <w:tabs>
          <w:tab w:val="left" w:pos="561"/>
        </w:tabs>
        <w:spacing w:line="271" w:lineRule="exact"/>
        <w:ind w:left="561" w:hanging="430"/>
        <w:jc w:val="both"/>
        <w:rPr>
          <w:sz w:val="24"/>
        </w:rPr>
      </w:pPr>
      <w:r>
        <w:rPr>
          <w:sz w:val="24"/>
        </w:rPr>
        <w:t>Kumar, R.</w:t>
      </w:r>
      <w:r>
        <w:rPr>
          <w:spacing w:val="1"/>
          <w:sz w:val="24"/>
        </w:rPr>
        <w:t xml:space="preserve"> </w:t>
      </w:r>
      <w:r>
        <w:rPr>
          <w:sz w:val="24"/>
        </w:rPr>
        <w:t>(2019).</w:t>
      </w:r>
      <w:r>
        <w:rPr>
          <w:spacing w:val="-4"/>
          <w:sz w:val="24"/>
        </w:rPr>
        <w:t xml:space="preserve"> </w:t>
      </w:r>
      <w:r>
        <w:rPr>
          <w:sz w:val="24"/>
        </w:rPr>
        <w:t>Research</w:t>
      </w:r>
      <w:r>
        <w:rPr>
          <w:spacing w:val="-6"/>
          <w:sz w:val="24"/>
        </w:rPr>
        <w:t xml:space="preserve"> </w:t>
      </w:r>
      <w:r>
        <w:rPr>
          <w:sz w:val="24"/>
        </w:rPr>
        <w:t>Methodology:</w:t>
      </w:r>
      <w:r>
        <w:rPr>
          <w:spacing w:val="-1"/>
          <w:sz w:val="24"/>
        </w:rPr>
        <w:t xml:space="preserve"> </w:t>
      </w:r>
      <w:r>
        <w:rPr>
          <w:sz w:val="24"/>
        </w:rPr>
        <w:t>A</w:t>
      </w:r>
      <w:r>
        <w:rPr>
          <w:spacing w:val="-7"/>
          <w:sz w:val="24"/>
        </w:rPr>
        <w:t xml:space="preserve"> </w:t>
      </w:r>
      <w:r>
        <w:rPr>
          <w:sz w:val="24"/>
        </w:rPr>
        <w:t>Step-by</w:t>
      </w:r>
      <w:r>
        <w:rPr>
          <w:spacing w:val="-11"/>
          <w:sz w:val="24"/>
        </w:rPr>
        <w:t xml:space="preserve"> </w:t>
      </w:r>
      <w:r>
        <w:rPr>
          <w:sz w:val="24"/>
        </w:rPr>
        <w:t>Step</w:t>
      </w:r>
      <w:r>
        <w:rPr>
          <w:spacing w:val="-1"/>
          <w:sz w:val="24"/>
        </w:rPr>
        <w:t xml:space="preserve"> </w:t>
      </w:r>
      <w:r>
        <w:rPr>
          <w:sz w:val="24"/>
        </w:rPr>
        <w:t>Guide</w:t>
      </w:r>
      <w:r>
        <w:rPr>
          <w:spacing w:val="3"/>
          <w:sz w:val="24"/>
        </w:rPr>
        <w:t xml:space="preserve"> </w:t>
      </w:r>
      <w:r>
        <w:rPr>
          <w:sz w:val="24"/>
        </w:rPr>
        <w:t>for Beginners.</w:t>
      </w:r>
      <w:r>
        <w:rPr>
          <w:spacing w:val="1"/>
          <w:sz w:val="24"/>
        </w:rPr>
        <w:t xml:space="preserve"> </w:t>
      </w:r>
      <w:r>
        <w:rPr>
          <w:spacing w:val="-4"/>
          <w:sz w:val="24"/>
        </w:rPr>
        <w:t>SAGE</w:t>
      </w:r>
    </w:p>
    <w:p w:rsidR="00487D64" w:rsidRDefault="006F0D93">
      <w:pPr>
        <w:pStyle w:val="ListParagraph"/>
        <w:numPr>
          <w:ilvl w:val="0"/>
          <w:numId w:val="2"/>
        </w:numPr>
        <w:tabs>
          <w:tab w:val="left" w:pos="561"/>
          <w:tab w:val="left" w:pos="563"/>
        </w:tabs>
        <w:spacing w:line="237" w:lineRule="auto"/>
        <w:ind w:right="170"/>
        <w:jc w:val="both"/>
        <w:rPr>
          <w:sz w:val="24"/>
        </w:rPr>
      </w:pPr>
      <w:r>
        <w:rPr>
          <w:sz w:val="24"/>
        </w:rPr>
        <w:t>Kweka, J. P., &amp; Sooi, F. (2020). Partnership for inclusive growth: Can linkages with large firms spur the growth of SMEs in Tanzania? (No. 2020/102). WIDER Working Paper.</w:t>
      </w:r>
    </w:p>
    <w:p w:rsidR="00487D64" w:rsidRDefault="006F0D93">
      <w:pPr>
        <w:pStyle w:val="ListParagraph"/>
        <w:numPr>
          <w:ilvl w:val="0"/>
          <w:numId w:val="2"/>
        </w:numPr>
        <w:tabs>
          <w:tab w:val="left" w:pos="561"/>
          <w:tab w:val="left" w:pos="563"/>
        </w:tabs>
        <w:spacing w:before="3" w:line="237" w:lineRule="auto"/>
        <w:ind w:right="167"/>
        <w:jc w:val="both"/>
        <w:rPr>
          <w:sz w:val="24"/>
        </w:rPr>
      </w:pPr>
      <w:r>
        <w:rPr>
          <w:sz w:val="24"/>
        </w:rPr>
        <w:t>Lopez-Torres, G. C. (2023). The impact of SME’ sustainability on competitiveness. Mea</w:t>
      </w:r>
      <w:r>
        <w:rPr>
          <w:sz w:val="24"/>
        </w:rPr>
        <w:t>suring business excellence, 27(1), 107-120.</w:t>
      </w:r>
    </w:p>
    <w:p w:rsidR="00487D64" w:rsidRDefault="006F0D93">
      <w:pPr>
        <w:pStyle w:val="ListParagraph"/>
        <w:numPr>
          <w:ilvl w:val="0"/>
          <w:numId w:val="2"/>
        </w:numPr>
        <w:tabs>
          <w:tab w:val="left" w:pos="561"/>
          <w:tab w:val="left" w:pos="563"/>
        </w:tabs>
        <w:spacing w:before="4"/>
        <w:ind w:right="158"/>
        <w:jc w:val="both"/>
        <w:rPr>
          <w:sz w:val="24"/>
        </w:rPr>
      </w:pPr>
      <w:r>
        <w:rPr>
          <w:sz w:val="24"/>
        </w:rPr>
        <w:t>Maurer, F. (2022, June). Coordination mechanisms in economics as enablers for creative destruction, increased sustainabiilty and resiilence, or: what should a “new” invisible hand look like. In</w:t>
      </w:r>
      <w:r>
        <w:rPr>
          <w:spacing w:val="-4"/>
          <w:sz w:val="24"/>
        </w:rPr>
        <w:t xml:space="preserve"> </w:t>
      </w:r>
      <w:r>
        <w:rPr>
          <w:sz w:val="24"/>
        </w:rPr>
        <w:t>Competitive Advant</w:t>
      </w:r>
      <w:r>
        <w:rPr>
          <w:sz w:val="24"/>
        </w:rPr>
        <w:t>age in the Digital Economy (CADE 2022) (Vol. 2022, pp. 38-40). IET.</w:t>
      </w:r>
    </w:p>
    <w:p w:rsidR="00487D64" w:rsidRDefault="006F0D93">
      <w:pPr>
        <w:pStyle w:val="ListParagraph"/>
        <w:numPr>
          <w:ilvl w:val="0"/>
          <w:numId w:val="2"/>
        </w:numPr>
        <w:tabs>
          <w:tab w:val="left" w:pos="561"/>
          <w:tab w:val="left" w:pos="563"/>
        </w:tabs>
        <w:ind w:right="160"/>
        <w:jc w:val="both"/>
        <w:rPr>
          <w:sz w:val="24"/>
        </w:rPr>
      </w:pPr>
      <w:r>
        <w:rPr>
          <w:sz w:val="24"/>
        </w:rPr>
        <w:t xml:space="preserve">Mogaka, C. O., Odari, S., &amp; Arani, W. (2022). Functional integration and competitive advantage of food and beverages manufacturing firms in Kenya. </w:t>
      </w:r>
      <w:r>
        <w:rPr>
          <w:i/>
          <w:sz w:val="24"/>
        </w:rPr>
        <w:t>Journal of Sustainable Development of Tra</w:t>
      </w:r>
      <w:r>
        <w:rPr>
          <w:i/>
          <w:sz w:val="24"/>
        </w:rPr>
        <w:t>nsport and Logistics, 7</w:t>
      </w:r>
      <w:r>
        <w:rPr>
          <w:sz w:val="24"/>
        </w:rPr>
        <w:t>(1), 99–111.</w:t>
      </w:r>
    </w:p>
    <w:p w:rsidR="00487D64" w:rsidRDefault="006F0D93">
      <w:pPr>
        <w:pStyle w:val="ListParagraph"/>
        <w:numPr>
          <w:ilvl w:val="0"/>
          <w:numId w:val="2"/>
        </w:numPr>
        <w:tabs>
          <w:tab w:val="left" w:pos="561"/>
          <w:tab w:val="left" w:pos="563"/>
        </w:tabs>
        <w:ind w:right="160"/>
        <w:jc w:val="both"/>
        <w:rPr>
          <w:sz w:val="24"/>
        </w:rPr>
      </w:pPr>
      <w:r>
        <w:rPr>
          <w:sz w:val="24"/>
        </w:rPr>
        <w:t>Morgan, T., Anokhin, S. A., and Wincent, J. (2019). Influence of market orientation on performance:</w:t>
      </w:r>
      <w:r>
        <w:rPr>
          <w:spacing w:val="-14"/>
          <w:sz w:val="24"/>
        </w:rPr>
        <w:t xml:space="preserve"> </w:t>
      </w:r>
      <w:r>
        <w:rPr>
          <w:sz w:val="24"/>
        </w:rPr>
        <w:t>the</w:t>
      </w:r>
      <w:r>
        <w:rPr>
          <w:spacing w:val="-7"/>
          <w:sz w:val="24"/>
        </w:rPr>
        <w:t xml:space="preserve"> </w:t>
      </w:r>
      <w:r>
        <w:rPr>
          <w:sz w:val="24"/>
        </w:rPr>
        <w:t>moderating</w:t>
      </w:r>
      <w:r>
        <w:rPr>
          <w:spacing w:val="-11"/>
          <w:sz w:val="24"/>
        </w:rPr>
        <w:t xml:space="preserve"> </w:t>
      </w:r>
      <w:r>
        <w:rPr>
          <w:sz w:val="24"/>
        </w:rPr>
        <w:t>roles</w:t>
      </w:r>
      <w:r>
        <w:rPr>
          <w:spacing w:val="-13"/>
          <w:sz w:val="24"/>
        </w:rPr>
        <w:t xml:space="preserve"> </w:t>
      </w:r>
      <w:r>
        <w:rPr>
          <w:sz w:val="24"/>
        </w:rPr>
        <w:t>of</w:t>
      </w:r>
      <w:r>
        <w:rPr>
          <w:spacing w:val="-15"/>
          <w:sz w:val="24"/>
        </w:rPr>
        <w:t xml:space="preserve"> </w:t>
      </w:r>
      <w:r>
        <w:rPr>
          <w:sz w:val="24"/>
        </w:rPr>
        <w:t>customer</w:t>
      </w:r>
      <w:r>
        <w:rPr>
          <w:spacing w:val="-9"/>
          <w:sz w:val="24"/>
        </w:rPr>
        <w:t xml:space="preserve"> </w:t>
      </w:r>
      <w:r>
        <w:rPr>
          <w:sz w:val="24"/>
        </w:rPr>
        <w:t>participation</w:t>
      </w:r>
      <w:r>
        <w:rPr>
          <w:spacing w:val="-11"/>
          <w:sz w:val="24"/>
        </w:rPr>
        <w:t xml:space="preserve"> </w:t>
      </w:r>
      <w:r>
        <w:rPr>
          <w:sz w:val="24"/>
        </w:rPr>
        <w:t>breadth</w:t>
      </w:r>
      <w:r>
        <w:rPr>
          <w:spacing w:val="-15"/>
          <w:sz w:val="24"/>
        </w:rPr>
        <w:t xml:space="preserve"> </w:t>
      </w:r>
      <w:r>
        <w:rPr>
          <w:sz w:val="24"/>
        </w:rPr>
        <w:t>and</w:t>
      </w:r>
      <w:r>
        <w:rPr>
          <w:spacing w:val="-11"/>
          <w:sz w:val="24"/>
        </w:rPr>
        <w:t xml:space="preserve"> </w:t>
      </w:r>
      <w:r>
        <w:rPr>
          <w:sz w:val="24"/>
        </w:rPr>
        <w:t>depth</w:t>
      </w:r>
      <w:r>
        <w:rPr>
          <w:spacing w:val="-11"/>
          <w:sz w:val="24"/>
        </w:rPr>
        <w:t xml:space="preserve"> </w:t>
      </w:r>
      <w:r>
        <w:rPr>
          <w:sz w:val="24"/>
        </w:rPr>
        <w:t>in</w:t>
      </w:r>
      <w:r>
        <w:rPr>
          <w:spacing w:val="-11"/>
          <w:sz w:val="24"/>
        </w:rPr>
        <w:t xml:space="preserve"> </w:t>
      </w:r>
      <w:r>
        <w:rPr>
          <w:sz w:val="24"/>
        </w:rPr>
        <w:t>new</w:t>
      </w:r>
      <w:r>
        <w:rPr>
          <w:spacing w:val="-11"/>
          <w:sz w:val="24"/>
        </w:rPr>
        <w:t xml:space="preserve"> </w:t>
      </w:r>
      <w:r>
        <w:rPr>
          <w:sz w:val="24"/>
        </w:rPr>
        <w:t>product development. Industry and Innovation, 26</w:t>
      </w:r>
      <w:r>
        <w:rPr>
          <w:sz w:val="24"/>
        </w:rPr>
        <w:t>(9), 1103-1120.</w:t>
      </w:r>
    </w:p>
    <w:p w:rsidR="00487D64" w:rsidRDefault="006F0D93">
      <w:pPr>
        <w:pStyle w:val="ListParagraph"/>
        <w:numPr>
          <w:ilvl w:val="0"/>
          <w:numId w:val="2"/>
        </w:numPr>
        <w:tabs>
          <w:tab w:val="left" w:pos="561"/>
          <w:tab w:val="left" w:pos="563"/>
        </w:tabs>
        <w:spacing w:before="3" w:line="237" w:lineRule="auto"/>
        <w:ind w:right="174"/>
        <w:jc w:val="both"/>
        <w:rPr>
          <w:sz w:val="24"/>
        </w:rPr>
      </w:pPr>
      <w:r>
        <w:rPr>
          <w:sz w:val="24"/>
        </w:rPr>
        <w:t>Mugenda, A., and Mugenda, O. (2003). Research methods: Quantitative and qualitative approaches. Nairobi: African Center for Technology Studies</w:t>
      </w:r>
    </w:p>
    <w:p w:rsidR="00487D64" w:rsidRDefault="006F0D93">
      <w:pPr>
        <w:pStyle w:val="ListParagraph"/>
        <w:numPr>
          <w:ilvl w:val="0"/>
          <w:numId w:val="2"/>
        </w:numPr>
        <w:tabs>
          <w:tab w:val="left" w:pos="561"/>
          <w:tab w:val="left" w:pos="563"/>
        </w:tabs>
        <w:spacing w:before="3"/>
        <w:ind w:right="166"/>
        <w:jc w:val="both"/>
        <w:rPr>
          <w:sz w:val="24"/>
        </w:rPr>
      </w:pPr>
      <w:r>
        <w:rPr>
          <w:sz w:val="24"/>
        </w:rPr>
        <w:t>Mukhtar, U., &amp; Azhar, T. (2020). Inter-functional coordination to co-create value within integrated value chains for competitive supply chain. Operations and Supply Chain Management: An International Journal, 13(1), 11-22.</w:t>
      </w:r>
    </w:p>
    <w:p w:rsidR="00487D64" w:rsidRDefault="006F0D93">
      <w:pPr>
        <w:pStyle w:val="BodyText"/>
        <w:spacing w:before="16"/>
        <w:rPr>
          <w:sz w:val="20"/>
        </w:rPr>
      </w:pPr>
      <w:r>
        <w:rPr>
          <w:noProof/>
          <w:sz w:val="20"/>
        </w:rPr>
        <mc:AlternateContent>
          <mc:Choice Requires="wps">
            <w:drawing>
              <wp:anchor distT="0" distB="0" distL="0" distR="0" simplePos="0" relativeHeight="487610368" behindDoc="1" locked="0" layoutInCell="1" allowOverlap="1">
                <wp:simplePos x="0" y="0"/>
                <wp:positionH relativeFrom="page">
                  <wp:posOffset>896416</wp:posOffset>
                </wp:positionH>
                <wp:positionV relativeFrom="paragraph">
                  <wp:posOffset>171437</wp:posOffset>
                </wp:positionV>
                <wp:extent cx="5982335" cy="55244"/>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BB55EB8" id="Graphic 115" o:spid="_x0000_s1026" style="position:absolute;margin-left:70.6pt;margin-top:13.5pt;width:471.05pt;height:4.35pt;z-index:-15706112;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117" name="Graphic 117"/>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271E489D" id="Group 116"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">
                <v:shape id="Graphic 117"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" path="m5982335,18288l,18288,,54864r5982335,l5982335,18288xem5982335,l,,,9144r5982335,l5982335,xe" fillcolor="#612322" stroked="f">
                  <v:path arrowok="t"/>
                </v:shape>
                <w10:anchorlock/>
              </v:group>
            </w:pict>
          </mc:Fallback>
        </mc:AlternateContent>
      </w:r>
    </w:p>
    <w:p w:rsidR="00487D64" w:rsidRDefault="006F0D93">
      <w:pPr>
        <w:pStyle w:val="ListParagraph"/>
        <w:numPr>
          <w:ilvl w:val="0"/>
          <w:numId w:val="2"/>
        </w:numPr>
        <w:tabs>
          <w:tab w:val="left" w:pos="561"/>
          <w:tab w:val="left" w:pos="563"/>
        </w:tabs>
        <w:ind w:right="170"/>
        <w:jc w:val="both"/>
        <w:rPr>
          <w:sz w:val="24"/>
        </w:rPr>
      </w:pPr>
      <w:r>
        <w:rPr>
          <w:sz w:val="24"/>
        </w:rPr>
        <w:t>Muriente,</w:t>
      </w:r>
      <w:r>
        <w:rPr>
          <w:spacing w:val="-2"/>
          <w:sz w:val="24"/>
        </w:rPr>
        <w:t xml:space="preserve"> </w:t>
      </w:r>
      <w:r>
        <w:rPr>
          <w:sz w:val="24"/>
        </w:rPr>
        <w:t>C.</w:t>
      </w:r>
      <w:r>
        <w:rPr>
          <w:spacing w:val="-7"/>
          <w:sz w:val="24"/>
        </w:rPr>
        <w:t xml:space="preserve"> </w:t>
      </w:r>
      <w:r>
        <w:rPr>
          <w:sz w:val="24"/>
        </w:rPr>
        <w:t>L.</w:t>
      </w:r>
      <w:r>
        <w:rPr>
          <w:spacing w:val="-11"/>
          <w:sz w:val="24"/>
        </w:rPr>
        <w:t xml:space="preserve"> </w:t>
      </w:r>
      <w:r>
        <w:rPr>
          <w:sz w:val="24"/>
        </w:rPr>
        <w:t>(2025).</w:t>
      </w:r>
      <w:r>
        <w:rPr>
          <w:spacing w:val="-7"/>
          <w:sz w:val="24"/>
        </w:rPr>
        <w:t xml:space="preserve"> </w:t>
      </w:r>
      <w:r>
        <w:rPr>
          <w:sz w:val="24"/>
        </w:rPr>
        <w:t>Business</w:t>
      </w:r>
      <w:r>
        <w:rPr>
          <w:spacing w:val="-6"/>
          <w:sz w:val="24"/>
        </w:rPr>
        <w:t xml:space="preserve"> </w:t>
      </w:r>
      <w:r>
        <w:rPr>
          <w:sz w:val="24"/>
        </w:rPr>
        <w:t>Expectations</w:t>
      </w:r>
      <w:r>
        <w:rPr>
          <w:spacing w:val="-6"/>
          <w:sz w:val="24"/>
        </w:rPr>
        <w:t xml:space="preserve"> </w:t>
      </w:r>
      <w:r>
        <w:rPr>
          <w:sz w:val="24"/>
        </w:rPr>
        <w:t>and</w:t>
      </w:r>
      <w:r>
        <w:rPr>
          <w:spacing w:val="-4"/>
          <w:sz w:val="24"/>
        </w:rPr>
        <w:t xml:space="preserve"> </w:t>
      </w:r>
      <w:r>
        <w:rPr>
          <w:sz w:val="24"/>
        </w:rPr>
        <w:t>Gender</w:t>
      </w:r>
      <w:r>
        <w:rPr>
          <w:spacing w:val="-3"/>
          <w:sz w:val="24"/>
        </w:rPr>
        <w:t xml:space="preserve"> </w:t>
      </w:r>
      <w:r>
        <w:rPr>
          <w:sz w:val="24"/>
        </w:rPr>
        <w:t>Differences:</w:t>
      </w:r>
      <w:r>
        <w:rPr>
          <w:spacing w:val="-4"/>
          <w:sz w:val="24"/>
        </w:rPr>
        <w:t xml:space="preserve"> </w:t>
      </w:r>
      <w:r>
        <w:rPr>
          <w:sz w:val="24"/>
        </w:rPr>
        <w:t>The</w:t>
      </w:r>
      <w:r>
        <w:rPr>
          <w:spacing w:val="-5"/>
          <w:sz w:val="24"/>
        </w:rPr>
        <w:t xml:space="preserve"> </w:t>
      </w:r>
      <w:r>
        <w:rPr>
          <w:sz w:val="24"/>
        </w:rPr>
        <w:t>Case</w:t>
      </w:r>
      <w:r>
        <w:rPr>
          <w:spacing w:val="-5"/>
          <w:sz w:val="24"/>
        </w:rPr>
        <w:t xml:space="preserve"> </w:t>
      </w:r>
      <w:r>
        <w:rPr>
          <w:sz w:val="24"/>
        </w:rPr>
        <w:t>of</w:t>
      </w:r>
      <w:r>
        <w:rPr>
          <w:spacing w:val="-12"/>
          <w:sz w:val="24"/>
        </w:rPr>
        <w:t xml:space="preserve"> </w:t>
      </w:r>
      <w:r>
        <w:rPr>
          <w:sz w:val="24"/>
        </w:rPr>
        <w:t>SMEs</w:t>
      </w:r>
      <w:r>
        <w:rPr>
          <w:spacing w:val="-6"/>
          <w:sz w:val="24"/>
        </w:rPr>
        <w:t xml:space="preserve"> </w:t>
      </w:r>
      <w:r>
        <w:rPr>
          <w:sz w:val="24"/>
        </w:rPr>
        <w:t>in Panama. Revista de Economía del Caribe, (35).</w:t>
      </w:r>
    </w:p>
    <w:p w:rsidR="00487D64" w:rsidRDefault="006F0D93">
      <w:pPr>
        <w:pStyle w:val="ListParagraph"/>
        <w:numPr>
          <w:ilvl w:val="0"/>
          <w:numId w:val="2"/>
        </w:numPr>
        <w:tabs>
          <w:tab w:val="left" w:pos="561"/>
          <w:tab w:val="left" w:pos="563"/>
        </w:tabs>
        <w:spacing w:line="237" w:lineRule="auto"/>
        <w:ind w:right="176"/>
        <w:jc w:val="both"/>
        <w:rPr>
          <w:sz w:val="24"/>
        </w:rPr>
      </w:pPr>
      <w:r>
        <w:rPr>
          <w:sz w:val="24"/>
        </w:rPr>
        <w:t>Narver, J. C., &amp; Slater, S. F. (1990). The effect of a market orientation on business profitability. Journal of marketing, 54(4), 20-35.</w:t>
      </w:r>
    </w:p>
    <w:p w:rsidR="00487D64" w:rsidRDefault="006F0D93">
      <w:pPr>
        <w:pStyle w:val="ListParagraph"/>
        <w:numPr>
          <w:ilvl w:val="0"/>
          <w:numId w:val="2"/>
        </w:numPr>
        <w:tabs>
          <w:tab w:val="left" w:pos="561"/>
          <w:tab w:val="left" w:pos="563"/>
        </w:tabs>
        <w:ind w:right="156"/>
        <w:jc w:val="both"/>
        <w:rPr>
          <w:sz w:val="24"/>
        </w:rPr>
      </w:pPr>
      <w:r>
        <w:rPr>
          <w:sz w:val="24"/>
        </w:rPr>
        <w:t>Nitzl, C., &amp; Chin, W. W. (2017). The case of partial least squares ( PLS ) path modeling in managerial accounting resea</w:t>
      </w:r>
      <w:r>
        <w:rPr>
          <w:sz w:val="24"/>
        </w:rPr>
        <w:t xml:space="preserve">rch. Journal of Management Control, 28(2), 137–156. </w:t>
      </w:r>
      <w:r>
        <w:rPr>
          <w:spacing w:val="-2"/>
          <w:sz w:val="24"/>
        </w:rPr>
        <w:t>https://doi.org/doi:10.1007/s00187-017-0249-6</w:t>
      </w:r>
    </w:p>
    <w:p w:rsidR="00487D64" w:rsidRDefault="006F0D93">
      <w:pPr>
        <w:pStyle w:val="ListParagraph"/>
        <w:numPr>
          <w:ilvl w:val="0"/>
          <w:numId w:val="2"/>
        </w:numPr>
        <w:tabs>
          <w:tab w:val="left" w:pos="561"/>
        </w:tabs>
        <w:spacing w:line="274" w:lineRule="exact"/>
        <w:ind w:left="561" w:hanging="430"/>
        <w:jc w:val="both"/>
        <w:rPr>
          <w:sz w:val="24"/>
        </w:rPr>
      </w:pPr>
      <w:r>
        <w:rPr>
          <w:sz w:val="24"/>
        </w:rPr>
        <w:t>OECD,</w:t>
      </w:r>
      <w:r>
        <w:rPr>
          <w:spacing w:val="26"/>
          <w:sz w:val="24"/>
        </w:rPr>
        <w:t xml:space="preserve"> </w:t>
      </w:r>
      <w:r>
        <w:rPr>
          <w:sz w:val="24"/>
        </w:rPr>
        <w:t>(2018).SMEs</w:t>
      </w:r>
      <w:r>
        <w:rPr>
          <w:spacing w:val="24"/>
          <w:sz w:val="24"/>
        </w:rPr>
        <w:t xml:space="preserve"> </w:t>
      </w:r>
      <w:r>
        <w:rPr>
          <w:sz w:val="24"/>
        </w:rPr>
        <w:t>in</w:t>
      </w:r>
      <w:r>
        <w:rPr>
          <w:spacing w:val="23"/>
          <w:sz w:val="24"/>
        </w:rPr>
        <w:t xml:space="preserve"> </w:t>
      </w:r>
      <w:r>
        <w:rPr>
          <w:sz w:val="24"/>
        </w:rPr>
        <w:t>Public</w:t>
      </w:r>
      <w:r>
        <w:rPr>
          <w:spacing w:val="26"/>
          <w:sz w:val="24"/>
        </w:rPr>
        <w:t xml:space="preserve"> </w:t>
      </w:r>
      <w:r>
        <w:rPr>
          <w:sz w:val="24"/>
        </w:rPr>
        <w:t>Procurement:</w:t>
      </w:r>
      <w:r>
        <w:rPr>
          <w:spacing w:val="28"/>
          <w:sz w:val="24"/>
        </w:rPr>
        <w:t xml:space="preserve"> </w:t>
      </w:r>
      <w:r>
        <w:rPr>
          <w:sz w:val="24"/>
        </w:rPr>
        <w:t>Practices</w:t>
      </w:r>
      <w:r>
        <w:rPr>
          <w:spacing w:val="24"/>
          <w:sz w:val="24"/>
        </w:rPr>
        <w:t xml:space="preserve"> </w:t>
      </w:r>
      <w:r>
        <w:rPr>
          <w:sz w:val="24"/>
        </w:rPr>
        <w:t>and</w:t>
      </w:r>
      <w:r>
        <w:rPr>
          <w:spacing w:val="27"/>
          <w:sz w:val="24"/>
        </w:rPr>
        <w:t xml:space="preserve"> </w:t>
      </w:r>
      <w:r>
        <w:rPr>
          <w:sz w:val="24"/>
        </w:rPr>
        <w:t>Strategies</w:t>
      </w:r>
      <w:r>
        <w:rPr>
          <w:spacing w:val="29"/>
          <w:sz w:val="24"/>
        </w:rPr>
        <w:t xml:space="preserve"> </w:t>
      </w:r>
      <w:r>
        <w:rPr>
          <w:sz w:val="24"/>
        </w:rPr>
        <w:t>for</w:t>
      </w:r>
      <w:r>
        <w:rPr>
          <w:spacing w:val="28"/>
          <w:sz w:val="24"/>
        </w:rPr>
        <w:t xml:space="preserve"> </w:t>
      </w:r>
      <w:r>
        <w:rPr>
          <w:sz w:val="24"/>
        </w:rPr>
        <w:t>Shared</w:t>
      </w:r>
      <w:r>
        <w:rPr>
          <w:spacing w:val="27"/>
          <w:sz w:val="24"/>
        </w:rPr>
        <w:t xml:space="preserve"> </w:t>
      </w:r>
      <w:r>
        <w:rPr>
          <w:spacing w:val="-2"/>
          <w:sz w:val="24"/>
        </w:rPr>
        <w:t>Benefits,</w:t>
      </w:r>
    </w:p>
    <w:p w:rsidR="00487D64" w:rsidRDefault="006F0D93">
      <w:pPr>
        <w:spacing w:before="1" w:line="275" w:lineRule="exact"/>
        <w:ind w:left="563"/>
        <w:jc w:val="both"/>
        <w:rPr>
          <w:sz w:val="24"/>
        </w:rPr>
      </w:pPr>
      <w:r>
        <w:rPr>
          <w:sz w:val="24"/>
        </w:rPr>
        <w:t>OECD</w:t>
      </w:r>
      <w:r>
        <w:rPr>
          <w:spacing w:val="-5"/>
          <w:sz w:val="24"/>
        </w:rPr>
        <w:t xml:space="preserve"> </w:t>
      </w:r>
      <w:r>
        <w:rPr>
          <w:sz w:val="24"/>
        </w:rPr>
        <w:t>Public</w:t>
      </w:r>
      <w:r>
        <w:rPr>
          <w:spacing w:val="-4"/>
          <w:sz w:val="24"/>
        </w:rPr>
        <w:t xml:space="preserve"> </w:t>
      </w:r>
      <w:r>
        <w:rPr>
          <w:spacing w:val="-2"/>
          <w:sz w:val="24"/>
        </w:rPr>
        <w:t>Governance</w:t>
      </w:r>
    </w:p>
    <w:p w:rsidR="00487D64" w:rsidRDefault="006F0D93">
      <w:pPr>
        <w:pStyle w:val="ListParagraph"/>
        <w:numPr>
          <w:ilvl w:val="0"/>
          <w:numId w:val="2"/>
        </w:numPr>
        <w:tabs>
          <w:tab w:val="left" w:pos="561"/>
          <w:tab w:val="left" w:pos="563"/>
        </w:tabs>
        <w:spacing w:line="242" w:lineRule="auto"/>
        <w:ind w:right="159"/>
        <w:jc w:val="both"/>
        <w:rPr>
          <w:sz w:val="24"/>
        </w:rPr>
      </w:pPr>
      <w:r>
        <w:rPr>
          <w:sz w:val="24"/>
        </w:rPr>
        <w:t>Organisation for Economic Co-operation and Devel</w:t>
      </w:r>
      <w:r>
        <w:rPr>
          <w:sz w:val="24"/>
        </w:rPr>
        <w:t xml:space="preserve">opment. (2018). </w:t>
      </w:r>
      <w:r>
        <w:rPr>
          <w:i/>
          <w:sz w:val="24"/>
        </w:rPr>
        <w:t xml:space="preserve">SMEs and inclusive </w:t>
      </w:r>
      <w:r>
        <w:rPr>
          <w:i/>
          <w:spacing w:val="-2"/>
          <w:sz w:val="24"/>
        </w:rPr>
        <w:t>growth</w:t>
      </w:r>
      <w:r>
        <w:rPr>
          <w:spacing w:val="-2"/>
          <w:sz w:val="24"/>
        </w:rPr>
        <w:t>.</w:t>
      </w:r>
    </w:p>
    <w:p w:rsidR="00487D64" w:rsidRDefault="006F0D93">
      <w:pPr>
        <w:pStyle w:val="ListParagraph"/>
        <w:numPr>
          <w:ilvl w:val="0"/>
          <w:numId w:val="2"/>
        </w:numPr>
        <w:tabs>
          <w:tab w:val="left" w:pos="561"/>
          <w:tab w:val="left" w:pos="563"/>
        </w:tabs>
        <w:spacing w:line="237" w:lineRule="auto"/>
        <w:ind w:right="175"/>
        <w:jc w:val="both"/>
        <w:rPr>
          <w:sz w:val="24"/>
        </w:rPr>
      </w:pPr>
      <w:r>
        <w:rPr>
          <w:sz w:val="24"/>
        </w:rPr>
        <w:t>Panga, F. P. (2015). Empowering small and medium enterprises (SMEs) to harness public procurement opportunities experience from Mwanza Tanzania.</w:t>
      </w:r>
    </w:p>
    <w:p w:rsidR="00487D64" w:rsidRDefault="006F0D93">
      <w:pPr>
        <w:pStyle w:val="ListParagraph"/>
        <w:numPr>
          <w:ilvl w:val="0"/>
          <w:numId w:val="2"/>
        </w:numPr>
        <w:tabs>
          <w:tab w:val="left" w:pos="561"/>
          <w:tab w:val="left" w:pos="563"/>
        </w:tabs>
        <w:ind w:right="163"/>
        <w:jc w:val="both"/>
        <w:rPr>
          <w:sz w:val="24"/>
        </w:rPr>
      </w:pPr>
      <w:r>
        <w:rPr>
          <w:sz w:val="24"/>
        </w:rPr>
        <w:t>Pekovic, S., &amp;</w:t>
      </w:r>
      <w:r>
        <w:rPr>
          <w:spacing w:val="-2"/>
          <w:sz w:val="24"/>
        </w:rPr>
        <w:t xml:space="preserve"> </w:t>
      </w:r>
      <w:r>
        <w:rPr>
          <w:sz w:val="24"/>
        </w:rPr>
        <w:t>Rolland, S. (2016). Customer orientation</w:t>
      </w:r>
      <w:r>
        <w:rPr>
          <w:spacing w:val="-2"/>
          <w:sz w:val="24"/>
        </w:rPr>
        <w:t xml:space="preserve"> </w:t>
      </w:r>
      <w:r>
        <w:rPr>
          <w:sz w:val="24"/>
        </w:rPr>
        <w:t>and firm’s business performance: A moderated</w:t>
      </w:r>
      <w:r>
        <w:rPr>
          <w:spacing w:val="40"/>
          <w:sz w:val="24"/>
        </w:rPr>
        <w:t xml:space="preserve"> </w:t>
      </w:r>
      <w:r>
        <w:rPr>
          <w:sz w:val="24"/>
        </w:rPr>
        <w:t>mediation</w:t>
      </w:r>
      <w:r>
        <w:rPr>
          <w:spacing w:val="40"/>
          <w:sz w:val="24"/>
        </w:rPr>
        <w:t xml:space="preserve"> </w:t>
      </w:r>
      <w:r>
        <w:rPr>
          <w:sz w:val="24"/>
        </w:rPr>
        <w:t>model</w:t>
      </w:r>
      <w:r>
        <w:rPr>
          <w:spacing w:val="40"/>
          <w:sz w:val="24"/>
        </w:rPr>
        <w:t xml:space="preserve"> </w:t>
      </w:r>
      <w:r>
        <w:rPr>
          <w:sz w:val="24"/>
        </w:rPr>
        <w:t>of</w:t>
      </w:r>
      <w:r>
        <w:rPr>
          <w:spacing w:val="40"/>
          <w:sz w:val="24"/>
        </w:rPr>
        <w:t xml:space="preserve"> </w:t>
      </w:r>
      <w:r>
        <w:rPr>
          <w:sz w:val="24"/>
        </w:rPr>
        <w:t>environmental</w:t>
      </w:r>
      <w:r>
        <w:rPr>
          <w:spacing w:val="40"/>
          <w:sz w:val="24"/>
        </w:rPr>
        <w:t xml:space="preserve"> </w:t>
      </w:r>
      <w:r>
        <w:rPr>
          <w:sz w:val="24"/>
        </w:rPr>
        <w:t>customer</w:t>
      </w:r>
      <w:r>
        <w:rPr>
          <w:spacing w:val="40"/>
          <w:sz w:val="24"/>
        </w:rPr>
        <w:t xml:space="preserve"> </w:t>
      </w:r>
      <w:r>
        <w:rPr>
          <w:sz w:val="24"/>
        </w:rPr>
        <w:t>innovation</w:t>
      </w:r>
      <w:r>
        <w:rPr>
          <w:spacing w:val="40"/>
          <w:sz w:val="24"/>
        </w:rPr>
        <w:t xml:space="preserve"> </w:t>
      </w:r>
      <w:r>
        <w:rPr>
          <w:sz w:val="24"/>
        </w:rPr>
        <w:t>and</w:t>
      </w:r>
      <w:r>
        <w:rPr>
          <w:spacing w:val="40"/>
          <w:sz w:val="24"/>
        </w:rPr>
        <w:t xml:space="preserve"> </w:t>
      </w:r>
      <w:r>
        <w:rPr>
          <w:sz w:val="24"/>
        </w:rPr>
        <w:t>contextual</w:t>
      </w:r>
      <w:r>
        <w:rPr>
          <w:spacing w:val="40"/>
          <w:sz w:val="24"/>
        </w:rPr>
        <w:t xml:space="preserve"> </w:t>
      </w:r>
      <w:r>
        <w:rPr>
          <w:sz w:val="24"/>
        </w:rPr>
        <w:t>factors. European Journal of Marketing, 50(12), 2162-2191.</w:t>
      </w:r>
    </w:p>
    <w:p w:rsidR="00487D64" w:rsidRDefault="006F0D93">
      <w:pPr>
        <w:pStyle w:val="ListParagraph"/>
        <w:numPr>
          <w:ilvl w:val="0"/>
          <w:numId w:val="2"/>
        </w:numPr>
        <w:tabs>
          <w:tab w:val="left" w:pos="563"/>
          <w:tab w:val="left" w:pos="624"/>
        </w:tabs>
        <w:spacing w:line="242" w:lineRule="auto"/>
        <w:ind w:right="168"/>
        <w:jc w:val="both"/>
        <w:rPr>
          <w:sz w:val="24"/>
        </w:rPr>
      </w:pPr>
      <w:r>
        <w:rPr>
          <w:sz w:val="24"/>
        </w:rPr>
        <w:tab/>
        <w:t xml:space="preserve">Public Procurement Regulatory Authority. (2016). </w:t>
      </w:r>
      <w:r>
        <w:rPr>
          <w:i/>
          <w:sz w:val="24"/>
        </w:rPr>
        <w:t>Public Procurement (Amendment) Regulations, GN No. 333 of 2016</w:t>
      </w:r>
      <w:r>
        <w:rPr>
          <w:sz w:val="24"/>
        </w:rPr>
        <w:t>.</w:t>
      </w:r>
    </w:p>
    <w:p w:rsidR="00487D64" w:rsidRDefault="006F0D93">
      <w:pPr>
        <w:pStyle w:val="ListParagraph"/>
        <w:numPr>
          <w:ilvl w:val="0"/>
          <w:numId w:val="2"/>
        </w:numPr>
        <w:tabs>
          <w:tab w:val="left" w:pos="561"/>
          <w:tab w:val="left" w:pos="563"/>
        </w:tabs>
        <w:ind w:right="165"/>
        <w:jc w:val="both"/>
        <w:rPr>
          <w:sz w:val="24"/>
        </w:rPr>
      </w:pPr>
      <w:r>
        <w:rPr>
          <w:sz w:val="24"/>
        </w:rPr>
        <w:t xml:space="preserve">Rahi, S. (2017). Research design and methods: A systematic review of research paradigms, sampling issues and instruments development. International Journal of Economics &amp; Management Sciences, </w:t>
      </w:r>
      <w:r>
        <w:rPr>
          <w:sz w:val="24"/>
        </w:rPr>
        <w:t>6(2), 1-5.</w:t>
      </w:r>
    </w:p>
    <w:p w:rsidR="00487D64" w:rsidRDefault="006F0D93">
      <w:pPr>
        <w:pStyle w:val="ListParagraph"/>
        <w:numPr>
          <w:ilvl w:val="0"/>
          <w:numId w:val="2"/>
        </w:numPr>
        <w:tabs>
          <w:tab w:val="left" w:pos="561"/>
        </w:tabs>
        <w:spacing w:line="275" w:lineRule="exact"/>
        <w:ind w:left="561" w:hanging="430"/>
        <w:jc w:val="both"/>
        <w:rPr>
          <w:sz w:val="24"/>
        </w:rPr>
      </w:pPr>
      <w:r>
        <w:rPr>
          <w:sz w:val="24"/>
        </w:rPr>
        <w:t>Sarstedt,</w:t>
      </w:r>
      <w:r>
        <w:rPr>
          <w:spacing w:val="-7"/>
          <w:sz w:val="24"/>
        </w:rPr>
        <w:t xml:space="preserve"> </w:t>
      </w:r>
      <w:r>
        <w:rPr>
          <w:sz w:val="24"/>
        </w:rPr>
        <w:t>M.,</w:t>
      </w:r>
      <w:r>
        <w:rPr>
          <w:spacing w:val="-4"/>
          <w:sz w:val="24"/>
        </w:rPr>
        <w:t xml:space="preserve"> </w:t>
      </w:r>
      <w:r>
        <w:rPr>
          <w:sz w:val="24"/>
        </w:rPr>
        <w:t>Hair Jr, J.</w:t>
      </w:r>
      <w:r>
        <w:rPr>
          <w:spacing w:val="1"/>
          <w:sz w:val="24"/>
        </w:rPr>
        <w:t xml:space="preserve"> </w:t>
      </w:r>
      <w:r>
        <w:rPr>
          <w:sz w:val="24"/>
        </w:rPr>
        <w:t>F.,</w:t>
      </w:r>
      <w:r>
        <w:rPr>
          <w:spacing w:val="-4"/>
          <w:sz w:val="24"/>
        </w:rPr>
        <w:t xml:space="preserve"> </w:t>
      </w:r>
      <w:r>
        <w:rPr>
          <w:sz w:val="24"/>
        </w:rPr>
        <w:t>Nitzl, C.,</w:t>
      </w:r>
      <w:r>
        <w:rPr>
          <w:spacing w:val="1"/>
          <w:sz w:val="24"/>
        </w:rPr>
        <w:t xml:space="preserve"> </w:t>
      </w:r>
      <w:r>
        <w:rPr>
          <w:sz w:val="24"/>
        </w:rPr>
        <w:t>Ringle,</w:t>
      </w:r>
      <w:r>
        <w:rPr>
          <w:spacing w:val="1"/>
          <w:sz w:val="24"/>
        </w:rPr>
        <w:t xml:space="preserve"> </w:t>
      </w:r>
      <w:r>
        <w:rPr>
          <w:sz w:val="24"/>
        </w:rPr>
        <w:t>C. M.,</w:t>
      </w:r>
      <w:r>
        <w:rPr>
          <w:spacing w:val="-4"/>
          <w:sz w:val="24"/>
        </w:rPr>
        <w:t xml:space="preserve"> </w:t>
      </w:r>
      <w:r>
        <w:rPr>
          <w:sz w:val="24"/>
        </w:rPr>
        <w:t>&amp;</w:t>
      </w:r>
      <w:r>
        <w:rPr>
          <w:spacing w:val="-6"/>
          <w:sz w:val="24"/>
        </w:rPr>
        <w:t xml:space="preserve"> </w:t>
      </w:r>
      <w:r>
        <w:rPr>
          <w:sz w:val="24"/>
        </w:rPr>
        <w:t>Howard,</w:t>
      </w:r>
      <w:r>
        <w:rPr>
          <w:spacing w:val="1"/>
          <w:sz w:val="24"/>
        </w:rPr>
        <w:t xml:space="preserve"> </w:t>
      </w:r>
      <w:r>
        <w:rPr>
          <w:sz w:val="24"/>
        </w:rPr>
        <w:t>M.</w:t>
      </w:r>
      <w:r>
        <w:rPr>
          <w:spacing w:val="-5"/>
          <w:sz w:val="24"/>
        </w:rPr>
        <w:t xml:space="preserve"> </w:t>
      </w:r>
      <w:r>
        <w:rPr>
          <w:sz w:val="24"/>
        </w:rPr>
        <w:t>C.</w:t>
      </w:r>
      <w:r>
        <w:rPr>
          <w:spacing w:val="-4"/>
          <w:sz w:val="24"/>
        </w:rPr>
        <w:t xml:space="preserve"> </w:t>
      </w:r>
      <w:r>
        <w:rPr>
          <w:sz w:val="24"/>
        </w:rPr>
        <w:t>(2020).</w:t>
      </w:r>
      <w:r>
        <w:rPr>
          <w:spacing w:val="1"/>
          <w:sz w:val="24"/>
        </w:rPr>
        <w:t xml:space="preserve"> </w:t>
      </w:r>
      <w:r>
        <w:rPr>
          <w:sz w:val="24"/>
        </w:rPr>
        <w:t>Beyond</w:t>
      </w:r>
      <w:r>
        <w:rPr>
          <w:spacing w:val="-1"/>
          <w:sz w:val="24"/>
        </w:rPr>
        <w:t xml:space="preserve"> </w:t>
      </w:r>
      <w:r>
        <w:rPr>
          <w:spacing w:val="-10"/>
          <w:sz w:val="24"/>
        </w:rPr>
        <w:t>a</w:t>
      </w:r>
    </w:p>
    <w:p w:rsidR="00487D64" w:rsidRDefault="006F0D93">
      <w:pPr>
        <w:pStyle w:val="ListParagraph"/>
        <w:numPr>
          <w:ilvl w:val="0"/>
          <w:numId w:val="2"/>
        </w:numPr>
        <w:tabs>
          <w:tab w:val="left" w:pos="561"/>
          <w:tab w:val="left" w:pos="563"/>
        </w:tabs>
        <w:ind w:right="174"/>
        <w:jc w:val="both"/>
        <w:rPr>
          <w:sz w:val="24"/>
        </w:rPr>
      </w:pPr>
      <w:r>
        <w:rPr>
          <w:sz w:val="24"/>
        </w:rPr>
        <w:t>Sondhi, S. S.,</w:t>
      </w:r>
      <w:r>
        <w:rPr>
          <w:spacing w:val="-2"/>
          <w:sz w:val="24"/>
        </w:rPr>
        <w:t xml:space="preserve"> </w:t>
      </w:r>
      <w:r>
        <w:rPr>
          <w:sz w:val="24"/>
        </w:rPr>
        <w:t>Salwan, P., Niranjan, S.,</w:t>
      </w:r>
      <w:r>
        <w:rPr>
          <w:spacing w:val="-2"/>
          <w:sz w:val="24"/>
        </w:rPr>
        <w:t xml:space="preserve"> </w:t>
      </w:r>
      <w:r>
        <w:rPr>
          <w:sz w:val="24"/>
        </w:rPr>
        <w:t>Hawkins,</w:t>
      </w:r>
      <w:r>
        <w:rPr>
          <w:spacing w:val="-2"/>
          <w:sz w:val="24"/>
        </w:rPr>
        <w:t xml:space="preserve"> </w:t>
      </w:r>
      <w:r>
        <w:rPr>
          <w:sz w:val="24"/>
        </w:rPr>
        <w:t>T.,</w:t>
      </w:r>
      <w:r>
        <w:rPr>
          <w:spacing w:val="-2"/>
          <w:sz w:val="24"/>
        </w:rPr>
        <w:t xml:space="preserve"> </w:t>
      </w:r>
      <w:r>
        <w:rPr>
          <w:sz w:val="24"/>
        </w:rPr>
        <w:t>Behl, A., Pereira, V.,</w:t>
      </w:r>
      <w:r>
        <w:rPr>
          <w:spacing w:val="-2"/>
          <w:sz w:val="24"/>
        </w:rPr>
        <w:t xml:space="preserve"> </w:t>
      </w:r>
      <w:r>
        <w:rPr>
          <w:sz w:val="24"/>
        </w:rPr>
        <w:t>&amp;</w:t>
      </w:r>
      <w:r>
        <w:rPr>
          <w:spacing w:val="-4"/>
          <w:sz w:val="24"/>
        </w:rPr>
        <w:t xml:space="preserve"> </w:t>
      </w:r>
      <w:r>
        <w:rPr>
          <w:sz w:val="24"/>
        </w:rPr>
        <w:t>del</w:t>
      </w:r>
      <w:r>
        <w:rPr>
          <w:spacing w:val="-9"/>
          <w:sz w:val="24"/>
        </w:rPr>
        <w:t xml:space="preserve"> </w:t>
      </w:r>
      <w:r>
        <w:rPr>
          <w:sz w:val="24"/>
        </w:rPr>
        <w:t>Giudice, M. (2024). Exploring open innovation dynamics: service and deliv</w:t>
      </w:r>
      <w:r>
        <w:rPr>
          <w:sz w:val="24"/>
        </w:rPr>
        <w:t>ery interplay in circular economy. IEEE Transactions on Engineering Management.</w:t>
      </w:r>
    </w:p>
    <w:p w:rsidR="00487D64" w:rsidRDefault="006F0D93">
      <w:pPr>
        <w:spacing w:line="275" w:lineRule="exact"/>
        <w:ind w:left="563"/>
        <w:jc w:val="both"/>
        <w:rPr>
          <w:sz w:val="24"/>
        </w:rPr>
      </w:pPr>
      <w:r>
        <w:rPr>
          <w:sz w:val="24"/>
        </w:rPr>
        <w:t>tandem</w:t>
      </w:r>
      <w:r>
        <w:rPr>
          <w:spacing w:val="-10"/>
          <w:sz w:val="24"/>
        </w:rPr>
        <w:t xml:space="preserve"> </w:t>
      </w:r>
      <w:r>
        <w:rPr>
          <w:sz w:val="24"/>
        </w:rPr>
        <w:t>analysis</w:t>
      </w:r>
      <w:r>
        <w:rPr>
          <w:spacing w:val="-1"/>
          <w:sz w:val="24"/>
        </w:rPr>
        <w:t xml:space="preserve"> </w:t>
      </w:r>
      <w:r>
        <w:rPr>
          <w:sz w:val="24"/>
        </w:rPr>
        <w:t>of</w:t>
      </w:r>
      <w:r>
        <w:rPr>
          <w:spacing w:val="-7"/>
          <w:sz w:val="24"/>
        </w:rPr>
        <w:t xml:space="preserve"> </w:t>
      </w:r>
      <w:r>
        <w:rPr>
          <w:sz w:val="24"/>
        </w:rPr>
        <w:t>SEM</w:t>
      </w:r>
      <w:r>
        <w:rPr>
          <w:spacing w:val="-1"/>
          <w:sz w:val="24"/>
        </w:rPr>
        <w:t xml:space="preserve"> </w:t>
      </w:r>
      <w:r>
        <w:rPr>
          <w:sz w:val="24"/>
        </w:rPr>
        <w:t>and</w:t>
      </w:r>
      <w:r>
        <w:rPr>
          <w:spacing w:val="1"/>
          <w:sz w:val="24"/>
        </w:rPr>
        <w:t xml:space="preserve"> </w:t>
      </w:r>
      <w:r>
        <w:rPr>
          <w:sz w:val="24"/>
        </w:rPr>
        <w:t>PROCESS:</w:t>
      </w:r>
      <w:r>
        <w:rPr>
          <w:spacing w:val="1"/>
          <w:sz w:val="24"/>
        </w:rPr>
        <w:t xml:space="preserve"> </w:t>
      </w:r>
      <w:r>
        <w:rPr>
          <w:sz w:val="24"/>
        </w:rPr>
        <w:t>Use</w:t>
      </w:r>
      <w:r>
        <w:rPr>
          <w:spacing w:val="-1"/>
          <w:sz w:val="24"/>
        </w:rPr>
        <w:t xml:space="preserve"> </w:t>
      </w:r>
      <w:r>
        <w:rPr>
          <w:sz w:val="24"/>
        </w:rPr>
        <w:t>of</w:t>
      </w:r>
      <w:r>
        <w:rPr>
          <w:spacing w:val="-6"/>
          <w:sz w:val="24"/>
        </w:rPr>
        <w:t xml:space="preserve"> </w:t>
      </w:r>
      <w:r>
        <w:rPr>
          <w:sz w:val="24"/>
        </w:rPr>
        <w:t>PLS-SEM</w:t>
      </w:r>
      <w:r>
        <w:rPr>
          <w:spacing w:val="-1"/>
          <w:sz w:val="24"/>
        </w:rPr>
        <w:t xml:space="preserve"> </w:t>
      </w:r>
      <w:r>
        <w:rPr>
          <w:sz w:val="24"/>
        </w:rPr>
        <w:t>for</w:t>
      </w:r>
      <w:r>
        <w:rPr>
          <w:spacing w:val="1"/>
          <w:sz w:val="24"/>
        </w:rPr>
        <w:t xml:space="preserve"> </w:t>
      </w:r>
      <w:r>
        <w:rPr>
          <w:sz w:val="24"/>
        </w:rPr>
        <w:t>mediation</w:t>
      </w:r>
      <w:r>
        <w:rPr>
          <w:spacing w:val="-3"/>
          <w:sz w:val="24"/>
        </w:rPr>
        <w:t xml:space="preserve"> </w:t>
      </w:r>
      <w:r>
        <w:rPr>
          <w:spacing w:val="-2"/>
          <w:sz w:val="24"/>
        </w:rPr>
        <w:t>analyses!</w:t>
      </w:r>
    </w:p>
    <w:p w:rsidR="00487D64" w:rsidRDefault="006F0D93">
      <w:pPr>
        <w:pStyle w:val="ListParagraph"/>
        <w:numPr>
          <w:ilvl w:val="0"/>
          <w:numId w:val="2"/>
        </w:numPr>
        <w:tabs>
          <w:tab w:val="left" w:pos="561"/>
          <w:tab w:val="left" w:pos="563"/>
        </w:tabs>
        <w:spacing w:line="242" w:lineRule="auto"/>
        <w:ind w:right="176"/>
        <w:jc w:val="both"/>
        <w:rPr>
          <w:sz w:val="24"/>
        </w:rPr>
      </w:pPr>
      <w:r>
        <w:rPr>
          <w:sz w:val="24"/>
        </w:rPr>
        <w:t>Teece, D. J., Pisano, G., &amp; Shuen, A. (1997). Dynamic capabilities and strategic management. Strategic management journal, 18(7), 509-533.</w:t>
      </w:r>
    </w:p>
    <w:p w:rsidR="00487D64" w:rsidRDefault="006F0D93">
      <w:pPr>
        <w:spacing w:line="271" w:lineRule="exact"/>
        <w:ind w:left="563"/>
        <w:jc w:val="both"/>
        <w:rPr>
          <w:sz w:val="24"/>
        </w:rPr>
      </w:pPr>
      <w:r>
        <w:rPr>
          <w:sz w:val="24"/>
        </w:rPr>
        <w:t>translational</w:t>
      </w:r>
      <w:r>
        <w:rPr>
          <w:spacing w:val="-7"/>
          <w:sz w:val="24"/>
        </w:rPr>
        <w:t xml:space="preserve"> </w:t>
      </w:r>
      <w:r>
        <w:rPr>
          <w:sz w:val="24"/>
        </w:rPr>
        <w:t>medicine,</w:t>
      </w:r>
      <w:r>
        <w:rPr>
          <w:spacing w:val="-1"/>
          <w:sz w:val="24"/>
        </w:rPr>
        <w:t xml:space="preserve"> </w:t>
      </w:r>
      <w:r>
        <w:rPr>
          <w:spacing w:val="-4"/>
          <w:sz w:val="24"/>
        </w:rPr>
        <w:t>4(1).</w:t>
      </w:r>
    </w:p>
    <w:p w:rsidR="00487D64" w:rsidRDefault="006F0D93">
      <w:pPr>
        <w:pStyle w:val="ListParagraph"/>
        <w:numPr>
          <w:ilvl w:val="0"/>
          <w:numId w:val="2"/>
        </w:numPr>
        <w:tabs>
          <w:tab w:val="left" w:pos="561"/>
          <w:tab w:val="left" w:pos="563"/>
        </w:tabs>
        <w:ind w:right="168"/>
        <w:jc w:val="both"/>
        <w:rPr>
          <w:sz w:val="24"/>
        </w:rPr>
      </w:pPr>
      <w:r>
        <w:rPr>
          <w:sz w:val="24"/>
        </w:rPr>
        <w:t>Tseng, L. M. (2018). How customer orientation leads to customer satisfaction: Mediating mechanisms of service workers’ etiquette and creativity. International Journal of Bank Marketing, 37(1), 2.</w:t>
      </w:r>
    </w:p>
    <w:p w:rsidR="00487D64" w:rsidRDefault="006F0D93">
      <w:pPr>
        <w:pStyle w:val="ListParagraph"/>
        <w:numPr>
          <w:ilvl w:val="0"/>
          <w:numId w:val="2"/>
        </w:numPr>
        <w:tabs>
          <w:tab w:val="left" w:pos="561"/>
          <w:tab w:val="left" w:pos="563"/>
        </w:tabs>
        <w:ind w:right="164"/>
        <w:jc w:val="both"/>
        <w:rPr>
          <w:sz w:val="24"/>
        </w:rPr>
      </w:pPr>
      <w:r>
        <w:rPr>
          <w:sz w:val="24"/>
        </w:rPr>
        <w:t>Tunç, T. (2020). The joint effects of customer and competito</w:t>
      </w:r>
      <w:r>
        <w:rPr>
          <w:sz w:val="24"/>
        </w:rPr>
        <w:t>r orientation on marketing performance: A case of an industry leading firm in Turkey. Istanbul Management Journal, (89), 47-71.</w:t>
      </w:r>
    </w:p>
    <w:p w:rsidR="00487D64" w:rsidRDefault="006F0D93">
      <w:pPr>
        <w:pStyle w:val="ListParagraph"/>
        <w:numPr>
          <w:ilvl w:val="0"/>
          <w:numId w:val="2"/>
        </w:numPr>
        <w:tabs>
          <w:tab w:val="left" w:pos="561"/>
          <w:tab w:val="left" w:pos="563"/>
        </w:tabs>
        <w:spacing w:line="237" w:lineRule="auto"/>
        <w:ind w:right="156"/>
        <w:jc w:val="both"/>
        <w:rPr>
          <w:sz w:val="24"/>
        </w:rPr>
      </w:pPr>
      <w:r>
        <w:rPr>
          <w:sz w:val="24"/>
        </w:rPr>
        <w:t xml:space="preserve">United Republic of Tanzania. (2016). </w:t>
      </w:r>
      <w:r>
        <w:rPr>
          <w:i/>
          <w:sz w:val="24"/>
        </w:rPr>
        <w:t xml:space="preserve">The Public Procurement (Amendment) Act, 2016. </w:t>
      </w:r>
      <w:r>
        <w:rPr>
          <w:sz w:val="24"/>
        </w:rPr>
        <w:t>Dar es Salaam: Government Printer.</w:t>
      </w:r>
    </w:p>
    <w:p w:rsidR="00487D64" w:rsidRDefault="006F0D93">
      <w:pPr>
        <w:pStyle w:val="ListParagraph"/>
        <w:numPr>
          <w:ilvl w:val="0"/>
          <w:numId w:val="2"/>
        </w:numPr>
        <w:tabs>
          <w:tab w:val="left" w:pos="561"/>
          <w:tab w:val="left" w:pos="563"/>
        </w:tabs>
        <w:spacing w:before="4"/>
        <w:ind w:right="163"/>
        <w:jc w:val="both"/>
        <w:rPr>
          <w:sz w:val="24"/>
        </w:rPr>
      </w:pPr>
      <w:r>
        <w:rPr>
          <w:sz w:val="24"/>
        </w:rPr>
        <w:t>Vem, L. J.</w:t>
      </w:r>
      <w:r>
        <w:rPr>
          <w:sz w:val="24"/>
        </w:rPr>
        <w:t>, Samson, N., Nkup, Y. N., &amp; Jamoke, A. I. (2022). Does coordination flexibility mediates</w:t>
      </w:r>
      <w:r>
        <w:rPr>
          <w:spacing w:val="40"/>
          <w:sz w:val="24"/>
        </w:rPr>
        <w:t xml:space="preserve">  </w:t>
      </w:r>
      <w:r>
        <w:rPr>
          <w:sz w:val="24"/>
        </w:rPr>
        <w:t>the</w:t>
      </w:r>
      <w:r>
        <w:rPr>
          <w:spacing w:val="40"/>
          <w:sz w:val="24"/>
        </w:rPr>
        <w:t xml:space="preserve">  </w:t>
      </w:r>
      <w:r>
        <w:rPr>
          <w:sz w:val="24"/>
        </w:rPr>
        <w:t>relationship</w:t>
      </w:r>
      <w:r>
        <w:rPr>
          <w:spacing w:val="40"/>
          <w:sz w:val="24"/>
        </w:rPr>
        <w:t xml:space="preserve">  </w:t>
      </w:r>
      <w:r>
        <w:rPr>
          <w:sz w:val="24"/>
        </w:rPr>
        <w:t>between</w:t>
      </w:r>
      <w:r>
        <w:rPr>
          <w:spacing w:val="40"/>
          <w:sz w:val="24"/>
        </w:rPr>
        <w:t xml:space="preserve">  </w:t>
      </w:r>
      <w:r>
        <w:rPr>
          <w:sz w:val="24"/>
        </w:rPr>
        <w:t>strategic</w:t>
      </w:r>
      <w:r>
        <w:rPr>
          <w:spacing w:val="40"/>
          <w:sz w:val="24"/>
        </w:rPr>
        <w:t xml:space="preserve">  </w:t>
      </w:r>
      <w:r>
        <w:rPr>
          <w:sz w:val="24"/>
        </w:rPr>
        <w:t>orientation</w:t>
      </w:r>
      <w:r>
        <w:rPr>
          <w:spacing w:val="40"/>
          <w:sz w:val="24"/>
        </w:rPr>
        <w:t xml:space="preserve">  </w:t>
      </w:r>
      <w:r>
        <w:rPr>
          <w:sz w:val="24"/>
        </w:rPr>
        <w:t>and</w:t>
      </w:r>
      <w:r>
        <w:rPr>
          <w:spacing w:val="40"/>
          <w:sz w:val="24"/>
        </w:rPr>
        <w:t xml:space="preserve">  </w:t>
      </w:r>
      <w:r>
        <w:rPr>
          <w:sz w:val="24"/>
        </w:rPr>
        <w:t>innovative performance. International</w:t>
      </w:r>
      <w:r>
        <w:rPr>
          <w:spacing w:val="-3"/>
          <w:sz w:val="24"/>
        </w:rPr>
        <w:t xml:space="preserve"> </w:t>
      </w:r>
      <w:r>
        <w:rPr>
          <w:sz w:val="24"/>
        </w:rPr>
        <w:t>Journal</w:t>
      </w:r>
      <w:r>
        <w:rPr>
          <w:spacing w:val="-7"/>
          <w:sz w:val="24"/>
        </w:rPr>
        <w:t xml:space="preserve"> </w:t>
      </w:r>
      <w:r>
        <w:rPr>
          <w:sz w:val="24"/>
        </w:rPr>
        <w:t>of</w:t>
      </w:r>
      <w:r>
        <w:rPr>
          <w:spacing w:val="-6"/>
          <w:sz w:val="24"/>
        </w:rPr>
        <w:t xml:space="preserve"> </w:t>
      </w:r>
      <w:r>
        <w:rPr>
          <w:sz w:val="24"/>
        </w:rPr>
        <w:t>Business, Management and Economics, 3(2),</w:t>
      </w:r>
      <w:r>
        <w:rPr>
          <w:spacing w:val="-1"/>
          <w:sz w:val="24"/>
        </w:rPr>
        <w:t xml:space="preserve"> </w:t>
      </w:r>
      <w:r>
        <w:rPr>
          <w:sz w:val="24"/>
        </w:rPr>
        <w:t>128-148.</w:t>
      </w:r>
    </w:p>
    <w:p w:rsidR="00487D64" w:rsidRDefault="006F0D93">
      <w:pPr>
        <w:pStyle w:val="ListParagraph"/>
        <w:numPr>
          <w:ilvl w:val="0"/>
          <w:numId w:val="2"/>
        </w:numPr>
        <w:tabs>
          <w:tab w:val="left" w:pos="561"/>
          <w:tab w:val="left" w:pos="563"/>
        </w:tabs>
        <w:ind w:right="162"/>
        <w:jc w:val="both"/>
        <w:rPr>
          <w:sz w:val="24"/>
        </w:rPr>
      </w:pPr>
      <w:r>
        <w:rPr>
          <w:sz w:val="24"/>
        </w:rPr>
        <w:t>Waruiru,</w:t>
      </w:r>
      <w:r>
        <w:rPr>
          <w:spacing w:val="-7"/>
          <w:sz w:val="24"/>
        </w:rPr>
        <w:t xml:space="preserve"> </w:t>
      </w:r>
      <w:r>
        <w:rPr>
          <w:sz w:val="24"/>
        </w:rPr>
        <w:t>E.,</w:t>
      </w:r>
      <w:r>
        <w:rPr>
          <w:spacing w:val="-6"/>
          <w:sz w:val="24"/>
        </w:rPr>
        <w:t xml:space="preserve"> </w:t>
      </w:r>
      <w:r>
        <w:rPr>
          <w:sz w:val="24"/>
        </w:rPr>
        <w:t>Namusonge,</w:t>
      </w:r>
      <w:r>
        <w:rPr>
          <w:spacing w:val="-6"/>
          <w:sz w:val="24"/>
        </w:rPr>
        <w:t xml:space="preserve"> </w:t>
      </w:r>
      <w:r>
        <w:rPr>
          <w:sz w:val="24"/>
        </w:rPr>
        <w:t>M.,</w:t>
      </w:r>
      <w:r>
        <w:rPr>
          <w:spacing w:val="-6"/>
          <w:sz w:val="24"/>
        </w:rPr>
        <w:t xml:space="preserve"> </w:t>
      </w:r>
      <w:r>
        <w:rPr>
          <w:sz w:val="24"/>
        </w:rPr>
        <w:t>&amp;</w:t>
      </w:r>
      <w:r>
        <w:rPr>
          <w:spacing w:val="-12"/>
          <w:sz w:val="24"/>
        </w:rPr>
        <w:t xml:space="preserve"> </w:t>
      </w:r>
      <w:r>
        <w:rPr>
          <w:sz w:val="24"/>
        </w:rPr>
        <w:t>Wanjira,</w:t>
      </w:r>
      <w:r>
        <w:rPr>
          <w:spacing w:val="-6"/>
          <w:sz w:val="24"/>
        </w:rPr>
        <w:t xml:space="preserve"> </w:t>
      </w:r>
      <w:r>
        <w:rPr>
          <w:sz w:val="24"/>
        </w:rPr>
        <w:t>J.</w:t>
      </w:r>
      <w:r>
        <w:rPr>
          <w:spacing w:val="-6"/>
          <w:sz w:val="24"/>
        </w:rPr>
        <w:t xml:space="preserve"> </w:t>
      </w:r>
      <w:r>
        <w:rPr>
          <w:sz w:val="24"/>
        </w:rPr>
        <w:t>(2018).</w:t>
      </w:r>
      <w:r>
        <w:rPr>
          <w:spacing w:val="-6"/>
          <w:sz w:val="24"/>
        </w:rPr>
        <w:t xml:space="preserve"> </w:t>
      </w:r>
      <w:r>
        <w:rPr>
          <w:sz w:val="24"/>
        </w:rPr>
        <w:t>Influence</w:t>
      </w:r>
      <w:r>
        <w:rPr>
          <w:spacing w:val="-9"/>
          <w:sz w:val="24"/>
        </w:rPr>
        <w:t xml:space="preserve"> </w:t>
      </w:r>
      <w:r>
        <w:rPr>
          <w:sz w:val="24"/>
        </w:rPr>
        <w:t>of</w:t>
      </w:r>
      <w:r>
        <w:rPr>
          <w:spacing w:val="-11"/>
          <w:sz w:val="24"/>
        </w:rPr>
        <w:t xml:space="preserve"> </w:t>
      </w:r>
      <w:r>
        <w:rPr>
          <w:sz w:val="24"/>
        </w:rPr>
        <w:t>inter-functional</w:t>
      </w:r>
      <w:r>
        <w:rPr>
          <w:spacing w:val="-15"/>
          <w:sz w:val="24"/>
        </w:rPr>
        <w:t xml:space="preserve"> </w:t>
      </w:r>
      <w:r>
        <w:rPr>
          <w:sz w:val="24"/>
        </w:rPr>
        <w:t>coordination on performance of insurance organizations in Kenya. European Journal of Business and Strategic Management, 3(6), 52-65.</w:t>
      </w:r>
    </w:p>
    <w:p w:rsidR="00487D64" w:rsidRDefault="006F0D93">
      <w:pPr>
        <w:pStyle w:val="ListParagraph"/>
        <w:numPr>
          <w:ilvl w:val="0"/>
          <w:numId w:val="2"/>
        </w:numPr>
        <w:tabs>
          <w:tab w:val="left" w:pos="561"/>
        </w:tabs>
        <w:spacing w:before="1"/>
        <w:ind w:left="561" w:hanging="430"/>
        <w:jc w:val="both"/>
        <w:rPr>
          <w:sz w:val="24"/>
        </w:rPr>
      </w:pPr>
      <w:r>
        <w:rPr>
          <w:sz w:val="24"/>
        </w:rPr>
        <w:t>Yang,</w:t>
      </w:r>
      <w:r>
        <w:rPr>
          <w:spacing w:val="11"/>
          <w:sz w:val="24"/>
        </w:rPr>
        <w:t xml:space="preserve"> </w:t>
      </w:r>
      <w:r>
        <w:rPr>
          <w:sz w:val="24"/>
        </w:rPr>
        <w:t>M.,</w:t>
      </w:r>
      <w:r>
        <w:rPr>
          <w:spacing w:val="10"/>
          <w:sz w:val="24"/>
        </w:rPr>
        <w:t xml:space="preserve"> </w:t>
      </w:r>
      <w:r>
        <w:rPr>
          <w:sz w:val="24"/>
        </w:rPr>
        <w:t>Jaafar,</w:t>
      </w:r>
      <w:r>
        <w:rPr>
          <w:spacing w:val="13"/>
          <w:sz w:val="24"/>
        </w:rPr>
        <w:t xml:space="preserve"> </w:t>
      </w:r>
      <w:r>
        <w:rPr>
          <w:sz w:val="24"/>
        </w:rPr>
        <w:t>N.,</w:t>
      </w:r>
      <w:r>
        <w:rPr>
          <w:spacing w:val="10"/>
          <w:sz w:val="24"/>
        </w:rPr>
        <w:t xml:space="preserve"> </w:t>
      </w:r>
      <w:r>
        <w:rPr>
          <w:sz w:val="24"/>
        </w:rPr>
        <w:t>Al</w:t>
      </w:r>
      <w:r>
        <w:rPr>
          <w:spacing w:val="2"/>
          <w:sz w:val="24"/>
        </w:rPr>
        <w:t xml:space="preserve"> </w:t>
      </w:r>
      <w:r>
        <w:rPr>
          <w:sz w:val="24"/>
        </w:rPr>
        <w:t>Mamun,</w:t>
      </w:r>
      <w:r>
        <w:rPr>
          <w:spacing w:val="13"/>
          <w:sz w:val="24"/>
        </w:rPr>
        <w:t xml:space="preserve"> </w:t>
      </w:r>
      <w:r>
        <w:rPr>
          <w:sz w:val="24"/>
        </w:rPr>
        <w:t>A.,</w:t>
      </w:r>
      <w:r>
        <w:rPr>
          <w:spacing w:val="14"/>
          <w:sz w:val="24"/>
        </w:rPr>
        <w:t xml:space="preserve"> </w:t>
      </w:r>
      <w:r>
        <w:rPr>
          <w:sz w:val="24"/>
        </w:rPr>
        <w:t>Salameh,</w:t>
      </w:r>
      <w:r>
        <w:rPr>
          <w:spacing w:val="13"/>
          <w:sz w:val="24"/>
        </w:rPr>
        <w:t xml:space="preserve"> </w:t>
      </w:r>
      <w:r>
        <w:rPr>
          <w:sz w:val="24"/>
        </w:rPr>
        <w:t>A.</w:t>
      </w:r>
      <w:r>
        <w:rPr>
          <w:spacing w:val="14"/>
          <w:sz w:val="24"/>
        </w:rPr>
        <w:t xml:space="preserve"> </w:t>
      </w:r>
      <w:r>
        <w:rPr>
          <w:sz w:val="24"/>
        </w:rPr>
        <w:t>A.,</w:t>
      </w:r>
      <w:r>
        <w:rPr>
          <w:spacing w:val="10"/>
          <w:sz w:val="24"/>
        </w:rPr>
        <w:t xml:space="preserve"> </w:t>
      </w:r>
      <w:r>
        <w:rPr>
          <w:sz w:val="24"/>
        </w:rPr>
        <w:t>&amp;</w:t>
      </w:r>
      <w:r>
        <w:rPr>
          <w:spacing w:val="7"/>
          <w:sz w:val="24"/>
        </w:rPr>
        <w:t xml:space="preserve"> </w:t>
      </w:r>
      <w:r>
        <w:rPr>
          <w:sz w:val="24"/>
        </w:rPr>
        <w:t>Nawi,</w:t>
      </w:r>
      <w:r>
        <w:rPr>
          <w:spacing w:val="14"/>
          <w:sz w:val="24"/>
        </w:rPr>
        <w:t xml:space="preserve"> </w:t>
      </w:r>
      <w:r>
        <w:rPr>
          <w:sz w:val="24"/>
        </w:rPr>
        <w:t>N.</w:t>
      </w:r>
      <w:r>
        <w:rPr>
          <w:spacing w:val="13"/>
          <w:sz w:val="24"/>
        </w:rPr>
        <w:t xml:space="preserve"> </w:t>
      </w:r>
      <w:r>
        <w:rPr>
          <w:sz w:val="24"/>
        </w:rPr>
        <w:t>C.</w:t>
      </w:r>
      <w:r>
        <w:rPr>
          <w:spacing w:val="5"/>
          <w:sz w:val="24"/>
        </w:rPr>
        <w:t xml:space="preserve"> </w:t>
      </w:r>
      <w:r>
        <w:rPr>
          <w:sz w:val="24"/>
        </w:rPr>
        <w:t>(2022).</w:t>
      </w:r>
      <w:r>
        <w:rPr>
          <w:spacing w:val="10"/>
          <w:sz w:val="24"/>
        </w:rPr>
        <w:t xml:space="preserve"> </w:t>
      </w:r>
      <w:r>
        <w:rPr>
          <w:sz w:val="24"/>
        </w:rPr>
        <w:t>Modelling</w:t>
      </w:r>
      <w:r>
        <w:rPr>
          <w:spacing w:val="12"/>
          <w:sz w:val="24"/>
        </w:rPr>
        <w:t xml:space="preserve"> </w:t>
      </w:r>
      <w:r>
        <w:rPr>
          <w:spacing w:val="-5"/>
          <w:sz w:val="24"/>
        </w:rPr>
        <w:t>the</w:t>
      </w:r>
    </w:p>
    <w:p w:rsidR="00487D64" w:rsidRDefault="006F0D93">
      <w:pPr>
        <w:pStyle w:val="BodyText"/>
        <w:spacing w:before="15"/>
        <w:rPr>
          <w:sz w:val="20"/>
        </w:rPr>
      </w:pPr>
      <w:r>
        <w:rPr>
          <w:noProof/>
          <w:sz w:val="20"/>
        </w:rPr>
        <mc:AlternateContent>
          <mc:Choice Requires="wps">
            <w:drawing>
              <wp:anchor distT="0" distB="0" distL="0" distR="0" simplePos="0" relativeHeight="487611392" behindDoc="1" locked="0" layoutInCell="1" allowOverlap="1">
                <wp:simplePos x="0" y="0"/>
                <wp:positionH relativeFrom="page">
                  <wp:posOffset>896416</wp:posOffset>
                </wp:positionH>
                <wp:positionV relativeFrom="paragraph">
                  <wp:posOffset>170802</wp:posOffset>
                </wp:positionV>
                <wp:extent cx="5982335" cy="55244"/>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3C0950A" id="Graphic 118" o:spid="_x0000_s1026" style="position:absolute;margin-left:70.6pt;margin-top:13.45pt;width:471.05pt;height:4.35pt;z-index:-15705088;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" path="m5982335,45732l,45732r,9132l5982335,54864r,-9132xem5982335,l,,,36576r5982335,l5982335,xe" fillcolor="#612322" stroked="f">
                <v:path arrowok="t"/>
                <w10:wrap type="topAndBottom" anchorx="page"/>
              </v:shape>
            </w:pict>
          </mc:Fallback>
        </mc:AlternateContent>
      </w:r>
    </w:p>
    <w:p w:rsidR="00487D64" w:rsidRDefault="00487D64">
      <w:pPr>
        <w:pStyle w:val="BodyText"/>
        <w:rPr>
          <w:sz w:val="20"/>
        </w:rPr>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pPr>
    </w:p>
    <w:p w:rsidR="00487D64" w:rsidRDefault="00487D64">
      <w:pPr>
        <w:pStyle w:val="BodyText"/>
        <w:spacing w:before="5" w:after="1"/>
        <w:rPr>
          <w:sz w:val="10"/>
        </w:rPr>
      </w:pPr>
    </w:p>
    <w:p w:rsidR="00487D64" w:rsidRDefault="006F0D93">
      <w:pPr>
        <w:pStyle w:val="BodyText"/>
        <w:spacing w:line="86" w:lineRule="exact"/>
        <w:ind w:left="136"/>
        <w:rPr>
          <w:position w:val="-1"/>
          <w:sz w:val="8"/>
        </w:rPr>
      </w:pPr>
      <w:r>
        <w:rPr>
          <w:noProof/>
          <w:position w:val="-1"/>
          <w:sz w:val="8"/>
        </w:rPr>
        <mc:AlternateContent>
          <mc:Choice Requires="wpg">
            <w:drawing>
              <wp:inline distT="0" distB="0" distL="0" distR="0">
                <wp:extent cx="5982335" cy="55244"/>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5244"/>
                          <a:chOff x="0" y="0"/>
                          <a:chExt cx="5982335" cy="55244"/>
                        </a:xfrm>
                      </wpg:grpSpPr>
                      <wps:wsp>
                        <wps:cNvPr id="120" name="Graphic 120"/>
                        <wps:cNvSpPr/>
                        <wps:spPr>
                          <a:xfrm>
                            <a:off x="0" y="0"/>
                            <a:ext cx="5982335" cy="55244"/>
                          </a:xfrm>
                          <a:custGeom>
                            <a:avLst/>
                            <a:gdLst/>
                            <a:ahLst/>
                            <a:cxnLst/>
                            <a:rect l="l" t="t" r="r" b="b"/>
                            <a:pathLst>
                              <a:path w="5982335" h="55244">
                                <a:moveTo>
                                  <a:pt x="5982335" y="18288"/>
                                </a:moveTo>
                                <a:lnTo>
                                  <a:pt x="0" y="18288"/>
                                </a:lnTo>
                                <a:lnTo>
                                  <a:pt x="0" y="54864"/>
                                </a:lnTo>
                                <a:lnTo>
                                  <a:pt x="5982335" y="54864"/>
                                </a:lnTo>
                                <a:lnTo>
                                  <a:pt x="5982335" y="18288"/>
                                </a:lnTo>
                                <a:close/>
                              </a:path>
                              <a:path w="5982335" h="55244">
                                <a:moveTo>
                                  <a:pt x="5982335" y="0"/>
                                </a:moveTo>
                                <a:lnTo>
                                  <a:pt x="0" y="0"/>
                                </a:lnTo>
                                <a:lnTo>
                                  <a:pt x="0" y="9144"/>
                                </a:lnTo>
                                <a:lnTo>
                                  <a:pt x="5982335" y="9144"/>
                                </a:lnTo>
                                <a:lnTo>
                                  <a:pt x="5982335"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69EC3D1A" id="Group 119" o:spid="_x0000_s1026" style="width:471.05pt;height:4.35pt;mso-position-horizontal-relative:char;mso-position-vertical-relative:line" coordsize="598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">
                <v:shape id="Graphic 120" o:spid="_x0000_s1027" style="position:absolute;width:59823;height:552;visibility:visible;mso-wrap-style:square;v-text-anchor:top" coordsize="59823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" path="m5982335,18288l,18288,,54864r5982335,l5982335,18288xem5982335,l,,,9144r5982335,l5982335,xe" fillcolor="#612322" stroked="f">
                  <v:path arrowok="t"/>
                </v:shape>
                <w10:anchorlock/>
              </v:group>
            </w:pict>
          </mc:Fallback>
        </mc:AlternateContent>
      </w:r>
    </w:p>
    <w:p w:rsidR="00487D64" w:rsidRDefault="006F0D93">
      <w:pPr>
        <w:ind w:left="563" w:right="167"/>
        <w:jc w:val="both"/>
        <w:rPr>
          <w:sz w:val="24"/>
        </w:rPr>
      </w:pPr>
      <w:r>
        <w:rPr>
          <w:sz w:val="24"/>
        </w:rPr>
        <w:t>significance of strategic orientation for competitive advantage and economic sustainability: the</w:t>
      </w:r>
      <w:r>
        <w:rPr>
          <w:spacing w:val="40"/>
          <w:sz w:val="24"/>
        </w:rPr>
        <w:t xml:space="preserve"> </w:t>
      </w:r>
      <w:r>
        <w:rPr>
          <w:sz w:val="24"/>
        </w:rPr>
        <w:t>use</w:t>
      </w:r>
      <w:r>
        <w:rPr>
          <w:spacing w:val="40"/>
          <w:sz w:val="24"/>
        </w:rPr>
        <w:t xml:space="preserve"> </w:t>
      </w:r>
      <w:r>
        <w:rPr>
          <w:sz w:val="24"/>
        </w:rPr>
        <w:t>of hybrid</w:t>
      </w:r>
      <w:r>
        <w:rPr>
          <w:spacing w:val="40"/>
          <w:sz w:val="24"/>
        </w:rPr>
        <w:t xml:space="preserve"> </w:t>
      </w:r>
      <w:r>
        <w:rPr>
          <w:sz w:val="24"/>
        </w:rPr>
        <w:t>SEM–neural</w:t>
      </w:r>
      <w:r>
        <w:rPr>
          <w:spacing w:val="40"/>
          <w:sz w:val="24"/>
        </w:rPr>
        <w:t xml:space="preserve"> </w:t>
      </w:r>
      <w:r>
        <w:rPr>
          <w:sz w:val="24"/>
        </w:rPr>
        <w:t>network</w:t>
      </w:r>
      <w:r>
        <w:rPr>
          <w:spacing w:val="40"/>
          <w:sz w:val="24"/>
        </w:rPr>
        <w:t xml:space="preserve"> </w:t>
      </w:r>
      <w:r>
        <w:rPr>
          <w:sz w:val="24"/>
        </w:rPr>
        <w:t>analysis. Journal of Innovation</w:t>
      </w:r>
      <w:r>
        <w:rPr>
          <w:spacing w:val="40"/>
          <w:sz w:val="24"/>
        </w:rPr>
        <w:t xml:space="preserve"> </w:t>
      </w:r>
      <w:r>
        <w:rPr>
          <w:sz w:val="24"/>
        </w:rPr>
        <w:t>an</w:t>
      </w:r>
      <w:r>
        <w:rPr>
          <w:sz w:val="24"/>
        </w:rPr>
        <w:t>d Entrepreneurship, 11(1), 44.</w:t>
      </w:r>
    </w:p>
    <w:p w:rsidR="00487D64" w:rsidRDefault="006F0D93">
      <w:pPr>
        <w:pStyle w:val="ListParagraph"/>
        <w:numPr>
          <w:ilvl w:val="0"/>
          <w:numId w:val="2"/>
        </w:numPr>
        <w:tabs>
          <w:tab w:val="left" w:pos="561"/>
          <w:tab w:val="left" w:pos="563"/>
        </w:tabs>
        <w:ind w:right="160"/>
        <w:jc w:val="both"/>
        <w:rPr>
          <w:sz w:val="24"/>
        </w:rPr>
      </w:pPr>
      <w:r>
        <w:rPr>
          <w:sz w:val="24"/>
        </w:rPr>
        <w:t>Zehir,</w:t>
      </w:r>
      <w:r>
        <w:rPr>
          <w:spacing w:val="-15"/>
          <w:sz w:val="24"/>
        </w:rPr>
        <w:t xml:space="preserve"> </w:t>
      </w:r>
      <w:r>
        <w:rPr>
          <w:sz w:val="24"/>
        </w:rPr>
        <w:t>C.,</w:t>
      </w:r>
      <w:r>
        <w:rPr>
          <w:spacing w:val="-15"/>
          <w:sz w:val="24"/>
        </w:rPr>
        <w:t xml:space="preserve"> </w:t>
      </w:r>
      <w:r>
        <w:rPr>
          <w:sz w:val="24"/>
        </w:rPr>
        <w:t>Karaboğa,</w:t>
      </w:r>
      <w:r>
        <w:rPr>
          <w:spacing w:val="-15"/>
          <w:sz w:val="24"/>
        </w:rPr>
        <w:t xml:space="preserve"> </w:t>
      </w:r>
      <w:r>
        <w:rPr>
          <w:sz w:val="24"/>
        </w:rPr>
        <w:t>T.,</w:t>
      </w:r>
      <w:r>
        <w:rPr>
          <w:spacing w:val="-15"/>
          <w:sz w:val="24"/>
        </w:rPr>
        <w:t xml:space="preserve"> </w:t>
      </w:r>
      <w:r>
        <w:rPr>
          <w:sz w:val="24"/>
        </w:rPr>
        <w:t>Karaboğa,</w:t>
      </w:r>
      <w:r>
        <w:rPr>
          <w:spacing w:val="-15"/>
          <w:sz w:val="24"/>
        </w:rPr>
        <w:t xml:space="preserve"> </w:t>
      </w:r>
      <w:r>
        <w:rPr>
          <w:sz w:val="24"/>
        </w:rPr>
        <w:t>H.,</w:t>
      </w:r>
      <w:r>
        <w:rPr>
          <w:spacing w:val="-15"/>
          <w:sz w:val="24"/>
        </w:rPr>
        <w:t xml:space="preserve"> </w:t>
      </w:r>
      <w:r>
        <w:rPr>
          <w:sz w:val="24"/>
        </w:rPr>
        <w:t>&amp;</w:t>
      </w:r>
      <w:r>
        <w:rPr>
          <w:spacing w:val="-15"/>
          <w:sz w:val="24"/>
        </w:rPr>
        <w:t xml:space="preserve"> </w:t>
      </w:r>
      <w:r>
        <w:rPr>
          <w:sz w:val="24"/>
        </w:rPr>
        <w:t>Üzmez,</w:t>
      </w:r>
      <w:r>
        <w:rPr>
          <w:spacing w:val="-15"/>
          <w:sz w:val="24"/>
        </w:rPr>
        <w:t xml:space="preserve"> </w:t>
      </w:r>
      <w:r>
        <w:rPr>
          <w:sz w:val="24"/>
        </w:rPr>
        <w:t>A.</w:t>
      </w:r>
      <w:r>
        <w:rPr>
          <w:spacing w:val="-15"/>
          <w:sz w:val="24"/>
        </w:rPr>
        <w:t xml:space="preserve"> </w:t>
      </w:r>
      <w:r>
        <w:rPr>
          <w:sz w:val="24"/>
        </w:rPr>
        <w:t>(2019).</w:t>
      </w:r>
      <w:r>
        <w:rPr>
          <w:spacing w:val="-15"/>
          <w:sz w:val="24"/>
        </w:rPr>
        <w:t xml:space="preserve"> </w:t>
      </w:r>
      <w:r>
        <w:rPr>
          <w:sz w:val="24"/>
        </w:rPr>
        <w:t>Market</w:t>
      </w:r>
      <w:r>
        <w:rPr>
          <w:spacing w:val="-15"/>
          <w:sz w:val="24"/>
        </w:rPr>
        <w:t xml:space="preserve"> </w:t>
      </w:r>
      <w:r>
        <w:rPr>
          <w:sz w:val="24"/>
        </w:rPr>
        <w:t>orientation</w:t>
      </w:r>
      <w:r>
        <w:rPr>
          <w:spacing w:val="-15"/>
          <w:sz w:val="24"/>
        </w:rPr>
        <w:t xml:space="preserve"> </w:t>
      </w:r>
      <w:r>
        <w:rPr>
          <w:sz w:val="24"/>
        </w:rPr>
        <w:t>and</w:t>
      </w:r>
      <w:r>
        <w:rPr>
          <w:spacing w:val="-15"/>
          <w:sz w:val="24"/>
        </w:rPr>
        <w:t xml:space="preserve"> </w:t>
      </w:r>
      <w:r>
        <w:rPr>
          <w:sz w:val="24"/>
        </w:rPr>
        <w:t>innovation performance: the mediating role of entrepreneurial strategic posture. The European Proceedings of Social &amp; Behavioural Sciences.</w:t>
      </w:r>
    </w:p>
    <w:p w:rsidR="00487D64" w:rsidRDefault="006F0D93">
      <w:pPr>
        <w:pStyle w:val="ListParagraph"/>
        <w:numPr>
          <w:ilvl w:val="0"/>
          <w:numId w:val="2"/>
        </w:numPr>
        <w:tabs>
          <w:tab w:val="left" w:pos="561"/>
          <w:tab w:val="left" w:pos="563"/>
        </w:tabs>
        <w:ind w:right="160"/>
        <w:jc w:val="both"/>
        <w:rPr>
          <w:sz w:val="24"/>
        </w:rPr>
      </w:pPr>
      <w:r>
        <w:rPr>
          <w:sz w:val="24"/>
        </w:rPr>
        <w:t>Zhou, K. Z., and Wu, F. (2010). Technological capability, strategic flexibility, and product innovation. Strategic management journal, 31(5), 547-561.</w:t>
      </w:r>
    </w:p>
    <w:p w:rsidR="00487D64" w:rsidRDefault="006F0D93">
      <w:pPr>
        <w:pStyle w:val="ListParagraph"/>
        <w:numPr>
          <w:ilvl w:val="0"/>
          <w:numId w:val="2"/>
        </w:numPr>
        <w:tabs>
          <w:tab w:val="left" w:pos="561"/>
          <w:tab w:val="left" w:pos="563"/>
        </w:tabs>
        <w:ind w:right="157"/>
        <w:jc w:val="both"/>
        <w:rPr>
          <w:sz w:val="24"/>
        </w:rPr>
      </w:pPr>
      <w:r>
        <w:rPr>
          <w:sz w:val="24"/>
        </w:rPr>
        <w:t>Zhou, K. Z., Li, J. J., Zhou, N., &amp;</w:t>
      </w:r>
      <w:r>
        <w:rPr>
          <w:spacing w:val="-6"/>
          <w:sz w:val="24"/>
        </w:rPr>
        <w:t xml:space="preserve"> </w:t>
      </w:r>
      <w:r>
        <w:rPr>
          <w:sz w:val="24"/>
        </w:rPr>
        <w:t>Su, C.</w:t>
      </w:r>
      <w:r>
        <w:rPr>
          <w:spacing w:val="-4"/>
          <w:sz w:val="24"/>
        </w:rPr>
        <w:t xml:space="preserve"> </w:t>
      </w:r>
      <w:r>
        <w:rPr>
          <w:sz w:val="24"/>
        </w:rPr>
        <w:t>(2008).</w:t>
      </w:r>
      <w:r>
        <w:rPr>
          <w:spacing w:val="-4"/>
          <w:sz w:val="24"/>
        </w:rPr>
        <w:t xml:space="preserve"> </w:t>
      </w:r>
      <w:r>
        <w:rPr>
          <w:sz w:val="24"/>
        </w:rPr>
        <w:t>Market</w:t>
      </w:r>
      <w:r>
        <w:rPr>
          <w:spacing w:val="-1"/>
          <w:sz w:val="24"/>
        </w:rPr>
        <w:t xml:space="preserve"> </w:t>
      </w:r>
      <w:r>
        <w:rPr>
          <w:sz w:val="24"/>
        </w:rPr>
        <w:t>orientation, job</w:t>
      </w:r>
      <w:r>
        <w:rPr>
          <w:spacing w:val="-6"/>
          <w:sz w:val="24"/>
        </w:rPr>
        <w:t xml:space="preserve"> </w:t>
      </w:r>
      <w:r>
        <w:rPr>
          <w:sz w:val="24"/>
        </w:rPr>
        <w:t>satisfaction, product quality,</w:t>
      </w:r>
      <w:r>
        <w:rPr>
          <w:sz w:val="24"/>
        </w:rPr>
        <w:t xml:space="preserve"> and firm performance: evidence from China. Strategic management journal, 29(9), </w:t>
      </w:r>
      <w:r>
        <w:rPr>
          <w:spacing w:val="-2"/>
          <w:sz w:val="24"/>
        </w:rPr>
        <w:t>985-1000.</w:t>
      </w: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487D64">
      <w:pPr>
        <w:pStyle w:val="BodyText"/>
        <w:rPr>
          <w:sz w:val="20"/>
        </w:rPr>
      </w:pPr>
    </w:p>
    <w:p w:rsidR="00487D64" w:rsidRDefault="006F0D93">
      <w:pPr>
        <w:pStyle w:val="BodyText"/>
        <w:spacing w:before="148"/>
        <w:rPr>
          <w:sz w:val="20"/>
        </w:rPr>
      </w:pPr>
      <w:r>
        <w:rPr>
          <w:noProof/>
          <w:sz w:val="20"/>
        </w:rPr>
        <mc:AlternateContent>
          <mc:Choice Requires="wps">
            <w:drawing>
              <wp:anchor distT="0" distB="0" distL="0" distR="0" simplePos="0" relativeHeight="487612416" behindDoc="1" locked="0" layoutInCell="1" allowOverlap="1">
                <wp:simplePos x="0" y="0"/>
                <wp:positionH relativeFrom="page">
                  <wp:posOffset>896416</wp:posOffset>
                </wp:positionH>
                <wp:positionV relativeFrom="paragraph">
                  <wp:posOffset>255257</wp:posOffset>
                </wp:positionV>
                <wp:extent cx="5982335" cy="55244"/>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55244"/>
                        </a:xfrm>
                        <a:custGeom>
                          <a:avLst/>
                          <a:gdLst/>
                          <a:ahLst/>
                          <a:cxnLst/>
                          <a:rect l="l" t="t" r="r" b="b"/>
                          <a:pathLst>
                            <a:path w="5982335" h="55244">
                              <a:moveTo>
                                <a:pt x="5982335" y="45732"/>
                              </a:moveTo>
                              <a:lnTo>
                                <a:pt x="0" y="45732"/>
                              </a:lnTo>
                              <a:lnTo>
                                <a:pt x="0" y="54864"/>
                              </a:lnTo>
                              <a:lnTo>
                                <a:pt x="5982335" y="54864"/>
                              </a:lnTo>
                              <a:lnTo>
                                <a:pt x="5982335" y="45732"/>
                              </a:lnTo>
                              <a:close/>
                            </a:path>
                            <a:path w="5982335" h="55244">
                              <a:moveTo>
                                <a:pt x="5982335" y="0"/>
                              </a:moveTo>
                              <a:lnTo>
                                <a:pt x="0" y="0"/>
                              </a:lnTo>
                              <a:lnTo>
                                <a:pt x="0" y="36576"/>
                              </a:lnTo>
                              <a:lnTo>
                                <a:pt x="5982335" y="36576"/>
                              </a:lnTo>
                              <a:lnTo>
                                <a:pt x="598233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1C605D7" id="Graphic 121" o:spid="_x0000_s1026" style="position:absolute;margin-left:70.6pt;margin-top:20.1pt;width:471.05pt;height:4.35pt;z-index:-15704064;visibility:visible;mso-wrap-style:square;mso-wrap-distance-left:0;mso-wrap-distance-top:0;mso-wrap-distance-right:0;mso-wrap-distance-bottom:0;mso-position-horizontal:absolute;mso-position-horizontal-relative:page;mso-position-vertical:absolute;mso-position-vertical-relative:text;v-text-anchor:top" coordsize="5982335,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" path="m5982335,45732l,45732r,9132l5982335,54864r,-9132xem5982335,l,,,36576r5982335,l5982335,xe" fillcolor="#612322" stroked="f">
                <v:path arrowok="t"/>
                <w10:wrap type="topAndBottom" anchorx="page"/>
              </v:shape>
            </w:pict>
          </mc:Fallback>
        </mc:AlternateContent>
      </w:r>
    </w:p>
    <w:sectPr w:rsidR="00487D64">
      <w:pgSz w:w="12240" w:h="15840"/>
      <w:pgMar w:top="1880" w:right="1275" w:bottom="1220" w:left="1275" w:header="724" w:footer="1028"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D93" w:rsidRDefault="006F0D93">
      <w:r>
        <w:separator/>
      </w:r>
    </w:p>
  </w:endnote>
  <w:endnote w:type="continuationSeparator" w:id="0">
    <w:p w:rsidR="006F0D93" w:rsidRDefault="006F0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Verdana">
    <w:altName w:val="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D64" w:rsidRDefault="006F0D93">
    <w:pPr>
      <w:pStyle w:val="BodyText"/>
      <w:spacing w:line="14" w:lineRule="auto"/>
      <w:rPr>
        <w:sz w:val="20"/>
      </w:rPr>
    </w:pPr>
    <w:r>
      <w:rPr>
        <w:noProof/>
        <w:sz w:val="20"/>
      </w:rPr>
      <mc:AlternateContent>
        <mc:Choice Requires="wps">
          <w:drawing>
            <wp:anchor distT="0" distB="0" distL="0" distR="0" simplePos="0" relativeHeight="481340928" behindDoc="1" locked="0" layoutInCell="1" allowOverlap="1">
              <wp:simplePos x="0" y="0"/>
              <wp:positionH relativeFrom="page">
                <wp:posOffset>576072</wp:posOffset>
              </wp:positionH>
              <wp:positionV relativeFrom="page">
                <wp:posOffset>10128212</wp:posOffset>
              </wp:positionV>
              <wp:extent cx="6409690" cy="635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9690" cy="6350"/>
                      </a:xfrm>
                      <a:custGeom>
                        <a:avLst/>
                        <a:gdLst/>
                        <a:ahLst/>
                        <a:cxnLst/>
                        <a:rect l="l" t="t" r="r" b="b"/>
                        <a:pathLst>
                          <a:path w="6409690" h="6350">
                            <a:moveTo>
                              <a:pt x="6086475" y="0"/>
                            </a:moveTo>
                            <a:lnTo>
                              <a:pt x="1033526" y="0"/>
                            </a:lnTo>
                            <a:lnTo>
                              <a:pt x="1027480" y="0"/>
                            </a:lnTo>
                            <a:lnTo>
                              <a:pt x="0" y="0"/>
                            </a:lnTo>
                            <a:lnTo>
                              <a:pt x="0" y="6083"/>
                            </a:lnTo>
                            <a:lnTo>
                              <a:pt x="1027430" y="6083"/>
                            </a:lnTo>
                            <a:lnTo>
                              <a:pt x="1033526" y="6083"/>
                            </a:lnTo>
                            <a:lnTo>
                              <a:pt x="6086475" y="6083"/>
                            </a:lnTo>
                            <a:lnTo>
                              <a:pt x="6086475" y="0"/>
                            </a:lnTo>
                            <a:close/>
                          </a:path>
                          <a:path w="6409690" h="6350">
                            <a:moveTo>
                              <a:pt x="6092685" y="0"/>
                            </a:moveTo>
                            <a:lnTo>
                              <a:pt x="6086602" y="0"/>
                            </a:lnTo>
                            <a:lnTo>
                              <a:pt x="6086602" y="6083"/>
                            </a:lnTo>
                            <a:lnTo>
                              <a:pt x="6092685" y="6083"/>
                            </a:lnTo>
                            <a:lnTo>
                              <a:pt x="6092685" y="0"/>
                            </a:lnTo>
                            <a:close/>
                          </a:path>
                          <a:path w="6409690" h="6350">
                            <a:moveTo>
                              <a:pt x="6409690" y="0"/>
                            </a:moveTo>
                            <a:lnTo>
                              <a:pt x="6092698" y="0"/>
                            </a:lnTo>
                            <a:lnTo>
                              <a:pt x="6092698" y="6083"/>
                            </a:lnTo>
                            <a:lnTo>
                              <a:pt x="6409690" y="6083"/>
                            </a:lnTo>
                            <a:lnTo>
                              <a:pt x="64096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838F40" id="Graphic 59" o:spid="_x0000_s1026" style="position:absolute;margin-left:45.35pt;margin-top:797.5pt;width:504.7pt;height:.5pt;z-index:-21975552;visibility:visible;mso-wrap-style:square;mso-wrap-distance-left:0;mso-wrap-distance-top:0;mso-wrap-distance-right:0;mso-wrap-distance-bottom:0;mso-position-horizontal:absolute;mso-position-horizontal-relative:page;mso-position-vertical:absolute;mso-position-vertical-relative:page;v-text-anchor:top" coordsize="64096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" path="m6086475,l1033526,r-6046,l,,,6083r1027430,l1033526,6083r5052949,l6086475,xem6092685,r-6083,l6086602,6083r6083,l6092685,xem6409690,l6092698,r,6083l6409690,6083r,-6083xe" fillcolor="black" stroked="f">
              <v:path arrowok="t"/>
              <w10:wrap anchorx="page" anchory="page"/>
            </v:shape>
          </w:pict>
        </mc:Fallback>
      </mc:AlternateContent>
    </w:r>
    <w:r>
      <w:rPr>
        <w:noProof/>
        <w:sz w:val="20"/>
      </w:rPr>
      <mc:AlternateContent>
        <mc:Choice Requires="wps">
          <w:drawing>
            <wp:anchor distT="0" distB="0" distL="0" distR="0" simplePos="0" relativeHeight="481341440" behindDoc="1" locked="0" layoutInCell="1" allowOverlap="1">
              <wp:simplePos x="0" y="0"/>
              <wp:positionH relativeFrom="page">
                <wp:posOffset>563372</wp:posOffset>
              </wp:positionH>
              <wp:positionV relativeFrom="page">
                <wp:posOffset>10142721</wp:posOffset>
              </wp:positionV>
              <wp:extent cx="1033144" cy="1670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144" cy="167005"/>
                      </a:xfrm>
                      <a:prstGeom prst="rect">
                        <a:avLst/>
                      </a:prstGeom>
                    </wps:spPr>
                    <wps:txbx>
                      <w:txbxContent>
                        <w:p w:rsidR="00487D64" w:rsidRDefault="006F0D93">
                          <w:pPr>
                            <w:spacing w:before="12"/>
                            <w:ind w:left="20"/>
                            <w:rPr>
                              <w:rFonts w:ascii="Arial MT"/>
                              <w:sz w:val="20"/>
                            </w:rPr>
                          </w:pPr>
                          <w:r>
                            <w:rPr>
                              <w:rFonts w:ascii="Arial MT"/>
                              <w:spacing w:val="-2"/>
                              <w:sz w:val="20"/>
                            </w:rPr>
                            <w:t>IJFMR250452324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66" type="#_x0000_t202" style="position:absolute;margin-left:44.35pt;margin-top:798.65pt;width:81.35pt;height:13.15pt;z-index:-219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" filled="f" stroked="f">
              <v:path arrowok="t"/>
              <v:textbox inset="0,0,0,0">
                <w:txbxContent>
                  <w:p w:rsidR="00487D64" w:rsidRDefault="006F0D93">
                    <w:pPr>
                      <w:spacing w:before="12"/>
                      <w:ind w:left="20"/>
                      <w:rPr>
                        <w:rFonts w:ascii="Arial MT"/>
                        <w:sz w:val="20"/>
                      </w:rPr>
                    </w:pPr>
                    <w:r>
                      <w:rPr>
                        <w:rFonts w:ascii="Arial MT"/>
                        <w:spacing w:val="-2"/>
                        <w:sz w:val="20"/>
                      </w:rPr>
                      <w:t>IJFMR250452324</w:t>
                    </w:r>
                  </w:p>
                </w:txbxContent>
              </v:textbox>
              <w10:wrap anchorx="page" anchory="page"/>
            </v:shape>
          </w:pict>
        </mc:Fallback>
      </mc:AlternateContent>
    </w:r>
    <w:r>
      <w:rPr>
        <w:noProof/>
        <w:sz w:val="20"/>
      </w:rPr>
      <mc:AlternateContent>
        <mc:Choice Requires="wps">
          <w:drawing>
            <wp:anchor distT="0" distB="0" distL="0" distR="0" simplePos="0" relativeHeight="481341952" behindDoc="1" locked="0" layoutInCell="1" allowOverlap="1">
              <wp:simplePos x="0" y="0"/>
              <wp:positionH relativeFrom="page">
                <wp:posOffset>3084702</wp:posOffset>
              </wp:positionH>
              <wp:positionV relativeFrom="page">
                <wp:posOffset>10142721</wp:posOffset>
              </wp:positionV>
              <wp:extent cx="2092960" cy="16700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rsidR="00487D64" w:rsidRDefault="006F0D93">
                          <w:pPr>
                            <w:spacing w:before="12"/>
                            <w:ind w:left="20"/>
                            <w:rPr>
                              <w:rFonts w:ascii="Arial MT"/>
                              <w:sz w:val="20"/>
                            </w:rPr>
                          </w:pPr>
                          <w:r>
                            <w:rPr>
                              <w:rFonts w:ascii="Arial MT"/>
                              <w:sz w:val="20"/>
                              <w:u w:val="single" w:color="0000FF"/>
                            </w:rPr>
                            <w:t>Volume</w:t>
                          </w:r>
                          <w:r>
                            <w:rPr>
                              <w:rFonts w:ascii="Arial MT"/>
                              <w:spacing w:val="-7"/>
                              <w:sz w:val="20"/>
                              <w:u w:val="single" w:color="0000FF"/>
                            </w:rPr>
                            <w:t xml:space="preserve"> </w:t>
                          </w:r>
                          <w:r>
                            <w:rPr>
                              <w:rFonts w:ascii="Arial MT"/>
                              <w:sz w:val="20"/>
                              <w:u w:val="single" w:color="0000FF"/>
                            </w:rPr>
                            <w:t>7,</w:t>
                          </w:r>
                          <w:r>
                            <w:rPr>
                              <w:rFonts w:ascii="Arial MT"/>
                              <w:spacing w:val="-5"/>
                              <w:sz w:val="20"/>
                              <w:u w:val="single" w:color="0000FF"/>
                            </w:rPr>
                            <w:t xml:space="preserve"> </w:t>
                          </w:r>
                          <w:r>
                            <w:rPr>
                              <w:rFonts w:ascii="Arial MT"/>
                              <w:sz w:val="20"/>
                              <w:u w:val="single" w:color="0000FF"/>
                            </w:rPr>
                            <w:t>Issue</w:t>
                          </w:r>
                          <w:r>
                            <w:rPr>
                              <w:rFonts w:ascii="Arial MT"/>
                              <w:spacing w:val="-6"/>
                              <w:sz w:val="20"/>
                              <w:u w:val="single" w:color="0000FF"/>
                            </w:rPr>
                            <w:t xml:space="preserve"> </w:t>
                          </w:r>
                          <w:r>
                            <w:rPr>
                              <w:rFonts w:ascii="Arial MT"/>
                              <w:sz w:val="20"/>
                              <w:u w:val="single" w:color="0000FF"/>
                            </w:rPr>
                            <w:t>4,</w:t>
                          </w:r>
                          <w:r>
                            <w:rPr>
                              <w:rFonts w:ascii="Arial MT"/>
                              <w:spacing w:val="-6"/>
                              <w:sz w:val="20"/>
                              <w:u w:val="single" w:color="0000FF"/>
                            </w:rPr>
                            <w:t xml:space="preserve"> </w:t>
                          </w:r>
                          <w:r>
                            <w:rPr>
                              <w:rFonts w:ascii="Arial MT"/>
                              <w:sz w:val="20"/>
                              <w:u w:val="single" w:color="0000FF"/>
                            </w:rPr>
                            <w:t>July-August</w:t>
                          </w:r>
                          <w:r>
                            <w:rPr>
                              <w:rFonts w:ascii="Arial MT"/>
                              <w:spacing w:val="-7"/>
                              <w:sz w:val="20"/>
                              <w:u w:val="single" w:color="0000FF"/>
                            </w:rPr>
                            <w:t xml:space="preserve"> </w:t>
                          </w:r>
                          <w:r>
                            <w:rPr>
                              <w:rFonts w:ascii="Arial MT"/>
                              <w:spacing w:val="-4"/>
                              <w:sz w:val="20"/>
                              <w:u w:val="single" w:color="0000FF"/>
                            </w:rPr>
                            <w:t>2025</w:t>
                          </w:r>
                        </w:p>
                      </w:txbxContent>
                    </wps:txbx>
                    <wps:bodyPr wrap="square" lIns="0" tIns="0" rIns="0" bIns="0" rtlCol="0">
                      <a:noAutofit/>
                    </wps:bodyPr>
                  </wps:wsp>
                </a:graphicData>
              </a:graphic>
            </wp:anchor>
          </w:drawing>
        </mc:Choice>
        <mc:Fallback>
          <w:pict>
            <v:shape id="Textbox 61" o:spid="_x0000_s1067" type="#_x0000_t202" style="position:absolute;margin-left:242.9pt;margin-top:798.65pt;width:164.8pt;height:13.15pt;z-index:-219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" filled="f" stroked="f">
              <v:path arrowok="t"/>
              <v:textbox inset="0,0,0,0">
                <w:txbxContent>
                  <w:p w:rsidR="00487D64" w:rsidRDefault="006F0D93">
                    <w:pPr>
                      <w:spacing w:before="12"/>
                      <w:ind w:left="20"/>
                      <w:rPr>
                        <w:rFonts w:ascii="Arial MT"/>
                        <w:sz w:val="20"/>
                      </w:rPr>
                    </w:pPr>
                    <w:r>
                      <w:rPr>
                        <w:rFonts w:ascii="Arial MT"/>
                        <w:sz w:val="20"/>
                        <w:u w:val="single" w:color="0000FF"/>
                      </w:rPr>
                      <w:t>Volume</w:t>
                    </w:r>
                    <w:r>
                      <w:rPr>
                        <w:rFonts w:ascii="Arial MT"/>
                        <w:spacing w:val="-7"/>
                        <w:sz w:val="20"/>
                        <w:u w:val="single" w:color="0000FF"/>
                      </w:rPr>
                      <w:t xml:space="preserve"> </w:t>
                    </w:r>
                    <w:r>
                      <w:rPr>
                        <w:rFonts w:ascii="Arial MT"/>
                        <w:sz w:val="20"/>
                        <w:u w:val="single" w:color="0000FF"/>
                      </w:rPr>
                      <w:t>7,</w:t>
                    </w:r>
                    <w:r>
                      <w:rPr>
                        <w:rFonts w:ascii="Arial MT"/>
                        <w:spacing w:val="-5"/>
                        <w:sz w:val="20"/>
                        <w:u w:val="single" w:color="0000FF"/>
                      </w:rPr>
                      <w:t xml:space="preserve"> </w:t>
                    </w:r>
                    <w:r>
                      <w:rPr>
                        <w:rFonts w:ascii="Arial MT"/>
                        <w:sz w:val="20"/>
                        <w:u w:val="single" w:color="0000FF"/>
                      </w:rPr>
                      <w:t>Issue</w:t>
                    </w:r>
                    <w:r>
                      <w:rPr>
                        <w:rFonts w:ascii="Arial MT"/>
                        <w:spacing w:val="-6"/>
                        <w:sz w:val="20"/>
                        <w:u w:val="single" w:color="0000FF"/>
                      </w:rPr>
                      <w:t xml:space="preserve"> </w:t>
                    </w:r>
                    <w:r>
                      <w:rPr>
                        <w:rFonts w:ascii="Arial MT"/>
                        <w:sz w:val="20"/>
                        <w:u w:val="single" w:color="0000FF"/>
                      </w:rPr>
                      <w:t>4,</w:t>
                    </w:r>
                    <w:r>
                      <w:rPr>
                        <w:rFonts w:ascii="Arial MT"/>
                        <w:spacing w:val="-6"/>
                        <w:sz w:val="20"/>
                        <w:u w:val="single" w:color="0000FF"/>
                      </w:rPr>
                      <w:t xml:space="preserve"> </w:t>
                    </w:r>
                    <w:r>
                      <w:rPr>
                        <w:rFonts w:ascii="Arial MT"/>
                        <w:sz w:val="20"/>
                        <w:u w:val="single" w:color="0000FF"/>
                      </w:rPr>
                      <w:t>July-August</w:t>
                    </w:r>
                    <w:r>
                      <w:rPr>
                        <w:rFonts w:ascii="Arial MT"/>
                        <w:spacing w:val="-7"/>
                        <w:sz w:val="20"/>
                        <w:u w:val="single" w:color="0000FF"/>
                      </w:rPr>
                      <w:t xml:space="preserve"> </w:t>
                    </w:r>
                    <w:r>
                      <w:rPr>
                        <w:rFonts w:ascii="Arial MT"/>
                        <w:spacing w:val="-4"/>
                        <w:sz w:val="20"/>
                        <w:u w:val="single" w:color="0000FF"/>
                      </w:rPr>
                      <w:t>2025</w:t>
                    </w:r>
                  </w:p>
                </w:txbxContent>
              </v:textbox>
              <w10:wrap anchorx="page" anchory="page"/>
            </v:shape>
          </w:pict>
        </mc:Fallback>
      </mc:AlternateContent>
    </w:r>
    <w:r>
      <w:rPr>
        <w:noProof/>
        <w:sz w:val="20"/>
      </w:rPr>
      <mc:AlternateContent>
        <mc:Choice Requires="wps">
          <w:drawing>
            <wp:anchor distT="0" distB="0" distL="0" distR="0" simplePos="0" relativeHeight="481342464" behindDoc="1" locked="0" layoutInCell="1" allowOverlap="1">
              <wp:simplePos x="0" y="0"/>
              <wp:positionH relativeFrom="page">
                <wp:posOffset>6831330</wp:posOffset>
              </wp:positionH>
              <wp:positionV relativeFrom="page">
                <wp:posOffset>10142721</wp:posOffset>
              </wp:positionV>
              <wp:extent cx="203835" cy="16700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rsidR="00487D64" w:rsidRDefault="006F0D93">
                          <w:pPr>
                            <w:spacing w:before="12"/>
                            <w:ind w:left="2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D31F36">
                            <w:rPr>
                              <w:rFonts w:ascii="Arial MT"/>
                              <w:noProof/>
                              <w:spacing w:val="-5"/>
                              <w:sz w:val="20"/>
                            </w:rPr>
                            <w:t>13</w:t>
                          </w:r>
                          <w:r>
                            <w:rPr>
                              <w:rFonts w:ascii="Arial MT"/>
                              <w:spacing w:val="-5"/>
                              <w:sz w:val="20"/>
                            </w:rPr>
                            <w:fldChar w:fldCharType="end"/>
                          </w:r>
                        </w:p>
                      </w:txbxContent>
                    </wps:txbx>
                    <wps:bodyPr wrap="square" lIns="0" tIns="0" rIns="0" bIns="0" rtlCol="0">
                      <a:noAutofit/>
                    </wps:bodyPr>
                  </wps:wsp>
                </a:graphicData>
              </a:graphic>
            </wp:anchor>
          </w:drawing>
        </mc:Choice>
        <mc:Fallback>
          <w:pict>
            <v:shape id="Textbox 62" o:spid="_x0000_s1068" type="#_x0000_t202" style="position:absolute;margin-left:537.9pt;margin-top:798.65pt;width:16.05pt;height:13.15pt;z-index:-219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" filled="f" stroked="f">
              <v:path arrowok="t"/>
              <v:textbox inset="0,0,0,0">
                <w:txbxContent>
                  <w:p w:rsidR="00487D64" w:rsidRDefault="006F0D93">
                    <w:pPr>
                      <w:spacing w:before="12"/>
                      <w:ind w:left="2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D31F36">
                      <w:rPr>
                        <w:rFonts w:ascii="Arial MT"/>
                        <w:noProof/>
                        <w:spacing w:val="-5"/>
                        <w:sz w:val="20"/>
                      </w:rPr>
                      <w:t>13</w:t>
                    </w:r>
                    <w:r>
                      <w:rPr>
                        <w:rFonts w:ascii="Arial MT"/>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D64" w:rsidRDefault="006F0D93">
    <w:pPr>
      <w:pStyle w:val="BodyText"/>
      <w:spacing w:line="14" w:lineRule="auto"/>
      <w:rPr>
        <w:sz w:val="20"/>
      </w:rPr>
    </w:pPr>
    <w:r>
      <w:rPr>
        <w:noProof/>
        <w:sz w:val="20"/>
      </w:rPr>
      <mc:AlternateContent>
        <mc:Choice Requires="wps">
          <w:drawing>
            <wp:anchor distT="0" distB="0" distL="0" distR="0" simplePos="0" relativeHeight="481343488" behindDoc="1" locked="0" layoutInCell="1" allowOverlap="1">
              <wp:simplePos x="0" y="0"/>
              <wp:positionH relativeFrom="page">
                <wp:posOffset>902004</wp:posOffset>
              </wp:positionH>
              <wp:positionV relativeFrom="page">
                <wp:posOffset>9265994</wp:posOffset>
              </wp:positionV>
              <wp:extent cx="1141730" cy="1898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730" cy="189865"/>
                      </a:xfrm>
                      <a:prstGeom prst="rect">
                        <a:avLst/>
                      </a:prstGeom>
                    </wps:spPr>
                    <wps:txbx>
                      <w:txbxContent>
                        <w:p w:rsidR="00487D64" w:rsidRDefault="006F0D93">
                          <w:pPr>
                            <w:spacing w:before="20"/>
                            <w:ind w:left="20"/>
                            <w:rPr>
                              <w:rFonts w:ascii="Cambria"/>
                            </w:rPr>
                          </w:pPr>
                          <w:hyperlink r:id="rId1">
                            <w:r>
                              <w:rPr>
                                <w:rFonts w:ascii="Cambria"/>
                                <w:color w:val="FF0000"/>
                                <w:spacing w:val="-2"/>
                                <w:u w:val="single" w:color="FF0000"/>
                              </w:rPr>
                              <w:t>http://ijbmer.org/</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70" type="#_x0000_t202" style="position:absolute;margin-left:71pt;margin-top:729.6pt;width:89.9pt;height:14.95pt;z-index:-219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" filled="f" stroked="f">
              <v:path arrowok="t"/>
              <v:textbox inset="0,0,0,0">
                <w:txbxContent>
                  <w:p w:rsidR="00487D64" w:rsidRDefault="006F0D93">
                    <w:pPr>
                      <w:spacing w:before="20"/>
                      <w:ind w:left="20"/>
                      <w:rPr>
                        <w:rFonts w:ascii="Cambria"/>
                      </w:rPr>
                    </w:pPr>
                    <w:hyperlink r:id="rId2">
                      <w:r>
                        <w:rPr>
                          <w:rFonts w:ascii="Cambria"/>
                          <w:color w:val="FF0000"/>
                          <w:spacing w:val="-2"/>
                          <w:u w:val="single" w:color="FF0000"/>
                        </w:rPr>
                        <w:t>http://ijbmer.org/</w:t>
                      </w:r>
                    </w:hyperlink>
                  </w:p>
                </w:txbxContent>
              </v:textbox>
              <w10:wrap anchorx="page" anchory="page"/>
            </v:shape>
          </w:pict>
        </mc:Fallback>
      </mc:AlternateContent>
    </w:r>
    <w:r>
      <w:rPr>
        <w:noProof/>
        <w:sz w:val="20"/>
      </w:rPr>
      <mc:AlternateContent>
        <mc:Choice Requires="wps">
          <w:drawing>
            <wp:anchor distT="0" distB="0" distL="0" distR="0" simplePos="0" relativeHeight="481344000" behindDoc="1" locked="0" layoutInCell="1" allowOverlap="1">
              <wp:simplePos x="0" y="0"/>
              <wp:positionH relativeFrom="page">
                <wp:posOffset>6378321</wp:posOffset>
              </wp:positionH>
              <wp:positionV relativeFrom="page">
                <wp:posOffset>9265994</wp:posOffset>
              </wp:positionV>
              <wp:extent cx="530225" cy="1898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189865"/>
                      </a:xfrm>
                      <a:prstGeom prst="rect">
                        <a:avLst/>
                      </a:prstGeom>
                    </wps:spPr>
                    <wps:txbx>
                      <w:txbxContent>
                        <w:p w:rsidR="00487D64" w:rsidRDefault="006F0D93">
                          <w:pPr>
                            <w:spacing w:before="20"/>
                            <w:ind w:left="20"/>
                            <w:rPr>
                              <w:rFonts w:ascii="Cambria"/>
                            </w:rPr>
                          </w:pPr>
                          <w:r>
                            <w:rPr>
                              <w:rFonts w:ascii="Cambria"/>
                            </w:rPr>
                            <w:t>Page</w:t>
                          </w:r>
                          <w:r>
                            <w:rPr>
                              <w:rFonts w:ascii="Cambria"/>
                              <w:spacing w:val="-6"/>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sidR="00D31F36">
                            <w:rPr>
                              <w:rFonts w:ascii="Cambria"/>
                              <w:noProof/>
                              <w:spacing w:val="-5"/>
                            </w:rPr>
                            <w:t>14</w:t>
                          </w:r>
                          <w:r>
                            <w:rPr>
                              <w:rFonts w:ascii="Cambria"/>
                              <w:spacing w:val="-5"/>
                            </w:rPr>
                            <w:fldChar w:fldCharType="end"/>
                          </w:r>
                        </w:p>
                      </w:txbxContent>
                    </wps:txbx>
                    <wps:bodyPr wrap="square" lIns="0" tIns="0" rIns="0" bIns="0" rtlCol="0">
                      <a:noAutofit/>
                    </wps:bodyPr>
                  </wps:wsp>
                </a:graphicData>
              </a:graphic>
            </wp:anchor>
          </w:drawing>
        </mc:Choice>
        <mc:Fallback>
          <w:pict>
            <v:shape id="Textbox 69" o:spid="_x0000_s1071" type="#_x0000_t202" style="position:absolute;margin-left:502.25pt;margin-top:729.6pt;width:41.75pt;height:14.95pt;z-index:-219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" filled="f" stroked="f">
              <v:path arrowok="t"/>
              <v:textbox inset="0,0,0,0">
                <w:txbxContent>
                  <w:p w:rsidR="00487D64" w:rsidRDefault="006F0D93">
                    <w:pPr>
                      <w:spacing w:before="20"/>
                      <w:ind w:left="20"/>
                      <w:rPr>
                        <w:rFonts w:ascii="Cambria"/>
                      </w:rPr>
                    </w:pPr>
                    <w:r>
                      <w:rPr>
                        <w:rFonts w:ascii="Cambria"/>
                      </w:rPr>
                      <w:t>Page</w:t>
                    </w:r>
                    <w:r>
                      <w:rPr>
                        <w:rFonts w:ascii="Cambria"/>
                        <w:spacing w:val="-6"/>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sidR="00D31F36">
                      <w:rPr>
                        <w:rFonts w:ascii="Cambria"/>
                        <w:noProof/>
                        <w:spacing w:val="-5"/>
                      </w:rPr>
                      <w:t>14</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D93" w:rsidRDefault="006F0D93">
      <w:r>
        <w:separator/>
      </w:r>
    </w:p>
  </w:footnote>
  <w:footnote w:type="continuationSeparator" w:id="0">
    <w:p w:rsidR="006F0D93" w:rsidRDefault="006F0D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D64" w:rsidRDefault="006F0D93">
    <w:pPr>
      <w:pStyle w:val="BodyText"/>
      <w:spacing w:line="14" w:lineRule="auto"/>
      <w:rPr>
        <w:sz w:val="20"/>
      </w:rPr>
    </w:pPr>
    <w:r>
      <w:rPr>
        <w:noProof/>
        <w:sz w:val="20"/>
      </w:rPr>
      <mc:AlternateContent>
        <mc:Choice Requires="wps">
          <w:drawing>
            <wp:anchor distT="0" distB="0" distL="0" distR="0" simplePos="0" relativeHeight="481337344" behindDoc="1" locked="0" layoutInCell="1" allowOverlap="1">
              <wp:simplePos x="0" y="0"/>
              <wp:positionH relativeFrom="page">
                <wp:posOffset>3898772</wp:posOffset>
              </wp:positionH>
              <wp:positionV relativeFrom="page">
                <wp:posOffset>447466</wp:posOffset>
              </wp:positionV>
              <wp:extent cx="300990" cy="1930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93040"/>
                      </a:xfrm>
                      <a:prstGeom prst="rect">
                        <a:avLst/>
                      </a:prstGeom>
                    </wps:spPr>
                    <wps:txbx>
                      <w:txbxContent>
                        <w:p w:rsidR="00487D64" w:rsidRDefault="006F0D93">
                          <w:pPr>
                            <w:pStyle w:val="BodyText"/>
                            <w:spacing w:before="17"/>
                            <w:ind w:left="20"/>
                          </w:pPr>
                          <w:r>
                            <w:rPr>
                              <w:spacing w:val="-2"/>
                              <w:w w:val="105"/>
                            </w:rPr>
                            <w:fldChar w:fldCharType="begin"/>
                          </w:r>
                          <w:r>
                            <w:rPr>
                              <w:spacing w:val="-2"/>
                              <w:w w:val="105"/>
                            </w:rPr>
                            <w:instrText xml:space="preserve"> PAGE  \* roman </w:instrText>
                          </w:r>
                          <w:r>
                            <w:rPr>
                              <w:spacing w:val="-2"/>
                              <w:w w:val="105"/>
                            </w:rPr>
                            <w:fldChar w:fldCharType="separate"/>
                          </w:r>
                          <w:r w:rsidR="00D31F36">
                            <w:rPr>
                              <w:noProof/>
                              <w:spacing w:val="-2"/>
                              <w:w w:val="105"/>
                            </w:rPr>
                            <w:t>viii</w:t>
                          </w:r>
                          <w:r>
                            <w:rPr>
                              <w:spacing w:val="-2"/>
                              <w:w w:val="10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61" type="#_x0000_t202" style="position:absolute;margin-left:307pt;margin-top:35.25pt;width:23.7pt;height:15.2pt;z-index:-219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" filled="f" stroked="f">
              <v:path arrowok="t"/>
              <v:textbox inset="0,0,0,0">
                <w:txbxContent>
                  <w:p w:rsidR="00487D64" w:rsidRDefault="006F0D93">
                    <w:pPr>
                      <w:pStyle w:val="BodyText"/>
                      <w:spacing w:before="17"/>
                      <w:ind w:left="20"/>
                    </w:pPr>
                    <w:r>
                      <w:rPr>
                        <w:spacing w:val="-2"/>
                        <w:w w:val="105"/>
                      </w:rPr>
                      <w:fldChar w:fldCharType="begin"/>
                    </w:r>
                    <w:r>
                      <w:rPr>
                        <w:spacing w:val="-2"/>
                        <w:w w:val="105"/>
                      </w:rPr>
                      <w:instrText xml:space="preserve"> PAGE  \* roman </w:instrText>
                    </w:r>
                    <w:r>
                      <w:rPr>
                        <w:spacing w:val="-2"/>
                        <w:w w:val="105"/>
                      </w:rPr>
                      <w:fldChar w:fldCharType="separate"/>
                    </w:r>
                    <w:r w:rsidR="00D31F36">
                      <w:rPr>
                        <w:noProof/>
                        <w:spacing w:val="-2"/>
                        <w:w w:val="105"/>
                      </w:rPr>
                      <w:t>viii</w:t>
                    </w:r>
                    <w:r>
                      <w:rPr>
                        <w:spacing w:val="-2"/>
                        <w:w w:val="10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D64" w:rsidRDefault="006F0D93">
    <w:pPr>
      <w:pStyle w:val="BodyText"/>
      <w:spacing w:line="14" w:lineRule="auto"/>
      <w:rPr>
        <w:sz w:val="20"/>
      </w:rPr>
    </w:pPr>
    <w:r>
      <w:rPr>
        <w:noProof/>
        <w:sz w:val="20"/>
      </w:rPr>
      <mc:AlternateContent>
        <mc:Choice Requires="wps">
          <w:drawing>
            <wp:anchor distT="0" distB="0" distL="0" distR="0" simplePos="0" relativeHeight="481337856" behindDoc="1" locked="0" layoutInCell="1" allowOverlap="1">
              <wp:simplePos x="0" y="0"/>
              <wp:positionH relativeFrom="page">
                <wp:posOffset>3926204</wp:posOffset>
              </wp:positionH>
              <wp:positionV relativeFrom="page">
                <wp:posOffset>447466</wp:posOffset>
              </wp:positionV>
              <wp:extent cx="259079" cy="1930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3040"/>
                      </a:xfrm>
                      <a:prstGeom prst="rect">
                        <a:avLst/>
                      </a:prstGeom>
                    </wps:spPr>
                    <wps:txbx>
                      <w:txbxContent>
                        <w:p w:rsidR="00487D64" w:rsidRDefault="006F0D93">
                          <w:pPr>
                            <w:pStyle w:val="BodyText"/>
                            <w:spacing w:before="17"/>
                            <w:ind w:left="20"/>
                          </w:pPr>
                          <w:r>
                            <w:rPr>
                              <w:spacing w:val="-5"/>
                              <w:w w:val="105"/>
                            </w:rPr>
                            <w:fldChar w:fldCharType="begin"/>
                          </w:r>
                          <w:r>
                            <w:rPr>
                              <w:spacing w:val="-5"/>
                              <w:w w:val="105"/>
                            </w:rPr>
                            <w:instrText xml:space="preserve"> PAGE </w:instrText>
                          </w:r>
                          <w:r>
                            <w:rPr>
                              <w:spacing w:val="-5"/>
                              <w:w w:val="105"/>
                            </w:rPr>
                            <w:fldChar w:fldCharType="separate"/>
                          </w:r>
                          <w:r w:rsidR="00D31F36">
                            <w:rPr>
                              <w:noProof/>
                              <w:spacing w:val="-5"/>
                              <w:w w:val="105"/>
                            </w:rPr>
                            <w:t>200</w:t>
                          </w:r>
                          <w:r>
                            <w:rPr>
                              <w:spacing w:val="-5"/>
                              <w:w w:val="10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62" type="#_x0000_t202" style="position:absolute;margin-left:309.15pt;margin-top:35.25pt;width:20.4pt;height:15.2pt;z-index:-219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" filled="f" stroked="f">
              <v:path arrowok="t"/>
              <v:textbox inset="0,0,0,0">
                <w:txbxContent>
                  <w:p w:rsidR="00487D64" w:rsidRDefault="006F0D93">
                    <w:pPr>
                      <w:pStyle w:val="BodyText"/>
                      <w:spacing w:before="17"/>
                      <w:ind w:left="20"/>
                    </w:pPr>
                    <w:r>
                      <w:rPr>
                        <w:spacing w:val="-5"/>
                        <w:w w:val="105"/>
                      </w:rPr>
                      <w:fldChar w:fldCharType="begin"/>
                    </w:r>
                    <w:r>
                      <w:rPr>
                        <w:spacing w:val="-5"/>
                        <w:w w:val="105"/>
                      </w:rPr>
                      <w:instrText xml:space="preserve"> PAGE </w:instrText>
                    </w:r>
                    <w:r>
                      <w:rPr>
                        <w:spacing w:val="-5"/>
                        <w:w w:val="105"/>
                      </w:rPr>
                      <w:fldChar w:fldCharType="separate"/>
                    </w:r>
                    <w:r w:rsidR="00D31F36">
                      <w:rPr>
                        <w:noProof/>
                        <w:spacing w:val="-5"/>
                        <w:w w:val="105"/>
                      </w:rPr>
                      <w:t>200</w:t>
                    </w:r>
                    <w:r>
                      <w:rPr>
                        <w:spacing w:val="-5"/>
                        <w:w w:val="10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D64" w:rsidRDefault="006F0D93">
    <w:pPr>
      <w:pStyle w:val="BodyText"/>
      <w:spacing w:line="14" w:lineRule="auto"/>
      <w:rPr>
        <w:sz w:val="20"/>
      </w:rPr>
    </w:pPr>
    <w:r>
      <w:rPr>
        <w:noProof/>
        <w:sz w:val="20"/>
      </w:rPr>
      <w:drawing>
        <wp:anchor distT="0" distB="0" distL="0" distR="0" simplePos="0" relativeHeight="481338368" behindDoc="1" locked="0" layoutInCell="1" allowOverlap="1">
          <wp:simplePos x="0" y="0"/>
          <wp:positionH relativeFrom="page">
            <wp:posOffset>595033</wp:posOffset>
          </wp:positionH>
          <wp:positionV relativeFrom="page">
            <wp:posOffset>429958</wp:posOffset>
          </wp:positionV>
          <wp:extent cx="447598" cy="590333"/>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447598" cy="590333"/>
                  </a:xfrm>
                  <a:prstGeom prst="rect">
                    <a:avLst/>
                  </a:prstGeom>
                </pic:spPr>
              </pic:pic>
            </a:graphicData>
          </a:graphic>
        </wp:anchor>
      </w:drawing>
    </w:r>
    <w:r>
      <w:rPr>
        <w:noProof/>
        <w:sz w:val="20"/>
      </w:rPr>
      <mc:AlternateContent>
        <mc:Choice Requires="wps">
          <w:drawing>
            <wp:anchor distT="0" distB="0" distL="0" distR="0" simplePos="0" relativeHeight="481338880" behindDoc="1" locked="0" layoutInCell="1" allowOverlap="1">
              <wp:simplePos x="0" y="0"/>
              <wp:positionH relativeFrom="page">
                <wp:posOffset>566928</wp:posOffset>
              </wp:positionH>
              <wp:positionV relativeFrom="page">
                <wp:posOffset>1066799</wp:posOffset>
              </wp:positionV>
              <wp:extent cx="6419215" cy="635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6350"/>
                      </a:xfrm>
                      <a:custGeom>
                        <a:avLst/>
                        <a:gdLst/>
                        <a:ahLst/>
                        <a:cxnLst/>
                        <a:rect l="l" t="t" r="r" b="b"/>
                        <a:pathLst>
                          <a:path w="6419215" h="6350">
                            <a:moveTo>
                              <a:pt x="6418758" y="0"/>
                            </a:moveTo>
                            <a:lnTo>
                              <a:pt x="544360" y="0"/>
                            </a:lnTo>
                            <a:lnTo>
                              <a:pt x="541324" y="0"/>
                            </a:lnTo>
                            <a:lnTo>
                              <a:pt x="535228" y="0"/>
                            </a:lnTo>
                            <a:lnTo>
                              <a:pt x="0" y="0"/>
                            </a:lnTo>
                            <a:lnTo>
                              <a:pt x="0" y="6096"/>
                            </a:lnTo>
                            <a:lnTo>
                              <a:pt x="535228" y="6096"/>
                            </a:lnTo>
                            <a:lnTo>
                              <a:pt x="541324" y="6096"/>
                            </a:lnTo>
                            <a:lnTo>
                              <a:pt x="544360" y="6096"/>
                            </a:lnTo>
                            <a:lnTo>
                              <a:pt x="6418758" y="6096"/>
                            </a:lnTo>
                            <a:lnTo>
                              <a:pt x="64187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BDD8D7" id="Graphic 55" o:spid="_x0000_s1026" style="position:absolute;margin-left:44.65pt;margin-top:84pt;width:505.45pt;height:.5pt;z-index:-21977600;visibility:visible;mso-wrap-style:square;mso-wrap-distance-left:0;mso-wrap-distance-top:0;mso-wrap-distance-right:0;mso-wrap-distance-bottom:0;mso-position-horizontal:absolute;mso-position-horizontal-relative:page;mso-position-vertical:absolute;mso-position-vertical-relative:page;v-text-anchor:top" coordsize="64192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" path="m6418758,l544360,r-3036,l535228,,,,,6096r535228,l541324,6096r3036,l6418758,6096r,-6096xe" fillcolor="black" stroked="f">
              <v:path arrowok="t"/>
              <w10:wrap anchorx="page" anchory="page"/>
            </v:shape>
          </w:pict>
        </mc:Fallback>
      </mc:AlternateContent>
    </w:r>
    <w:r>
      <w:rPr>
        <w:noProof/>
        <w:sz w:val="20"/>
      </w:rPr>
      <mc:AlternateContent>
        <mc:Choice Requires="wps">
          <w:drawing>
            <wp:anchor distT="0" distB="0" distL="0" distR="0" simplePos="0" relativeHeight="481339392" behindDoc="1" locked="0" layoutInCell="1" allowOverlap="1">
              <wp:simplePos x="0" y="0"/>
              <wp:positionH relativeFrom="page">
                <wp:posOffset>1150416</wp:posOffset>
              </wp:positionH>
              <wp:positionV relativeFrom="page">
                <wp:posOffset>460652</wp:posOffset>
              </wp:positionV>
              <wp:extent cx="5795010" cy="2520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5010" cy="252095"/>
                      </a:xfrm>
                      <a:prstGeom prst="rect">
                        <a:avLst/>
                      </a:prstGeom>
                    </wps:spPr>
                    <wps:txbx>
                      <w:txbxContent>
                        <w:p w:rsidR="00487D64" w:rsidRDefault="006F0D93">
                          <w:pPr>
                            <w:spacing w:before="9"/>
                            <w:ind w:left="20"/>
                            <w:rPr>
                              <w:rFonts w:ascii="Arial"/>
                              <w:b/>
                              <w:sz w:val="32"/>
                            </w:rPr>
                          </w:pPr>
                          <w:r>
                            <w:rPr>
                              <w:rFonts w:ascii="Arial"/>
                              <w:b/>
                              <w:color w:val="1F487C"/>
                              <w:sz w:val="32"/>
                            </w:rPr>
                            <w:t>International</w:t>
                          </w:r>
                          <w:r>
                            <w:rPr>
                              <w:rFonts w:ascii="Arial"/>
                              <w:b/>
                              <w:color w:val="1F487C"/>
                              <w:spacing w:val="-16"/>
                              <w:sz w:val="32"/>
                            </w:rPr>
                            <w:t xml:space="preserve"> </w:t>
                          </w:r>
                          <w:r>
                            <w:rPr>
                              <w:rFonts w:ascii="Arial"/>
                              <w:b/>
                              <w:color w:val="1F487C"/>
                              <w:sz w:val="32"/>
                            </w:rPr>
                            <w:t>Journal</w:t>
                          </w:r>
                          <w:r>
                            <w:rPr>
                              <w:rFonts w:ascii="Arial"/>
                              <w:b/>
                              <w:color w:val="1F487C"/>
                              <w:spacing w:val="-15"/>
                              <w:sz w:val="32"/>
                            </w:rPr>
                            <w:t xml:space="preserve"> </w:t>
                          </w:r>
                          <w:r>
                            <w:rPr>
                              <w:rFonts w:ascii="Arial"/>
                              <w:b/>
                              <w:color w:val="1F487C"/>
                              <w:sz w:val="32"/>
                            </w:rPr>
                            <w:t>for</w:t>
                          </w:r>
                          <w:r>
                            <w:rPr>
                              <w:rFonts w:ascii="Arial"/>
                              <w:b/>
                              <w:color w:val="1F487C"/>
                              <w:spacing w:val="-15"/>
                              <w:sz w:val="32"/>
                            </w:rPr>
                            <w:t xml:space="preserve"> </w:t>
                          </w:r>
                          <w:r>
                            <w:rPr>
                              <w:rFonts w:ascii="Arial"/>
                              <w:b/>
                              <w:color w:val="1F487C"/>
                              <w:sz w:val="32"/>
                            </w:rPr>
                            <w:t>Multidisciplinary</w:t>
                          </w:r>
                          <w:r>
                            <w:rPr>
                              <w:rFonts w:ascii="Arial"/>
                              <w:b/>
                              <w:color w:val="1F487C"/>
                              <w:spacing w:val="-15"/>
                              <w:sz w:val="32"/>
                            </w:rPr>
                            <w:t xml:space="preserve"> </w:t>
                          </w:r>
                          <w:r>
                            <w:rPr>
                              <w:rFonts w:ascii="Arial"/>
                              <w:b/>
                              <w:color w:val="1F487C"/>
                              <w:sz w:val="32"/>
                            </w:rPr>
                            <w:t>Research</w:t>
                          </w:r>
                          <w:r>
                            <w:rPr>
                              <w:rFonts w:ascii="Arial"/>
                              <w:b/>
                              <w:color w:val="1F487C"/>
                              <w:spacing w:val="-12"/>
                              <w:sz w:val="32"/>
                            </w:rPr>
                            <w:t xml:space="preserve"> </w:t>
                          </w:r>
                          <w:r>
                            <w:rPr>
                              <w:rFonts w:ascii="Arial"/>
                              <w:b/>
                              <w:color w:val="538DD3"/>
                              <w:spacing w:val="-2"/>
                              <w:sz w:val="32"/>
                            </w:rPr>
                            <w:t>(IJFMR)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63" type="#_x0000_t202" style="position:absolute;margin-left:90.6pt;margin-top:36.25pt;width:456.3pt;height:19.85pt;z-index:-219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" filled="f" stroked="f">
              <v:path arrowok="t"/>
              <v:textbox inset="0,0,0,0">
                <w:txbxContent>
                  <w:p w:rsidR="00487D64" w:rsidRDefault="006F0D93">
                    <w:pPr>
                      <w:spacing w:before="9"/>
                      <w:ind w:left="20"/>
                      <w:rPr>
                        <w:rFonts w:ascii="Arial"/>
                        <w:b/>
                        <w:sz w:val="32"/>
                      </w:rPr>
                    </w:pPr>
                    <w:r>
                      <w:rPr>
                        <w:rFonts w:ascii="Arial"/>
                        <w:b/>
                        <w:color w:val="1F487C"/>
                        <w:sz w:val="32"/>
                      </w:rPr>
                      <w:t>International</w:t>
                    </w:r>
                    <w:r>
                      <w:rPr>
                        <w:rFonts w:ascii="Arial"/>
                        <w:b/>
                        <w:color w:val="1F487C"/>
                        <w:spacing w:val="-16"/>
                        <w:sz w:val="32"/>
                      </w:rPr>
                      <w:t xml:space="preserve"> </w:t>
                    </w:r>
                    <w:r>
                      <w:rPr>
                        <w:rFonts w:ascii="Arial"/>
                        <w:b/>
                        <w:color w:val="1F487C"/>
                        <w:sz w:val="32"/>
                      </w:rPr>
                      <w:t>Journal</w:t>
                    </w:r>
                    <w:r>
                      <w:rPr>
                        <w:rFonts w:ascii="Arial"/>
                        <w:b/>
                        <w:color w:val="1F487C"/>
                        <w:spacing w:val="-15"/>
                        <w:sz w:val="32"/>
                      </w:rPr>
                      <w:t xml:space="preserve"> </w:t>
                    </w:r>
                    <w:r>
                      <w:rPr>
                        <w:rFonts w:ascii="Arial"/>
                        <w:b/>
                        <w:color w:val="1F487C"/>
                        <w:sz w:val="32"/>
                      </w:rPr>
                      <w:t>for</w:t>
                    </w:r>
                    <w:r>
                      <w:rPr>
                        <w:rFonts w:ascii="Arial"/>
                        <w:b/>
                        <w:color w:val="1F487C"/>
                        <w:spacing w:val="-15"/>
                        <w:sz w:val="32"/>
                      </w:rPr>
                      <w:t xml:space="preserve"> </w:t>
                    </w:r>
                    <w:r>
                      <w:rPr>
                        <w:rFonts w:ascii="Arial"/>
                        <w:b/>
                        <w:color w:val="1F487C"/>
                        <w:sz w:val="32"/>
                      </w:rPr>
                      <w:t>Multidisciplinary</w:t>
                    </w:r>
                    <w:r>
                      <w:rPr>
                        <w:rFonts w:ascii="Arial"/>
                        <w:b/>
                        <w:color w:val="1F487C"/>
                        <w:spacing w:val="-15"/>
                        <w:sz w:val="32"/>
                      </w:rPr>
                      <w:t xml:space="preserve"> </w:t>
                    </w:r>
                    <w:r>
                      <w:rPr>
                        <w:rFonts w:ascii="Arial"/>
                        <w:b/>
                        <w:color w:val="1F487C"/>
                        <w:sz w:val="32"/>
                      </w:rPr>
                      <w:t>Research</w:t>
                    </w:r>
                    <w:r>
                      <w:rPr>
                        <w:rFonts w:ascii="Arial"/>
                        <w:b/>
                        <w:color w:val="1F487C"/>
                        <w:spacing w:val="-12"/>
                        <w:sz w:val="32"/>
                      </w:rPr>
                      <w:t xml:space="preserve"> </w:t>
                    </w:r>
                    <w:r>
                      <w:rPr>
                        <w:rFonts w:ascii="Arial"/>
                        <w:b/>
                        <w:color w:val="538DD3"/>
                        <w:spacing w:val="-2"/>
                        <w:sz w:val="32"/>
                      </w:rPr>
                      <w:t>(IJFMR)</w:t>
                    </w:r>
                  </w:p>
                </w:txbxContent>
              </v:textbox>
              <w10:wrap anchorx="page" anchory="page"/>
            </v:shape>
          </w:pict>
        </mc:Fallback>
      </mc:AlternateContent>
    </w:r>
    <w:r>
      <w:rPr>
        <w:noProof/>
        <w:sz w:val="20"/>
      </w:rPr>
      <mc:AlternateContent>
        <mc:Choice Requires="wps">
          <w:drawing>
            <wp:anchor distT="0" distB="0" distL="0" distR="0" simplePos="0" relativeHeight="481339904" behindDoc="1" locked="0" layoutInCell="1" allowOverlap="1">
              <wp:simplePos x="0" y="0"/>
              <wp:positionH relativeFrom="page">
                <wp:posOffset>1775205</wp:posOffset>
              </wp:positionH>
              <wp:positionV relativeFrom="page">
                <wp:posOffset>837481</wp:posOffset>
              </wp:positionV>
              <wp:extent cx="2769235" cy="16700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235" cy="167005"/>
                      </a:xfrm>
                      <a:prstGeom prst="rect">
                        <a:avLst/>
                      </a:prstGeom>
                    </wps:spPr>
                    <wps:txbx>
                      <w:txbxContent>
                        <w:p w:rsidR="00487D64" w:rsidRDefault="006F0D93">
                          <w:pPr>
                            <w:spacing w:before="12"/>
                            <w:ind w:left="20"/>
                            <w:rPr>
                              <w:rFonts w:ascii="Arial MT" w:hAnsi="Arial MT"/>
                              <w:sz w:val="20"/>
                            </w:rPr>
                          </w:pPr>
                          <w:r>
                            <w:rPr>
                              <w:rFonts w:ascii="Arial MT" w:hAnsi="Arial MT"/>
                              <w:sz w:val="20"/>
                            </w:rPr>
                            <w:t>E-ISSN:</w:t>
                          </w:r>
                          <w:r>
                            <w:rPr>
                              <w:rFonts w:ascii="Arial MT" w:hAnsi="Arial MT"/>
                              <w:spacing w:val="-13"/>
                              <w:sz w:val="20"/>
                            </w:rPr>
                            <w:t xml:space="preserve"> </w:t>
                          </w:r>
                          <w:r>
                            <w:rPr>
                              <w:rFonts w:ascii="Arial MT" w:hAnsi="Arial MT"/>
                              <w:sz w:val="20"/>
                            </w:rPr>
                            <w:t>2582-2160</w:t>
                          </w:r>
                          <w:r>
                            <w:rPr>
                              <w:rFonts w:ascii="Arial MT" w:hAnsi="Arial MT"/>
                              <w:spacing w:val="70"/>
                              <w:sz w:val="20"/>
                            </w:rPr>
                            <w:t xml:space="preserve"> </w:t>
                          </w:r>
                          <w:r>
                            <w:rPr>
                              <w:rFonts w:ascii="Arial MT" w:hAnsi="Arial MT"/>
                              <w:sz w:val="20"/>
                            </w:rPr>
                            <w:t>●</w:t>
                          </w:r>
                          <w:r>
                            <w:rPr>
                              <w:rFonts w:ascii="Arial MT" w:hAnsi="Arial MT"/>
                              <w:spacing w:val="71"/>
                              <w:sz w:val="20"/>
                            </w:rPr>
                            <w:t xml:space="preserve"> </w:t>
                          </w:r>
                          <w:r>
                            <w:rPr>
                              <w:rFonts w:ascii="Arial MT" w:hAnsi="Arial MT"/>
                              <w:sz w:val="20"/>
                            </w:rPr>
                            <w:t>Website:</w:t>
                          </w:r>
                          <w:r>
                            <w:rPr>
                              <w:rFonts w:ascii="Arial MT" w:hAnsi="Arial MT"/>
                              <w:spacing w:val="-14"/>
                              <w:sz w:val="20"/>
                            </w:rPr>
                            <w:t xml:space="preserve"> </w:t>
                          </w:r>
                          <w:hyperlink r:id="rId2">
                            <w:r>
                              <w:rPr>
                                <w:rFonts w:ascii="Arial MT" w:hAnsi="Arial MT"/>
                                <w:color w:val="0000FF"/>
                                <w:spacing w:val="-2"/>
                                <w:sz w:val="20"/>
                                <w:u w:val="single" w:color="0000FF"/>
                              </w:rPr>
                              <w:t>www.ijfmr.com</w:t>
                            </w:r>
                          </w:hyperlink>
                        </w:p>
                      </w:txbxContent>
                    </wps:txbx>
                    <wps:bodyPr wrap="square" lIns="0" tIns="0" rIns="0" bIns="0" rtlCol="0">
                      <a:noAutofit/>
                    </wps:bodyPr>
                  </wps:wsp>
                </a:graphicData>
              </a:graphic>
            </wp:anchor>
          </w:drawing>
        </mc:Choice>
        <mc:Fallback>
          <w:pict>
            <v:shape id="Textbox 57" o:spid="_x0000_s1064" type="#_x0000_t202" style="position:absolute;margin-left:139.8pt;margin-top:65.95pt;width:218.05pt;height:13.15pt;z-index:-219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" filled="f" stroked="f">
              <v:path arrowok="t"/>
              <v:textbox inset="0,0,0,0">
                <w:txbxContent>
                  <w:p w:rsidR="00487D64" w:rsidRDefault="006F0D93">
                    <w:pPr>
                      <w:spacing w:before="12"/>
                      <w:ind w:left="20"/>
                      <w:rPr>
                        <w:rFonts w:ascii="Arial MT" w:hAnsi="Arial MT"/>
                        <w:sz w:val="20"/>
                      </w:rPr>
                    </w:pPr>
                    <w:r>
                      <w:rPr>
                        <w:rFonts w:ascii="Arial MT" w:hAnsi="Arial MT"/>
                        <w:sz w:val="20"/>
                      </w:rPr>
                      <w:t>E-ISSN:</w:t>
                    </w:r>
                    <w:r>
                      <w:rPr>
                        <w:rFonts w:ascii="Arial MT" w:hAnsi="Arial MT"/>
                        <w:spacing w:val="-13"/>
                        <w:sz w:val="20"/>
                      </w:rPr>
                      <w:t xml:space="preserve"> </w:t>
                    </w:r>
                    <w:r>
                      <w:rPr>
                        <w:rFonts w:ascii="Arial MT" w:hAnsi="Arial MT"/>
                        <w:sz w:val="20"/>
                      </w:rPr>
                      <w:t>2582-2160</w:t>
                    </w:r>
                    <w:r>
                      <w:rPr>
                        <w:rFonts w:ascii="Arial MT" w:hAnsi="Arial MT"/>
                        <w:spacing w:val="70"/>
                        <w:sz w:val="20"/>
                      </w:rPr>
                      <w:t xml:space="preserve"> </w:t>
                    </w:r>
                    <w:r>
                      <w:rPr>
                        <w:rFonts w:ascii="Arial MT" w:hAnsi="Arial MT"/>
                        <w:sz w:val="20"/>
                      </w:rPr>
                      <w:t>●</w:t>
                    </w:r>
                    <w:r>
                      <w:rPr>
                        <w:rFonts w:ascii="Arial MT" w:hAnsi="Arial MT"/>
                        <w:spacing w:val="71"/>
                        <w:sz w:val="20"/>
                      </w:rPr>
                      <w:t xml:space="preserve"> </w:t>
                    </w:r>
                    <w:r>
                      <w:rPr>
                        <w:rFonts w:ascii="Arial MT" w:hAnsi="Arial MT"/>
                        <w:sz w:val="20"/>
                      </w:rPr>
                      <w:t>Website:</w:t>
                    </w:r>
                    <w:r>
                      <w:rPr>
                        <w:rFonts w:ascii="Arial MT" w:hAnsi="Arial MT"/>
                        <w:spacing w:val="-14"/>
                        <w:sz w:val="20"/>
                      </w:rPr>
                      <w:t xml:space="preserve"> </w:t>
                    </w:r>
                    <w:hyperlink r:id="rId3">
                      <w:r>
                        <w:rPr>
                          <w:rFonts w:ascii="Arial MT" w:hAnsi="Arial MT"/>
                          <w:color w:val="0000FF"/>
                          <w:spacing w:val="-2"/>
                          <w:sz w:val="20"/>
                          <w:u w:val="single" w:color="0000FF"/>
                        </w:rPr>
                        <w:t>www.ijfmr.com</w:t>
                      </w:r>
                    </w:hyperlink>
                  </w:p>
                </w:txbxContent>
              </v:textbox>
              <w10:wrap anchorx="page" anchory="page"/>
            </v:shape>
          </w:pict>
        </mc:Fallback>
      </mc:AlternateContent>
    </w:r>
    <w:r>
      <w:rPr>
        <w:noProof/>
        <w:sz w:val="20"/>
      </w:rPr>
      <mc:AlternateContent>
        <mc:Choice Requires="wps">
          <w:drawing>
            <wp:anchor distT="0" distB="0" distL="0" distR="0" simplePos="0" relativeHeight="481340416" behindDoc="1" locked="0" layoutInCell="1" allowOverlap="1">
              <wp:simplePos x="0" y="0"/>
              <wp:positionH relativeFrom="page">
                <wp:posOffset>4764404</wp:posOffset>
              </wp:positionH>
              <wp:positionV relativeFrom="page">
                <wp:posOffset>837481</wp:posOffset>
              </wp:positionV>
              <wp:extent cx="1553845" cy="1670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3845" cy="167005"/>
                      </a:xfrm>
                      <a:prstGeom prst="rect">
                        <a:avLst/>
                      </a:prstGeom>
                    </wps:spPr>
                    <wps:txbx>
                      <w:txbxContent>
                        <w:p w:rsidR="00487D64" w:rsidRDefault="006F0D93">
                          <w:pPr>
                            <w:spacing w:before="12"/>
                            <w:ind w:left="20"/>
                            <w:rPr>
                              <w:rFonts w:ascii="Arial MT" w:hAnsi="Arial MT"/>
                              <w:sz w:val="20"/>
                            </w:rPr>
                          </w:pPr>
                          <w:r>
                            <w:rPr>
                              <w:rFonts w:ascii="Arial MT" w:hAnsi="Arial MT"/>
                              <w:w w:val="95"/>
                              <w:sz w:val="20"/>
                            </w:rPr>
                            <w:t>●</w:t>
                          </w:r>
                          <w:r>
                            <w:rPr>
                              <w:rFonts w:ascii="Arial MT" w:hAnsi="Arial MT"/>
                              <w:spacing w:val="68"/>
                              <w:sz w:val="20"/>
                            </w:rPr>
                            <w:t xml:space="preserve"> </w:t>
                          </w:r>
                          <w:r>
                            <w:rPr>
                              <w:rFonts w:ascii="Arial MT" w:hAnsi="Arial MT"/>
                              <w:w w:val="95"/>
                              <w:sz w:val="20"/>
                            </w:rPr>
                            <w:t>Email:</w:t>
                          </w:r>
                          <w:r>
                            <w:rPr>
                              <w:rFonts w:ascii="Arial MT" w:hAnsi="Arial MT"/>
                              <w:spacing w:val="-9"/>
                              <w:w w:val="95"/>
                              <w:sz w:val="20"/>
                            </w:rPr>
                            <w:t xml:space="preserve"> </w:t>
                          </w:r>
                          <w:hyperlink r:id="rId4">
                            <w:r>
                              <w:rPr>
                                <w:rFonts w:ascii="Arial MT" w:hAnsi="Arial MT"/>
                                <w:spacing w:val="-2"/>
                                <w:w w:val="95"/>
                                <w:sz w:val="20"/>
                              </w:rPr>
                              <w:t>editor@ijfmr.com</w:t>
                            </w:r>
                          </w:hyperlink>
                        </w:p>
                      </w:txbxContent>
                    </wps:txbx>
                    <wps:bodyPr wrap="square" lIns="0" tIns="0" rIns="0" bIns="0" rtlCol="0">
                      <a:noAutofit/>
                    </wps:bodyPr>
                  </wps:wsp>
                </a:graphicData>
              </a:graphic>
            </wp:anchor>
          </w:drawing>
        </mc:Choice>
        <mc:Fallback>
          <w:pict>
            <v:shape id="Textbox 58" o:spid="_x0000_s1065" type="#_x0000_t202" style="position:absolute;margin-left:375.15pt;margin-top:65.95pt;width:122.35pt;height:13.15pt;z-index:-219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" filled="f" stroked="f">
              <v:path arrowok="t"/>
              <v:textbox inset="0,0,0,0">
                <w:txbxContent>
                  <w:p w:rsidR="00487D64" w:rsidRDefault="006F0D93">
                    <w:pPr>
                      <w:spacing w:before="12"/>
                      <w:ind w:left="20"/>
                      <w:rPr>
                        <w:rFonts w:ascii="Arial MT" w:hAnsi="Arial MT"/>
                        <w:sz w:val="20"/>
                      </w:rPr>
                    </w:pPr>
                    <w:r>
                      <w:rPr>
                        <w:rFonts w:ascii="Arial MT" w:hAnsi="Arial MT"/>
                        <w:w w:val="95"/>
                        <w:sz w:val="20"/>
                      </w:rPr>
                      <w:t>●</w:t>
                    </w:r>
                    <w:r>
                      <w:rPr>
                        <w:rFonts w:ascii="Arial MT" w:hAnsi="Arial MT"/>
                        <w:spacing w:val="68"/>
                        <w:sz w:val="20"/>
                      </w:rPr>
                      <w:t xml:space="preserve"> </w:t>
                    </w:r>
                    <w:r>
                      <w:rPr>
                        <w:rFonts w:ascii="Arial MT" w:hAnsi="Arial MT"/>
                        <w:w w:val="95"/>
                        <w:sz w:val="20"/>
                      </w:rPr>
                      <w:t>Email:</w:t>
                    </w:r>
                    <w:r>
                      <w:rPr>
                        <w:rFonts w:ascii="Arial MT" w:hAnsi="Arial MT"/>
                        <w:spacing w:val="-9"/>
                        <w:w w:val="95"/>
                        <w:sz w:val="20"/>
                      </w:rPr>
                      <w:t xml:space="preserve"> </w:t>
                    </w:r>
                    <w:hyperlink r:id="rId5">
                      <w:r>
                        <w:rPr>
                          <w:rFonts w:ascii="Arial MT" w:hAnsi="Arial MT"/>
                          <w:spacing w:val="-2"/>
                          <w:w w:val="95"/>
                          <w:sz w:val="20"/>
                        </w:rPr>
                        <w:t>editor@ijfmr.com</w:t>
                      </w:r>
                    </w:hyperlink>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D64" w:rsidRDefault="006F0D93">
    <w:pPr>
      <w:pStyle w:val="BodyText"/>
      <w:spacing w:line="14" w:lineRule="auto"/>
      <w:rPr>
        <w:sz w:val="20"/>
      </w:rPr>
    </w:pPr>
    <w:r>
      <w:rPr>
        <w:noProof/>
        <w:sz w:val="20"/>
      </w:rPr>
      <mc:AlternateContent>
        <mc:Choice Requires="wps">
          <w:drawing>
            <wp:anchor distT="0" distB="0" distL="0" distR="0" simplePos="0" relativeHeight="481342976" behindDoc="1" locked="0" layoutInCell="1" allowOverlap="1">
              <wp:simplePos x="0" y="0"/>
              <wp:positionH relativeFrom="page">
                <wp:posOffset>911148</wp:posOffset>
              </wp:positionH>
              <wp:positionV relativeFrom="page">
                <wp:posOffset>446983</wp:posOffset>
              </wp:positionV>
              <wp:extent cx="5962015" cy="7359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015" cy="735965"/>
                      </a:xfrm>
                      <a:prstGeom prst="rect">
                        <a:avLst/>
                      </a:prstGeom>
                    </wps:spPr>
                    <wps:txbx>
                      <w:txbxContent>
                        <w:p w:rsidR="00487D64" w:rsidRDefault="006F0D93">
                          <w:pPr>
                            <w:spacing w:before="20"/>
                            <w:ind w:left="20"/>
                            <w:rPr>
                              <w:rFonts w:ascii="Verdana"/>
                              <w:b/>
                              <w:sz w:val="24"/>
                            </w:rPr>
                          </w:pPr>
                          <w:r>
                            <w:rPr>
                              <w:rFonts w:ascii="Verdana"/>
                              <w:b/>
                              <w:color w:val="FF0000"/>
                              <w:sz w:val="24"/>
                            </w:rPr>
                            <w:t>International</w:t>
                          </w:r>
                          <w:r>
                            <w:rPr>
                              <w:rFonts w:ascii="Verdana"/>
                              <w:b/>
                              <w:color w:val="FF0000"/>
                              <w:spacing w:val="-9"/>
                              <w:sz w:val="24"/>
                            </w:rPr>
                            <w:t xml:space="preserve"> </w:t>
                          </w:r>
                          <w:r>
                            <w:rPr>
                              <w:rFonts w:ascii="Verdana"/>
                              <w:b/>
                              <w:color w:val="FF0000"/>
                              <w:sz w:val="24"/>
                            </w:rPr>
                            <w:t>Journal</w:t>
                          </w:r>
                          <w:r>
                            <w:rPr>
                              <w:rFonts w:ascii="Verdana"/>
                              <w:b/>
                              <w:color w:val="FF0000"/>
                              <w:spacing w:val="-6"/>
                              <w:sz w:val="24"/>
                            </w:rPr>
                            <w:t xml:space="preserve"> </w:t>
                          </w:r>
                          <w:r>
                            <w:rPr>
                              <w:rFonts w:ascii="Verdana"/>
                              <w:b/>
                              <w:color w:val="FF0000"/>
                              <w:sz w:val="24"/>
                            </w:rPr>
                            <w:t>of</w:t>
                          </w:r>
                          <w:r>
                            <w:rPr>
                              <w:rFonts w:ascii="Verdana"/>
                              <w:b/>
                              <w:color w:val="FF0000"/>
                              <w:spacing w:val="-6"/>
                              <w:sz w:val="24"/>
                            </w:rPr>
                            <w:t xml:space="preserve"> </w:t>
                          </w:r>
                          <w:r>
                            <w:rPr>
                              <w:rFonts w:ascii="Verdana"/>
                              <w:b/>
                              <w:color w:val="FF0000"/>
                              <w:sz w:val="24"/>
                            </w:rPr>
                            <w:t>Business</w:t>
                          </w:r>
                          <w:r>
                            <w:rPr>
                              <w:rFonts w:ascii="Verdana"/>
                              <w:b/>
                              <w:color w:val="FF0000"/>
                              <w:spacing w:val="-4"/>
                              <w:sz w:val="24"/>
                            </w:rPr>
                            <w:t xml:space="preserve"> </w:t>
                          </w:r>
                          <w:r>
                            <w:rPr>
                              <w:rFonts w:ascii="Verdana"/>
                              <w:b/>
                              <w:color w:val="FF0000"/>
                              <w:sz w:val="24"/>
                            </w:rPr>
                            <w:t>Management</w:t>
                          </w:r>
                          <w:r>
                            <w:rPr>
                              <w:rFonts w:ascii="Verdana"/>
                              <w:b/>
                              <w:color w:val="FF0000"/>
                              <w:spacing w:val="-5"/>
                              <w:sz w:val="24"/>
                            </w:rPr>
                            <w:t xml:space="preserve"> </w:t>
                          </w:r>
                          <w:r>
                            <w:rPr>
                              <w:rFonts w:ascii="Verdana"/>
                              <w:b/>
                              <w:color w:val="FF0000"/>
                              <w:sz w:val="24"/>
                            </w:rPr>
                            <w:t>and</w:t>
                          </w:r>
                          <w:r>
                            <w:rPr>
                              <w:rFonts w:ascii="Verdana"/>
                              <w:b/>
                              <w:color w:val="FF0000"/>
                              <w:spacing w:val="-5"/>
                              <w:sz w:val="24"/>
                            </w:rPr>
                            <w:t xml:space="preserve"> </w:t>
                          </w:r>
                          <w:r>
                            <w:rPr>
                              <w:rFonts w:ascii="Verdana"/>
                              <w:b/>
                              <w:color w:val="FF0000"/>
                              <w:sz w:val="24"/>
                            </w:rPr>
                            <w:t>Economic</w:t>
                          </w:r>
                          <w:r>
                            <w:rPr>
                              <w:rFonts w:ascii="Verdana"/>
                              <w:b/>
                              <w:color w:val="FF0000"/>
                              <w:spacing w:val="-3"/>
                              <w:sz w:val="24"/>
                            </w:rPr>
                            <w:t xml:space="preserve"> </w:t>
                          </w:r>
                          <w:r>
                            <w:rPr>
                              <w:rFonts w:ascii="Verdana"/>
                              <w:b/>
                              <w:color w:val="FF0000"/>
                              <w:spacing w:val="-2"/>
                              <w:sz w:val="24"/>
                            </w:rPr>
                            <w:t>Review</w:t>
                          </w:r>
                        </w:p>
                        <w:p w:rsidR="00487D64" w:rsidRDefault="006F0D93">
                          <w:pPr>
                            <w:spacing w:before="133"/>
                            <w:ind w:right="18"/>
                            <w:jc w:val="right"/>
                            <w:rPr>
                              <w:sz w:val="24"/>
                            </w:rPr>
                          </w:pPr>
                          <w:r>
                            <w:rPr>
                              <w:sz w:val="24"/>
                            </w:rPr>
                            <w:t>Vol.</w:t>
                          </w:r>
                          <w:r>
                            <w:rPr>
                              <w:spacing w:val="-2"/>
                              <w:sz w:val="24"/>
                            </w:rPr>
                            <w:t xml:space="preserve"> </w:t>
                          </w:r>
                          <w:r>
                            <w:rPr>
                              <w:sz w:val="24"/>
                            </w:rPr>
                            <w:t>8, No.</w:t>
                          </w:r>
                          <w:r>
                            <w:rPr>
                              <w:spacing w:val="-1"/>
                              <w:sz w:val="24"/>
                            </w:rPr>
                            <w:t xml:space="preserve"> </w:t>
                          </w:r>
                          <w:r>
                            <w:rPr>
                              <w:sz w:val="24"/>
                            </w:rPr>
                            <w:t>05;</w:t>
                          </w:r>
                          <w:r>
                            <w:rPr>
                              <w:spacing w:val="-6"/>
                              <w:sz w:val="24"/>
                            </w:rPr>
                            <w:t xml:space="preserve"> </w:t>
                          </w:r>
                          <w:r>
                            <w:rPr>
                              <w:spacing w:val="-4"/>
                              <w:sz w:val="24"/>
                            </w:rPr>
                            <w:t>2025</w:t>
                          </w:r>
                        </w:p>
                        <w:p w:rsidR="00487D64" w:rsidRDefault="006F0D93">
                          <w:pPr>
                            <w:spacing w:before="142"/>
                            <w:ind w:right="70"/>
                            <w:jc w:val="right"/>
                            <w:rPr>
                              <w:sz w:val="24"/>
                            </w:rPr>
                          </w:pPr>
                          <w:r>
                            <w:rPr>
                              <w:color w:val="C0504D"/>
                              <w:sz w:val="24"/>
                            </w:rPr>
                            <w:t>ISSN:</w:t>
                          </w:r>
                          <w:r>
                            <w:rPr>
                              <w:color w:val="C0504D"/>
                              <w:spacing w:val="-7"/>
                              <w:sz w:val="24"/>
                            </w:rPr>
                            <w:t xml:space="preserve"> </w:t>
                          </w:r>
                          <w:r>
                            <w:rPr>
                              <w:color w:val="C0504D"/>
                              <w:sz w:val="24"/>
                            </w:rPr>
                            <w:t>2581-</w:t>
                          </w:r>
                          <w:r>
                            <w:rPr>
                              <w:color w:val="C0504D"/>
                              <w:spacing w:val="-4"/>
                              <w:sz w:val="24"/>
                            </w:rPr>
                            <w:t>4664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69" type="#_x0000_t202" style="position:absolute;margin-left:71.75pt;margin-top:35.2pt;width:469.45pt;height:57.95pt;z-index:-219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" filled="f" stroked="f">
              <v:path arrowok="t"/>
              <v:textbox inset="0,0,0,0">
                <w:txbxContent>
                  <w:p w:rsidR="00487D64" w:rsidRDefault="006F0D93">
                    <w:pPr>
                      <w:spacing w:before="20"/>
                      <w:ind w:left="20"/>
                      <w:rPr>
                        <w:rFonts w:ascii="Verdana"/>
                        <w:b/>
                        <w:sz w:val="24"/>
                      </w:rPr>
                    </w:pPr>
                    <w:r>
                      <w:rPr>
                        <w:rFonts w:ascii="Verdana"/>
                        <w:b/>
                        <w:color w:val="FF0000"/>
                        <w:sz w:val="24"/>
                      </w:rPr>
                      <w:t>International</w:t>
                    </w:r>
                    <w:r>
                      <w:rPr>
                        <w:rFonts w:ascii="Verdana"/>
                        <w:b/>
                        <w:color w:val="FF0000"/>
                        <w:spacing w:val="-9"/>
                        <w:sz w:val="24"/>
                      </w:rPr>
                      <w:t xml:space="preserve"> </w:t>
                    </w:r>
                    <w:r>
                      <w:rPr>
                        <w:rFonts w:ascii="Verdana"/>
                        <w:b/>
                        <w:color w:val="FF0000"/>
                        <w:sz w:val="24"/>
                      </w:rPr>
                      <w:t>Journal</w:t>
                    </w:r>
                    <w:r>
                      <w:rPr>
                        <w:rFonts w:ascii="Verdana"/>
                        <w:b/>
                        <w:color w:val="FF0000"/>
                        <w:spacing w:val="-6"/>
                        <w:sz w:val="24"/>
                      </w:rPr>
                      <w:t xml:space="preserve"> </w:t>
                    </w:r>
                    <w:r>
                      <w:rPr>
                        <w:rFonts w:ascii="Verdana"/>
                        <w:b/>
                        <w:color w:val="FF0000"/>
                        <w:sz w:val="24"/>
                      </w:rPr>
                      <w:t>of</w:t>
                    </w:r>
                    <w:r>
                      <w:rPr>
                        <w:rFonts w:ascii="Verdana"/>
                        <w:b/>
                        <w:color w:val="FF0000"/>
                        <w:spacing w:val="-6"/>
                        <w:sz w:val="24"/>
                      </w:rPr>
                      <w:t xml:space="preserve"> </w:t>
                    </w:r>
                    <w:r>
                      <w:rPr>
                        <w:rFonts w:ascii="Verdana"/>
                        <w:b/>
                        <w:color w:val="FF0000"/>
                        <w:sz w:val="24"/>
                      </w:rPr>
                      <w:t>Business</w:t>
                    </w:r>
                    <w:r>
                      <w:rPr>
                        <w:rFonts w:ascii="Verdana"/>
                        <w:b/>
                        <w:color w:val="FF0000"/>
                        <w:spacing w:val="-4"/>
                        <w:sz w:val="24"/>
                      </w:rPr>
                      <w:t xml:space="preserve"> </w:t>
                    </w:r>
                    <w:r>
                      <w:rPr>
                        <w:rFonts w:ascii="Verdana"/>
                        <w:b/>
                        <w:color w:val="FF0000"/>
                        <w:sz w:val="24"/>
                      </w:rPr>
                      <w:t>Management</w:t>
                    </w:r>
                    <w:r>
                      <w:rPr>
                        <w:rFonts w:ascii="Verdana"/>
                        <w:b/>
                        <w:color w:val="FF0000"/>
                        <w:spacing w:val="-5"/>
                        <w:sz w:val="24"/>
                      </w:rPr>
                      <w:t xml:space="preserve"> </w:t>
                    </w:r>
                    <w:r>
                      <w:rPr>
                        <w:rFonts w:ascii="Verdana"/>
                        <w:b/>
                        <w:color w:val="FF0000"/>
                        <w:sz w:val="24"/>
                      </w:rPr>
                      <w:t>and</w:t>
                    </w:r>
                    <w:r>
                      <w:rPr>
                        <w:rFonts w:ascii="Verdana"/>
                        <w:b/>
                        <w:color w:val="FF0000"/>
                        <w:spacing w:val="-5"/>
                        <w:sz w:val="24"/>
                      </w:rPr>
                      <w:t xml:space="preserve"> </w:t>
                    </w:r>
                    <w:r>
                      <w:rPr>
                        <w:rFonts w:ascii="Verdana"/>
                        <w:b/>
                        <w:color w:val="FF0000"/>
                        <w:sz w:val="24"/>
                      </w:rPr>
                      <w:t>Economic</w:t>
                    </w:r>
                    <w:r>
                      <w:rPr>
                        <w:rFonts w:ascii="Verdana"/>
                        <w:b/>
                        <w:color w:val="FF0000"/>
                        <w:spacing w:val="-3"/>
                        <w:sz w:val="24"/>
                      </w:rPr>
                      <w:t xml:space="preserve"> </w:t>
                    </w:r>
                    <w:r>
                      <w:rPr>
                        <w:rFonts w:ascii="Verdana"/>
                        <w:b/>
                        <w:color w:val="FF0000"/>
                        <w:spacing w:val="-2"/>
                        <w:sz w:val="24"/>
                      </w:rPr>
                      <w:t>Review</w:t>
                    </w:r>
                  </w:p>
                  <w:p w:rsidR="00487D64" w:rsidRDefault="006F0D93">
                    <w:pPr>
                      <w:spacing w:before="133"/>
                      <w:ind w:right="18"/>
                      <w:jc w:val="right"/>
                      <w:rPr>
                        <w:sz w:val="24"/>
                      </w:rPr>
                    </w:pPr>
                    <w:r>
                      <w:rPr>
                        <w:sz w:val="24"/>
                      </w:rPr>
                      <w:t>Vol.</w:t>
                    </w:r>
                    <w:r>
                      <w:rPr>
                        <w:spacing w:val="-2"/>
                        <w:sz w:val="24"/>
                      </w:rPr>
                      <w:t xml:space="preserve"> </w:t>
                    </w:r>
                    <w:r>
                      <w:rPr>
                        <w:sz w:val="24"/>
                      </w:rPr>
                      <w:t>8, No.</w:t>
                    </w:r>
                    <w:r>
                      <w:rPr>
                        <w:spacing w:val="-1"/>
                        <w:sz w:val="24"/>
                      </w:rPr>
                      <w:t xml:space="preserve"> </w:t>
                    </w:r>
                    <w:r>
                      <w:rPr>
                        <w:sz w:val="24"/>
                      </w:rPr>
                      <w:t>05;</w:t>
                    </w:r>
                    <w:r>
                      <w:rPr>
                        <w:spacing w:val="-6"/>
                        <w:sz w:val="24"/>
                      </w:rPr>
                      <w:t xml:space="preserve"> </w:t>
                    </w:r>
                    <w:r>
                      <w:rPr>
                        <w:spacing w:val="-4"/>
                        <w:sz w:val="24"/>
                      </w:rPr>
                      <w:t>2025</w:t>
                    </w:r>
                  </w:p>
                  <w:p w:rsidR="00487D64" w:rsidRDefault="006F0D93">
                    <w:pPr>
                      <w:spacing w:before="142"/>
                      <w:ind w:right="70"/>
                      <w:jc w:val="right"/>
                      <w:rPr>
                        <w:sz w:val="24"/>
                      </w:rPr>
                    </w:pPr>
                    <w:r>
                      <w:rPr>
                        <w:color w:val="C0504D"/>
                        <w:sz w:val="24"/>
                      </w:rPr>
                      <w:t>ISSN:</w:t>
                    </w:r>
                    <w:r>
                      <w:rPr>
                        <w:color w:val="C0504D"/>
                        <w:spacing w:val="-7"/>
                        <w:sz w:val="24"/>
                      </w:rPr>
                      <w:t xml:space="preserve"> </w:t>
                    </w:r>
                    <w:r>
                      <w:rPr>
                        <w:color w:val="C0504D"/>
                        <w:sz w:val="24"/>
                      </w:rPr>
                      <w:t>2581-</w:t>
                    </w:r>
                    <w:r>
                      <w:rPr>
                        <w:color w:val="C0504D"/>
                        <w:spacing w:val="-4"/>
                        <w:sz w:val="24"/>
                      </w:rPr>
                      <w:t>4664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19CF"/>
    <w:multiLevelType w:val="hybridMultilevel"/>
    <w:tmpl w:val="941EF13C"/>
    <w:lvl w:ilvl="0" w:tplc="506CB3F4">
      <w:start w:val="1"/>
      <w:numFmt w:val="decimal"/>
      <w:lvlText w:val="%1."/>
      <w:lvlJc w:val="left"/>
      <w:pPr>
        <w:ind w:left="417"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FD0EACA">
      <w:numFmt w:val="bullet"/>
      <w:lvlText w:val="•"/>
      <w:lvlJc w:val="left"/>
      <w:pPr>
        <w:ind w:left="1427" w:hanging="361"/>
      </w:pPr>
      <w:rPr>
        <w:rFonts w:hint="default"/>
        <w:lang w:val="en-US" w:eastAsia="en-US" w:bidi="ar-SA"/>
      </w:rPr>
    </w:lvl>
    <w:lvl w:ilvl="2" w:tplc="D04C73D0">
      <w:numFmt w:val="bullet"/>
      <w:lvlText w:val="•"/>
      <w:lvlJc w:val="left"/>
      <w:pPr>
        <w:ind w:left="2434" w:hanging="361"/>
      </w:pPr>
      <w:rPr>
        <w:rFonts w:hint="default"/>
        <w:lang w:val="en-US" w:eastAsia="en-US" w:bidi="ar-SA"/>
      </w:rPr>
    </w:lvl>
    <w:lvl w:ilvl="3" w:tplc="63C61014">
      <w:numFmt w:val="bullet"/>
      <w:lvlText w:val="•"/>
      <w:lvlJc w:val="left"/>
      <w:pPr>
        <w:ind w:left="3441" w:hanging="361"/>
      </w:pPr>
      <w:rPr>
        <w:rFonts w:hint="default"/>
        <w:lang w:val="en-US" w:eastAsia="en-US" w:bidi="ar-SA"/>
      </w:rPr>
    </w:lvl>
    <w:lvl w:ilvl="4" w:tplc="34DAE668">
      <w:numFmt w:val="bullet"/>
      <w:lvlText w:val="•"/>
      <w:lvlJc w:val="left"/>
      <w:pPr>
        <w:ind w:left="4449" w:hanging="361"/>
      </w:pPr>
      <w:rPr>
        <w:rFonts w:hint="default"/>
        <w:lang w:val="en-US" w:eastAsia="en-US" w:bidi="ar-SA"/>
      </w:rPr>
    </w:lvl>
    <w:lvl w:ilvl="5" w:tplc="B19AD9E4">
      <w:numFmt w:val="bullet"/>
      <w:lvlText w:val="•"/>
      <w:lvlJc w:val="left"/>
      <w:pPr>
        <w:ind w:left="5456" w:hanging="361"/>
      </w:pPr>
      <w:rPr>
        <w:rFonts w:hint="default"/>
        <w:lang w:val="en-US" w:eastAsia="en-US" w:bidi="ar-SA"/>
      </w:rPr>
    </w:lvl>
    <w:lvl w:ilvl="6" w:tplc="96887B10">
      <w:numFmt w:val="bullet"/>
      <w:lvlText w:val="•"/>
      <w:lvlJc w:val="left"/>
      <w:pPr>
        <w:ind w:left="6463" w:hanging="361"/>
      </w:pPr>
      <w:rPr>
        <w:rFonts w:hint="default"/>
        <w:lang w:val="en-US" w:eastAsia="en-US" w:bidi="ar-SA"/>
      </w:rPr>
    </w:lvl>
    <w:lvl w:ilvl="7" w:tplc="72F20A50">
      <w:numFmt w:val="bullet"/>
      <w:lvlText w:val="•"/>
      <w:lvlJc w:val="left"/>
      <w:pPr>
        <w:ind w:left="7470" w:hanging="361"/>
      </w:pPr>
      <w:rPr>
        <w:rFonts w:hint="default"/>
        <w:lang w:val="en-US" w:eastAsia="en-US" w:bidi="ar-SA"/>
      </w:rPr>
    </w:lvl>
    <w:lvl w:ilvl="8" w:tplc="F20696DA">
      <w:numFmt w:val="bullet"/>
      <w:lvlText w:val="•"/>
      <w:lvlJc w:val="left"/>
      <w:pPr>
        <w:ind w:left="8478" w:hanging="361"/>
      </w:pPr>
      <w:rPr>
        <w:rFonts w:hint="default"/>
        <w:lang w:val="en-US" w:eastAsia="en-US" w:bidi="ar-SA"/>
      </w:rPr>
    </w:lvl>
  </w:abstractNum>
  <w:abstractNum w:abstractNumId="1" w15:restartNumberingAfterBreak="0">
    <w:nsid w:val="048B675D"/>
    <w:multiLevelType w:val="multilevel"/>
    <w:tmpl w:val="8D047494"/>
    <w:lvl w:ilvl="0">
      <w:start w:val="1"/>
      <w:numFmt w:val="decimal"/>
      <w:lvlText w:val="%1"/>
      <w:lvlJc w:val="left"/>
      <w:pPr>
        <w:ind w:left="2140" w:hanging="721"/>
        <w:jc w:val="left"/>
      </w:pPr>
      <w:rPr>
        <w:rFonts w:hint="default"/>
        <w:lang w:val="en-US" w:eastAsia="en-US" w:bidi="ar-SA"/>
      </w:rPr>
    </w:lvl>
    <w:lvl w:ilvl="1">
      <w:start w:val="1"/>
      <w:numFmt w:val="decimal"/>
      <w:lvlText w:val="%1.%2"/>
      <w:lvlJc w:val="left"/>
      <w:pPr>
        <w:ind w:left="2140" w:hanging="721"/>
        <w:jc w:val="left"/>
      </w:pPr>
      <w:rPr>
        <w:rFonts w:ascii="Times New Roman" w:eastAsia="Times New Roman" w:hAnsi="Times New Roman" w:cs="Times New Roman" w:hint="default"/>
        <w:b/>
        <w:bCs/>
        <w:i w:val="0"/>
        <w:iCs w:val="0"/>
        <w:spacing w:val="-2"/>
        <w:w w:val="103"/>
        <w:sz w:val="23"/>
        <w:szCs w:val="23"/>
        <w:lang w:val="en-US" w:eastAsia="en-US" w:bidi="ar-SA"/>
      </w:rPr>
    </w:lvl>
    <w:lvl w:ilvl="2">
      <w:start w:val="1"/>
      <w:numFmt w:val="decimal"/>
      <w:lvlText w:val="%1.%2.%3"/>
      <w:lvlJc w:val="left"/>
      <w:pPr>
        <w:ind w:left="2140" w:hanging="721"/>
        <w:jc w:val="left"/>
      </w:pPr>
      <w:rPr>
        <w:rFonts w:ascii="Times New Roman" w:eastAsia="Times New Roman" w:hAnsi="Times New Roman" w:cs="Times New Roman" w:hint="default"/>
        <w:b/>
        <w:bCs/>
        <w:i w:val="0"/>
        <w:iCs w:val="0"/>
        <w:spacing w:val="-2"/>
        <w:w w:val="103"/>
        <w:sz w:val="23"/>
        <w:szCs w:val="23"/>
        <w:lang w:val="en-US" w:eastAsia="en-US" w:bidi="ar-SA"/>
      </w:rPr>
    </w:lvl>
    <w:lvl w:ilvl="3">
      <w:start w:val="1"/>
      <w:numFmt w:val="lowerRoman"/>
      <w:lvlText w:val="%4."/>
      <w:lvlJc w:val="left"/>
      <w:pPr>
        <w:ind w:left="2140" w:hanging="491"/>
        <w:jc w:val="right"/>
      </w:pPr>
      <w:rPr>
        <w:rFonts w:hint="default"/>
        <w:spacing w:val="-2"/>
        <w:w w:val="103"/>
        <w:lang w:val="en-US" w:eastAsia="en-US" w:bidi="ar-SA"/>
      </w:rPr>
    </w:lvl>
    <w:lvl w:ilvl="4">
      <w:numFmt w:val="bullet"/>
      <w:lvlText w:val="•"/>
      <w:lvlJc w:val="left"/>
      <w:pPr>
        <w:ind w:left="5481" w:hanging="491"/>
      </w:pPr>
      <w:rPr>
        <w:rFonts w:hint="default"/>
        <w:lang w:val="en-US" w:eastAsia="en-US" w:bidi="ar-SA"/>
      </w:rPr>
    </w:lvl>
    <w:lvl w:ilvl="5">
      <w:numFmt w:val="bullet"/>
      <w:lvlText w:val="•"/>
      <w:lvlJc w:val="left"/>
      <w:pPr>
        <w:ind w:left="6316" w:hanging="491"/>
      </w:pPr>
      <w:rPr>
        <w:rFonts w:hint="default"/>
        <w:lang w:val="en-US" w:eastAsia="en-US" w:bidi="ar-SA"/>
      </w:rPr>
    </w:lvl>
    <w:lvl w:ilvl="6">
      <w:numFmt w:val="bullet"/>
      <w:lvlText w:val="•"/>
      <w:lvlJc w:val="left"/>
      <w:pPr>
        <w:ind w:left="7151" w:hanging="491"/>
      </w:pPr>
      <w:rPr>
        <w:rFonts w:hint="default"/>
        <w:lang w:val="en-US" w:eastAsia="en-US" w:bidi="ar-SA"/>
      </w:rPr>
    </w:lvl>
    <w:lvl w:ilvl="7">
      <w:numFmt w:val="bullet"/>
      <w:lvlText w:val="•"/>
      <w:lvlJc w:val="left"/>
      <w:pPr>
        <w:ind w:left="7986" w:hanging="491"/>
      </w:pPr>
      <w:rPr>
        <w:rFonts w:hint="default"/>
        <w:lang w:val="en-US" w:eastAsia="en-US" w:bidi="ar-SA"/>
      </w:rPr>
    </w:lvl>
    <w:lvl w:ilvl="8">
      <w:numFmt w:val="bullet"/>
      <w:lvlText w:val="•"/>
      <w:lvlJc w:val="left"/>
      <w:pPr>
        <w:ind w:left="8822" w:hanging="491"/>
      </w:pPr>
      <w:rPr>
        <w:rFonts w:hint="default"/>
        <w:lang w:val="en-US" w:eastAsia="en-US" w:bidi="ar-SA"/>
      </w:rPr>
    </w:lvl>
  </w:abstractNum>
  <w:abstractNum w:abstractNumId="2" w15:restartNumberingAfterBreak="0">
    <w:nsid w:val="05472397"/>
    <w:multiLevelType w:val="multilevel"/>
    <w:tmpl w:val="E2C68A60"/>
    <w:lvl w:ilvl="0">
      <w:start w:val="2"/>
      <w:numFmt w:val="decimal"/>
      <w:lvlText w:val="%1"/>
      <w:lvlJc w:val="left"/>
      <w:pPr>
        <w:ind w:left="2500" w:hanging="1081"/>
        <w:jc w:val="left"/>
      </w:pPr>
      <w:rPr>
        <w:rFonts w:hint="default"/>
        <w:lang w:val="en-US" w:eastAsia="en-US" w:bidi="ar-SA"/>
      </w:rPr>
    </w:lvl>
    <w:lvl w:ilvl="1">
      <w:start w:val="2"/>
      <w:numFmt w:val="decimal"/>
      <w:lvlText w:val="%1.%2"/>
      <w:lvlJc w:val="left"/>
      <w:pPr>
        <w:ind w:left="2500" w:hanging="1081"/>
        <w:jc w:val="left"/>
      </w:pPr>
      <w:rPr>
        <w:rFonts w:hint="default"/>
        <w:lang w:val="en-US" w:eastAsia="en-US" w:bidi="ar-SA"/>
      </w:rPr>
    </w:lvl>
    <w:lvl w:ilvl="2">
      <w:start w:val="4"/>
      <w:numFmt w:val="decimal"/>
      <w:lvlText w:val="%1.%2.%3"/>
      <w:lvlJc w:val="left"/>
      <w:pPr>
        <w:ind w:left="2500" w:hanging="1081"/>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4897" w:hanging="1081"/>
      </w:pPr>
      <w:rPr>
        <w:rFonts w:hint="default"/>
        <w:lang w:val="en-US" w:eastAsia="en-US" w:bidi="ar-SA"/>
      </w:rPr>
    </w:lvl>
    <w:lvl w:ilvl="4">
      <w:numFmt w:val="bullet"/>
      <w:lvlText w:val="•"/>
      <w:lvlJc w:val="left"/>
      <w:pPr>
        <w:ind w:left="5697" w:hanging="1081"/>
      </w:pPr>
      <w:rPr>
        <w:rFonts w:hint="default"/>
        <w:lang w:val="en-US" w:eastAsia="en-US" w:bidi="ar-SA"/>
      </w:rPr>
    </w:lvl>
    <w:lvl w:ilvl="5">
      <w:numFmt w:val="bullet"/>
      <w:lvlText w:val="•"/>
      <w:lvlJc w:val="left"/>
      <w:pPr>
        <w:ind w:left="6496" w:hanging="1081"/>
      </w:pPr>
      <w:rPr>
        <w:rFonts w:hint="default"/>
        <w:lang w:val="en-US" w:eastAsia="en-US" w:bidi="ar-SA"/>
      </w:rPr>
    </w:lvl>
    <w:lvl w:ilvl="6">
      <w:numFmt w:val="bullet"/>
      <w:lvlText w:val="•"/>
      <w:lvlJc w:val="left"/>
      <w:pPr>
        <w:ind w:left="7295" w:hanging="1081"/>
      </w:pPr>
      <w:rPr>
        <w:rFonts w:hint="default"/>
        <w:lang w:val="en-US" w:eastAsia="en-US" w:bidi="ar-SA"/>
      </w:rPr>
    </w:lvl>
    <w:lvl w:ilvl="7">
      <w:numFmt w:val="bullet"/>
      <w:lvlText w:val="•"/>
      <w:lvlJc w:val="left"/>
      <w:pPr>
        <w:ind w:left="8094" w:hanging="1081"/>
      </w:pPr>
      <w:rPr>
        <w:rFonts w:hint="default"/>
        <w:lang w:val="en-US" w:eastAsia="en-US" w:bidi="ar-SA"/>
      </w:rPr>
    </w:lvl>
    <w:lvl w:ilvl="8">
      <w:numFmt w:val="bullet"/>
      <w:lvlText w:val="•"/>
      <w:lvlJc w:val="left"/>
      <w:pPr>
        <w:ind w:left="8894" w:hanging="1081"/>
      </w:pPr>
      <w:rPr>
        <w:rFonts w:hint="default"/>
        <w:lang w:val="en-US" w:eastAsia="en-US" w:bidi="ar-SA"/>
      </w:rPr>
    </w:lvl>
  </w:abstractNum>
  <w:abstractNum w:abstractNumId="3" w15:restartNumberingAfterBreak="0">
    <w:nsid w:val="074341F0"/>
    <w:multiLevelType w:val="hybridMultilevel"/>
    <w:tmpl w:val="A3D6CC0E"/>
    <w:lvl w:ilvl="0" w:tplc="F0A0D154">
      <w:numFmt w:val="bullet"/>
      <w:lvlText w:val=""/>
      <w:lvlJc w:val="left"/>
      <w:pPr>
        <w:ind w:left="360" w:hanging="360"/>
      </w:pPr>
      <w:rPr>
        <w:rFonts w:ascii="Symbol" w:eastAsia="Symbol" w:hAnsi="Symbol" w:cs="Symbol" w:hint="default"/>
        <w:b w:val="0"/>
        <w:bCs w:val="0"/>
        <w:i w:val="0"/>
        <w:iCs w:val="0"/>
        <w:spacing w:val="0"/>
        <w:w w:val="100"/>
        <w:sz w:val="20"/>
        <w:szCs w:val="20"/>
        <w:lang w:val="en-US" w:eastAsia="en-US" w:bidi="ar-SA"/>
      </w:rPr>
    </w:lvl>
    <w:lvl w:ilvl="1" w:tplc="0B98089A">
      <w:numFmt w:val="bullet"/>
      <w:lvlText w:val="•"/>
      <w:lvlJc w:val="left"/>
      <w:pPr>
        <w:ind w:left="545" w:hanging="360"/>
      </w:pPr>
      <w:rPr>
        <w:rFonts w:hint="default"/>
        <w:lang w:val="en-US" w:eastAsia="en-US" w:bidi="ar-SA"/>
      </w:rPr>
    </w:lvl>
    <w:lvl w:ilvl="2" w:tplc="7C4849E0">
      <w:numFmt w:val="bullet"/>
      <w:lvlText w:val="•"/>
      <w:lvlJc w:val="left"/>
      <w:pPr>
        <w:ind w:left="730" w:hanging="360"/>
      </w:pPr>
      <w:rPr>
        <w:rFonts w:hint="default"/>
        <w:lang w:val="en-US" w:eastAsia="en-US" w:bidi="ar-SA"/>
      </w:rPr>
    </w:lvl>
    <w:lvl w:ilvl="3" w:tplc="9E8001A8">
      <w:numFmt w:val="bullet"/>
      <w:lvlText w:val="•"/>
      <w:lvlJc w:val="left"/>
      <w:pPr>
        <w:ind w:left="915" w:hanging="360"/>
      </w:pPr>
      <w:rPr>
        <w:rFonts w:hint="default"/>
        <w:lang w:val="en-US" w:eastAsia="en-US" w:bidi="ar-SA"/>
      </w:rPr>
    </w:lvl>
    <w:lvl w:ilvl="4" w:tplc="CB9A4D62">
      <w:numFmt w:val="bullet"/>
      <w:lvlText w:val="•"/>
      <w:lvlJc w:val="left"/>
      <w:pPr>
        <w:ind w:left="1100" w:hanging="360"/>
      </w:pPr>
      <w:rPr>
        <w:rFonts w:hint="default"/>
        <w:lang w:val="en-US" w:eastAsia="en-US" w:bidi="ar-SA"/>
      </w:rPr>
    </w:lvl>
    <w:lvl w:ilvl="5" w:tplc="305CB5B0">
      <w:numFmt w:val="bullet"/>
      <w:lvlText w:val="•"/>
      <w:lvlJc w:val="left"/>
      <w:pPr>
        <w:ind w:left="1285" w:hanging="360"/>
      </w:pPr>
      <w:rPr>
        <w:rFonts w:hint="default"/>
        <w:lang w:val="en-US" w:eastAsia="en-US" w:bidi="ar-SA"/>
      </w:rPr>
    </w:lvl>
    <w:lvl w:ilvl="6" w:tplc="BB403E5A">
      <w:numFmt w:val="bullet"/>
      <w:lvlText w:val="•"/>
      <w:lvlJc w:val="left"/>
      <w:pPr>
        <w:ind w:left="1470" w:hanging="360"/>
      </w:pPr>
      <w:rPr>
        <w:rFonts w:hint="default"/>
        <w:lang w:val="en-US" w:eastAsia="en-US" w:bidi="ar-SA"/>
      </w:rPr>
    </w:lvl>
    <w:lvl w:ilvl="7" w:tplc="5CF8F18E">
      <w:numFmt w:val="bullet"/>
      <w:lvlText w:val="•"/>
      <w:lvlJc w:val="left"/>
      <w:pPr>
        <w:ind w:left="1656" w:hanging="360"/>
      </w:pPr>
      <w:rPr>
        <w:rFonts w:hint="default"/>
        <w:lang w:val="en-US" w:eastAsia="en-US" w:bidi="ar-SA"/>
      </w:rPr>
    </w:lvl>
    <w:lvl w:ilvl="8" w:tplc="6D9430EE">
      <w:numFmt w:val="bullet"/>
      <w:lvlText w:val="•"/>
      <w:lvlJc w:val="left"/>
      <w:pPr>
        <w:ind w:left="1841" w:hanging="360"/>
      </w:pPr>
      <w:rPr>
        <w:rFonts w:hint="default"/>
        <w:lang w:val="en-US" w:eastAsia="en-US" w:bidi="ar-SA"/>
      </w:rPr>
    </w:lvl>
  </w:abstractNum>
  <w:abstractNum w:abstractNumId="4" w15:restartNumberingAfterBreak="0">
    <w:nsid w:val="08F70CE8"/>
    <w:multiLevelType w:val="multilevel"/>
    <w:tmpl w:val="2C74D1A4"/>
    <w:lvl w:ilvl="0">
      <w:start w:val="5"/>
      <w:numFmt w:val="decimal"/>
      <w:lvlText w:val="%1"/>
      <w:lvlJc w:val="left"/>
      <w:pPr>
        <w:ind w:left="2046" w:hanging="627"/>
        <w:jc w:val="left"/>
      </w:pPr>
      <w:rPr>
        <w:rFonts w:hint="default"/>
        <w:lang w:val="en-US" w:eastAsia="en-US" w:bidi="ar-SA"/>
      </w:rPr>
    </w:lvl>
    <w:lvl w:ilvl="1">
      <w:start w:val="1"/>
      <w:numFmt w:val="decimal"/>
      <w:lvlText w:val="%1.%2"/>
      <w:lvlJc w:val="left"/>
      <w:pPr>
        <w:ind w:left="2046" w:hanging="627"/>
        <w:jc w:val="left"/>
      </w:pPr>
      <w:rPr>
        <w:rFonts w:ascii="Times New Roman" w:eastAsia="Times New Roman" w:hAnsi="Times New Roman" w:cs="Times New Roman" w:hint="default"/>
        <w:b/>
        <w:bCs/>
        <w:i w:val="0"/>
        <w:iCs w:val="0"/>
        <w:spacing w:val="-2"/>
        <w:w w:val="103"/>
        <w:sz w:val="23"/>
        <w:szCs w:val="23"/>
        <w:lang w:val="en-US" w:eastAsia="en-US" w:bidi="ar-SA"/>
      </w:rPr>
    </w:lvl>
    <w:lvl w:ilvl="2">
      <w:numFmt w:val="bullet"/>
      <w:lvlText w:val="•"/>
      <w:lvlJc w:val="left"/>
      <w:pPr>
        <w:ind w:left="3730" w:hanging="627"/>
      </w:pPr>
      <w:rPr>
        <w:rFonts w:hint="default"/>
        <w:lang w:val="en-US" w:eastAsia="en-US" w:bidi="ar-SA"/>
      </w:rPr>
    </w:lvl>
    <w:lvl w:ilvl="3">
      <w:numFmt w:val="bullet"/>
      <w:lvlText w:val="•"/>
      <w:lvlJc w:val="left"/>
      <w:pPr>
        <w:ind w:left="4575" w:hanging="627"/>
      </w:pPr>
      <w:rPr>
        <w:rFonts w:hint="default"/>
        <w:lang w:val="en-US" w:eastAsia="en-US" w:bidi="ar-SA"/>
      </w:rPr>
    </w:lvl>
    <w:lvl w:ilvl="4">
      <w:numFmt w:val="bullet"/>
      <w:lvlText w:val="•"/>
      <w:lvlJc w:val="left"/>
      <w:pPr>
        <w:ind w:left="5421" w:hanging="627"/>
      </w:pPr>
      <w:rPr>
        <w:rFonts w:hint="default"/>
        <w:lang w:val="en-US" w:eastAsia="en-US" w:bidi="ar-SA"/>
      </w:rPr>
    </w:lvl>
    <w:lvl w:ilvl="5">
      <w:numFmt w:val="bullet"/>
      <w:lvlText w:val="•"/>
      <w:lvlJc w:val="left"/>
      <w:pPr>
        <w:ind w:left="6266" w:hanging="627"/>
      </w:pPr>
      <w:rPr>
        <w:rFonts w:hint="default"/>
        <w:lang w:val="en-US" w:eastAsia="en-US" w:bidi="ar-SA"/>
      </w:rPr>
    </w:lvl>
    <w:lvl w:ilvl="6">
      <w:numFmt w:val="bullet"/>
      <w:lvlText w:val="•"/>
      <w:lvlJc w:val="left"/>
      <w:pPr>
        <w:ind w:left="7111" w:hanging="627"/>
      </w:pPr>
      <w:rPr>
        <w:rFonts w:hint="default"/>
        <w:lang w:val="en-US" w:eastAsia="en-US" w:bidi="ar-SA"/>
      </w:rPr>
    </w:lvl>
    <w:lvl w:ilvl="7">
      <w:numFmt w:val="bullet"/>
      <w:lvlText w:val="•"/>
      <w:lvlJc w:val="left"/>
      <w:pPr>
        <w:ind w:left="7956" w:hanging="627"/>
      </w:pPr>
      <w:rPr>
        <w:rFonts w:hint="default"/>
        <w:lang w:val="en-US" w:eastAsia="en-US" w:bidi="ar-SA"/>
      </w:rPr>
    </w:lvl>
    <w:lvl w:ilvl="8">
      <w:numFmt w:val="bullet"/>
      <w:lvlText w:val="•"/>
      <w:lvlJc w:val="left"/>
      <w:pPr>
        <w:ind w:left="8802" w:hanging="627"/>
      </w:pPr>
      <w:rPr>
        <w:rFonts w:hint="default"/>
        <w:lang w:val="en-US" w:eastAsia="en-US" w:bidi="ar-SA"/>
      </w:rPr>
    </w:lvl>
  </w:abstractNum>
  <w:abstractNum w:abstractNumId="5" w15:restartNumberingAfterBreak="0">
    <w:nsid w:val="2478419E"/>
    <w:multiLevelType w:val="multilevel"/>
    <w:tmpl w:val="353C8B6E"/>
    <w:lvl w:ilvl="0">
      <w:start w:val="6"/>
      <w:numFmt w:val="decimal"/>
      <w:lvlText w:val="%1"/>
      <w:lvlJc w:val="left"/>
      <w:pPr>
        <w:ind w:left="1988" w:hanging="570"/>
        <w:jc w:val="left"/>
      </w:pPr>
      <w:rPr>
        <w:rFonts w:hint="default"/>
        <w:lang w:val="en-US" w:eastAsia="en-US" w:bidi="ar-SA"/>
      </w:rPr>
    </w:lvl>
    <w:lvl w:ilvl="1">
      <w:start w:val="1"/>
      <w:numFmt w:val="decimal"/>
      <w:lvlText w:val="%1.%2"/>
      <w:lvlJc w:val="left"/>
      <w:pPr>
        <w:ind w:left="1988" w:hanging="570"/>
        <w:jc w:val="left"/>
      </w:pPr>
      <w:rPr>
        <w:rFonts w:ascii="Times New Roman" w:eastAsia="Times New Roman" w:hAnsi="Times New Roman" w:cs="Times New Roman" w:hint="default"/>
        <w:b/>
        <w:bCs/>
        <w:i w:val="0"/>
        <w:iCs w:val="0"/>
        <w:spacing w:val="-2"/>
        <w:w w:val="103"/>
        <w:sz w:val="23"/>
        <w:szCs w:val="23"/>
        <w:lang w:val="en-US" w:eastAsia="en-US" w:bidi="ar-SA"/>
      </w:rPr>
    </w:lvl>
    <w:lvl w:ilvl="2">
      <w:start w:val="1"/>
      <w:numFmt w:val="decimal"/>
      <w:lvlText w:val="%1.%2.%3"/>
      <w:lvlJc w:val="left"/>
      <w:pPr>
        <w:ind w:left="2125" w:hanging="786"/>
        <w:jc w:val="left"/>
      </w:pPr>
      <w:rPr>
        <w:rFonts w:ascii="Times New Roman" w:eastAsia="Times New Roman" w:hAnsi="Times New Roman" w:cs="Times New Roman" w:hint="default"/>
        <w:b/>
        <w:bCs/>
        <w:i w:val="0"/>
        <w:iCs w:val="0"/>
        <w:spacing w:val="-2"/>
        <w:w w:val="103"/>
        <w:sz w:val="23"/>
        <w:szCs w:val="23"/>
        <w:lang w:val="en-US" w:eastAsia="en-US" w:bidi="ar-SA"/>
      </w:rPr>
    </w:lvl>
    <w:lvl w:ilvl="3">
      <w:numFmt w:val="bullet"/>
      <w:lvlText w:val="•"/>
      <w:lvlJc w:val="left"/>
      <w:pPr>
        <w:ind w:left="3980" w:hanging="786"/>
      </w:pPr>
      <w:rPr>
        <w:rFonts w:hint="default"/>
        <w:lang w:val="en-US" w:eastAsia="en-US" w:bidi="ar-SA"/>
      </w:rPr>
    </w:lvl>
    <w:lvl w:ilvl="4">
      <w:numFmt w:val="bullet"/>
      <w:lvlText w:val="•"/>
      <w:lvlJc w:val="left"/>
      <w:pPr>
        <w:ind w:left="4910" w:hanging="786"/>
      </w:pPr>
      <w:rPr>
        <w:rFonts w:hint="default"/>
        <w:lang w:val="en-US" w:eastAsia="en-US" w:bidi="ar-SA"/>
      </w:rPr>
    </w:lvl>
    <w:lvl w:ilvl="5">
      <w:numFmt w:val="bullet"/>
      <w:lvlText w:val="•"/>
      <w:lvlJc w:val="left"/>
      <w:pPr>
        <w:ind w:left="5841" w:hanging="786"/>
      </w:pPr>
      <w:rPr>
        <w:rFonts w:hint="default"/>
        <w:lang w:val="en-US" w:eastAsia="en-US" w:bidi="ar-SA"/>
      </w:rPr>
    </w:lvl>
    <w:lvl w:ilvl="6">
      <w:numFmt w:val="bullet"/>
      <w:lvlText w:val="•"/>
      <w:lvlJc w:val="left"/>
      <w:pPr>
        <w:ind w:left="6771" w:hanging="786"/>
      </w:pPr>
      <w:rPr>
        <w:rFonts w:hint="default"/>
        <w:lang w:val="en-US" w:eastAsia="en-US" w:bidi="ar-SA"/>
      </w:rPr>
    </w:lvl>
    <w:lvl w:ilvl="7">
      <w:numFmt w:val="bullet"/>
      <w:lvlText w:val="•"/>
      <w:lvlJc w:val="left"/>
      <w:pPr>
        <w:ind w:left="7701" w:hanging="786"/>
      </w:pPr>
      <w:rPr>
        <w:rFonts w:hint="default"/>
        <w:lang w:val="en-US" w:eastAsia="en-US" w:bidi="ar-SA"/>
      </w:rPr>
    </w:lvl>
    <w:lvl w:ilvl="8">
      <w:numFmt w:val="bullet"/>
      <w:lvlText w:val="•"/>
      <w:lvlJc w:val="left"/>
      <w:pPr>
        <w:ind w:left="8632" w:hanging="786"/>
      </w:pPr>
      <w:rPr>
        <w:rFonts w:hint="default"/>
        <w:lang w:val="en-US" w:eastAsia="en-US" w:bidi="ar-SA"/>
      </w:rPr>
    </w:lvl>
  </w:abstractNum>
  <w:abstractNum w:abstractNumId="6" w15:restartNumberingAfterBreak="0">
    <w:nsid w:val="25E27C9A"/>
    <w:multiLevelType w:val="multilevel"/>
    <w:tmpl w:val="7A8A87E4"/>
    <w:lvl w:ilvl="0">
      <w:start w:val="2"/>
      <w:numFmt w:val="decimal"/>
      <w:lvlText w:val="%1"/>
      <w:lvlJc w:val="left"/>
      <w:pPr>
        <w:ind w:left="2860" w:hanging="1441"/>
        <w:jc w:val="left"/>
      </w:pPr>
      <w:rPr>
        <w:rFonts w:hint="default"/>
        <w:lang w:val="en-US" w:eastAsia="en-US" w:bidi="ar-SA"/>
      </w:rPr>
    </w:lvl>
    <w:lvl w:ilvl="1">
      <w:start w:val="1"/>
      <w:numFmt w:val="decimal"/>
      <w:lvlText w:val="%1.%2"/>
      <w:lvlJc w:val="left"/>
      <w:pPr>
        <w:ind w:left="2860" w:hanging="1441"/>
        <w:jc w:val="left"/>
      </w:pPr>
      <w:rPr>
        <w:rFonts w:ascii="Times New Roman" w:eastAsia="Times New Roman" w:hAnsi="Times New Roman" w:cs="Times New Roman" w:hint="default"/>
        <w:b/>
        <w:bCs/>
        <w:i w:val="0"/>
        <w:iCs w:val="0"/>
        <w:spacing w:val="-2"/>
        <w:w w:val="103"/>
        <w:sz w:val="23"/>
        <w:szCs w:val="23"/>
        <w:lang w:val="en-US" w:eastAsia="en-US" w:bidi="ar-SA"/>
      </w:rPr>
    </w:lvl>
    <w:lvl w:ilvl="2">
      <w:start w:val="1"/>
      <w:numFmt w:val="decimal"/>
      <w:lvlText w:val="%1.%2.%3"/>
      <w:lvlJc w:val="left"/>
      <w:pPr>
        <w:ind w:left="2860" w:hanging="1441"/>
        <w:jc w:val="left"/>
      </w:pPr>
      <w:rPr>
        <w:rFonts w:ascii="Times New Roman" w:eastAsia="Times New Roman" w:hAnsi="Times New Roman" w:cs="Times New Roman" w:hint="default"/>
        <w:b/>
        <w:bCs/>
        <w:i w:val="0"/>
        <w:iCs w:val="0"/>
        <w:spacing w:val="-2"/>
        <w:w w:val="103"/>
        <w:sz w:val="23"/>
        <w:szCs w:val="23"/>
        <w:lang w:val="en-US" w:eastAsia="en-US" w:bidi="ar-SA"/>
      </w:rPr>
    </w:lvl>
    <w:lvl w:ilvl="3">
      <w:numFmt w:val="bullet"/>
      <w:lvlText w:val="•"/>
      <w:lvlJc w:val="left"/>
      <w:pPr>
        <w:ind w:left="5149" w:hanging="1441"/>
      </w:pPr>
      <w:rPr>
        <w:rFonts w:hint="default"/>
        <w:lang w:val="en-US" w:eastAsia="en-US" w:bidi="ar-SA"/>
      </w:rPr>
    </w:lvl>
    <w:lvl w:ilvl="4">
      <w:numFmt w:val="bullet"/>
      <w:lvlText w:val="•"/>
      <w:lvlJc w:val="left"/>
      <w:pPr>
        <w:ind w:left="5913" w:hanging="1441"/>
      </w:pPr>
      <w:rPr>
        <w:rFonts w:hint="default"/>
        <w:lang w:val="en-US" w:eastAsia="en-US" w:bidi="ar-SA"/>
      </w:rPr>
    </w:lvl>
    <w:lvl w:ilvl="5">
      <w:numFmt w:val="bullet"/>
      <w:lvlText w:val="•"/>
      <w:lvlJc w:val="left"/>
      <w:pPr>
        <w:ind w:left="6676" w:hanging="1441"/>
      </w:pPr>
      <w:rPr>
        <w:rFonts w:hint="default"/>
        <w:lang w:val="en-US" w:eastAsia="en-US" w:bidi="ar-SA"/>
      </w:rPr>
    </w:lvl>
    <w:lvl w:ilvl="6">
      <w:numFmt w:val="bullet"/>
      <w:lvlText w:val="•"/>
      <w:lvlJc w:val="left"/>
      <w:pPr>
        <w:ind w:left="7439" w:hanging="1441"/>
      </w:pPr>
      <w:rPr>
        <w:rFonts w:hint="default"/>
        <w:lang w:val="en-US" w:eastAsia="en-US" w:bidi="ar-SA"/>
      </w:rPr>
    </w:lvl>
    <w:lvl w:ilvl="7">
      <w:numFmt w:val="bullet"/>
      <w:lvlText w:val="•"/>
      <w:lvlJc w:val="left"/>
      <w:pPr>
        <w:ind w:left="8202" w:hanging="1441"/>
      </w:pPr>
      <w:rPr>
        <w:rFonts w:hint="default"/>
        <w:lang w:val="en-US" w:eastAsia="en-US" w:bidi="ar-SA"/>
      </w:rPr>
    </w:lvl>
    <w:lvl w:ilvl="8">
      <w:numFmt w:val="bullet"/>
      <w:lvlText w:val="•"/>
      <w:lvlJc w:val="left"/>
      <w:pPr>
        <w:ind w:left="8966" w:hanging="1441"/>
      </w:pPr>
      <w:rPr>
        <w:rFonts w:hint="default"/>
        <w:lang w:val="en-US" w:eastAsia="en-US" w:bidi="ar-SA"/>
      </w:rPr>
    </w:lvl>
  </w:abstractNum>
  <w:abstractNum w:abstractNumId="7" w15:restartNumberingAfterBreak="0">
    <w:nsid w:val="295B55A7"/>
    <w:multiLevelType w:val="multilevel"/>
    <w:tmpl w:val="A888DAB0"/>
    <w:lvl w:ilvl="0">
      <w:start w:val="1"/>
      <w:numFmt w:val="decimal"/>
      <w:lvlText w:val="%1"/>
      <w:lvlJc w:val="left"/>
      <w:pPr>
        <w:ind w:left="2492" w:hanging="1074"/>
        <w:jc w:val="left"/>
      </w:pPr>
      <w:rPr>
        <w:rFonts w:hint="default"/>
        <w:lang w:val="en-US" w:eastAsia="en-US" w:bidi="ar-SA"/>
      </w:rPr>
    </w:lvl>
    <w:lvl w:ilvl="1">
      <w:start w:val="1"/>
      <w:numFmt w:val="decimal"/>
      <w:lvlText w:val="%1.%2"/>
      <w:lvlJc w:val="left"/>
      <w:pPr>
        <w:ind w:left="2492" w:hanging="1074"/>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start w:val="1"/>
      <w:numFmt w:val="decimal"/>
      <w:lvlText w:val="%1.%2.%3"/>
      <w:lvlJc w:val="left"/>
      <w:pPr>
        <w:ind w:left="2492" w:hanging="1074"/>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4897" w:hanging="1074"/>
      </w:pPr>
      <w:rPr>
        <w:rFonts w:hint="default"/>
        <w:lang w:val="en-US" w:eastAsia="en-US" w:bidi="ar-SA"/>
      </w:rPr>
    </w:lvl>
    <w:lvl w:ilvl="4">
      <w:numFmt w:val="bullet"/>
      <w:lvlText w:val="•"/>
      <w:lvlJc w:val="left"/>
      <w:pPr>
        <w:ind w:left="5697" w:hanging="1074"/>
      </w:pPr>
      <w:rPr>
        <w:rFonts w:hint="default"/>
        <w:lang w:val="en-US" w:eastAsia="en-US" w:bidi="ar-SA"/>
      </w:rPr>
    </w:lvl>
    <w:lvl w:ilvl="5">
      <w:numFmt w:val="bullet"/>
      <w:lvlText w:val="•"/>
      <w:lvlJc w:val="left"/>
      <w:pPr>
        <w:ind w:left="6496" w:hanging="1074"/>
      </w:pPr>
      <w:rPr>
        <w:rFonts w:hint="default"/>
        <w:lang w:val="en-US" w:eastAsia="en-US" w:bidi="ar-SA"/>
      </w:rPr>
    </w:lvl>
    <w:lvl w:ilvl="6">
      <w:numFmt w:val="bullet"/>
      <w:lvlText w:val="•"/>
      <w:lvlJc w:val="left"/>
      <w:pPr>
        <w:ind w:left="7295" w:hanging="1074"/>
      </w:pPr>
      <w:rPr>
        <w:rFonts w:hint="default"/>
        <w:lang w:val="en-US" w:eastAsia="en-US" w:bidi="ar-SA"/>
      </w:rPr>
    </w:lvl>
    <w:lvl w:ilvl="7">
      <w:numFmt w:val="bullet"/>
      <w:lvlText w:val="•"/>
      <w:lvlJc w:val="left"/>
      <w:pPr>
        <w:ind w:left="8094" w:hanging="1074"/>
      </w:pPr>
      <w:rPr>
        <w:rFonts w:hint="default"/>
        <w:lang w:val="en-US" w:eastAsia="en-US" w:bidi="ar-SA"/>
      </w:rPr>
    </w:lvl>
    <w:lvl w:ilvl="8">
      <w:numFmt w:val="bullet"/>
      <w:lvlText w:val="•"/>
      <w:lvlJc w:val="left"/>
      <w:pPr>
        <w:ind w:left="8894" w:hanging="1074"/>
      </w:pPr>
      <w:rPr>
        <w:rFonts w:hint="default"/>
        <w:lang w:val="en-US" w:eastAsia="en-US" w:bidi="ar-SA"/>
      </w:rPr>
    </w:lvl>
  </w:abstractNum>
  <w:abstractNum w:abstractNumId="8" w15:restartNumberingAfterBreak="0">
    <w:nsid w:val="2B9E07E4"/>
    <w:multiLevelType w:val="multilevel"/>
    <w:tmpl w:val="3A067BB2"/>
    <w:lvl w:ilvl="0">
      <w:start w:val="4"/>
      <w:numFmt w:val="decimal"/>
      <w:lvlText w:val="%1"/>
      <w:lvlJc w:val="left"/>
      <w:pPr>
        <w:ind w:left="2738" w:hanging="1319"/>
        <w:jc w:val="left"/>
      </w:pPr>
      <w:rPr>
        <w:rFonts w:hint="default"/>
        <w:lang w:val="en-US" w:eastAsia="en-US" w:bidi="ar-SA"/>
      </w:rPr>
    </w:lvl>
    <w:lvl w:ilvl="1">
      <w:start w:val="6"/>
      <w:numFmt w:val="decimal"/>
      <w:lvlText w:val="%1.%2"/>
      <w:lvlJc w:val="left"/>
      <w:pPr>
        <w:ind w:left="2738" w:hanging="1319"/>
        <w:jc w:val="left"/>
      </w:pPr>
      <w:rPr>
        <w:rFonts w:hint="default"/>
        <w:lang w:val="en-US" w:eastAsia="en-US" w:bidi="ar-SA"/>
      </w:rPr>
    </w:lvl>
    <w:lvl w:ilvl="2">
      <w:start w:val="2"/>
      <w:numFmt w:val="decimal"/>
      <w:lvlText w:val="%1.%2.%3"/>
      <w:lvlJc w:val="left"/>
      <w:pPr>
        <w:ind w:left="2738" w:hanging="1319"/>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5065" w:hanging="1319"/>
      </w:pPr>
      <w:rPr>
        <w:rFonts w:hint="default"/>
        <w:lang w:val="en-US" w:eastAsia="en-US" w:bidi="ar-SA"/>
      </w:rPr>
    </w:lvl>
    <w:lvl w:ilvl="4">
      <w:numFmt w:val="bullet"/>
      <w:lvlText w:val="•"/>
      <w:lvlJc w:val="left"/>
      <w:pPr>
        <w:ind w:left="5841" w:hanging="1319"/>
      </w:pPr>
      <w:rPr>
        <w:rFonts w:hint="default"/>
        <w:lang w:val="en-US" w:eastAsia="en-US" w:bidi="ar-SA"/>
      </w:rPr>
    </w:lvl>
    <w:lvl w:ilvl="5">
      <w:numFmt w:val="bullet"/>
      <w:lvlText w:val="•"/>
      <w:lvlJc w:val="left"/>
      <w:pPr>
        <w:ind w:left="6616" w:hanging="1319"/>
      </w:pPr>
      <w:rPr>
        <w:rFonts w:hint="default"/>
        <w:lang w:val="en-US" w:eastAsia="en-US" w:bidi="ar-SA"/>
      </w:rPr>
    </w:lvl>
    <w:lvl w:ilvl="6">
      <w:numFmt w:val="bullet"/>
      <w:lvlText w:val="•"/>
      <w:lvlJc w:val="left"/>
      <w:pPr>
        <w:ind w:left="7391" w:hanging="1319"/>
      </w:pPr>
      <w:rPr>
        <w:rFonts w:hint="default"/>
        <w:lang w:val="en-US" w:eastAsia="en-US" w:bidi="ar-SA"/>
      </w:rPr>
    </w:lvl>
    <w:lvl w:ilvl="7">
      <w:numFmt w:val="bullet"/>
      <w:lvlText w:val="•"/>
      <w:lvlJc w:val="left"/>
      <w:pPr>
        <w:ind w:left="8166" w:hanging="1319"/>
      </w:pPr>
      <w:rPr>
        <w:rFonts w:hint="default"/>
        <w:lang w:val="en-US" w:eastAsia="en-US" w:bidi="ar-SA"/>
      </w:rPr>
    </w:lvl>
    <w:lvl w:ilvl="8">
      <w:numFmt w:val="bullet"/>
      <w:lvlText w:val="•"/>
      <w:lvlJc w:val="left"/>
      <w:pPr>
        <w:ind w:left="8942" w:hanging="1319"/>
      </w:pPr>
      <w:rPr>
        <w:rFonts w:hint="default"/>
        <w:lang w:val="en-US" w:eastAsia="en-US" w:bidi="ar-SA"/>
      </w:rPr>
    </w:lvl>
  </w:abstractNum>
  <w:abstractNum w:abstractNumId="9" w15:restartNumberingAfterBreak="0">
    <w:nsid w:val="2F477C87"/>
    <w:multiLevelType w:val="multilevel"/>
    <w:tmpl w:val="E624B558"/>
    <w:lvl w:ilvl="0">
      <w:start w:val="3"/>
      <w:numFmt w:val="decimal"/>
      <w:lvlText w:val="%1"/>
      <w:lvlJc w:val="left"/>
      <w:pPr>
        <w:ind w:left="1988" w:hanging="570"/>
        <w:jc w:val="left"/>
      </w:pPr>
      <w:rPr>
        <w:rFonts w:hint="default"/>
        <w:lang w:val="en-US" w:eastAsia="en-US" w:bidi="ar-SA"/>
      </w:rPr>
    </w:lvl>
    <w:lvl w:ilvl="1">
      <w:start w:val="1"/>
      <w:numFmt w:val="decimal"/>
      <w:lvlText w:val="%1.%2"/>
      <w:lvlJc w:val="left"/>
      <w:pPr>
        <w:ind w:left="1988" w:hanging="570"/>
        <w:jc w:val="left"/>
      </w:pPr>
      <w:rPr>
        <w:rFonts w:ascii="Times New Roman" w:eastAsia="Times New Roman" w:hAnsi="Times New Roman" w:cs="Times New Roman" w:hint="default"/>
        <w:b/>
        <w:bCs/>
        <w:i w:val="0"/>
        <w:iCs w:val="0"/>
        <w:spacing w:val="-2"/>
        <w:w w:val="103"/>
        <w:sz w:val="23"/>
        <w:szCs w:val="23"/>
        <w:lang w:val="en-US" w:eastAsia="en-US" w:bidi="ar-SA"/>
      </w:rPr>
    </w:lvl>
    <w:lvl w:ilvl="2">
      <w:start w:val="1"/>
      <w:numFmt w:val="decimal"/>
      <w:lvlText w:val="%1.%2.%3"/>
      <w:lvlJc w:val="left"/>
      <w:pPr>
        <w:ind w:left="2860" w:hanging="1441"/>
        <w:jc w:val="left"/>
      </w:pPr>
      <w:rPr>
        <w:rFonts w:ascii="Times New Roman" w:eastAsia="Times New Roman" w:hAnsi="Times New Roman" w:cs="Times New Roman" w:hint="default"/>
        <w:b/>
        <w:bCs/>
        <w:i w:val="0"/>
        <w:iCs w:val="0"/>
        <w:spacing w:val="-2"/>
        <w:w w:val="103"/>
        <w:sz w:val="23"/>
        <w:szCs w:val="23"/>
        <w:lang w:val="en-US" w:eastAsia="en-US" w:bidi="ar-SA"/>
      </w:rPr>
    </w:lvl>
    <w:lvl w:ilvl="3">
      <w:numFmt w:val="bullet"/>
      <w:lvlText w:val="•"/>
      <w:lvlJc w:val="left"/>
      <w:pPr>
        <w:ind w:left="4556" w:hanging="1441"/>
      </w:pPr>
      <w:rPr>
        <w:rFonts w:hint="default"/>
        <w:lang w:val="en-US" w:eastAsia="en-US" w:bidi="ar-SA"/>
      </w:rPr>
    </w:lvl>
    <w:lvl w:ilvl="4">
      <w:numFmt w:val="bullet"/>
      <w:lvlText w:val="•"/>
      <w:lvlJc w:val="left"/>
      <w:pPr>
        <w:ind w:left="5404" w:hanging="1441"/>
      </w:pPr>
      <w:rPr>
        <w:rFonts w:hint="default"/>
        <w:lang w:val="en-US" w:eastAsia="en-US" w:bidi="ar-SA"/>
      </w:rPr>
    </w:lvl>
    <w:lvl w:ilvl="5">
      <w:numFmt w:val="bullet"/>
      <w:lvlText w:val="•"/>
      <w:lvlJc w:val="left"/>
      <w:pPr>
        <w:ind w:left="6252" w:hanging="1441"/>
      </w:pPr>
      <w:rPr>
        <w:rFonts w:hint="default"/>
        <w:lang w:val="en-US" w:eastAsia="en-US" w:bidi="ar-SA"/>
      </w:rPr>
    </w:lvl>
    <w:lvl w:ilvl="6">
      <w:numFmt w:val="bullet"/>
      <w:lvlText w:val="•"/>
      <w:lvlJc w:val="left"/>
      <w:pPr>
        <w:ind w:left="7100" w:hanging="1441"/>
      </w:pPr>
      <w:rPr>
        <w:rFonts w:hint="default"/>
        <w:lang w:val="en-US" w:eastAsia="en-US" w:bidi="ar-SA"/>
      </w:rPr>
    </w:lvl>
    <w:lvl w:ilvl="7">
      <w:numFmt w:val="bullet"/>
      <w:lvlText w:val="•"/>
      <w:lvlJc w:val="left"/>
      <w:pPr>
        <w:ind w:left="7948" w:hanging="1441"/>
      </w:pPr>
      <w:rPr>
        <w:rFonts w:hint="default"/>
        <w:lang w:val="en-US" w:eastAsia="en-US" w:bidi="ar-SA"/>
      </w:rPr>
    </w:lvl>
    <w:lvl w:ilvl="8">
      <w:numFmt w:val="bullet"/>
      <w:lvlText w:val="•"/>
      <w:lvlJc w:val="left"/>
      <w:pPr>
        <w:ind w:left="8796" w:hanging="1441"/>
      </w:pPr>
      <w:rPr>
        <w:rFonts w:hint="default"/>
        <w:lang w:val="en-US" w:eastAsia="en-US" w:bidi="ar-SA"/>
      </w:rPr>
    </w:lvl>
  </w:abstractNum>
  <w:abstractNum w:abstractNumId="10" w15:restartNumberingAfterBreak="0">
    <w:nsid w:val="34085EE1"/>
    <w:multiLevelType w:val="hybridMultilevel"/>
    <w:tmpl w:val="6B7024C8"/>
    <w:lvl w:ilvl="0" w:tplc="6E2AD88C">
      <w:numFmt w:val="bullet"/>
      <w:lvlText w:val=""/>
      <w:lvlJc w:val="left"/>
      <w:pPr>
        <w:ind w:left="424" w:hanging="360"/>
      </w:pPr>
      <w:rPr>
        <w:rFonts w:ascii="Symbol" w:eastAsia="Symbol" w:hAnsi="Symbol" w:cs="Symbol" w:hint="default"/>
        <w:b w:val="0"/>
        <w:bCs w:val="0"/>
        <w:i w:val="0"/>
        <w:iCs w:val="0"/>
        <w:spacing w:val="0"/>
        <w:w w:val="100"/>
        <w:sz w:val="20"/>
        <w:szCs w:val="20"/>
        <w:lang w:val="en-US" w:eastAsia="en-US" w:bidi="ar-SA"/>
      </w:rPr>
    </w:lvl>
    <w:lvl w:ilvl="1" w:tplc="02D63842">
      <w:numFmt w:val="bullet"/>
      <w:lvlText w:val="•"/>
      <w:lvlJc w:val="left"/>
      <w:pPr>
        <w:ind w:left="603" w:hanging="360"/>
      </w:pPr>
      <w:rPr>
        <w:rFonts w:hint="default"/>
        <w:lang w:val="en-US" w:eastAsia="en-US" w:bidi="ar-SA"/>
      </w:rPr>
    </w:lvl>
    <w:lvl w:ilvl="2" w:tplc="A5089FC2">
      <w:numFmt w:val="bullet"/>
      <w:lvlText w:val="•"/>
      <w:lvlJc w:val="left"/>
      <w:pPr>
        <w:ind w:left="787" w:hanging="360"/>
      </w:pPr>
      <w:rPr>
        <w:rFonts w:hint="default"/>
        <w:lang w:val="en-US" w:eastAsia="en-US" w:bidi="ar-SA"/>
      </w:rPr>
    </w:lvl>
    <w:lvl w:ilvl="3" w:tplc="46D24EC2">
      <w:numFmt w:val="bullet"/>
      <w:lvlText w:val="•"/>
      <w:lvlJc w:val="left"/>
      <w:pPr>
        <w:ind w:left="970" w:hanging="360"/>
      </w:pPr>
      <w:rPr>
        <w:rFonts w:hint="default"/>
        <w:lang w:val="en-US" w:eastAsia="en-US" w:bidi="ar-SA"/>
      </w:rPr>
    </w:lvl>
    <w:lvl w:ilvl="4" w:tplc="F5705952">
      <w:numFmt w:val="bullet"/>
      <w:lvlText w:val="•"/>
      <w:lvlJc w:val="left"/>
      <w:pPr>
        <w:ind w:left="1154" w:hanging="360"/>
      </w:pPr>
      <w:rPr>
        <w:rFonts w:hint="default"/>
        <w:lang w:val="en-US" w:eastAsia="en-US" w:bidi="ar-SA"/>
      </w:rPr>
    </w:lvl>
    <w:lvl w:ilvl="5" w:tplc="03868110">
      <w:numFmt w:val="bullet"/>
      <w:lvlText w:val="•"/>
      <w:lvlJc w:val="left"/>
      <w:pPr>
        <w:ind w:left="1338" w:hanging="360"/>
      </w:pPr>
      <w:rPr>
        <w:rFonts w:hint="default"/>
        <w:lang w:val="en-US" w:eastAsia="en-US" w:bidi="ar-SA"/>
      </w:rPr>
    </w:lvl>
    <w:lvl w:ilvl="6" w:tplc="AE14D746">
      <w:numFmt w:val="bullet"/>
      <w:lvlText w:val="•"/>
      <w:lvlJc w:val="left"/>
      <w:pPr>
        <w:ind w:left="1521" w:hanging="360"/>
      </w:pPr>
      <w:rPr>
        <w:rFonts w:hint="default"/>
        <w:lang w:val="en-US" w:eastAsia="en-US" w:bidi="ar-SA"/>
      </w:rPr>
    </w:lvl>
    <w:lvl w:ilvl="7" w:tplc="11D22092">
      <w:numFmt w:val="bullet"/>
      <w:lvlText w:val="•"/>
      <w:lvlJc w:val="left"/>
      <w:pPr>
        <w:ind w:left="1705" w:hanging="360"/>
      </w:pPr>
      <w:rPr>
        <w:rFonts w:hint="default"/>
        <w:lang w:val="en-US" w:eastAsia="en-US" w:bidi="ar-SA"/>
      </w:rPr>
    </w:lvl>
    <w:lvl w:ilvl="8" w:tplc="FEC8D974">
      <w:numFmt w:val="bullet"/>
      <w:lvlText w:val="•"/>
      <w:lvlJc w:val="left"/>
      <w:pPr>
        <w:ind w:left="1889" w:hanging="360"/>
      </w:pPr>
      <w:rPr>
        <w:rFonts w:hint="default"/>
        <w:lang w:val="en-US" w:eastAsia="en-US" w:bidi="ar-SA"/>
      </w:rPr>
    </w:lvl>
  </w:abstractNum>
  <w:abstractNum w:abstractNumId="11" w15:restartNumberingAfterBreak="0">
    <w:nsid w:val="37C371FC"/>
    <w:multiLevelType w:val="multilevel"/>
    <w:tmpl w:val="8D823542"/>
    <w:lvl w:ilvl="0">
      <w:start w:val="4"/>
      <w:numFmt w:val="decimal"/>
      <w:lvlText w:val="%1"/>
      <w:lvlJc w:val="left"/>
      <w:pPr>
        <w:ind w:left="2860" w:hanging="1441"/>
        <w:jc w:val="left"/>
      </w:pPr>
      <w:rPr>
        <w:rFonts w:hint="default"/>
        <w:lang w:val="en-US" w:eastAsia="en-US" w:bidi="ar-SA"/>
      </w:rPr>
    </w:lvl>
    <w:lvl w:ilvl="1">
      <w:start w:val="1"/>
      <w:numFmt w:val="decimal"/>
      <w:lvlText w:val="%1.%2"/>
      <w:lvlJc w:val="left"/>
      <w:pPr>
        <w:ind w:left="2860" w:hanging="1441"/>
        <w:jc w:val="left"/>
      </w:pPr>
      <w:rPr>
        <w:rFonts w:ascii="Times New Roman" w:eastAsia="Times New Roman" w:hAnsi="Times New Roman" w:cs="Times New Roman" w:hint="default"/>
        <w:b/>
        <w:bCs/>
        <w:i w:val="0"/>
        <w:iCs w:val="0"/>
        <w:spacing w:val="-2"/>
        <w:w w:val="103"/>
        <w:sz w:val="23"/>
        <w:szCs w:val="23"/>
        <w:lang w:val="en-US" w:eastAsia="en-US" w:bidi="ar-SA"/>
      </w:rPr>
    </w:lvl>
    <w:lvl w:ilvl="2">
      <w:start w:val="1"/>
      <w:numFmt w:val="decimal"/>
      <w:lvlText w:val="%1.%2.%3"/>
      <w:lvlJc w:val="left"/>
      <w:pPr>
        <w:ind w:left="2860" w:hanging="1441"/>
        <w:jc w:val="left"/>
      </w:pPr>
      <w:rPr>
        <w:rFonts w:ascii="Times New Roman" w:eastAsia="Times New Roman" w:hAnsi="Times New Roman" w:cs="Times New Roman" w:hint="default"/>
        <w:b/>
        <w:bCs/>
        <w:i w:val="0"/>
        <w:iCs w:val="0"/>
        <w:spacing w:val="-2"/>
        <w:w w:val="103"/>
        <w:sz w:val="23"/>
        <w:szCs w:val="23"/>
        <w:lang w:val="en-US" w:eastAsia="en-US" w:bidi="ar-SA"/>
      </w:rPr>
    </w:lvl>
    <w:lvl w:ilvl="3">
      <w:start w:val="1"/>
      <w:numFmt w:val="decimal"/>
      <w:lvlText w:val="%1.%2.%3.%4"/>
      <w:lvlJc w:val="left"/>
      <w:pPr>
        <w:ind w:left="2860" w:hanging="1441"/>
        <w:jc w:val="left"/>
      </w:pPr>
      <w:rPr>
        <w:rFonts w:ascii="Times New Roman" w:eastAsia="Times New Roman" w:hAnsi="Times New Roman" w:cs="Times New Roman" w:hint="default"/>
        <w:b/>
        <w:bCs/>
        <w:i w:val="0"/>
        <w:iCs w:val="0"/>
        <w:spacing w:val="-2"/>
        <w:w w:val="103"/>
        <w:sz w:val="23"/>
        <w:szCs w:val="23"/>
        <w:lang w:val="en-US" w:eastAsia="en-US" w:bidi="ar-SA"/>
      </w:rPr>
    </w:lvl>
    <w:lvl w:ilvl="4">
      <w:numFmt w:val="bullet"/>
      <w:lvlText w:val="•"/>
      <w:lvlJc w:val="left"/>
      <w:pPr>
        <w:ind w:left="4768" w:hanging="1441"/>
      </w:pPr>
      <w:rPr>
        <w:rFonts w:hint="default"/>
        <w:lang w:val="en-US" w:eastAsia="en-US" w:bidi="ar-SA"/>
      </w:rPr>
    </w:lvl>
    <w:lvl w:ilvl="5">
      <w:numFmt w:val="bullet"/>
      <w:lvlText w:val="•"/>
      <w:lvlJc w:val="left"/>
      <w:pPr>
        <w:ind w:left="5722" w:hanging="1441"/>
      </w:pPr>
      <w:rPr>
        <w:rFonts w:hint="default"/>
        <w:lang w:val="en-US" w:eastAsia="en-US" w:bidi="ar-SA"/>
      </w:rPr>
    </w:lvl>
    <w:lvl w:ilvl="6">
      <w:numFmt w:val="bullet"/>
      <w:lvlText w:val="•"/>
      <w:lvlJc w:val="left"/>
      <w:pPr>
        <w:ind w:left="6676" w:hanging="1441"/>
      </w:pPr>
      <w:rPr>
        <w:rFonts w:hint="default"/>
        <w:lang w:val="en-US" w:eastAsia="en-US" w:bidi="ar-SA"/>
      </w:rPr>
    </w:lvl>
    <w:lvl w:ilvl="7">
      <w:numFmt w:val="bullet"/>
      <w:lvlText w:val="•"/>
      <w:lvlJc w:val="left"/>
      <w:pPr>
        <w:ind w:left="7630" w:hanging="1441"/>
      </w:pPr>
      <w:rPr>
        <w:rFonts w:hint="default"/>
        <w:lang w:val="en-US" w:eastAsia="en-US" w:bidi="ar-SA"/>
      </w:rPr>
    </w:lvl>
    <w:lvl w:ilvl="8">
      <w:numFmt w:val="bullet"/>
      <w:lvlText w:val="•"/>
      <w:lvlJc w:val="left"/>
      <w:pPr>
        <w:ind w:left="8584" w:hanging="1441"/>
      </w:pPr>
      <w:rPr>
        <w:rFonts w:hint="default"/>
        <w:lang w:val="en-US" w:eastAsia="en-US" w:bidi="ar-SA"/>
      </w:rPr>
    </w:lvl>
  </w:abstractNum>
  <w:abstractNum w:abstractNumId="12" w15:restartNumberingAfterBreak="0">
    <w:nsid w:val="38556403"/>
    <w:multiLevelType w:val="hybridMultilevel"/>
    <w:tmpl w:val="2676FC82"/>
    <w:lvl w:ilvl="0" w:tplc="9D400912">
      <w:numFmt w:val="bullet"/>
      <w:lvlText w:val=""/>
      <w:lvlJc w:val="left"/>
      <w:pPr>
        <w:ind w:left="424" w:hanging="360"/>
      </w:pPr>
      <w:rPr>
        <w:rFonts w:ascii="Symbol" w:eastAsia="Symbol" w:hAnsi="Symbol" w:cs="Symbol" w:hint="default"/>
        <w:b w:val="0"/>
        <w:bCs w:val="0"/>
        <w:i w:val="0"/>
        <w:iCs w:val="0"/>
        <w:spacing w:val="0"/>
        <w:w w:val="100"/>
        <w:sz w:val="20"/>
        <w:szCs w:val="20"/>
        <w:lang w:val="en-US" w:eastAsia="en-US" w:bidi="ar-SA"/>
      </w:rPr>
    </w:lvl>
    <w:lvl w:ilvl="1" w:tplc="46BAA15A">
      <w:numFmt w:val="bullet"/>
      <w:lvlText w:val="•"/>
      <w:lvlJc w:val="left"/>
      <w:pPr>
        <w:ind w:left="591" w:hanging="360"/>
      </w:pPr>
      <w:rPr>
        <w:rFonts w:hint="default"/>
        <w:lang w:val="en-US" w:eastAsia="en-US" w:bidi="ar-SA"/>
      </w:rPr>
    </w:lvl>
    <w:lvl w:ilvl="2" w:tplc="74C6664E">
      <w:numFmt w:val="bullet"/>
      <w:lvlText w:val="•"/>
      <w:lvlJc w:val="left"/>
      <w:pPr>
        <w:ind w:left="763" w:hanging="360"/>
      </w:pPr>
      <w:rPr>
        <w:rFonts w:hint="default"/>
        <w:lang w:val="en-US" w:eastAsia="en-US" w:bidi="ar-SA"/>
      </w:rPr>
    </w:lvl>
    <w:lvl w:ilvl="3" w:tplc="1B863048">
      <w:numFmt w:val="bullet"/>
      <w:lvlText w:val="•"/>
      <w:lvlJc w:val="left"/>
      <w:pPr>
        <w:ind w:left="935" w:hanging="360"/>
      </w:pPr>
      <w:rPr>
        <w:rFonts w:hint="default"/>
        <w:lang w:val="en-US" w:eastAsia="en-US" w:bidi="ar-SA"/>
      </w:rPr>
    </w:lvl>
    <w:lvl w:ilvl="4" w:tplc="9C8669E4">
      <w:numFmt w:val="bullet"/>
      <w:lvlText w:val="•"/>
      <w:lvlJc w:val="left"/>
      <w:pPr>
        <w:ind w:left="1107" w:hanging="360"/>
      </w:pPr>
      <w:rPr>
        <w:rFonts w:hint="default"/>
        <w:lang w:val="en-US" w:eastAsia="en-US" w:bidi="ar-SA"/>
      </w:rPr>
    </w:lvl>
    <w:lvl w:ilvl="5" w:tplc="CBA65A14">
      <w:numFmt w:val="bullet"/>
      <w:lvlText w:val="•"/>
      <w:lvlJc w:val="left"/>
      <w:pPr>
        <w:ind w:left="1279" w:hanging="360"/>
      </w:pPr>
      <w:rPr>
        <w:rFonts w:hint="default"/>
        <w:lang w:val="en-US" w:eastAsia="en-US" w:bidi="ar-SA"/>
      </w:rPr>
    </w:lvl>
    <w:lvl w:ilvl="6" w:tplc="31DE6168">
      <w:numFmt w:val="bullet"/>
      <w:lvlText w:val="•"/>
      <w:lvlJc w:val="left"/>
      <w:pPr>
        <w:ind w:left="1451" w:hanging="360"/>
      </w:pPr>
      <w:rPr>
        <w:rFonts w:hint="default"/>
        <w:lang w:val="en-US" w:eastAsia="en-US" w:bidi="ar-SA"/>
      </w:rPr>
    </w:lvl>
    <w:lvl w:ilvl="7" w:tplc="47BC7C70">
      <w:numFmt w:val="bullet"/>
      <w:lvlText w:val="•"/>
      <w:lvlJc w:val="left"/>
      <w:pPr>
        <w:ind w:left="1623" w:hanging="360"/>
      </w:pPr>
      <w:rPr>
        <w:rFonts w:hint="default"/>
        <w:lang w:val="en-US" w:eastAsia="en-US" w:bidi="ar-SA"/>
      </w:rPr>
    </w:lvl>
    <w:lvl w:ilvl="8" w:tplc="4A44989A">
      <w:numFmt w:val="bullet"/>
      <w:lvlText w:val="•"/>
      <w:lvlJc w:val="left"/>
      <w:pPr>
        <w:ind w:left="1795" w:hanging="360"/>
      </w:pPr>
      <w:rPr>
        <w:rFonts w:hint="default"/>
        <w:lang w:val="en-US" w:eastAsia="en-US" w:bidi="ar-SA"/>
      </w:rPr>
    </w:lvl>
  </w:abstractNum>
  <w:abstractNum w:abstractNumId="13" w15:restartNumberingAfterBreak="0">
    <w:nsid w:val="3F240916"/>
    <w:multiLevelType w:val="multilevel"/>
    <w:tmpl w:val="A22A9DEA"/>
    <w:lvl w:ilvl="0">
      <w:start w:val="6"/>
      <w:numFmt w:val="decimal"/>
      <w:lvlText w:val="%1"/>
      <w:lvlJc w:val="left"/>
      <w:pPr>
        <w:ind w:left="2608" w:hanging="1189"/>
        <w:jc w:val="left"/>
      </w:pPr>
      <w:rPr>
        <w:rFonts w:hint="default"/>
        <w:lang w:val="en-US" w:eastAsia="en-US" w:bidi="ar-SA"/>
      </w:rPr>
    </w:lvl>
    <w:lvl w:ilvl="1">
      <w:start w:val="1"/>
      <w:numFmt w:val="decimal"/>
      <w:lvlText w:val="%1.%2"/>
      <w:lvlJc w:val="left"/>
      <w:pPr>
        <w:ind w:left="2608" w:hanging="1189"/>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start w:val="1"/>
      <w:numFmt w:val="decimal"/>
      <w:lvlText w:val="%1.%2.%3"/>
      <w:lvlJc w:val="left"/>
      <w:pPr>
        <w:ind w:left="1419" w:hanging="1196"/>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3604" w:hanging="1196"/>
      </w:pPr>
      <w:rPr>
        <w:rFonts w:hint="default"/>
        <w:lang w:val="en-US" w:eastAsia="en-US" w:bidi="ar-SA"/>
      </w:rPr>
    </w:lvl>
    <w:lvl w:ilvl="4">
      <w:numFmt w:val="bullet"/>
      <w:lvlText w:val="•"/>
      <w:lvlJc w:val="left"/>
      <w:pPr>
        <w:ind w:left="4588" w:hanging="1196"/>
      </w:pPr>
      <w:rPr>
        <w:rFonts w:hint="default"/>
        <w:lang w:val="en-US" w:eastAsia="en-US" w:bidi="ar-SA"/>
      </w:rPr>
    </w:lvl>
    <w:lvl w:ilvl="5">
      <w:numFmt w:val="bullet"/>
      <w:lvlText w:val="•"/>
      <w:lvlJc w:val="left"/>
      <w:pPr>
        <w:ind w:left="5572" w:hanging="1196"/>
      </w:pPr>
      <w:rPr>
        <w:rFonts w:hint="default"/>
        <w:lang w:val="en-US" w:eastAsia="en-US" w:bidi="ar-SA"/>
      </w:rPr>
    </w:lvl>
    <w:lvl w:ilvl="6">
      <w:numFmt w:val="bullet"/>
      <w:lvlText w:val="•"/>
      <w:lvlJc w:val="left"/>
      <w:pPr>
        <w:ind w:left="6556" w:hanging="1196"/>
      </w:pPr>
      <w:rPr>
        <w:rFonts w:hint="default"/>
        <w:lang w:val="en-US" w:eastAsia="en-US" w:bidi="ar-SA"/>
      </w:rPr>
    </w:lvl>
    <w:lvl w:ilvl="7">
      <w:numFmt w:val="bullet"/>
      <w:lvlText w:val="•"/>
      <w:lvlJc w:val="left"/>
      <w:pPr>
        <w:ind w:left="7540" w:hanging="1196"/>
      </w:pPr>
      <w:rPr>
        <w:rFonts w:hint="default"/>
        <w:lang w:val="en-US" w:eastAsia="en-US" w:bidi="ar-SA"/>
      </w:rPr>
    </w:lvl>
    <w:lvl w:ilvl="8">
      <w:numFmt w:val="bullet"/>
      <w:lvlText w:val="•"/>
      <w:lvlJc w:val="left"/>
      <w:pPr>
        <w:ind w:left="8524" w:hanging="1196"/>
      </w:pPr>
      <w:rPr>
        <w:rFonts w:hint="default"/>
        <w:lang w:val="en-US" w:eastAsia="en-US" w:bidi="ar-SA"/>
      </w:rPr>
    </w:lvl>
  </w:abstractNum>
  <w:abstractNum w:abstractNumId="14" w15:restartNumberingAfterBreak="0">
    <w:nsid w:val="410E7A23"/>
    <w:multiLevelType w:val="multilevel"/>
    <w:tmpl w:val="B2A03B78"/>
    <w:lvl w:ilvl="0">
      <w:start w:val="4"/>
      <w:numFmt w:val="decimal"/>
      <w:lvlText w:val="%1"/>
      <w:lvlJc w:val="left"/>
      <w:pPr>
        <w:ind w:left="2492" w:hanging="1074"/>
        <w:jc w:val="left"/>
      </w:pPr>
      <w:rPr>
        <w:rFonts w:hint="default"/>
        <w:lang w:val="en-US" w:eastAsia="en-US" w:bidi="ar-SA"/>
      </w:rPr>
    </w:lvl>
    <w:lvl w:ilvl="1">
      <w:start w:val="1"/>
      <w:numFmt w:val="decimal"/>
      <w:lvlText w:val="%1.%2"/>
      <w:lvlJc w:val="left"/>
      <w:pPr>
        <w:ind w:left="2492" w:hanging="1074"/>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start w:val="1"/>
      <w:numFmt w:val="decimal"/>
      <w:lvlText w:val="%1.%2.%3"/>
      <w:lvlJc w:val="left"/>
      <w:pPr>
        <w:ind w:left="2492" w:hanging="1074"/>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3709" w:hanging="1074"/>
      </w:pPr>
      <w:rPr>
        <w:rFonts w:hint="default"/>
        <w:lang w:val="en-US" w:eastAsia="en-US" w:bidi="ar-SA"/>
      </w:rPr>
    </w:lvl>
    <w:lvl w:ilvl="4">
      <w:numFmt w:val="bullet"/>
      <w:lvlText w:val="•"/>
      <w:lvlJc w:val="left"/>
      <w:pPr>
        <w:ind w:left="4678" w:hanging="1074"/>
      </w:pPr>
      <w:rPr>
        <w:rFonts w:hint="default"/>
        <w:lang w:val="en-US" w:eastAsia="en-US" w:bidi="ar-SA"/>
      </w:rPr>
    </w:lvl>
    <w:lvl w:ilvl="5">
      <w:numFmt w:val="bullet"/>
      <w:lvlText w:val="•"/>
      <w:lvlJc w:val="left"/>
      <w:pPr>
        <w:ind w:left="5647" w:hanging="1074"/>
      </w:pPr>
      <w:rPr>
        <w:rFonts w:hint="default"/>
        <w:lang w:val="en-US" w:eastAsia="en-US" w:bidi="ar-SA"/>
      </w:rPr>
    </w:lvl>
    <w:lvl w:ilvl="6">
      <w:numFmt w:val="bullet"/>
      <w:lvlText w:val="•"/>
      <w:lvlJc w:val="left"/>
      <w:pPr>
        <w:ind w:left="6616" w:hanging="1074"/>
      </w:pPr>
      <w:rPr>
        <w:rFonts w:hint="default"/>
        <w:lang w:val="en-US" w:eastAsia="en-US" w:bidi="ar-SA"/>
      </w:rPr>
    </w:lvl>
    <w:lvl w:ilvl="7">
      <w:numFmt w:val="bullet"/>
      <w:lvlText w:val="•"/>
      <w:lvlJc w:val="left"/>
      <w:pPr>
        <w:ind w:left="7585" w:hanging="1074"/>
      </w:pPr>
      <w:rPr>
        <w:rFonts w:hint="default"/>
        <w:lang w:val="en-US" w:eastAsia="en-US" w:bidi="ar-SA"/>
      </w:rPr>
    </w:lvl>
    <w:lvl w:ilvl="8">
      <w:numFmt w:val="bullet"/>
      <w:lvlText w:val="•"/>
      <w:lvlJc w:val="left"/>
      <w:pPr>
        <w:ind w:left="8554" w:hanging="1074"/>
      </w:pPr>
      <w:rPr>
        <w:rFonts w:hint="default"/>
        <w:lang w:val="en-US" w:eastAsia="en-US" w:bidi="ar-SA"/>
      </w:rPr>
    </w:lvl>
  </w:abstractNum>
  <w:abstractNum w:abstractNumId="15" w15:restartNumberingAfterBreak="0">
    <w:nsid w:val="46F276F8"/>
    <w:multiLevelType w:val="multilevel"/>
    <w:tmpl w:val="BD6A04F8"/>
    <w:lvl w:ilvl="0">
      <w:start w:val="5"/>
      <w:numFmt w:val="decimal"/>
      <w:lvlText w:val="%1"/>
      <w:lvlJc w:val="left"/>
      <w:pPr>
        <w:ind w:left="2672" w:hanging="1254"/>
        <w:jc w:val="left"/>
      </w:pPr>
      <w:rPr>
        <w:rFonts w:hint="default"/>
        <w:lang w:val="en-US" w:eastAsia="en-US" w:bidi="ar-SA"/>
      </w:rPr>
    </w:lvl>
    <w:lvl w:ilvl="1">
      <w:start w:val="1"/>
      <w:numFmt w:val="decimal"/>
      <w:lvlText w:val="%1.%2"/>
      <w:lvlJc w:val="left"/>
      <w:pPr>
        <w:ind w:left="2672" w:hanging="1254"/>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numFmt w:val="bullet"/>
      <w:lvlText w:val="•"/>
      <w:lvlJc w:val="left"/>
      <w:pPr>
        <w:ind w:left="4242" w:hanging="1254"/>
      </w:pPr>
      <w:rPr>
        <w:rFonts w:hint="default"/>
        <w:lang w:val="en-US" w:eastAsia="en-US" w:bidi="ar-SA"/>
      </w:rPr>
    </w:lvl>
    <w:lvl w:ilvl="3">
      <w:numFmt w:val="bullet"/>
      <w:lvlText w:val="•"/>
      <w:lvlJc w:val="left"/>
      <w:pPr>
        <w:ind w:left="5023" w:hanging="1254"/>
      </w:pPr>
      <w:rPr>
        <w:rFonts w:hint="default"/>
        <w:lang w:val="en-US" w:eastAsia="en-US" w:bidi="ar-SA"/>
      </w:rPr>
    </w:lvl>
    <w:lvl w:ilvl="4">
      <w:numFmt w:val="bullet"/>
      <w:lvlText w:val="•"/>
      <w:lvlJc w:val="left"/>
      <w:pPr>
        <w:ind w:left="5805" w:hanging="1254"/>
      </w:pPr>
      <w:rPr>
        <w:rFonts w:hint="default"/>
        <w:lang w:val="en-US" w:eastAsia="en-US" w:bidi="ar-SA"/>
      </w:rPr>
    </w:lvl>
    <w:lvl w:ilvl="5">
      <w:numFmt w:val="bullet"/>
      <w:lvlText w:val="•"/>
      <w:lvlJc w:val="left"/>
      <w:pPr>
        <w:ind w:left="6586" w:hanging="1254"/>
      </w:pPr>
      <w:rPr>
        <w:rFonts w:hint="default"/>
        <w:lang w:val="en-US" w:eastAsia="en-US" w:bidi="ar-SA"/>
      </w:rPr>
    </w:lvl>
    <w:lvl w:ilvl="6">
      <w:numFmt w:val="bullet"/>
      <w:lvlText w:val="•"/>
      <w:lvlJc w:val="left"/>
      <w:pPr>
        <w:ind w:left="7367" w:hanging="1254"/>
      </w:pPr>
      <w:rPr>
        <w:rFonts w:hint="default"/>
        <w:lang w:val="en-US" w:eastAsia="en-US" w:bidi="ar-SA"/>
      </w:rPr>
    </w:lvl>
    <w:lvl w:ilvl="7">
      <w:numFmt w:val="bullet"/>
      <w:lvlText w:val="•"/>
      <w:lvlJc w:val="left"/>
      <w:pPr>
        <w:ind w:left="8148" w:hanging="1254"/>
      </w:pPr>
      <w:rPr>
        <w:rFonts w:hint="default"/>
        <w:lang w:val="en-US" w:eastAsia="en-US" w:bidi="ar-SA"/>
      </w:rPr>
    </w:lvl>
    <w:lvl w:ilvl="8">
      <w:numFmt w:val="bullet"/>
      <w:lvlText w:val="•"/>
      <w:lvlJc w:val="left"/>
      <w:pPr>
        <w:ind w:left="8930" w:hanging="1254"/>
      </w:pPr>
      <w:rPr>
        <w:rFonts w:hint="default"/>
        <w:lang w:val="en-US" w:eastAsia="en-US" w:bidi="ar-SA"/>
      </w:rPr>
    </w:lvl>
  </w:abstractNum>
  <w:abstractNum w:abstractNumId="16" w15:restartNumberingAfterBreak="0">
    <w:nsid w:val="488B3946"/>
    <w:multiLevelType w:val="multilevel"/>
    <w:tmpl w:val="148A6270"/>
    <w:lvl w:ilvl="0">
      <w:start w:val="1"/>
      <w:numFmt w:val="decimal"/>
      <w:lvlText w:val="%1."/>
      <w:lvlJc w:val="left"/>
      <w:pPr>
        <w:ind w:left="410" w:hanging="245"/>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29"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7" w:hanging="542"/>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889" w:hanging="724"/>
        <w:jc w:val="left"/>
      </w:pPr>
      <w:rPr>
        <w:rFonts w:ascii="Times New Roman" w:eastAsia="Times New Roman" w:hAnsi="Times New Roman" w:cs="Times New Roman" w:hint="default"/>
        <w:b/>
        <w:bCs/>
        <w:i w:val="0"/>
        <w:iCs w:val="0"/>
        <w:spacing w:val="-5"/>
        <w:w w:val="100"/>
        <w:sz w:val="24"/>
        <w:szCs w:val="24"/>
        <w:lang w:val="en-US" w:eastAsia="en-US" w:bidi="ar-SA"/>
      </w:rPr>
    </w:lvl>
    <w:lvl w:ilvl="4">
      <w:numFmt w:val="bullet"/>
      <w:lvlText w:val="•"/>
      <w:lvlJc w:val="left"/>
      <w:pPr>
        <w:ind w:left="2138" w:hanging="724"/>
      </w:pPr>
      <w:rPr>
        <w:rFonts w:hint="default"/>
        <w:lang w:val="en-US" w:eastAsia="en-US" w:bidi="ar-SA"/>
      </w:rPr>
    </w:lvl>
    <w:lvl w:ilvl="5">
      <w:numFmt w:val="bullet"/>
      <w:lvlText w:val="•"/>
      <w:lvlJc w:val="left"/>
      <w:pPr>
        <w:ind w:left="3397" w:hanging="724"/>
      </w:pPr>
      <w:rPr>
        <w:rFonts w:hint="default"/>
        <w:lang w:val="en-US" w:eastAsia="en-US" w:bidi="ar-SA"/>
      </w:rPr>
    </w:lvl>
    <w:lvl w:ilvl="6">
      <w:numFmt w:val="bullet"/>
      <w:lvlText w:val="•"/>
      <w:lvlJc w:val="left"/>
      <w:pPr>
        <w:ind w:left="4655" w:hanging="724"/>
      </w:pPr>
      <w:rPr>
        <w:rFonts w:hint="default"/>
        <w:lang w:val="en-US" w:eastAsia="en-US" w:bidi="ar-SA"/>
      </w:rPr>
    </w:lvl>
    <w:lvl w:ilvl="7">
      <w:numFmt w:val="bullet"/>
      <w:lvlText w:val="•"/>
      <w:lvlJc w:val="left"/>
      <w:pPr>
        <w:ind w:left="5914" w:hanging="724"/>
      </w:pPr>
      <w:rPr>
        <w:rFonts w:hint="default"/>
        <w:lang w:val="en-US" w:eastAsia="en-US" w:bidi="ar-SA"/>
      </w:rPr>
    </w:lvl>
    <w:lvl w:ilvl="8">
      <w:numFmt w:val="bullet"/>
      <w:lvlText w:val="•"/>
      <w:lvlJc w:val="left"/>
      <w:pPr>
        <w:ind w:left="7172" w:hanging="724"/>
      </w:pPr>
      <w:rPr>
        <w:rFonts w:hint="default"/>
        <w:lang w:val="en-US" w:eastAsia="en-US" w:bidi="ar-SA"/>
      </w:rPr>
    </w:lvl>
  </w:abstractNum>
  <w:abstractNum w:abstractNumId="17" w15:restartNumberingAfterBreak="0">
    <w:nsid w:val="4A350C25"/>
    <w:multiLevelType w:val="multilevel"/>
    <w:tmpl w:val="F924960C"/>
    <w:lvl w:ilvl="0">
      <w:start w:val="2"/>
      <w:numFmt w:val="decimal"/>
      <w:lvlText w:val="%1"/>
      <w:lvlJc w:val="left"/>
      <w:pPr>
        <w:ind w:left="2492" w:hanging="1074"/>
        <w:jc w:val="left"/>
      </w:pPr>
      <w:rPr>
        <w:rFonts w:hint="default"/>
        <w:lang w:val="en-US" w:eastAsia="en-US" w:bidi="ar-SA"/>
      </w:rPr>
    </w:lvl>
    <w:lvl w:ilvl="1">
      <w:start w:val="3"/>
      <w:numFmt w:val="decimal"/>
      <w:lvlText w:val="%1.%2"/>
      <w:lvlJc w:val="left"/>
      <w:pPr>
        <w:ind w:left="2492" w:hanging="1074"/>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start w:val="1"/>
      <w:numFmt w:val="decimal"/>
      <w:lvlText w:val="%1.%2.%3"/>
      <w:lvlJc w:val="left"/>
      <w:pPr>
        <w:ind w:left="2500" w:hanging="1081"/>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4897" w:hanging="1081"/>
      </w:pPr>
      <w:rPr>
        <w:rFonts w:hint="default"/>
        <w:lang w:val="en-US" w:eastAsia="en-US" w:bidi="ar-SA"/>
      </w:rPr>
    </w:lvl>
    <w:lvl w:ilvl="4">
      <w:numFmt w:val="bullet"/>
      <w:lvlText w:val="•"/>
      <w:lvlJc w:val="left"/>
      <w:pPr>
        <w:ind w:left="5697" w:hanging="1081"/>
      </w:pPr>
      <w:rPr>
        <w:rFonts w:hint="default"/>
        <w:lang w:val="en-US" w:eastAsia="en-US" w:bidi="ar-SA"/>
      </w:rPr>
    </w:lvl>
    <w:lvl w:ilvl="5">
      <w:numFmt w:val="bullet"/>
      <w:lvlText w:val="•"/>
      <w:lvlJc w:val="left"/>
      <w:pPr>
        <w:ind w:left="6496" w:hanging="1081"/>
      </w:pPr>
      <w:rPr>
        <w:rFonts w:hint="default"/>
        <w:lang w:val="en-US" w:eastAsia="en-US" w:bidi="ar-SA"/>
      </w:rPr>
    </w:lvl>
    <w:lvl w:ilvl="6">
      <w:numFmt w:val="bullet"/>
      <w:lvlText w:val="•"/>
      <w:lvlJc w:val="left"/>
      <w:pPr>
        <w:ind w:left="7295" w:hanging="1081"/>
      </w:pPr>
      <w:rPr>
        <w:rFonts w:hint="default"/>
        <w:lang w:val="en-US" w:eastAsia="en-US" w:bidi="ar-SA"/>
      </w:rPr>
    </w:lvl>
    <w:lvl w:ilvl="7">
      <w:numFmt w:val="bullet"/>
      <w:lvlText w:val="•"/>
      <w:lvlJc w:val="left"/>
      <w:pPr>
        <w:ind w:left="8094" w:hanging="1081"/>
      </w:pPr>
      <w:rPr>
        <w:rFonts w:hint="default"/>
        <w:lang w:val="en-US" w:eastAsia="en-US" w:bidi="ar-SA"/>
      </w:rPr>
    </w:lvl>
    <w:lvl w:ilvl="8">
      <w:numFmt w:val="bullet"/>
      <w:lvlText w:val="•"/>
      <w:lvlJc w:val="left"/>
      <w:pPr>
        <w:ind w:left="8894" w:hanging="1081"/>
      </w:pPr>
      <w:rPr>
        <w:rFonts w:hint="default"/>
        <w:lang w:val="en-US" w:eastAsia="en-US" w:bidi="ar-SA"/>
      </w:rPr>
    </w:lvl>
  </w:abstractNum>
  <w:abstractNum w:abstractNumId="18" w15:restartNumberingAfterBreak="0">
    <w:nsid w:val="52832D0C"/>
    <w:multiLevelType w:val="hybridMultilevel"/>
    <w:tmpl w:val="9DB6001C"/>
    <w:lvl w:ilvl="0" w:tplc="AAD436A8">
      <w:start w:val="1"/>
      <w:numFmt w:val="decimal"/>
      <w:lvlText w:val="[%1]"/>
      <w:lvlJc w:val="left"/>
      <w:pPr>
        <w:ind w:left="563" w:hanging="43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10E3B2C">
      <w:numFmt w:val="bullet"/>
      <w:lvlText w:val="•"/>
      <w:lvlJc w:val="left"/>
      <w:pPr>
        <w:ind w:left="1473" w:hanging="432"/>
      </w:pPr>
      <w:rPr>
        <w:rFonts w:hint="default"/>
        <w:lang w:val="en-US" w:eastAsia="en-US" w:bidi="ar-SA"/>
      </w:rPr>
    </w:lvl>
    <w:lvl w:ilvl="2" w:tplc="961C5492">
      <w:numFmt w:val="bullet"/>
      <w:lvlText w:val="•"/>
      <w:lvlJc w:val="left"/>
      <w:pPr>
        <w:ind w:left="2386" w:hanging="432"/>
      </w:pPr>
      <w:rPr>
        <w:rFonts w:hint="default"/>
        <w:lang w:val="en-US" w:eastAsia="en-US" w:bidi="ar-SA"/>
      </w:rPr>
    </w:lvl>
    <w:lvl w:ilvl="3" w:tplc="CE264346">
      <w:numFmt w:val="bullet"/>
      <w:lvlText w:val="•"/>
      <w:lvlJc w:val="left"/>
      <w:pPr>
        <w:ind w:left="3299" w:hanging="432"/>
      </w:pPr>
      <w:rPr>
        <w:rFonts w:hint="default"/>
        <w:lang w:val="en-US" w:eastAsia="en-US" w:bidi="ar-SA"/>
      </w:rPr>
    </w:lvl>
    <w:lvl w:ilvl="4" w:tplc="37BC974E">
      <w:numFmt w:val="bullet"/>
      <w:lvlText w:val="•"/>
      <w:lvlJc w:val="left"/>
      <w:pPr>
        <w:ind w:left="4212" w:hanging="432"/>
      </w:pPr>
      <w:rPr>
        <w:rFonts w:hint="default"/>
        <w:lang w:val="en-US" w:eastAsia="en-US" w:bidi="ar-SA"/>
      </w:rPr>
    </w:lvl>
    <w:lvl w:ilvl="5" w:tplc="30C6712C">
      <w:numFmt w:val="bullet"/>
      <w:lvlText w:val="•"/>
      <w:lvlJc w:val="left"/>
      <w:pPr>
        <w:ind w:left="5125" w:hanging="432"/>
      </w:pPr>
      <w:rPr>
        <w:rFonts w:hint="default"/>
        <w:lang w:val="en-US" w:eastAsia="en-US" w:bidi="ar-SA"/>
      </w:rPr>
    </w:lvl>
    <w:lvl w:ilvl="6" w:tplc="3B36F6DE">
      <w:numFmt w:val="bullet"/>
      <w:lvlText w:val="•"/>
      <w:lvlJc w:val="left"/>
      <w:pPr>
        <w:ind w:left="6038" w:hanging="432"/>
      </w:pPr>
      <w:rPr>
        <w:rFonts w:hint="default"/>
        <w:lang w:val="en-US" w:eastAsia="en-US" w:bidi="ar-SA"/>
      </w:rPr>
    </w:lvl>
    <w:lvl w:ilvl="7" w:tplc="6B26F5CE">
      <w:numFmt w:val="bullet"/>
      <w:lvlText w:val="•"/>
      <w:lvlJc w:val="left"/>
      <w:pPr>
        <w:ind w:left="6951" w:hanging="432"/>
      </w:pPr>
      <w:rPr>
        <w:rFonts w:hint="default"/>
        <w:lang w:val="en-US" w:eastAsia="en-US" w:bidi="ar-SA"/>
      </w:rPr>
    </w:lvl>
    <w:lvl w:ilvl="8" w:tplc="6CC41EC4">
      <w:numFmt w:val="bullet"/>
      <w:lvlText w:val="•"/>
      <w:lvlJc w:val="left"/>
      <w:pPr>
        <w:ind w:left="7864" w:hanging="432"/>
      </w:pPr>
      <w:rPr>
        <w:rFonts w:hint="default"/>
        <w:lang w:val="en-US" w:eastAsia="en-US" w:bidi="ar-SA"/>
      </w:rPr>
    </w:lvl>
  </w:abstractNum>
  <w:abstractNum w:abstractNumId="19" w15:restartNumberingAfterBreak="0">
    <w:nsid w:val="53E96415"/>
    <w:multiLevelType w:val="multilevel"/>
    <w:tmpl w:val="D9F89D4E"/>
    <w:lvl w:ilvl="0">
      <w:start w:val="4"/>
      <w:numFmt w:val="decimal"/>
      <w:lvlText w:val="%1"/>
      <w:lvlJc w:val="left"/>
      <w:pPr>
        <w:ind w:left="2125" w:hanging="707"/>
        <w:jc w:val="left"/>
      </w:pPr>
      <w:rPr>
        <w:rFonts w:hint="default"/>
        <w:lang w:val="en-US" w:eastAsia="en-US" w:bidi="ar-SA"/>
      </w:rPr>
    </w:lvl>
    <w:lvl w:ilvl="1">
      <w:start w:val="6"/>
      <w:numFmt w:val="decimal"/>
      <w:lvlText w:val="%1.%2"/>
      <w:lvlJc w:val="left"/>
      <w:pPr>
        <w:ind w:left="2125" w:hanging="707"/>
        <w:jc w:val="left"/>
      </w:pPr>
      <w:rPr>
        <w:rFonts w:hint="default"/>
        <w:lang w:val="en-US" w:eastAsia="en-US" w:bidi="ar-SA"/>
      </w:rPr>
    </w:lvl>
    <w:lvl w:ilvl="2">
      <w:start w:val="5"/>
      <w:numFmt w:val="decimal"/>
      <w:lvlText w:val="%1.%2.%3"/>
      <w:lvlJc w:val="left"/>
      <w:pPr>
        <w:ind w:left="2125" w:hanging="707"/>
        <w:jc w:val="left"/>
      </w:pPr>
      <w:rPr>
        <w:rFonts w:ascii="Times New Roman" w:eastAsia="Times New Roman" w:hAnsi="Times New Roman" w:cs="Times New Roman" w:hint="default"/>
        <w:b/>
        <w:bCs/>
        <w:i w:val="0"/>
        <w:iCs w:val="0"/>
        <w:spacing w:val="-2"/>
        <w:w w:val="103"/>
        <w:sz w:val="23"/>
        <w:szCs w:val="23"/>
        <w:lang w:val="en-US" w:eastAsia="en-US" w:bidi="ar-SA"/>
      </w:rPr>
    </w:lvl>
    <w:lvl w:ilvl="3">
      <w:start w:val="1"/>
      <w:numFmt w:val="decimal"/>
      <w:lvlText w:val="%1.%2.%3.%4"/>
      <w:lvlJc w:val="left"/>
      <w:pPr>
        <w:ind w:left="2860" w:hanging="1441"/>
        <w:jc w:val="left"/>
      </w:pPr>
      <w:rPr>
        <w:rFonts w:ascii="Times New Roman" w:eastAsia="Times New Roman" w:hAnsi="Times New Roman" w:cs="Times New Roman" w:hint="default"/>
        <w:b/>
        <w:bCs/>
        <w:i w:val="0"/>
        <w:iCs w:val="0"/>
        <w:spacing w:val="-2"/>
        <w:w w:val="103"/>
        <w:sz w:val="23"/>
        <w:szCs w:val="23"/>
        <w:lang w:val="en-US" w:eastAsia="en-US" w:bidi="ar-SA"/>
      </w:rPr>
    </w:lvl>
    <w:lvl w:ilvl="4">
      <w:numFmt w:val="bullet"/>
      <w:lvlText w:val="•"/>
      <w:lvlJc w:val="left"/>
      <w:pPr>
        <w:ind w:left="5404" w:hanging="1441"/>
      </w:pPr>
      <w:rPr>
        <w:rFonts w:hint="default"/>
        <w:lang w:val="en-US" w:eastAsia="en-US" w:bidi="ar-SA"/>
      </w:rPr>
    </w:lvl>
    <w:lvl w:ilvl="5">
      <w:numFmt w:val="bullet"/>
      <w:lvlText w:val="•"/>
      <w:lvlJc w:val="left"/>
      <w:pPr>
        <w:ind w:left="6252" w:hanging="1441"/>
      </w:pPr>
      <w:rPr>
        <w:rFonts w:hint="default"/>
        <w:lang w:val="en-US" w:eastAsia="en-US" w:bidi="ar-SA"/>
      </w:rPr>
    </w:lvl>
    <w:lvl w:ilvl="6">
      <w:numFmt w:val="bullet"/>
      <w:lvlText w:val="•"/>
      <w:lvlJc w:val="left"/>
      <w:pPr>
        <w:ind w:left="7100" w:hanging="1441"/>
      </w:pPr>
      <w:rPr>
        <w:rFonts w:hint="default"/>
        <w:lang w:val="en-US" w:eastAsia="en-US" w:bidi="ar-SA"/>
      </w:rPr>
    </w:lvl>
    <w:lvl w:ilvl="7">
      <w:numFmt w:val="bullet"/>
      <w:lvlText w:val="•"/>
      <w:lvlJc w:val="left"/>
      <w:pPr>
        <w:ind w:left="7948" w:hanging="1441"/>
      </w:pPr>
      <w:rPr>
        <w:rFonts w:hint="default"/>
        <w:lang w:val="en-US" w:eastAsia="en-US" w:bidi="ar-SA"/>
      </w:rPr>
    </w:lvl>
    <w:lvl w:ilvl="8">
      <w:numFmt w:val="bullet"/>
      <w:lvlText w:val="•"/>
      <w:lvlJc w:val="left"/>
      <w:pPr>
        <w:ind w:left="8796" w:hanging="1441"/>
      </w:pPr>
      <w:rPr>
        <w:rFonts w:hint="default"/>
        <w:lang w:val="en-US" w:eastAsia="en-US" w:bidi="ar-SA"/>
      </w:rPr>
    </w:lvl>
  </w:abstractNum>
  <w:abstractNum w:abstractNumId="20" w15:restartNumberingAfterBreak="0">
    <w:nsid w:val="5B452E5D"/>
    <w:multiLevelType w:val="multilevel"/>
    <w:tmpl w:val="65C4902C"/>
    <w:lvl w:ilvl="0">
      <w:start w:val="3"/>
      <w:numFmt w:val="decimal"/>
      <w:lvlText w:val="%1"/>
      <w:lvlJc w:val="left"/>
      <w:pPr>
        <w:ind w:left="2492" w:hanging="1074"/>
        <w:jc w:val="left"/>
      </w:pPr>
      <w:rPr>
        <w:rFonts w:hint="default"/>
        <w:lang w:val="en-US" w:eastAsia="en-US" w:bidi="ar-SA"/>
      </w:rPr>
    </w:lvl>
    <w:lvl w:ilvl="1">
      <w:start w:val="7"/>
      <w:numFmt w:val="decimal"/>
      <w:lvlText w:val="%1.%2"/>
      <w:lvlJc w:val="left"/>
      <w:pPr>
        <w:ind w:left="2492" w:hanging="1074"/>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start w:val="1"/>
      <w:numFmt w:val="decimal"/>
      <w:lvlText w:val="%1.%2.%3"/>
      <w:lvlJc w:val="left"/>
      <w:pPr>
        <w:ind w:left="2492" w:hanging="1074"/>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3551" w:hanging="1074"/>
      </w:pPr>
      <w:rPr>
        <w:rFonts w:hint="default"/>
        <w:lang w:val="en-US" w:eastAsia="en-US" w:bidi="ar-SA"/>
      </w:rPr>
    </w:lvl>
    <w:lvl w:ilvl="4">
      <w:numFmt w:val="bullet"/>
      <w:lvlText w:val="•"/>
      <w:lvlJc w:val="left"/>
      <w:pPr>
        <w:ind w:left="4543" w:hanging="1074"/>
      </w:pPr>
      <w:rPr>
        <w:rFonts w:hint="default"/>
        <w:lang w:val="en-US" w:eastAsia="en-US" w:bidi="ar-SA"/>
      </w:rPr>
    </w:lvl>
    <w:lvl w:ilvl="5">
      <w:numFmt w:val="bullet"/>
      <w:lvlText w:val="•"/>
      <w:lvlJc w:val="left"/>
      <w:pPr>
        <w:ind w:left="5534" w:hanging="1074"/>
      </w:pPr>
      <w:rPr>
        <w:rFonts w:hint="default"/>
        <w:lang w:val="en-US" w:eastAsia="en-US" w:bidi="ar-SA"/>
      </w:rPr>
    </w:lvl>
    <w:lvl w:ilvl="6">
      <w:numFmt w:val="bullet"/>
      <w:lvlText w:val="•"/>
      <w:lvlJc w:val="left"/>
      <w:pPr>
        <w:ind w:left="6526" w:hanging="1074"/>
      </w:pPr>
      <w:rPr>
        <w:rFonts w:hint="default"/>
        <w:lang w:val="en-US" w:eastAsia="en-US" w:bidi="ar-SA"/>
      </w:rPr>
    </w:lvl>
    <w:lvl w:ilvl="7">
      <w:numFmt w:val="bullet"/>
      <w:lvlText w:val="•"/>
      <w:lvlJc w:val="left"/>
      <w:pPr>
        <w:ind w:left="7518" w:hanging="1074"/>
      </w:pPr>
      <w:rPr>
        <w:rFonts w:hint="default"/>
        <w:lang w:val="en-US" w:eastAsia="en-US" w:bidi="ar-SA"/>
      </w:rPr>
    </w:lvl>
    <w:lvl w:ilvl="8">
      <w:numFmt w:val="bullet"/>
      <w:lvlText w:val="•"/>
      <w:lvlJc w:val="left"/>
      <w:pPr>
        <w:ind w:left="8509" w:hanging="1074"/>
      </w:pPr>
      <w:rPr>
        <w:rFonts w:hint="default"/>
        <w:lang w:val="en-US" w:eastAsia="en-US" w:bidi="ar-SA"/>
      </w:rPr>
    </w:lvl>
  </w:abstractNum>
  <w:abstractNum w:abstractNumId="21" w15:restartNumberingAfterBreak="0">
    <w:nsid w:val="63895338"/>
    <w:multiLevelType w:val="multilevel"/>
    <w:tmpl w:val="9328DA6C"/>
    <w:lvl w:ilvl="0">
      <w:start w:val="2"/>
      <w:numFmt w:val="decimal"/>
      <w:lvlText w:val="%1"/>
      <w:lvlJc w:val="left"/>
      <w:pPr>
        <w:ind w:left="2435" w:hanging="1016"/>
        <w:jc w:val="left"/>
      </w:pPr>
      <w:rPr>
        <w:rFonts w:hint="default"/>
        <w:lang w:val="en-US" w:eastAsia="en-US" w:bidi="ar-SA"/>
      </w:rPr>
    </w:lvl>
    <w:lvl w:ilvl="1">
      <w:start w:val="5"/>
      <w:numFmt w:val="decimal"/>
      <w:lvlText w:val="%1.%2"/>
      <w:lvlJc w:val="left"/>
      <w:pPr>
        <w:ind w:left="2435" w:hanging="1016"/>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numFmt w:val="bullet"/>
      <w:lvlText w:val="•"/>
      <w:lvlJc w:val="left"/>
      <w:pPr>
        <w:ind w:left="4050" w:hanging="1016"/>
      </w:pPr>
      <w:rPr>
        <w:rFonts w:hint="default"/>
        <w:lang w:val="en-US" w:eastAsia="en-US" w:bidi="ar-SA"/>
      </w:rPr>
    </w:lvl>
    <w:lvl w:ilvl="3">
      <w:numFmt w:val="bullet"/>
      <w:lvlText w:val="•"/>
      <w:lvlJc w:val="left"/>
      <w:pPr>
        <w:ind w:left="4855" w:hanging="1016"/>
      </w:pPr>
      <w:rPr>
        <w:rFonts w:hint="default"/>
        <w:lang w:val="en-US" w:eastAsia="en-US" w:bidi="ar-SA"/>
      </w:rPr>
    </w:lvl>
    <w:lvl w:ilvl="4">
      <w:numFmt w:val="bullet"/>
      <w:lvlText w:val="•"/>
      <w:lvlJc w:val="left"/>
      <w:pPr>
        <w:ind w:left="5661" w:hanging="1016"/>
      </w:pPr>
      <w:rPr>
        <w:rFonts w:hint="default"/>
        <w:lang w:val="en-US" w:eastAsia="en-US" w:bidi="ar-SA"/>
      </w:rPr>
    </w:lvl>
    <w:lvl w:ilvl="5">
      <w:numFmt w:val="bullet"/>
      <w:lvlText w:val="•"/>
      <w:lvlJc w:val="left"/>
      <w:pPr>
        <w:ind w:left="6466" w:hanging="1016"/>
      </w:pPr>
      <w:rPr>
        <w:rFonts w:hint="default"/>
        <w:lang w:val="en-US" w:eastAsia="en-US" w:bidi="ar-SA"/>
      </w:rPr>
    </w:lvl>
    <w:lvl w:ilvl="6">
      <w:numFmt w:val="bullet"/>
      <w:lvlText w:val="•"/>
      <w:lvlJc w:val="left"/>
      <w:pPr>
        <w:ind w:left="7271" w:hanging="1016"/>
      </w:pPr>
      <w:rPr>
        <w:rFonts w:hint="default"/>
        <w:lang w:val="en-US" w:eastAsia="en-US" w:bidi="ar-SA"/>
      </w:rPr>
    </w:lvl>
    <w:lvl w:ilvl="7">
      <w:numFmt w:val="bullet"/>
      <w:lvlText w:val="•"/>
      <w:lvlJc w:val="left"/>
      <w:pPr>
        <w:ind w:left="8076" w:hanging="1016"/>
      </w:pPr>
      <w:rPr>
        <w:rFonts w:hint="default"/>
        <w:lang w:val="en-US" w:eastAsia="en-US" w:bidi="ar-SA"/>
      </w:rPr>
    </w:lvl>
    <w:lvl w:ilvl="8">
      <w:numFmt w:val="bullet"/>
      <w:lvlText w:val="•"/>
      <w:lvlJc w:val="left"/>
      <w:pPr>
        <w:ind w:left="8882" w:hanging="1016"/>
      </w:pPr>
      <w:rPr>
        <w:rFonts w:hint="default"/>
        <w:lang w:val="en-US" w:eastAsia="en-US" w:bidi="ar-SA"/>
      </w:rPr>
    </w:lvl>
  </w:abstractNum>
  <w:abstractNum w:abstractNumId="22" w15:restartNumberingAfterBreak="0">
    <w:nsid w:val="63FF048B"/>
    <w:multiLevelType w:val="hybridMultilevel"/>
    <w:tmpl w:val="0B4827BE"/>
    <w:lvl w:ilvl="0" w:tplc="EA9C1FBC">
      <w:start w:val="1"/>
      <w:numFmt w:val="upperRoman"/>
      <w:lvlText w:val="%1."/>
      <w:lvlJc w:val="left"/>
      <w:pPr>
        <w:ind w:left="270" w:hanging="214"/>
        <w:jc w:val="left"/>
      </w:pPr>
      <w:rPr>
        <w:rFonts w:ascii="Times New Roman" w:eastAsia="Times New Roman" w:hAnsi="Times New Roman" w:cs="Times New Roman" w:hint="default"/>
        <w:b/>
        <w:bCs/>
        <w:i w:val="0"/>
        <w:iCs w:val="0"/>
        <w:spacing w:val="0"/>
        <w:w w:val="100"/>
        <w:sz w:val="24"/>
        <w:szCs w:val="24"/>
        <w:lang w:val="en-US" w:eastAsia="en-US" w:bidi="ar-SA"/>
      </w:rPr>
    </w:lvl>
    <w:lvl w:ilvl="1" w:tplc="C9F692EC">
      <w:numFmt w:val="bullet"/>
      <w:lvlText w:val="•"/>
      <w:lvlJc w:val="left"/>
      <w:pPr>
        <w:ind w:left="1301" w:hanging="214"/>
      </w:pPr>
      <w:rPr>
        <w:rFonts w:hint="default"/>
        <w:lang w:val="en-US" w:eastAsia="en-US" w:bidi="ar-SA"/>
      </w:rPr>
    </w:lvl>
    <w:lvl w:ilvl="2" w:tplc="D38AED5C">
      <w:numFmt w:val="bullet"/>
      <w:lvlText w:val="•"/>
      <w:lvlJc w:val="left"/>
      <w:pPr>
        <w:ind w:left="2322" w:hanging="214"/>
      </w:pPr>
      <w:rPr>
        <w:rFonts w:hint="default"/>
        <w:lang w:val="en-US" w:eastAsia="en-US" w:bidi="ar-SA"/>
      </w:rPr>
    </w:lvl>
    <w:lvl w:ilvl="3" w:tplc="71CAD38C">
      <w:numFmt w:val="bullet"/>
      <w:lvlText w:val="•"/>
      <w:lvlJc w:val="left"/>
      <w:pPr>
        <w:ind w:left="3343" w:hanging="214"/>
      </w:pPr>
      <w:rPr>
        <w:rFonts w:hint="default"/>
        <w:lang w:val="en-US" w:eastAsia="en-US" w:bidi="ar-SA"/>
      </w:rPr>
    </w:lvl>
    <w:lvl w:ilvl="4" w:tplc="5A8887D8">
      <w:numFmt w:val="bullet"/>
      <w:lvlText w:val="•"/>
      <w:lvlJc w:val="left"/>
      <w:pPr>
        <w:ind w:left="4365" w:hanging="214"/>
      </w:pPr>
      <w:rPr>
        <w:rFonts w:hint="default"/>
        <w:lang w:val="en-US" w:eastAsia="en-US" w:bidi="ar-SA"/>
      </w:rPr>
    </w:lvl>
    <w:lvl w:ilvl="5" w:tplc="DB144F08">
      <w:numFmt w:val="bullet"/>
      <w:lvlText w:val="•"/>
      <w:lvlJc w:val="left"/>
      <w:pPr>
        <w:ind w:left="5386" w:hanging="214"/>
      </w:pPr>
      <w:rPr>
        <w:rFonts w:hint="default"/>
        <w:lang w:val="en-US" w:eastAsia="en-US" w:bidi="ar-SA"/>
      </w:rPr>
    </w:lvl>
    <w:lvl w:ilvl="6" w:tplc="3F761E40">
      <w:numFmt w:val="bullet"/>
      <w:lvlText w:val="•"/>
      <w:lvlJc w:val="left"/>
      <w:pPr>
        <w:ind w:left="6407" w:hanging="214"/>
      </w:pPr>
      <w:rPr>
        <w:rFonts w:hint="default"/>
        <w:lang w:val="en-US" w:eastAsia="en-US" w:bidi="ar-SA"/>
      </w:rPr>
    </w:lvl>
    <w:lvl w:ilvl="7" w:tplc="E1C4DC7E">
      <w:numFmt w:val="bullet"/>
      <w:lvlText w:val="•"/>
      <w:lvlJc w:val="left"/>
      <w:pPr>
        <w:ind w:left="7428" w:hanging="214"/>
      </w:pPr>
      <w:rPr>
        <w:rFonts w:hint="default"/>
        <w:lang w:val="en-US" w:eastAsia="en-US" w:bidi="ar-SA"/>
      </w:rPr>
    </w:lvl>
    <w:lvl w:ilvl="8" w:tplc="7FD81AD6">
      <w:numFmt w:val="bullet"/>
      <w:lvlText w:val="•"/>
      <w:lvlJc w:val="left"/>
      <w:pPr>
        <w:ind w:left="8450" w:hanging="214"/>
      </w:pPr>
      <w:rPr>
        <w:rFonts w:hint="default"/>
        <w:lang w:val="en-US" w:eastAsia="en-US" w:bidi="ar-SA"/>
      </w:rPr>
    </w:lvl>
  </w:abstractNum>
  <w:abstractNum w:abstractNumId="23" w15:restartNumberingAfterBreak="0">
    <w:nsid w:val="67E8755F"/>
    <w:multiLevelType w:val="hybridMultilevel"/>
    <w:tmpl w:val="150E1E1A"/>
    <w:lvl w:ilvl="0" w:tplc="14A434B6">
      <w:start w:val="1"/>
      <w:numFmt w:val="decimal"/>
      <w:lvlText w:val="%1."/>
      <w:lvlJc w:val="left"/>
      <w:pPr>
        <w:ind w:left="2140" w:hanging="36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1" w:tplc="AF04D6FA">
      <w:start w:val="1"/>
      <w:numFmt w:val="lowerLetter"/>
      <w:lvlText w:val="%2)"/>
      <w:lvlJc w:val="left"/>
      <w:pPr>
        <w:ind w:left="2860" w:hanging="361"/>
        <w:jc w:val="left"/>
      </w:pPr>
      <w:rPr>
        <w:rFonts w:ascii="Times New Roman" w:eastAsia="Times New Roman" w:hAnsi="Times New Roman" w:cs="Times New Roman" w:hint="default"/>
        <w:b w:val="0"/>
        <w:bCs w:val="0"/>
        <w:i w:val="0"/>
        <w:iCs w:val="0"/>
        <w:spacing w:val="0"/>
        <w:w w:val="103"/>
        <w:sz w:val="23"/>
        <w:szCs w:val="23"/>
        <w:lang w:val="en-US" w:eastAsia="en-US" w:bidi="ar-SA"/>
      </w:rPr>
    </w:lvl>
    <w:lvl w:ilvl="2" w:tplc="B61AB74E">
      <w:numFmt w:val="bullet"/>
      <w:lvlText w:val="•"/>
      <w:lvlJc w:val="left"/>
      <w:pPr>
        <w:ind w:left="3708" w:hanging="361"/>
      </w:pPr>
      <w:rPr>
        <w:rFonts w:hint="default"/>
        <w:lang w:val="en-US" w:eastAsia="en-US" w:bidi="ar-SA"/>
      </w:rPr>
    </w:lvl>
    <w:lvl w:ilvl="3" w:tplc="E0827D52">
      <w:numFmt w:val="bullet"/>
      <w:lvlText w:val="•"/>
      <w:lvlJc w:val="left"/>
      <w:pPr>
        <w:ind w:left="4556" w:hanging="361"/>
      </w:pPr>
      <w:rPr>
        <w:rFonts w:hint="default"/>
        <w:lang w:val="en-US" w:eastAsia="en-US" w:bidi="ar-SA"/>
      </w:rPr>
    </w:lvl>
    <w:lvl w:ilvl="4" w:tplc="0ED8B068">
      <w:numFmt w:val="bullet"/>
      <w:lvlText w:val="•"/>
      <w:lvlJc w:val="left"/>
      <w:pPr>
        <w:ind w:left="5404" w:hanging="361"/>
      </w:pPr>
      <w:rPr>
        <w:rFonts w:hint="default"/>
        <w:lang w:val="en-US" w:eastAsia="en-US" w:bidi="ar-SA"/>
      </w:rPr>
    </w:lvl>
    <w:lvl w:ilvl="5" w:tplc="FCCCD750">
      <w:numFmt w:val="bullet"/>
      <w:lvlText w:val="•"/>
      <w:lvlJc w:val="left"/>
      <w:pPr>
        <w:ind w:left="6252" w:hanging="361"/>
      </w:pPr>
      <w:rPr>
        <w:rFonts w:hint="default"/>
        <w:lang w:val="en-US" w:eastAsia="en-US" w:bidi="ar-SA"/>
      </w:rPr>
    </w:lvl>
    <w:lvl w:ilvl="6" w:tplc="B726ABBA">
      <w:numFmt w:val="bullet"/>
      <w:lvlText w:val="•"/>
      <w:lvlJc w:val="left"/>
      <w:pPr>
        <w:ind w:left="7100" w:hanging="361"/>
      </w:pPr>
      <w:rPr>
        <w:rFonts w:hint="default"/>
        <w:lang w:val="en-US" w:eastAsia="en-US" w:bidi="ar-SA"/>
      </w:rPr>
    </w:lvl>
    <w:lvl w:ilvl="7" w:tplc="AB927DEE">
      <w:numFmt w:val="bullet"/>
      <w:lvlText w:val="•"/>
      <w:lvlJc w:val="left"/>
      <w:pPr>
        <w:ind w:left="7948" w:hanging="361"/>
      </w:pPr>
      <w:rPr>
        <w:rFonts w:hint="default"/>
        <w:lang w:val="en-US" w:eastAsia="en-US" w:bidi="ar-SA"/>
      </w:rPr>
    </w:lvl>
    <w:lvl w:ilvl="8" w:tplc="7F4621FC">
      <w:numFmt w:val="bullet"/>
      <w:lvlText w:val="•"/>
      <w:lvlJc w:val="left"/>
      <w:pPr>
        <w:ind w:left="8796" w:hanging="361"/>
      </w:pPr>
      <w:rPr>
        <w:rFonts w:hint="default"/>
        <w:lang w:val="en-US" w:eastAsia="en-US" w:bidi="ar-SA"/>
      </w:rPr>
    </w:lvl>
  </w:abstractNum>
  <w:abstractNum w:abstractNumId="24" w15:restartNumberingAfterBreak="0">
    <w:nsid w:val="6DA40E40"/>
    <w:multiLevelType w:val="multilevel"/>
    <w:tmpl w:val="038C598C"/>
    <w:lvl w:ilvl="0">
      <w:start w:val="3"/>
      <w:numFmt w:val="decimal"/>
      <w:lvlText w:val="%1"/>
      <w:lvlJc w:val="left"/>
      <w:pPr>
        <w:ind w:left="2492" w:hanging="1074"/>
        <w:jc w:val="left"/>
      </w:pPr>
      <w:rPr>
        <w:rFonts w:hint="default"/>
        <w:lang w:val="en-US" w:eastAsia="en-US" w:bidi="ar-SA"/>
      </w:rPr>
    </w:lvl>
    <w:lvl w:ilvl="1">
      <w:start w:val="1"/>
      <w:numFmt w:val="decimal"/>
      <w:lvlText w:val="%1.%2"/>
      <w:lvlJc w:val="left"/>
      <w:pPr>
        <w:ind w:left="2492" w:hanging="1074"/>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2">
      <w:numFmt w:val="bullet"/>
      <w:lvlText w:val="•"/>
      <w:lvlJc w:val="left"/>
      <w:pPr>
        <w:ind w:left="4098" w:hanging="1074"/>
      </w:pPr>
      <w:rPr>
        <w:rFonts w:hint="default"/>
        <w:lang w:val="en-US" w:eastAsia="en-US" w:bidi="ar-SA"/>
      </w:rPr>
    </w:lvl>
    <w:lvl w:ilvl="3">
      <w:numFmt w:val="bullet"/>
      <w:lvlText w:val="•"/>
      <w:lvlJc w:val="left"/>
      <w:pPr>
        <w:ind w:left="4897" w:hanging="1074"/>
      </w:pPr>
      <w:rPr>
        <w:rFonts w:hint="default"/>
        <w:lang w:val="en-US" w:eastAsia="en-US" w:bidi="ar-SA"/>
      </w:rPr>
    </w:lvl>
    <w:lvl w:ilvl="4">
      <w:numFmt w:val="bullet"/>
      <w:lvlText w:val="•"/>
      <w:lvlJc w:val="left"/>
      <w:pPr>
        <w:ind w:left="5697" w:hanging="1074"/>
      </w:pPr>
      <w:rPr>
        <w:rFonts w:hint="default"/>
        <w:lang w:val="en-US" w:eastAsia="en-US" w:bidi="ar-SA"/>
      </w:rPr>
    </w:lvl>
    <w:lvl w:ilvl="5">
      <w:numFmt w:val="bullet"/>
      <w:lvlText w:val="•"/>
      <w:lvlJc w:val="left"/>
      <w:pPr>
        <w:ind w:left="6496" w:hanging="1074"/>
      </w:pPr>
      <w:rPr>
        <w:rFonts w:hint="default"/>
        <w:lang w:val="en-US" w:eastAsia="en-US" w:bidi="ar-SA"/>
      </w:rPr>
    </w:lvl>
    <w:lvl w:ilvl="6">
      <w:numFmt w:val="bullet"/>
      <w:lvlText w:val="•"/>
      <w:lvlJc w:val="left"/>
      <w:pPr>
        <w:ind w:left="7295" w:hanging="1074"/>
      </w:pPr>
      <w:rPr>
        <w:rFonts w:hint="default"/>
        <w:lang w:val="en-US" w:eastAsia="en-US" w:bidi="ar-SA"/>
      </w:rPr>
    </w:lvl>
    <w:lvl w:ilvl="7">
      <w:numFmt w:val="bullet"/>
      <w:lvlText w:val="•"/>
      <w:lvlJc w:val="left"/>
      <w:pPr>
        <w:ind w:left="8094" w:hanging="1074"/>
      </w:pPr>
      <w:rPr>
        <w:rFonts w:hint="default"/>
        <w:lang w:val="en-US" w:eastAsia="en-US" w:bidi="ar-SA"/>
      </w:rPr>
    </w:lvl>
    <w:lvl w:ilvl="8">
      <w:numFmt w:val="bullet"/>
      <w:lvlText w:val="•"/>
      <w:lvlJc w:val="left"/>
      <w:pPr>
        <w:ind w:left="8894" w:hanging="1074"/>
      </w:pPr>
      <w:rPr>
        <w:rFonts w:hint="default"/>
        <w:lang w:val="en-US" w:eastAsia="en-US" w:bidi="ar-SA"/>
      </w:rPr>
    </w:lvl>
  </w:abstractNum>
  <w:abstractNum w:abstractNumId="25" w15:restartNumberingAfterBreak="0">
    <w:nsid w:val="6E015F49"/>
    <w:multiLevelType w:val="multilevel"/>
    <w:tmpl w:val="A8F8BD54"/>
    <w:lvl w:ilvl="0">
      <w:start w:val="6"/>
      <w:numFmt w:val="decimal"/>
      <w:lvlText w:val="%1"/>
      <w:lvlJc w:val="left"/>
      <w:pPr>
        <w:ind w:left="2622" w:hanging="1203"/>
        <w:jc w:val="left"/>
      </w:pPr>
      <w:rPr>
        <w:rFonts w:hint="default"/>
        <w:lang w:val="en-US" w:eastAsia="en-US" w:bidi="ar-SA"/>
      </w:rPr>
    </w:lvl>
    <w:lvl w:ilvl="1">
      <w:start w:val="4"/>
      <w:numFmt w:val="decimal"/>
      <w:lvlText w:val="%1.%2"/>
      <w:lvlJc w:val="left"/>
      <w:pPr>
        <w:ind w:left="2622" w:hanging="1203"/>
        <w:jc w:val="left"/>
      </w:pPr>
      <w:rPr>
        <w:rFonts w:hint="default"/>
        <w:lang w:val="en-US" w:eastAsia="en-US" w:bidi="ar-SA"/>
      </w:rPr>
    </w:lvl>
    <w:lvl w:ilvl="2">
      <w:start w:val="1"/>
      <w:numFmt w:val="decimal"/>
      <w:lvlText w:val="%1.%2.%3"/>
      <w:lvlJc w:val="left"/>
      <w:pPr>
        <w:ind w:left="2622" w:hanging="1203"/>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4981" w:hanging="1203"/>
      </w:pPr>
      <w:rPr>
        <w:rFonts w:hint="default"/>
        <w:lang w:val="en-US" w:eastAsia="en-US" w:bidi="ar-SA"/>
      </w:rPr>
    </w:lvl>
    <w:lvl w:ilvl="4">
      <w:numFmt w:val="bullet"/>
      <w:lvlText w:val="•"/>
      <w:lvlJc w:val="left"/>
      <w:pPr>
        <w:ind w:left="5769" w:hanging="1203"/>
      </w:pPr>
      <w:rPr>
        <w:rFonts w:hint="default"/>
        <w:lang w:val="en-US" w:eastAsia="en-US" w:bidi="ar-SA"/>
      </w:rPr>
    </w:lvl>
    <w:lvl w:ilvl="5">
      <w:numFmt w:val="bullet"/>
      <w:lvlText w:val="•"/>
      <w:lvlJc w:val="left"/>
      <w:pPr>
        <w:ind w:left="6556" w:hanging="1203"/>
      </w:pPr>
      <w:rPr>
        <w:rFonts w:hint="default"/>
        <w:lang w:val="en-US" w:eastAsia="en-US" w:bidi="ar-SA"/>
      </w:rPr>
    </w:lvl>
    <w:lvl w:ilvl="6">
      <w:numFmt w:val="bullet"/>
      <w:lvlText w:val="•"/>
      <w:lvlJc w:val="left"/>
      <w:pPr>
        <w:ind w:left="7343" w:hanging="1203"/>
      </w:pPr>
      <w:rPr>
        <w:rFonts w:hint="default"/>
        <w:lang w:val="en-US" w:eastAsia="en-US" w:bidi="ar-SA"/>
      </w:rPr>
    </w:lvl>
    <w:lvl w:ilvl="7">
      <w:numFmt w:val="bullet"/>
      <w:lvlText w:val="•"/>
      <w:lvlJc w:val="left"/>
      <w:pPr>
        <w:ind w:left="8130" w:hanging="1203"/>
      </w:pPr>
      <w:rPr>
        <w:rFonts w:hint="default"/>
        <w:lang w:val="en-US" w:eastAsia="en-US" w:bidi="ar-SA"/>
      </w:rPr>
    </w:lvl>
    <w:lvl w:ilvl="8">
      <w:numFmt w:val="bullet"/>
      <w:lvlText w:val="•"/>
      <w:lvlJc w:val="left"/>
      <w:pPr>
        <w:ind w:left="8918" w:hanging="1203"/>
      </w:pPr>
      <w:rPr>
        <w:rFonts w:hint="default"/>
        <w:lang w:val="en-US" w:eastAsia="en-US" w:bidi="ar-SA"/>
      </w:rPr>
    </w:lvl>
  </w:abstractNum>
  <w:abstractNum w:abstractNumId="26" w15:restartNumberingAfterBreak="0">
    <w:nsid w:val="73D20A85"/>
    <w:multiLevelType w:val="hybridMultilevel"/>
    <w:tmpl w:val="7F2659C0"/>
    <w:lvl w:ilvl="0" w:tplc="78640BEA">
      <w:numFmt w:val="bullet"/>
      <w:lvlText w:val=""/>
      <w:lvlJc w:val="left"/>
      <w:pPr>
        <w:ind w:left="360" w:hanging="360"/>
      </w:pPr>
      <w:rPr>
        <w:rFonts w:ascii="Symbol" w:eastAsia="Symbol" w:hAnsi="Symbol" w:cs="Symbol" w:hint="default"/>
        <w:b w:val="0"/>
        <w:bCs w:val="0"/>
        <w:i w:val="0"/>
        <w:iCs w:val="0"/>
        <w:spacing w:val="0"/>
        <w:w w:val="100"/>
        <w:sz w:val="20"/>
        <w:szCs w:val="20"/>
        <w:lang w:val="en-US" w:eastAsia="en-US" w:bidi="ar-SA"/>
      </w:rPr>
    </w:lvl>
    <w:lvl w:ilvl="1" w:tplc="896A4B64">
      <w:numFmt w:val="bullet"/>
      <w:lvlText w:val="•"/>
      <w:lvlJc w:val="left"/>
      <w:pPr>
        <w:ind w:left="538" w:hanging="360"/>
      </w:pPr>
      <w:rPr>
        <w:rFonts w:hint="default"/>
        <w:lang w:val="en-US" w:eastAsia="en-US" w:bidi="ar-SA"/>
      </w:rPr>
    </w:lvl>
    <w:lvl w:ilvl="2" w:tplc="93747518">
      <w:numFmt w:val="bullet"/>
      <w:lvlText w:val="•"/>
      <w:lvlJc w:val="left"/>
      <w:pPr>
        <w:ind w:left="717" w:hanging="360"/>
      </w:pPr>
      <w:rPr>
        <w:rFonts w:hint="default"/>
        <w:lang w:val="en-US" w:eastAsia="en-US" w:bidi="ar-SA"/>
      </w:rPr>
    </w:lvl>
    <w:lvl w:ilvl="3" w:tplc="8984007A">
      <w:numFmt w:val="bullet"/>
      <w:lvlText w:val="•"/>
      <w:lvlJc w:val="left"/>
      <w:pPr>
        <w:ind w:left="896" w:hanging="360"/>
      </w:pPr>
      <w:rPr>
        <w:rFonts w:hint="default"/>
        <w:lang w:val="en-US" w:eastAsia="en-US" w:bidi="ar-SA"/>
      </w:rPr>
    </w:lvl>
    <w:lvl w:ilvl="4" w:tplc="7EDC29F0">
      <w:numFmt w:val="bullet"/>
      <w:lvlText w:val="•"/>
      <w:lvlJc w:val="left"/>
      <w:pPr>
        <w:ind w:left="1075" w:hanging="360"/>
      </w:pPr>
      <w:rPr>
        <w:rFonts w:hint="default"/>
        <w:lang w:val="en-US" w:eastAsia="en-US" w:bidi="ar-SA"/>
      </w:rPr>
    </w:lvl>
    <w:lvl w:ilvl="5" w:tplc="4B626AF8">
      <w:numFmt w:val="bullet"/>
      <w:lvlText w:val="•"/>
      <w:lvlJc w:val="left"/>
      <w:pPr>
        <w:ind w:left="1253" w:hanging="360"/>
      </w:pPr>
      <w:rPr>
        <w:rFonts w:hint="default"/>
        <w:lang w:val="en-US" w:eastAsia="en-US" w:bidi="ar-SA"/>
      </w:rPr>
    </w:lvl>
    <w:lvl w:ilvl="6" w:tplc="3EE64AB6">
      <w:numFmt w:val="bullet"/>
      <w:lvlText w:val="•"/>
      <w:lvlJc w:val="left"/>
      <w:pPr>
        <w:ind w:left="1432" w:hanging="360"/>
      </w:pPr>
      <w:rPr>
        <w:rFonts w:hint="default"/>
        <w:lang w:val="en-US" w:eastAsia="en-US" w:bidi="ar-SA"/>
      </w:rPr>
    </w:lvl>
    <w:lvl w:ilvl="7" w:tplc="A5DA0916">
      <w:numFmt w:val="bullet"/>
      <w:lvlText w:val="•"/>
      <w:lvlJc w:val="left"/>
      <w:pPr>
        <w:ind w:left="1611" w:hanging="360"/>
      </w:pPr>
      <w:rPr>
        <w:rFonts w:hint="default"/>
        <w:lang w:val="en-US" w:eastAsia="en-US" w:bidi="ar-SA"/>
      </w:rPr>
    </w:lvl>
    <w:lvl w:ilvl="8" w:tplc="12384292">
      <w:numFmt w:val="bullet"/>
      <w:lvlText w:val="•"/>
      <w:lvlJc w:val="left"/>
      <w:pPr>
        <w:ind w:left="1790" w:hanging="360"/>
      </w:pPr>
      <w:rPr>
        <w:rFonts w:hint="default"/>
        <w:lang w:val="en-US" w:eastAsia="en-US" w:bidi="ar-SA"/>
      </w:rPr>
    </w:lvl>
  </w:abstractNum>
  <w:abstractNum w:abstractNumId="27" w15:restartNumberingAfterBreak="0">
    <w:nsid w:val="74506C5B"/>
    <w:multiLevelType w:val="multilevel"/>
    <w:tmpl w:val="FA24D3A4"/>
    <w:lvl w:ilvl="0">
      <w:start w:val="3"/>
      <w:numFmt w:val="decimal"/>
      <w:lvlText w:val="%1"/>
      <w:lvlJc w:val="left"/>
      <w:pPr>
        <w:ind w:left="2557" w:hanging="1139"/>
        <w:jc w:val="left"/>
      </w:pPr>
      <w:rPr>
        <w:rFonts w:hint="default"/>
        <w:lang w:val="en-US" w:eastAsia="en-US" w:bidi="ar-SA"/>
      </w:rPr>
    </w:lvl>
    <w:lvl w:ilvl="1">
      <w:start w:val="12"/>
      <w:numFmt w:val="decimal"/>
      <w:lvlText w:val="%1.%2"/>
      <w:lvlJc w:val="left"/>
      <w:pPr>
        <w:ind w:left="2557" w:hanging="1139"/>
        <w:jc w:val="left"/>
      </w:pPr>
      <w:rPr>
        <w:rFonts w:hint="default"/>
        <w:lang w:val="en-US" w:eastAsia="en-US" w:bidi="ar-SA"/>
      </w:rPr>
    </w:lvl>
    <w:lvl w:ilvl="2">
      <w:start w:val="5"/>
      <w:numFmt w:val="decimal"/>
      <w:lvlText w:val="%1.%2.%3"/>
      <w:lvlJc w:val="left"/>
      <w:pPr>
        <w:ind w:left="2557" w:hanging="1139"/>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4939" w:hanging="1139"/>
      </w:pPr>
      <w:rPr>
        <w:rFonts w:hint="default"/>
        <w:lang w:val="en-US" w:eastAsia="en-US" w:bidi="ar-SA"/>
      </w:rPr>
    </w:lvl>
    <w:lvl w:ilvl="4">
      <w:numFmt w:val="bullet"/>
      <w:lvlText w:val="•"/>
      <w:lvlJc w:val="left"/>
      <w:pPr>
        <w:ind w:left="5733" w:hanging="1139"/>
      </w:pPr>
      <w:rPr>
        <w:rFonts w:hint="default"/>
        <w:lang w:val="en-US" w:eastAsia="en-US" w:bidi="ar-SA"/>
      </w:rPr>
    </w:lvl>
    <w:lvl w:ilvl="5">
      <w:numFmt w:val="bullet"/>
      <w:lvlText w:val="•"/>
      <w:lvlJc w:val="left"/>
      <w:pPr>
        <w:ind w:left="6526" w:hanging="1139"/>
      </w:pPr>
      <w:rPr>
        <w:rFonts w:hint="default"/>
        <w:lang w:val="en-US" w:eastAsia="en-US" w:bidi="ar-SA"/>
      </w:rPr>
    </w:lvl>
    <w:lvl w:ilvl="6">
      <w:numFmt w:val="bullet"/>
      <w:lvlText w:val="•"/>
      <w:lvlJc w:val="left"/>
      <w:pPr>
        <w:ind w:left="7319" w:hanging="1139"/>
      </w:pPr>
      <w:rPr>
        <w:rFonts w:hint="default"/>
        <w:lang w:val="en-US" w:eastAsia="en-US" w:bidi="ar-SA"/>
      </w:rPr>
    </w:lvl>
    <w:lvl w:ilvl="7">
      <w:numFmt w:val="bullet"/>
      <w:lvlText w:val="•"/>
      <w:lvlJc w:val="left"/>
      <w:pPr>
        <w:ind w:left="8112" w:hanging="1139"/>
      </w:pPr>
      <w:rPr>
        <w:rFonts w:hint="default"/>
        <w:lang w:val="en-US" w:eastAsia="en-US" w:bidi="ar-SA"/>
      </w:rPr>
    </w:lvl>
    <w:lvl w:ilvl="8">
      <w:numFmt w:val="bullet"/>
      <w:lvlText w:val="•"/>
      <w:lvlJc w:val="left"/>
      <w:pPr>
        <w:ind w:left="8906" w:hanging="1139"/>
      </w:pPr>
      <w:rPr>
        <w:rFonts w:hint="default"/>
        <w:lang w:val="en-US" w:eastAsia="en-US" w:bidi="ar-SA"/>
      </w:rPr>
    </w:lvl>
  </w:abstractNum>
  <w:abstractNum w:abstractNumId="28" w15:restartNumberingAfterBreak="0">
    <w:nsid w:val="782034B7"/>
    <w:multiLevelType w:val="multilevel"/>
    <w:tmpl w:val="D0840CF0"/>
    <w:lvl w:ilvl="0">
      <w:start w:val="2"/>
      <w:numFmt w:val="decimal"/>
      <w:lvlText w:val="%1"/>
      <w:lvlJc w:val="left"/>
      <w:pPr>
        <w:ind w:left="1419" w:hanging="1071"/>
        <w:jc w:val="left"/>
      </w:pPr>
      <w:rPr>
        <w:rFonts w:hint="default"/>
        <w:lang w:val="en-US" w:eastAsia="en-US" w:bidi="ar-SA"/>
      </w:rPr>
    </w:lvl>
    <w:lvl w:ilvl="1">
      <w:start w:val="4"/>
      <w:numFmt w:val="decimal"/>
      <w:lvlText w:val="%1.%2"/>
      <w:lvlJc w:val="left"/>
      <w:pPr>
        <w:ind w:left="1419" w:hanging="1071"/>
        <w:jc w:val="left"/>
      </w:pPr>
      <w:rPr>
        <w:rFonts w:hint="default"/>
        <w:lang w:val="en-US" w:eastAsia="en-US" w:bidi="ar-SA"/>
      </w:rPr>
    </w:lvl>
    <w:lvl w:ilvl="2">
      <w:start w:val="3"/>
      <w:numFmt w:val="decimal"/>
      <w:lvlText w:val="%1.%2.%3"/>
      <w:lvlJc w:val="left"/>
      <w:pPr>
        <w:ind w:left="1419" w:hanging="1071"/>
        <w:jc w:val="left"/>
      </w:pPr>
      <w:rPr>
        <w:rFonts w:ascii="Times New Roman" w:eastAsia="Times New Roman" w:hAnsi="Times New Roman" w:cs="Times New Roman" w:hint="default"/>
        <w:b w:val="0"/>
        <w:bCs w:val="0"/>
        <w:i w:val="0"/>
        <w:iCs w:val="0"/>
        <w:spacing w:val="-2"/>
        <w:w w:val="103"/>
        <w:sz w:val="23"/>
        <w:szCs w:val="23"/>
        <w:lang w:val="en-US" w:eastAsia="en-US" w:bidi="ar-SA"/>
      </w:rPr>
    </w:lvl>
    <w:lvl w:ilvl="3">
      <w:numFmt w:val="bullet"/>
      <w:lvlText w:val="•"/>
      <w:lvlJc w:val="left"/>
      <w:pPr>
        <w:ind w:left="4141" w:hanging="1071"/>
      </w:pPr>
      <w:rPr>
        <w:rFonts w:hint="default"/>
        <w:lang w:val="en-US" w:eastAsia="en-US" w:bidi="ar-SA"/>
      </w:rPr>
    </w:lvl>
    <w:lvl w:ilvl="4">
      <w:numFmt w:val="bullet"/>
      <w:lvlText w:val="•"/>
      <w:lvlJc w:val="left"/>
      <w:pPr>
        <w:ind w:left="5049" w:hanging="1071"/>
      </w:pPr>
      <w:rPr>
        <w:rFonts w:hint="default"/>
        <w:lang w:val="en-US" w:eastAsia="en-US" w:bidi="ar-SA"/>
      </w:rPr>
    </w:lvl>
    <w:lvl w:ilvl="5">
      <w:numFmt w:val="bullet"/>
      <w:lvlText w:val="•"/>
      <w:lvlJc w:val="left"/>
      <w:pPr>
        <w:ind w:left="5956" w:hanging="1071"/>
      </w:pPr>
      <w:rPr>
        <w:rFonts w:hint="default"/>
        <w:lang w:val="en-US" w:eastAsia="en-US" w:bidi="ar-SA"/>
      </w:rPr>
    </w:lvl>
    <w:lvl w:ilvl="6">
      <w:numFmt w:val="bullet"/>
      <w:lvlText w:val="•"/>
      <w:lvlJc w:val="left"/>
      <w:pPr>
        <w:ind w:left="6863" w:hanging="1071"/>
      </w:pPr>
      <w:rPr>
        <w:rFonts w:hint="default"/>
        <w:lang w:val="en-US" w:eastAsia="en-US" w:bidi="ar-SA"/>
      </w:rPr>
    </w:lvl>
    <w:lvl w:ilvl="7">
      <w:numFmt w:val="bullet"/>
      <w:lvlText w:val="•"/>
      <w:lvlJc w:val="left"/>
      <w:pPr>
        <w:ind w:left="7770" w:hanging="1071"/>
      </w:pPr>
      <w:rPr>
        <w:rFonts w:hint="default"/>
        <w:lang w:val="en-US" w:eastAsia="en-US" w:bidi="ar-SA"/>
      </w:rPr>
    </w:lvl>
    <w:lvl w:ilvl="8">
      <w:numFmt w:val="bullet"/>
      <w:lvlText w:val="•"/>
      <w:lvlJc w:val="left"/>
      <w:pPr>
        <w:ind w:left="8678" w:hanging="1071"/>
      </w:pPr>
      <w:rPr>
        <w:rFonts w:hint="default"/>
        <w:lang w:val="en-US" w:eastAsia="en-US" w:bidi="ar-SA"/>
      </w:rPr>
    </w:lvl>
  </w:abstractNum>
  <w:abstractNum w:abstractNumId="29" w15:restartNumberingAfterBreak="0">
    <w:nsid w:val="79D237F4"/>
    <w:multiLevelType w:val="hybridMultilevel"/>
    <w:tmpl w:val="7D3CCD34"/>
    <w:lvl w:ilvl="0" w:tplc="F1446502">
      <w:numFmt w:val="bullet"/>
      <w:lvlText w:val=""/>
      <w:lvlJc w:val="left"/>
      <w:pPr>
        <w:ind w:left="360" w:hanging="361"/>
      </w:pPr>
      <w:rPr>
        <w:rFonts w:ascii="Symbol" w:eastAsia="Symbol" w:hAnsi="Symbol" w:cs="Symbol" w:hint="default"/>
        <w:b w:val="0"/>
        <w:bCs w:val="0"/>
        <w:i w:val="0"/>
        <w:iCs w:val="0"/>
        <w:spacing w:val="0"/>
        <w:w w:val="101"/>
        <w:sz w:val="22"/>
        <w:szCs w:val="22"/>
        <w:lang w:val="en-US" w:eastAsia="en-US" w:bidi="ar-SA"/>
      </w:rPr>
    </w:lvl>
    <w:lvl w:ilvl="1" w:tplc="70E0ACA2">
      <w:numFmt w:val="bullet"/>
      <w:lvlText w:val="•"/>
      <w:lvlJc w:val="left"/>
      <w:pPr>
        <w:ind w:left="518" w:hanging="361"/>
      </w:pPr>
      <w:rPr>
        <w:rFonts w:hint="default"/>
        <w:lang w:val="en-US" w:eastAsia="en-US" w:bidi="ar-SA"/>
      </w:rPr>
    </w:lvl>
    <w:lvl w:ilvl="2" w:tplc="6B3A1282">
      <w:numFmt w:val="bullet"/>
      <w:lvlText w:val="•"/>
      <w:lvlJc w:val="left"/>
      <w:pPr>
        <w:ind w:left="676" w:hanging="361"/>
      </w:pPr>
      <w:rPr>
        <w:rFonts w:hint="default"/>
        <w:lang w:val="en-US" w:eastAsia="en-US" w:bidi="ar-SA"/>
      </w:rPr>
    </w:lvl>
    <w:lvl w:ilvl="3" w:tplc="629E9C78">
      <w:numFmt w:val="bullet"/>
      <w:lvlText w:val="•"/>
      <w:lvlJc w:val="left"/>
      <w:pPr>
        <w:ind w:left="834" w:hanging="361"/>
      </w:pPr>
      <w:rPr>
        <w:rFonts w:hint="default"/>
        <w:lang w:val="en-US" w:eastAsia="en-US" w:bidi="ar-SA"/>
      </w:rPr>
    </w:lvl>
    <w:lvl w:ilvl="4" w:tplc="48008488">
      <w:numFmt w:val="bullet"/>
      <w:lvlText w:val="•"/>
      <w:lvlJc w:val="left"/>
      <w:pPr>
        <w:ind w:left="992" w:hanging="361"/>
      </w:pPr>
      <w:rPr>
        <w:rFonts w:hint="default"/>
        <w:lang w:val="en-US" w:eastAsia="en-US" w:bidi="ar-SA"/>
      </w:rPr>
    </w:lvl>
    <w:lvl w:ilvl="5" w:tplc="F55EE1BA">
      <w:numFmt w:val="bullet"/>
      <w:lvlText w:val="•"/>
      <w:lvlJc w:val="left"/>
      <w:pPr>
        <w:ind w:left="1151" w:hanging="361"/>
      </w:pPr>
      <w:rPr>
        <w:rFonts w:hint="default"/>
        <w:lang w:val="en-US" w:eastAsia="en-US" w:bidi="ar-SA"/>
      </w:rPr>
    </w:lvl>
    <w:lvl w:ilvl="6" w:tplc="222A211C">
      <w:numFmt w:val="bullet"/>
      <w:lvlText w:val="•"/>
      <w:lvlJc w:val="left"/>
      <w:pPr>
        <w:ind w:left="1309" w:hanging="361"/>
      </w:pPr>
      <w:rPr>
        <w:rFonts w:hint="default"/>
        <w:lang w:val="en-US" w:eastAsia="en-US" w:bidi="ar-SA"/>
      </w:rPr>
    </w:lvl>
    <w:lvl w:ilvl="7" w:tplc="8ED4DD34">
      <w:numFmt w:val="bullet"/>
      <w:lvlText w:val="•"/>
      <w:lvlJc w:val="left"/>
      <w:pPr>
        <w:ind w:left="1467" w:hanging="361"/>
      </w:pPr>
      <w:rPr>
        <w:rFonts w:hint="default"/>
        <w:lang w:val="en-US" w:eastAsia="en-US" w:bidi="ar-SA"/>
      </w:rPr>
    </w:lvl>
    <w:lvl w:ilvl="8" w:tplc="936ADEF2">
      <w:numFmt w:val="bullet"/>
      <w:lvlText w:val="•"/>
      <w:lvlJc w:val="left"/>
      <w:pPr>
        <w:ind w:left="1625" w:hanging="361"/>
      </w:pPr>
      <w:rPr>
        <w:rFonts w:hint="default"/>
        <w:lang w:val="en-US" w:eastAsia="en-US" w:bidi="ar-SA"/>
      </w:rPr>
    </w:lvl>
  </w:abstractNum>
  <w:num w:numId="1">
    <w:abstractNumId w:val="0"/>
  </w:num>
  <w:num w:numId="2">
    <w:abstractNumId w:val="18"/>
  </w:num>
  <w:num w:numId="3">
    <w:abstractNumId w:val="16"/>
  </w:num>
  <w:num w:numId="4">
    <w:abstractNumId w:val="22"/>
  </w:num>
  <w:num w:numId="5">
    <w:abstractNumId w:val="23"/>
  </w:num>
  <w:num w:numId="6">
    <w:abstractNumId w:val="5"/>
  </w:num>
  <w:num w:numId="7">
    <w:abstractNumId w:val="4"/>
  </w:num>
  <w:num w:numId="8">
    <w:abstractNumId w:val="19"/>
  </w:num>
  <w:num w:numId="9">
    <w:abstractNumId w:val="11"/>
  </w:num>
  <w:num w:numId="10">
    <w:abstractNumId w:val="9"/>
  </w:num>
  <w:num w:numId="11">
    <w:abstractNumId w:val="3"/>
  </w:num>
  <w:num w:numId="12">
    <w:abstractNumId w:val="12"/>
  </w:num>
  <w:num w:numId="13">
    <w:abstractNumId w:val="29"/>
  </w:num>
  <w:num w:numId="14">
    <w:abstractNumId w:val="10"/>
  </w:num>
  <w:num w:numId="15">
    <w:abstractNumId w:val="26"/>
  </w:num>
  <w:num w:numId="16">
    <w:abstractNumId w:val="6"/>
  </w:num>
  <w:num w:numId="17">
    <w:abstractNumId w:val="1"/>
  </w:num>
  <w:num w:numId="18">
    <w:abstractNumId w:val="25"/>
  </w:num>
  <w:num w:numId="19">
    <w:abstractNumId w:val="13"/>
  </w:num>
  <w:num w:numId="20">
    <w:abstractNumId w:val="15"/>
  </w:num>
  <w:num w:numId="21">
    <w:abstractNumId w:val="8"/>
  </w:num>
  <w:num w:numId="22">
    <w:abstractNumId w:val="14"/>
  </w:num>
  <w:num w:numId="23">
    <w:abstractNumId w:val="27"/>
  </w:num>
  <w:num w:numId="24">
    <w:abstractNumId w:val="20"/>
  </w:num>
  <w:num w:numId="25">
    <w:abstractNumId w:val="24"/>
  </w:num>
  <w:num w:numId="26">
    <w:abstractNumId w:val="21"/>
  </w:num>
  <w:num w:numId="27">
    <w:abstractNumId w:val="28"/>
  </w:num>
  <w:num w:numId="28">
    <w:abstractNumId w:val="17"/>
  </w:num>
  <w:num w:numId="29">
    <w:abstractNumId w:val="2"/>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87D64"/>
    <w:rsid w:val="00487D64"/>
    <w:rsid w:val="006F0D93"/>
    <w:rsid w:val="00D31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FBCD2-4F40-43B5-B56D-95915C949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860" w:hanging="1441"/>
      <w:outlineLvl w:val="0"/>
    </w:pPr>
    <w:rPr>
      <w:b/>
      <w:bCs/>
      <w:sz w:val="23"/>
      <w:szCs w:val="23"/>
    </w:rPr>
  </w:style>
  <w:style w:type="paragraph" w:styleId="Heading2">
    <w:name w:val="heading 2"/>
    <w:basedOn w:val="Normal"/>
    <w:uiPriority w:val="1"/>
    <w:qFormat/>
    <w:pPr>
      <w:ind w:left="1419"/>
      <w:outlineLvl w:val="1"/>
    </w:pPr>
    <w:rPr>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0"/>
      <w:ind w:left="2557" w:hanging="1138"/>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2860" w:hanging="14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4254/jsdtl.2022.7-1.9" TargetMode="External"/><Relationship Id="rId39" Type="http://schemas.openxmlformats.org/officeDocument/2006/relationships/image" Target="media/image11.png"/><Relationship Id="rId21" Type="http://schemas.openxmlformats.org/officeDocument/2006/relationships/hyperlink" Target="https://www.ecfr.gov/current/title-13/chapter-I/part-127" TargetMode="External"/><Relationship Id="rId34" Type="http://schemas.openxmlformats.org/officeDocument/2006/relationships/hyperlink" Target="https://doi.org/10.2478/ijme-2018-0002" TargetMode="External"/><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image" Target="media/image20.png"/><Relationship Id="rId55" Type="http://schemas.openxmlformats.org/officeDocument/2006/relationships/hyperlink" Target="mailto:france.shayo@gmail.com" TargetMode="Externa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link.springer.com/referenceworkentry/10.1007/978-3-319-05542-8_15-2" TargetMode="External"/><Relationship Id="rId11" Type="http://schemas.openxmlformats.org/officeDocument/2006/relationships/image" Target="media/image3.jpeg"/><Relationship Id="rId24" Type="http://schemas.openxmlformats.org/officeDocument/2006/relationships/hyperlink" Target="https://msme.gov.in/public-procurement-policy" TargetMode="External"/><Relationship Id="rId32" Type="http://schemas.openxmlformats.org/officeDocument/2006/relationships/hyperlink" Target="https://www.ijfmr.com/article_%20ijfmre23056149.pdf" TargetMode="External"/><Relationship Id="rId37" Type="http://schemas.openxmlformats.org/officeDocument/2006/relationships/hyperlink" Target="http://www.iosrjournals.org/iosr-jbm/papers/Vol19-issue12/Version-6/F1912063240.pdf" TargetMode="External"/><Relationship Id="rId40" Type="http://schemas.openxmlformats.org/officeDocument/2006/relationships/image" Target="media/image12.png"/><Relationship Id="rId45" Type="http://schemas.openxmlformats.org/officeDocument/2006/relationships/image" Target="media/image16.jpeg"/><Relationship Id="rId53" Type="http://schemas.openxmlformats.org/officeDocument/2006/relationships/hyperlink" Target="https://orcid.org/0000-0001-8547-6267" TargetMode="External"/><Relationship Id="rId58"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image" Target="media/image23.jpeg"/><Relationship Id="rId19" Type="http://schemas.openxmlformats.org/officeDocument/2006/relationships/hyperlink" Target="http://www.africafoicentre.org/inclusive-public-procurement-" TargetMode="External"/><Relationship Id="rId14" Type="http://schemas.openxmlformats.org/officeDocument/2006/relationships/image" Target="media/image6.png"/><Relationship Id="rId22" Type="http://schemas.openxmlformats.org/officeDocument/2006/relationships/hyperlink" Target="http://www.farmafrica.org/wp-content/uploads/2024/07/available-" TargetMode="External"/><Relationship Id="rId27" Type="http://schemas.openxmlformats.org/officeDocument/2006/relationships/hyperlink" Target="https://link.springer.com/referenceworkentry/10.1007/978-3-319-05542-8_15-1" TargetMode="External"/><Relationship Id="rId30" Type="http://schemas.openxmlformats.org/officeDocument/2006/relationships/hyperlink" Target="https://link.springer.com/referenceworkentry/10.1007/978-3-319-05542-8_15-2" TargetMode="External"/><Relationship Id="rId35" Type="http://schemas.openxmlformats.org/officeDocument/2006/relationships/hyperlink" Target="http://www.sciencedirect.com/science/article/pii/S0166497214000" TargetMode="External"/><Relationship Id="rId43" Type="http://schemas.openxmlformats.org/officeDocument/2006/relationships/header" Target="header3.xml"/><Relationship Id="rId48" Type="http://schemas.openxmlformats.org/officeDocument/2006/relationships/image" Target="media/image19.jpeg"/><Relationship Id="rId56" Type="http://schemas.openxmlformats.org/officeDocument/2006/relationships/hyperlink" Target="mailto:albanmchopa@gmail.com" TargetMode="External"/><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yperlink" Target="https://orcid.org/0000-0002-3585-292X"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doi.org/10.1016/j.jbusres" TargetMode="External"/><Relationship Id="rId33" Type="http://schemas.openxmlformats.org/officeDocument/2006/relationships/hyperlink" Target="https://doi.org/10.2478/ijme-2018-0002" TargetMode="External"/><Relationship Id="rId38" Type="http://schemas.openxmlformats.org/officeDocument/2006/relationships/hyperlink" Target="http://www.iosrjournals.org/iosr-jbm/papers/Vol19-issue12/Version-6/F1912063240.pdf" TargetMode="External"/><Relationship Id="rId46" Type="http://schemas.openxmlformats.org/officeDocument/2006/relationships/image" Target="media/image17.jpeg"/><Relationship Id="rId59" Type="http://schemas.openxmlformats.org/officeDocument/2006/relationships/footer" Target="footer2.xml"/><Relationship Id="rId20" Type="http://schemas.openxmlformats.org/officeDocument/2006/relationships/hyperlink" Target="https://www.ecfr.gov/current/title-13/chapter-I/part-127" TargetMode="External"/><Relationship Id="rId41" Type="http://schemas.openxmlformats.org/officeDocument/2006/relationships/image" Target="media/image13.jpeg"/><Relationship Id="rId54" Type="http://schemas.openxmlformats.org/officeDocument/2006/relationships/hyperlink" Target="mailto:denis.c.kawishe@gmail.com" TargetMode="External"/><Relationship Id="rId62"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msme.gov.in/public-procurement-policy" TargetMode="External"/><Relationship Id="rId28" Type="http://schemas.openxmlformats.org/officeDocument/2006/relationships/hyperlink" Target="https://link.springer.com/referenceworkentry/10.1007/978-3-319-05542-8_15-1" TargetMode="External"/><Relationship Id="rId36" Type="http://schemas.openxmlformats.org/officeDocument/2006/relationships/hyperlink" Target="https://doi.org/10.3390/su11092510" TargetMode="External"/><Relationship Id="rId49" Type="http://schemas.openxmlformats.org/officeDocument/2006/relationships/hyperlink" Target="https://orcid.org/0000-0002-7542-8832" TargetMode="External"/><Relationship Id="rId57" Type="http://schemas.openxmlformats.org/officeDocument/2006/relationships/hyperlink" Target="http://doi.org/10.35409/IJBMER.2025.3707" TargetMode="External"/><Relationship Id="rId10" Type="http://schemas.openxmlformats.org/officeDocument/2006/relationships/image" Target="media/image2.png"/><Relationship Id="rId31" Type="http://schemas.openxmlformats.org/officeDocument/2006/relationships/hyperlink" Target="https://www.ijfmr.com/article_%20ijfmre23056149.pdf" TargetMode="External"/><Relationship Id="rId44" Type="http://schemas.openxmlformats.org/officeDocument/2006/relationships/footer" Target="footer1.xml"/><Relationship Id="rId52" Type="http://schemas.openxmlformats.org/officeDocument/2006/relationships/image" Target="media/image21.png"/><Relationship Id="rId60"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ijbmer.org/" TargetMode="External"/><Relationship Id="rId1" Type="http://schemas.openxmlformats.org/officeDocument/2006/relationships/hyperlink" Target="http://ijbmer.org/"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ijfmr.com/" TargetMode="External"/><Relationship Id="rId2" Type="http://schemas.openxmlformats.org/officeDocument/2006/relationships/hyperlink" Target="https://www.ijfmr.com/" TargetMode="External"/><Relationship Id="rId1" Type="http://schemas.openxmlformats.org/officeDocument/2006/relationships/image" Target="media/image15.png"/><Relationship Id="rId5" Type="http://schemas.openxmlformats.org/officeDocument/2006/relationships/hyperlink" Target="mailto:editor@ijfmr.com" TargetMode="External"/><Relationship Id="rId4" Type="http://schemas.openxmlformats.org/officeDocument/2006/relationships/hyperlink" Target="mailto:editor@ijfm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58691</Words>
  <Characters>334539</Characters>
  <Application>Microsoft Office Word</Application>
  <DocSecurity>0</DocSecurity>
  <Lines>2787</Lines>
  <Paragraphs>784</Paragraphs>
  <ScaleCrop>false</ScaleCrop>
  <Company/>
  <LinksUpToDate>false</LinksUpToDate>
  <CharactersWithSpaces>392446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2025-11-11T04:27:00Z</dcterms:created>
  <dcterms:modified xsi:type="dcterms:W3CDTF">2025-11-11T04:30:00Z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2025-11-11T00:00:00Z</vt:filetime>
  </property>
  <property fmtid="{D5CDD505-2E9C-101B-9397-08002B2CF9AE}" pid="3" name="LastSaved">
    <vt:filetime>2025-11-11T00:00:00Z</vt:filetime>
  </property>
  <property fmtid="{D5CDD505-2E9C-101B-9397-08002B2CF9AE}" pid="4" name="Producer">
    <vt:lpwstr>iLovePDF</vt:lpwstr>
  </property>
</Properties>
</file>