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18B" w:rsidRPr="009A2157" w:rsidRDefault="00171A46" w:rsidP="00F125E0">
      <w:pPr>
        <w:spacing w:before="0" w:after="0"/>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2388870</wp:posOffset>
                </wp:positionH>
                <wp:positionV relativeFrom="paragraph">
                  <wp:posOffset>-897255</wp:posOffset>
                </wp:positionV>
                <wp:extent cx="447675" cy="4000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47675" cy="400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1A46" w:rsidRDefault="00171A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8.1pt;margin-top:-70.65pt;width:35.25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" fillcolor="white [3201]" strokecolor="white [3212]" strokeweight=".5pt">
                <v:textbox>
                  <w:txbxContent>
                    <w:p w:rsidR="00171A46" w:rsidRDefault="00171A46"/>
                  </w:txbxContent>
                </v:textbox>
              </v:shape>
            </w:pict>
          </mc:Fallback>
        </mc:AlternateContent>
      </w:r>
      <w:r w:rsidR="005E218B" w:rsidRPr="009A2157">
        <w:rPr>
          <w:b/>
        </w:rPr>
        <w:t>ASSESSING LEGAL IMPLICATIONS OF UNIT TITLES ON LAND RIGHTS IN TANZANIA</w:t>
      </w:r>
    </w:p>
    <w:p w:rsidR="00CE3B78" w:rsidRDefault="00CE3B78" w:rsidP="00F125E0">
      <w:pPr>
        <w:spacing w:before="0" w:after="0"/>
        <w:jc w:val="center"/>
        <w:rPr>
          <w:b/>
          <w:color w:val="000000" w:themeColor="text1"/>
        </w:rPr>
      </w:pPr>
    </w:p>
    <w:p w:rsidR="00575051" w:rsidRDefault="00575051" w:rsidP="00F125E0">
      <w:pPr>
        <w:spacing w:before="0" w:after="0"/>
        <w:jc w:val="center"/>
        <w:rPr>
          <w:b/>
          <w:color w:val="000000" w:themeColor="text1"/>
        </w:rPr>
      </w:pPr>
    </w:p>
    <w:p w:rsidR="00575051" w:rsidRDefault="00575051" w:rsidP="00F125E0">
      <w:pPr>
        <w:spacing w:before="0" w:after="0"/>
        <w:jc w:val="center"/>
        <w:rPr>
          <w:b/>
          <w:color w:val="000000" w:themeColor="text1"/>
        </w:rPr>
      </w:pPr>
    </w:p>
    <w:p w:rsidR="00575051" w:rsidRPr="009A2157" w:rsidRDefault="00575051" w:rsidP="00F125E0">
      <w:pPr>
        <w:spacing w:before="0" w:after="0"/>
        <w:jc w:val="center"/>
        <w:rPr>
          <w:b/>
          <w:color w:val="000000" w:themeColor="text1"/>
        </w:rPr>
      </w:pPr>
    </w:p>
    <w:p w:rsidR="00CE3B78" w:rsidRPr="009A2157" w:rsidRDefault="00CE3B78" w:rsidP="00F125E0">
      <w:pPr>
        <w:spacing w:before="0" w:after="0"/>
        <w:jc w:val="center"/>
        <w:rPr>
          <w:b/>
          <w:color w:val="000000" w:themeColor="text1"/>
        </w:rPr>
      </w:pPr>
    </w:p>
    <w:p w:rsidR="00CE3B78" w:rsidRPr="009A2157" w:rsidRDefault="00CE3B78" w:rsidP="00F125E0">
      <w:pPr>
        <w:spacing w:before="0" w:after="0"/>
        <w:jc w:val="center"/>
        <w:rPr>
          <w:b/>
          <w:color w:val="000000" w:themeColor="text1"/>
        </w:rPr>
      </w:pPr>
    </w:p>
    <w:p w:rsidR="00CE3B78" w:rsidRPr="009A2157" w:rsidRDefault="00CE3B78" w:rsidP="00F125E0">
      <w:pPr>
        <w:pStyle w:val="NoSpacing"/>
        <w:spacing w:before="0" w:line="480" w:lineRule="auto"/>
        <w:jc w:val="center"/>
        <w:rPr>
          <w:rFonts w:ascii="Times New Roman" w:eastAsia="Calibri" w:hAnsi="Times New Roman" w:cs="Times New Roman"/>
          <w:b/>
          <w:bCs/>
          <w:sz w:val="24"/>
          <w:szCs w:val="24"/>
        </w:rPr>
      </w:pPr>
    </w:p>
    <w:p w:rsidR="005E218B" w:rsidRPr="009A2157" w:rsidRDefault="005E218B" w:rsidP="00F125E0">
      <w:pPr>
        <w:spacing w:before="0" w:after="0"/>
        <w:jc w:val="center"/>
        <w:rPr>
          <w:b/>
          <w:color w:val="000000" w:themeColor="text1"/>
        </w:rPr>
      </w:pPr>
      <w:r w:rsidRPr="009A2157">
        <w:rPr>
          <w:b/>
          <w:color w:val="000000" w:themeColor="text1"/>
        </w:rPr>
        <w:t>ANGELINA KATALYEBA SAMPA</w:t>
      </w:r>
    </w:p>
    <w:p w:rsidR="004A6090" w:rsidRDefault="004A6090" w:rsidP="00F125E0">
      <w:pPr>
        <w:pStyle w:val="Heading2"/>
        <w:spacing w:before="0" w:after="0"/>
        <w:jc w:val="center"/>
        <w:rPr>
          <w:rFonts w:eastAsiaTheme="minorHAnsi" w:cs="Times New Roman"/>
          <w:color w:val="auto"/>
          <w:szCs w:val="24"/>
        </w:rPr>
      </w:pPr>
    </w:p>
    <w:p w:rsidR="00A01F23" w:rsidRDefault="00A01F23" w:rsidP="00F125E0">
      <w:pPr>
        <w:jc w:val="center"/>
        <w:rPr>
          <w:rFonts w:eastAsiaTheme="minorHAnsi"/>
        </w:rPr>
      </w:pPr>
    </w:p>
    <w:p w:rsidR="00A01F23" w:rsidRPr="00A01F23" w:rsidRDefault="00A01F23" w:rsidP="00F125E0">
      <w:pPr>
        <w:jc w:val="center"/>
        <w:rPr>
          <w:rFonts w:eastAsiaTheme="minorHAnsi"/>
        </w:rPr>
      </w:pPr>
    </w:p>
    <w:p w:rsidR="005E218B" w:rsidRPr="009A2157" w:rsidRDefault="005E218B" w:rsidP="00F125E0">
      <w:pPr>
        <w:spacing w:before="0" w:after="0"/>
        <w:jc w:val="center"/>
        <w:rPr>
          <w:rFonts w:eastAsiaTheme="minorHAnsi"/>
        </w:rPr>
      </w:pPr>
    </w:p>
    <w:p w:rsidR="005E218B" w:rsidRPr="009A2157" w:rsidRDefault="005E218B" w:rsidP="00F125E0">
      <w:pPr>
        <w:spacing w:before="0" w:after="0"/>
        <w:jc w:val="center"/>
        <w:rPr>
          <w:rFonts w:eastAsiaTheme="minorHAnsi"/>
        </w:rPr>
      </w:pPr>
    </w:p>
    <w:p w:rsidR="005E218B" w:rsidRDefault="005E218B" w:rsidP="00F125E0">
      <w:pPr>
        <w:spacing w:before="0" w:after="0"/>
        <w:jc w:val="center"/>
        <w:rPr>
          <w:rFonts w:eastAsiaTheme="minorHAnsi"/>
        </w:rPr>
      </w:pPr>
    </w:p>
    <w:p w:rsidR="00575051" w:rsidRPr="009A2157" w:rsidRDefault="00575051" w:rsidP="00F125E0">
      <w:pPr>
        <w:spacing w:before="0" w:after="0"/>
        <w:jc w:val="center"/>
        <w:rPr>
          <w:rFonts w:eastAsiaTheme="minorHAnsi"/>
        </w:rPr>
      </w:pPr>
    </w:p>
    <w:p w:rsidR="00A01F23" w:rsidRPr="00A01F23" w:rsidRDefault="00A01F23" w:rsidP="00F125E0">
      <w:pPr>
        <w:spacing w:before="0" w:after="0"/>
        <w:jc w:val="center"/>
        <w:rPr>
          <w:rFonts w:eastAsia="Calibri"/>
          <w:b/>
          <w:bCs/>
          <w:iCs/>
        </w:rPr>
      </w:pPr>
      <w:r w:rsidRPr="00A01F23">
        <w:rPr>
          <w:rFonts w:eastAsia="Calibri"/>
          <w:b/>
          <w:bCs/>
          <w:iCs/>
        </w:rPr>
        <w:t>A DISSERTATION SUBMITTED IN PARTIAL FULFILLMENT OF THE REQUIREMENTS FOR THE DEGREE OF MASTER OF LAWS IN LAND MANAGEMENT AND ADMINISTRATION</w:t>
      </w:r>
    </w:p>
    <w:p w:rsidR="00F125E0" w:rsidRDefault="00314B8F" w:rsidP="00F125E0">
      <w:pPr>
        <w:keepNext/>
        <w:keepLines/>
        <w:spacing w:before="0" w:after="0"/>
        <w:jc w:val="center"/>
        <w:rPr>
          <w:rFonts w:eastAsia="Calibri"/>
          <w:b/>
          <w:bCs/>
          <w:kern w:val="2"/>
        </w:rPr>
      </w:pPr>
      <w:r>
        <w:rPr>
          <w:rFonts w:eastAsia="Calibri"/>
          <w:b/>
          <w:bCs/>
          <w:kern w:val="2"/>
        </w:rPr>
        <w:t>DEPARTMENT OF PRIVATE LAW</w:t>
      </w:r>
    </w:p>
    <w:p w:rsidR="00A01F23" w:rsidRPr="00A01F23" w:rsidRDefault="00A01F23" w:rsidP="00F125E0">
      <w:pPr>
        <w:keepNext/>
        <w:keepLines/>
        <w:spacing w:before="0" w:after="0"/>
        <w:jc w:val="center"/>
        <w:rPr>
          <w:rFonts w:eastAsia="Calibri"/>
          <w:b/>
          <w:bCs/>
          <w:kern w:val="2"/>
        </w:rPr>
      </w:pPr>
      <w:r w:rsidRPr="00A01F23">
        <w:rPr>
          <w:rFonts w:eastAsia="Calibri"/>
          <w:b/>
          <w:bCs/>
          <w:kern w:val="2"/>
        </w:rPr>
        <w:t>OF THE OPEN UNIVERSITY OF TANZANIA</w:t>
      </w:r>
    </w:p>
    <w:p w:rsidR="00575051" w:rsidRPr="009A2157" w:rsidRDefault="00A01F23" w:rsidP="00F125E0">
      <w:pPr>
        <w:spacing w:before="0" w:after="0"/>
        <w:jc w:val="center"/>
        <w:rPr>
          <w:rFonts w:eastAsia="Calibri"/>
          <w:b/>
        </w:rPr>
      </w:pPr>
      <w:r w:rsidRPr="00A01F23">
        <w:rPr>
          <w:rFonts w:eastAsia="Calibri"/>
          <w:b/>
          <w:bCs/>
          <w:iCs/>
        </w:rPr>
        <w:t>2025</w:t>
      </w:r>
    </w:p>
    <w:p w:rsidR="00CE3B78" w:rsidRPr="009A2157" w:rsidRDefault="00CE3B78" w:rsidP="009A2157">
      <w:pPr>
        <w:pStyle w:val="Heading1"/>
        <w:spacing w:before="0" w:after="0"/>
        <w:rPr>
          <w:rFonts w:cs="Times New Roman"/>
          <w:szCs w:val="24"/>
        </w:rPr>
      </w:pPr>
      <w:bookmarkStart w:id="0" w:name="_Toc174593401"/>
      <w:bookmarkStart w:id="1" w:name="_Toc176607071"/>
      <w:bookmarkStart w:id="2" w:name="_Toc183521804"/>
      <w:bookmarkStart w:id="3" w:name="_Toc194836471"/>
      <w:bookmarkStart w:id="4" w:name="_Toc194836553"/>
      <w:bookmarkStart w:id="5" w:name="_Toc194836635"/>
      <w:bookmarkStart w:id="6" w:name="_Toc194836717"/>
      <w:bookmarkStart w:id="7" w:name="_Toc194845362"/>
      <w:r w:rsidRPr="009A2157">
        <w:rPr>
          <w:rFonts w:cs="Times New Roman"/>
          <w:szCs w:val="24"/>
        </w:rPr>
        <w:lastRenderedPageBreak/>
        <w:t>CERTIFICATION</w:t>
      </w:r>
      <w:bookmarkEnd w:id="0"/>
      <w:bookmarkEnd w:id="1"/>
      <w:bookmarkEnd w:id="2"/>
      <w:bookmarkEnd w:id="3"/>
      <w:bookmarkEnd w:id="4"/>
      <w:bookmarkEnd w:id="5"/>
      <w:bookmarkEnd w:id="6"/>
      <w:bookmarkEnd w:id="7"/>
      <w:r w:rsidR="00B33427">
        <w:rPr>
          <w:rFonts w:cs="Times New Roman"/>
          <w:szCs w:val="24"/>
        </w:rPr>
        <w:fldChar w:fldCharType="begin"/>
      </w:r>
      <w:r w:rsidR="00B33427">
        <w:instrText xml:space="preserve"> TC "</w:instrText>
      </w:r>
      <w:bookmarkStart w:id="8" w:name="_Toc213301646"/>
      <w:r w:rsidR="00B33427" w:rsidRPr="0031659E">
        <w:rPr>
          <w:rFonts w:cs="Times New Roman"/>
          <w:szCs w:val="24"/>
        </w:rPr>
        <w:instrText>CERTIFICATION</w:instrText>
      </w:r>
      <w:bookmarkEnd w:id="8"/>
      <w:r w:rsidR="00B33427">
        <w:instrText xml:space="preserve">" \f C \l "1" </w:instrText>
      </w:r>
      <w:r w:rsidR="00B33427">
        <w:rPr>
          <w:rFonts w:cs="Times New Roman"/>
          <w:szCs w:val="24"/>
        </w:rPr>
        <w:fldChar w:fldCharType="end"/>
      </w:r>
    </w:p>
    <w:p w:rsidR="00CE3B78" w:rsidRPr="009A2157" w:rsidRDefault="00A01F23" w:rsidP="00575051">
      <w:pPr>
        <w:spacing w:before="0" w:after="0"/>
        <w:rPr>
          <w:b/>
        </w:rPr>
      </w:pPr>
      <w:r w:rsidRPr="00870DD5">
        <w:rPr>
          <w:lang w:val="en-GB" w:eastAsia="en-GB"/>
        </w:rPr>
        <w:t>The undersigned certifies that they have read and hereby recommends for the acceptance by the Open University of Tanzania a dissertation entitled:</w:t>
      </w:r>
      <w:r w:rsidR="00CE3B78" w:rsidRPr="009A2157">
        <w:t xml:space="preserve"> </w:t>
      </w:r>
      <w:r w:rsidR="00CE3B78" w:rsidRPr="009A2157">
        <w:rPr>
          <w:b/>
          <w:i/>
        </w:rPr>
        <w:t>“Assessing Legal Implications of Unit Titles on Land Rights in Tanzania”</w:t>
      </w:r>
      <w:r w:rsidR="00967B0C">
        <w:rPr>
          <w:b/>
          <w:i/>
        </w:rPr>
        <w:t>,</w:t>
      </w:r>
      <w:r w:rsidR="00CE3B78" w:rsidRPr="009A2157">
        <w:t xml:space="preserve"> </w:t>
      </w:r>
      <w:r w:rsidRPr="00396128">
        <w:t>in partial fulfillment of the requirements for the Degree of Master of Laws in Land Administration and Management of the Open University of Tanzania.</w:t>
      </w:r>
    </w:p>
    <w:p w:rsidR="00CE3B78" w:rsidRDefault="00CE3B78" w:rsidP="009A2157">
      <w:pPr>
        <w:spacing w:before="0" w:after="0"/>
        <w:jc w:val="center"/>
      </w:pPr>
    </w:p>
    <w:p w:rsidR="00575051" w:rsidRDefault="00575051" w:rsidP="009A2157">
      <w:pPr>
        <w:spacing w:before="0" w:after="0"/>
        <w:jc w:val="center"/>
      </w:pPr>
    </w:p>
    <w:p w:rsidR="00A01F23" w:rsidRPr="009A2157" w:rsidRDefault="00A01F23" w:rsidP="009A2157">
      <w:pPr>
        <w:spacing w:before="0" w:after="0"/>
        <w:jc w:val="center"/>
      </w:pPr>
    </w:p>
    <w:p w:rsidR="00575051" w:rsidRPr="00575051" w:rsidRDefault="00575051" w:rsidP="00575051">
      <w:pPr>
        <w:spacing w:before="0" w:after="0"/>
        <w:jc w:val="center"/>
      </w:pPr>
      <w:r w:rsidRPr="00575051">
        <w:t>………………………….…………</w:t>
      </w:r>
    </w:p>
    <w:p w:rsidR="00575051" w:rsidRPr="00575051" w:rsidRDefault="00575051" w:rsidP="00575051">
      <w:pPr>
        <w:spacing w:before="0" w:after="0"/>
        <w:jc w:val="center"/>
      </w:pPr>
      <w:r w:rsidRPr="00575051">
        <w:t>Dr. Abdallah Mrindoko Ally</w:t>
      </w:r>
    </w:p>
    <w:p w:rsidR="00575051" w:rsidRPr="00575051" w:rsidRDefault="00575051" w:rsidP="00575051">
      <w:pPr>
        <w:spacing w:before="0" w:after="0"/>
        <w:jc w:val="center"/>
        <w:rPr>
          <w:bCs/>
          <w:kern w:val="2"/>
          <w:lang w:val="en-GB"/>
        </w:rPr>
      </w:pPr>
      <w:r w:rsidRPr="00575051">
        <w:rPr>
          <w:bCs/>
          <w:kern w:val="2"/>
          <w:lang w:val="en-GB"/>
        </w:rPr>
        <w:t>(Supervisor)</w:t>
      </w:r>
    </w:p>
    <w:p w:rsidR="00575051" w:rsidRPr="00575051" w:rsidRDefault="00575051" w:rsidP="00575051">
      <w:pPr>
        <w:spacing w:before="0" w:after="0"/>
        <w:jc w:val="center"/>
        <w:rPr>
          <w:bCs/>
          <w:kern w:val="2"/>
          <w:lang w:val="en-GB"/>
        </w:rPr>
      </w:pPr>
    </w:p>
    <w:p w:rsidR="00575051" w:rsidRPr="00575051" w:rsidRDefault="00575051" w:rsidP="00575051">
      <w:pPr>
        <w:spacing w:before="0" w:after="0"/>
        <w:jc w:val="center"/>
        <w:rPr>
          <w:rFonts w:eastAsia="Calibri"/>
          <w:bCs/>
        </w:rPr>
      </w:pPr>
      <w:r w:rsidRPr="00575051">
        <w:rPr>
          <w:rFonts w:eastAsia="Calibri"/>
          <w:bCs/>
        </w:rPr>
        <w:t>……………….……………..</w:t>
      </w:r>
    </w:p>
    <w:p w:rsidR="00575051" w:rsidRPr="00575051" w:rsidRDefault="00575051" w:rsidP="00575051">
      <w:pPr>
        <w:spacing w:before="0" w:after="0"/>
        <w:jc w:val="center"/>
        <w:rPr>
          <w:rFonts w:eastAsia="Calibri"/>
        </w:rPr>
      </w:pPr>
      <w:r w:rsidRPr="00575051">
        <w:rPr>
          <w:rFonts w:eastAsia="Calibri"/>
        </w:rPr>
        <w:t>Date</w:t>
      </w:r>
    </w:p>
    <w:p w:rsidR="00575051" w:rsidRPr="00575051" w:rsidRDefault="00575051" w:rsidP="00575051">
      <w:pPr>
        <w:spacing w:before="0" w:after="0"/>
        <w:jc w:val="center"/>
        <w:rPr>
          <w:rFonts w:eastAsia="Calibri"/>
        </w:rPr>
      </w:pPr>
    </w:p>
    <w:p w:rsidR="00575051" w:rsidRPr="00575051" w:rsidRDefault="00575051" w:rsidP="00575051">
      <w:pPr>
        <w:spacing w:before="0" w:after="0"/>
        <w:jc w:val="center"/>
        <w:rPr>
          <w:rFonts w:eastAsia="Calibri"/>
        </w:rPr>
      </w:pPr>
    </w:p>
    <w:p w:rsidR="00575051" w:rsidRPr="00575051" w:rsidRDefault="00575051" w:rsidP="00575051">
      <w:pPr>
        <w:spacing w:before="0" w:after="0"/>
        <w:jc w:val="center"/>
        <w:rPr>
          <w:rFonts w:eastAsia="Calibri"/>
        </w:rPr>
      </w:pPr>
    </w:p>
    <w:p w:rsidR="00575051" w:rsidRPr="00575051" w:rsidRDefault="00575051" w:rsidP="00575051">
      <w:pPr>
        <w:spacing w:before="0" w:after="0"/>
        <w:jc w:val="center"/>
        <w:rPr>
          <w:bCs/>
          <w:kern w:val="2"/>
          <w:lang w:val="en-GB"/>
        </w:rPr>
      </w:pPr>
      <w:r w:rsidRPr="00575051">
        <w:rPr>
          <w:bCs/>
          <w:noProof/>
          <w:kern w:val="2"/>
          <w:lang w:val="en-GB"/>
        </w:rPr>
        <w:t>……………….…….………….</w:t>
      </w:r>
    </w:p>
    <w:p w:rsidR="00575051" w:rsidRPr="00575051" w:rsidRDefault="00575051" w:rsidP="00575051">
      <w:pPr>
        <w:spacing w:before="0" w:after="0"/>
        <w:jc w:val="center"/>
      </w:pPr>
      <w:r w:rsidRPr="00575051">
        <w:t>Dr</w:t>
      </w:r>
      <w:r w:rsidR="00B33427">
        <w:t>.</w:t>
      </w:r>
      <w:r w:rsidRPr="00575051">
        <w:t xml:space="preserve"> Ayoub Ali Maulana </w:t>
      </w:r>
    </w:p>
    <w:p w:rsidR="00575051" w:rsidRPr="00575051" w:rsidRDefault="00575051" w:rsidP="00575051">
      <w:pPr>
        <w:spacing w:before="0" w:after="0"/>
        <w:jc w:val="center"/>
        <w:rPr>
          <w:bCs/>
          <w:kern w:val="2"/>
          <w:lang w:val="en-GB"/>
        </w:rPr>
      </w:pPr>
      <w:r w:rsidRPr="00575051">
        <w:rPr>
          <w:bCs/>
          <w:kern w:val="2"/>
          <w:lang w:val="en-GB"/>
        </w:rPr>
        <w:t>(Supervisor)</w:t>
      </w:r>
    </w:p>
    <w:p w:rsidR="00575051" w:rsidRPr="00575051" w:rsidRDefault="00575051" w:rsidP="00575051">
      <w:pPr>
        <w:spacing w:before="0" w:after="0"/>
        <w:jc w:val="center"/>
        <w:rPr>
          <w:bCs/>
          <w:kern w:val="2"/>
          <w:lang w:val="en-GB"/>
        </w:rPr>
      </w:pPr>
    </w:p>
    <w:p w:rsidR="00575051" w:rsidRPr="00575051" w:rsidRDefault="00575051" w:rsidP="00575051">
      <w:pPr>
        <w:spacing w:before="0" w:after="0"/>
        <w:jc w:val="center"/>
        <w:rPr>
          <w:rFonts w:eastAsia="Calibri"/>
          <w:bCs/>
        </w:rPr>
      </w:pPr>
      <w:r w:rsidRPr="00575051">
        <w:rPr>
          <w:rFonts w:eastAsia="Calibri"/>
          <w:bCs/>
        </w:rPr>
        <w:t>……………….….…..……..</w:t>
      </w:r>
    </w:p>
    <w:p w:rsidR="00575051" w:rsidRPr="00575051" w:rsidRDefault="00575051" w:rsidP="00575051">
      <w:pPr>
        <w:spacing w:before="0" w:after="0"/>
        <w:jc w:val="center"/>
        <w:rPr>
          <w:rFonts w:eastAsia="Calibri"/>
        </w:rPr>
      </w:pPr>
      <w:r w:rsidRPr="00575051">
        <w:rPr>
          <w:rFonts w:eastAsia="Calibri"/>
        </w:rPr>
        <w:t>Date</w:t>
      </w:r>
    </w:p>
    <w:p w:rsidR="00A01F23" w:rsidRPr="00A01F23" w:rsidRDefault="00A01F23" w:rsidP="00A01F23">
      <w:pPr>
        <w:spacing w:before="0" w:after="0"/>
        <w:jc w:val="center"/>
        <w:rPr>
          <w:b/>
        </w:rPr>
      </w:pPr>
      <w:r w:rsidRPr="00A01F23">
        <w:rPr>
          <w:b/>
        </w:rPr>
        <w:t>COPYRIGHT</w:t>
      </w:r>
      <w:r w:rsidR="00B33427">
        <w:rPr>
          <w:b/>
        </w:rPr>
        <w:fldChar w:fldCharType="begin"/>
      </w:r>
      <w:r w:rsidR="00B33427">
        <w:instrText xml:space="preserve"> TC "</w:instrText>
      </w:r>
      <w:bookmarkStart w:id="9" w:name="_Toc213301647"/>
      <w:r w:rsidR="00B33427" w:rsidRPr="000C26BC">
        <w:rPr>
          <w:b/>
        </w:rPr>
        <w:instrText>COPYRIGHT</w:instrText>
      </w:r>
      <w:bookmarkEnd w:id="9"/>
      <w:r w:rsidR="00B33427">
        <w:instrText xml:space="preserve">" \f C \l "1" </w:instrText>
      </w:r>
      <w:r w:rsidR="00B33427">
        <w:rPr>
          <w:b/>
        </w:rPr>
        <w:fldChar w:fldCharType="end"/>
      </w:r>
    </w:p>
    <w:p w:rsidR="00A01F23" w:rsidRPr="009A2157" w:rsidRDefault="00A01F23" w:rsidP="00A01F23">
      <w:pPr>
        <w:spacing w:before="0" w:after="0"/>
      </w:pPr>
      <w:r w:rsidRPr="009A2157">
        <w:t>This Dissertation is copyright material protected under the Berne Convention, the Copyright and Neighboring Rights Act of 1999 and other international and national enactments, in that behalf, on intellectual property. It may not be reproduced by any means, in full or in part, except for short extracts in fair dealing; for research or private study, critical scholarly review or discourse with an acknowledgement, without the written permission of the Directorate of Postgraduate Studies, on behalf of both the author and the Faculty of Law, The Open University of Tanzania.</w:t>
      </w:r>
    </w:p>
    <w:p w:rsidR="00CE3B78" w:rsidRDefault="00CE3B78" w:rsidP="009A2157">
      <w:pPr>
        <w:spacing w:before="0" w:after="0"/>
      </w:pPr>
    </w:p>
    <w:p w:rsidR="00A01F23" w:rsidRDefault="00A01F23" w:rsidP="009A2157">
      <w:pPr>
        <w:spacing w:before="0" w:after="0"/>
      </w:pPr>
    </w:p>
    <w:p w:rsidR="00A01F23" w:rsidRDefault="00A01F23" w:rsidP="009A2157">
      <w:pPr>
        <w:spacing w:before="0" w:after="0"/>
      </w:pPr>
    </w:p>
    <w:p w:rsidR="00A01F23" w:rsidRDefault="00A01F23" w:rsidP="009A2157">
      <w:pPr>
        <w:spacing w:before="0" w:after="0"/>
      </w:pPr>
    </w:p>
    <w:p w:rsidR="00A01F23" w:rsidRDefault="00A01F23" w:rsidP="009A2157">
      <w:pPr>
        <w:spacing w:before="0" w:after="0"/>
      </w:pPr>
    </w:p>
    <w:p w:rsidR="00A01F23" w:rsidRDefault="00A01F23" w:rsidP="009A2157">
      <w:pPr>
        <w:spacing w:before="0" w:after="0"/>
      </w:pPr>
    </w:p>
    <w:p w:rsidR="00A01F23" w:rsidRDefault="00A01F23" w:rsidP="009A2157">
      <w:pPr>
        <w:spacing w:before="0" w:after="0"/>
      </w:pPr>
    </w:p>
    <w:p w:rsidR="00A01F23" w:rsidRDefault="00A01F23" w:rsidP="009A2157">
      <w:pPr>
        <w:spacing w:before="0" w:after="0"/>
      </w:pPr>
    </w:p>
    <w:p w:rsidR="00A01F23" w:rsidRDefault="00A01F23" w:rsidP="009A2157">
      <w:pPr>
        <w:spacing w:before="0" w:after="0"/>
      </w:pPr>
    </w:p>
    <w:p w:rsidR="00A01F23" w:rsidRDefault="00A01F23" w:rsidP="009A2157">
      <w:pPr>
        <w:spacing w:before="0" w:after="0"/>
      </w:pPr>
    </w:p>
    <w:p w:rsidR="00A01F23" w:rsidRDefault="00A01F23" w:rsidP="009A2157">
      <w:pPr>
        <w:spacing w:before="0" w:after="0"/>
      </w:pPr>
    </w:p>
    <w:p w:rsidR="00A01F23" w:rsidRDefault="00A01F23" w:rsidP="009A2157">
      <w:pPr>
        <w:spacing w:before="0" w:after="0"/>
      </w:pPr>
    </w:p>
    <w:p w:rsidR="00A01F23" w:rsidRPr="009A2157" w:rsidRDefault="00A01F23" w:rsidP="009A2157">
      <w:pPr>
        <w:spacing w:before="0" w:after="0"/>
      </w:pPr>
    </w:p>
    <w:p w:rsidR="00CE3B78" w:rsidRPr="009A2157" w:rsidRDefault="00CE3B78" w:rsidP="009A2157">
      <w:pPr>
        <w:spacing w:before="0" w:after="0"/>
      </w:pPr>
    </w:p>
    <w:p w:rsidR="00CE3B78" w:rsidRPr="009A2157" w:rsidRDefault="00CE3B78" w:rsidP="009A2157">
      <w:pPr>
        <w:spacing w:before="0" w:after="0"/>
      </w:pPr>
    </w:p>
    <w:p w:rsidR="00CE3B78" w:rsidRPr="009A2157" w:rsidRDefault="00CE3B78" w:rsidP="009A2157">
      <w:pPr>
        <w:spacing w:before="0" w:after="0"/>
      </w:pPr>
    </w:p>
    <w:p w:rsidR="00CE3B78" w:rsidRPr="009A2157" w:rsidRDefault="00CE3B78" w:rsidP="009A2157">
      <w:pPr>
        <w:pStyle w:val="Heading1"/>
        <w:spacing w:before="0" w:after="0"/>
        <w:rPr>
          <w:rFonts w:cs="Times New Roman"/>
          <w:szCs w:val="24"/>
        </w:rPr>
      </w:pPr>
      <w:bookmarkStart w:id="10" w:name="_Toc174593404"/>
      <w:bookmarkStart w:id="11" w:name="_Toc176607074"/>
      <w:bookmarkStart w:id="12" w:name="_Toc194836472"/>
      <w:bookmarkStart w:id="13" w:name="_Toc194836554"/>
      <w:bookmarkStart w:id="14" w:name="_Toc194836636"/>
      <w:bookmarkStart w:id="15" w:name="_Toc194836718"/>
      <w:bookmarkStart w:id="16" w:name="_Toc194845363"/>
      <w:r w:rsidRPr="009A2157">
        <w:rPr>
          <w:rFonts w:cs="Times New Roman"/>
          <w:szCs w:val="24"/>
        </w:rPr>
        <w:t>DECLARATION</w:t>
      </w:r>
      <w:r w:rsidR="00B33427">
        <w:rPr>
          <w:rFonts w:cs="Times New Roman"/>
          <w:szCs w:val="24"/>
        </w:rPr>
        <w:fldChar w:fldCharType="begin"/>
      </w:r>
      <w:r w:rsidR="00B33427">
        <w:instrText xml:space="preserve"> TC "</w:instrText>
      </w:r>
      <w:bookmarkStart w:id="17" w:name="_Toc213301648"/>
      <w:r w:rsidR="00B33427" w:rsidRPr="00D9325B">
        <w:rPr>
          <w:rFonts w:cs="Times New Roman"/>
          <w:szCs w:val="24"/>
        </w:rPr>
        <w:instrText>DECLARATION</w:instrText>
      </w:r>
      <w:bookmarkEnd w:id="17"/>
      <w:r w:rsidR="00B33427">
        <w:instrText xml:space="preserve">" \f C \l "1" </w:instrText>
      </w:r>
      <w:r w:rsidR="00B33427">
        <w:rPr>
          <w:rFonts w:cs="Times New Roman"/>
          <w:szCs w:val="24"/>
        </w:rPr>
        <w:fldChar w:fldCharType="end"/>
      </w:r>
      <w:r w:rsidRPr="009A2157">
        <w:rPr>
          <w:rFonts w:cs="Times New Roman"/>
          <w:szCs w:val="24"/>
        </w:rPr>
        <w:t xml:space="preserve"> </w:t>
      </w:r>
      <w:bookmarkEnd w:id="10"/>
      <w:bookmarkEnd w:id="11"/>
      <w:bookmarkEnd w:id="12"/>
      <w:bookmarkEnd w:id="13"/>
      <w:bookmarkEnd w:id="14"/>
      <w:bookmarkEnd w:id="15"/>
      <w:bookmarkEnd w:id="16"/>
    </w:p>
    <w:p w:rsidR="00CE3B78" w:rsidRPr="009A2157" w:rsidRDefault="00CE3B78" w:rsidP="00A01F23">
      <w:pPr>
        <w:spacing w:before="0" w:after="0"/>
      </w:pPr>
      <w:r w:rsidRPr="009A2157">
        <w:t xml:space="preserve">I, </w:t>
      </w:r>
      <w:r w:rsidR="008A2794" w:rsidRPr="009A2157">
        <w:rPr>
          <w:b/>
          <w:color w:val="000000" w:themeColor="text1"/>
        </w:rPr>
        <w:t>Angelina Katalyeba</w:t>
      </w:r>
      <w:r w:rsidR="0065671E" w:rsidRPr="009A2157">
        <w:rPr>
          <w:b/>
          <w:color w:val="000000" w:themeColor="text1"/>
        </w:rPr>
        <w:t xml:space="preserve"> </w:t>
      </w:r>
      <w:r w:rsidR="008A2794" w:rsidRPr="009A2157">
        <w:rPr>
          <w:b/>
          <w:color w:val="000000" w:themeColor="text1"/>
        </w:rPr>
        <w:t>Sampa</w:t>
      </w:r>
      <w:r w:rsidRPr="00A01F23">
        <w:rPr>
          <w:b/>
        </w:rPr>
        <w:t>,</w:t>
      </w:r>
      <w:r w:rsidRPr="009A2157">
        <w:t xml:space="preserve"> do hereby declare that, this </w:t>
      </w:r>
      <w:r w:rsidR="008A2794" w:rsidRPr="009A2157">
        <w:t>dissertation</w:t>
      </w:r>
      <w:r w:rsidR="0065671E" w:rsidRPr="009A2157">
        <w:t xml:space="preserve"> </w:t>
      </w:r>
      <w:r w:rsidRPr="009A2157">
        <w:t xml:space="preserve">is the result of my own work which results from my own findings made during the research. To the best of my knowledge, there is no similar report that has ever been presented to any other higher learning institution for similar or any other award. </w:t>
      </w:r>
      <w:bookmarkStart w:id="18" w:name="5"/>
      <w:bookmarkStart w:id="19" w:name="4"/>
      <w:bookmarkEnd w:id="18"/>
      <w:bookmarkEnd w:id="19"/>
      <w:r w:rsidR="00A01F23" w:rsidRPr="004810DF">
        <w:rPr>
          <w:rFonts w:eastAsia="SimSun"/>
          <w:szCs w:val="22"/>
          <w:lang w:val="en-GB" w:eastAsia="zh-CN"/>
        </w:rPr>
        <w:t xml:space="preserve">It is hereby presented </w:t>
      </w:r>
      <w:r w:rsidR="00A01F23" w:rsidRPr="00396128">
        <w:t>in partial fulfillment of the requirements for the Degree of Master of Laws in Land Administration and Management of the Open University of Tanzania.</w:t>
      </w:r>
    </w:p>
    <w:p w:rsidR="00CE3B78" w:rsidRPr="009A2157" w:rsidRDefault="00CE3B78" w:rsidP="007428EF">
      <w:pPr>
        <w:spacing w:before="0" w:after="0"/>
        <w:jc w:val="center"/>
      </w:pPr>
    </w:p>
    <w:p w:rsidR="00CE3B78" w:rsidRPr="009A2157" w:rsidRDefault="00CE3B78" w:rsidP="007428EF">
      <w:pPr>
        <w:spacing w:before="0" w:after="0"/>
        <w:jc w:val="center"/>
      </w:pPr>
    </w:p>
    <w:p w:rsidR="007428EF" w:rsidRPr="007428EF" w:rsidRDefault="007428EF" w:rsidP="007428EF">
      <w:pPr>
        <w:spacing w:before="0" w:after="0"/>
        <w:jc w:val="center"/>
        <w:rPr>
          <w:lang w:eastAsia="en-GB"/>
        </w:rPr>
      </w:pPr>
    </w:p>
    <w:p w:rsidR="007428EF" w:rsidRPr="007428EF" w:rsidRDefault="007428EF" w:rsidP="007428EF">
      <w:pPr>
        <w:spacing w:before="0" w:after="0"/>
        <w:jc w:val="center"/>
        <w:rPr>
          <w:lang w:val="en-GB" w:eastAsia="en-GB"/>
        </w:rPr>
      </w:pPr>
      <w:r w:rsidRPr="007428EF">
        <w:rPr>
          <w:lang w:val="en-GB" w:eastAsia="en-GB"/>
        </w:rPr>
        <w:t>........................................................</w:t>
      </w:r>
    </w:p>
    <w:p w:rsidR="007428EF" w:rsidRPr="007428EF" w:rsidRDefault="007428EF" w:rsidP="007428EF">
      <w:pPr>
        <w:spacing w:before="0" w:after="0"/>
        <w:jc w:val="center"/>
        <w:rPr>
          <w:lang w:val="en-GB" w:eastAsia="en-GB"/>
        </w:rPr>
      </w:pPr>
      <w:r w:rsidRPr="007428EF">
        <w:rPr>
          <w:lang w:val="en-GB" w:eastAsia="en-GB"/>
        </w:rPr>
        <w:t>Signature</w:t>
      </w:r>
    </w:p>
    <w:p w:rsidR="007428EF" w:rsidRPr="007428EF" w:rsidRDefault="007428EF" w:rsidP="007428EF">
      <w:pPr>
        <w:spacing w:before="0" w:after="0"/>
        <w:jc w:val="center"/>
        <w:rPr>
          <w:b/>
          <w:lang w:val="en-GB" w:eastAsia="en-GB"/>
        </w:rPr>
      </w:pPr>
    </w:p>
    <w:p w:rsidR="007428EF" w:rsidRPr="007428EF" w:rsidRDefault="007428EF" w:rsidP="007428EF">
      <w:pPr>
        <w:spacing w:before="0" w:after="0"/>
        <w:jc w:val="center"/>
        <w:rPr>
          <w:lang w:val="en-GB" w:eastAsia="en-GB"/>
        </w:rPr>
      </w:pPr>
      <w:r w:rsidRPr="007428EF">
        <w:rPr>
          <w:lang w:val="en-GB" w:eastAsia="en-GB"/>
        </w:rPr>
        <w:t>……….…………..….………</w:t>
      </w:r>
    </w:p>
    <w:p w:rsidR="001174A0" w:rsidRPr="009A2157" w:rsidRDefault="007428EF" w:rsidP="007428EF">
      <w:pPr>
        <w:spacing w:before="0" w:after="0"/>
        <w:jc w:val="center"/>
      </w:pPr>
      <w:r w:rsidRPr="007428EF">
        <w:rPr>
          <w:lang w:val="en-GB" w:eastAsia="en-GB"/>
        </w:rPr>
        <w:t>Date</w:t>
      </w:r>
    </w:p>
    <w:p w:rsidR="001174A0" w:rsidRPr="009A2157" w:rsidRDefault="001174A0" w:rsidP="007428EF">
      <w:pPr>
        <w:spacing w:before="0" w:after="0"/>
        <w:jc w:val="center"/>
      </w:pPr>
    </w:p>
    <w:p w:rsidR="001174A0" w:rsidRPr="009A2157" w:rsidRDefault="001174A0" w:rsidP="009A2157">
      <w:pPr>
        <w:spacing w:before="0" w:after="0"/>
      </w:pPr>
    </w:p>
    <w:p w:rsidR="001174A0" w:rsidRPr="009A2157" w:rsidRDefault="001174A0" w:rsidP="009A2157">
      <w:pPr>
        <w:spacing w:before="0" w:after="0"/>
      </w:pPr>
    </w:p>
    <w:p w:rsidR="001174A0" w:rsidRPr="009A2157" w:rsidRDefault="001174A0" w:rsidP="009A2157">
      <w:pPr>
        <w:spacing w:before="0" w:after="0"/>
      </w:pPr>
    </w:p>
    <w:p w:rsidR="001174A0" w:rsidRPr="009A2157" w:rsidRDefault="001174A0" w:rsidP="009A2157">
      <w:pPr>
        <w:spacing w:before="0" w:after="0"/>
      </w:pPr>
    </w:p>
    <w:p w:rsidR="001174A0" w:rsidRPr="009A2157" w:rsidRDefault="001174A0" w:rsidP="009A2157">
      <w:pPr>
        <w:spacing w:before="0" w:after="0"/>
      </w:pPr>
    </w:p>
    <w:p w:rsidR="001174A0" w:rsidRPr="009A2157" w:rsidRDefault="001174A0" w:rsidP="009A2157">
      <w:pPr>
        <w:spacing w:before="0" w:after="0"/>
      </w:pPr>
    </w:p>
    <w:p w:rsidR="001174A0" w:rsidRPr="009A2157" w:rsidRDefault="001174A0" w:rsidP="009A2157">
      <w:pPr>
        <w:spacing w:before="0" w:after="0"/>
      </w:pPr>
    </w:p>
    <w:p w:rsidR="001174A0" w:rsidRPr="009A2157" w:rsidRDefault="001174A0" w:rsidP="009A2157">
      <w:pPr>
        <w:spacing w:before="0" w:after="0"/>
      </w:pPr>
    </w:p>
    <w:p w:rsidR="00BA5C3D" w:rsidRPr="009A2157" w:rsidRDefault="00BA5C3D" w:rsidP="00BA5C3D">
      <w:pPr>
        <w:pStyle w:val="Heading1"/>
        <w:spacing w:before="0" w:after="0"/>
        <w:rPr>
          <w:rFonts w:cs="Times New Roman"/>
          <w:szCs w:val="24"/>
        </w:rPr>
      </w:pPr>
      <w:bookmarkStart w:id="20" w:name="_Toc183521809"/>
      <w:bookmarkStart w:id="21" w:name="_Toc194836474"/>
      <w:bookmarkStart w:id="22" w:name="_Toc194836556"/>
      <w:bookmarkStart w:id="23" w:name="_Toc194836638"/>
      <w:bookmarkStart w:id="24" w:name="_Toc194836720"/>
      <w:bookmarkStart w:id="25" w:name="_Toc194845365"/>
      <w:bookmarkStart w:id="26" w:name="_Toc183521808"/>
      <w:bookmarkStart w:id="27" w:name="_Toc194836473"/>
      <w:bookmarkStart w:id="28" w:name="_Toc194836555"/>
      <w:bookmarkStart w:id="29" w:name="_Toc194836637"/>
      <w:bookmarkStart w:id="30" w:name="_Toc194836719"/>
      <w:bookmarkStart w:id="31" w:name="_Toc194845364"/>
      <w:r w:rsidRPr="009A2157">
        <w:rPr>
          <w:rFonts w:cs="Times New Roman"/>
          <w:szCs w:val="24"/>
        </w:rPr>
        <w:t>DEDICATION</w:t>
      </w:r>
      <w:bookmarkEnd w:id="20"/>
      <w:bookmarkEnd w:id="21"/>
      <w:bookmarkEnd w:id="22"/>
      <w:bookmarkEnd w:id="23"/>
      <w:bookmarkEnd w:id="24"/>
      <w:bookmarkEnd w:id="25"/>
      <w:r w:rsidR="00B33427">
        <w:rPr>
          <w:rFonts w:cs="Times New Roman"/>
          <w:szCs w:val="24"/>
        </w:rPr>
        <w:fldChar w:fldCharType="begin"/>
      </w:r>
      <w:r w:rsidR="00B33427">
        <w:instrText xml:space="preserve"> TC "</w:instrText>
      </w:r>
      <w:bookmarkStart w:id="32" w:name="_Toc213301649"/>
      <w:r w:rsidR="00B33427" w:rsidRPr="008C62DC">
        <w:rPr>
          <w:rFonts w:cs="Times New Roman"/>
          <w:szCs w:val="24"/>
        </w:rPr>
        <w:instrText>DEDICATION</w:instrText>
      </w:r>
      <w:bookmarkEnd w:id="32"/>
      <w:r w:rsidR="00B33427">
        <w:instrText xml:space="preserve">" \f C \l "1" </w:instrText>
      </w:r>
      <w:r w:rsidR="00B33427">
        <w:rPr>
          <w:rFonts w:cs="Times New Roman"/>
          <w:szCs w:val="24"/>
        </w:rPr>
        <w:fldChar w:fldCharType="end"/>
      </w:r>
    </w:p>
    <w:p w:rsidR="00BA5C3D" w:rsidRPr="009A2157" w:rsidRDefault="00BA5C3D" w:rsidP="00BA5C3D">
      <w:pPr>
        <w:spacing w:before="0" w:after="0"/>
      </w:pPr>
      <w:r w:rsidRPr="009A2157">
        <w:rPr>
          <w:color w:val="222222"/>
          <w:shd w:val="clear" w:color="auto" w:fill="FFFFFF"/>
        </w:rPr>
        <w:t xml:space="preserve">This work is dedicated to my lovely family: My Hero and Late Daddy Dr. Philbert Oslo Katalyeba, whose voice echo’s in my heart continually, my cherished mother, Astridah Chisanga Katalyeba </w:t>
      </w:r>
      <w:r w:rsidRPr="009A2157">
        <w:rPr>
          <w:shd w:val="clear" w:color="auto" w:fill="FFFFFF"/>
        </w:rPr>
        <w:t xml:space="preserve">whose constant encouragement has been instrumental in my perseverance throughout this endeavor. Your faith in me served as a constant source of motivation” Thank you Mum”; my brother Peter; and my sisters Rev.Sr.Angela, Kenty, Zonna, Astridah, Neema and Blessing, whose unwavering love and support have been my greatest source of strength. I would also like to express my profound gratitude to Ambassador John Chaggama Mbura, for his real estate development knowledge. To Violeth and Upendo, I extend my profound gratitude for patience and understanding. To my children, Ivann, Nathan, Anaya, Alissa, Amara, Mini Astrida, Gabby, and Amara Kemmi, this accomplishment is dedicated to you. Their expressions of affection and their smiles have served as a beacon, illuminating the path through the most challenging moments and reminding me of the profound impact that perseverance can have. </w:t>
      </w:r>
      <w:proofErr w:type="gramStart"/>
      <w:r w:rsidRPr="009A2157">
        <w:rPr>
          <w:shd w:val="clear" w:color="auto" w:fill="FFFFFF"/>
        </w:rPr>
        <w:t>To my friends, Eng.Revocatius Mwankemwa, Don James Singo, LaudinMringo, Kaka Totoo, Hadija Haruni.</w:t>
      </w:r>
      <w:proofErr w:type="gramEnd"/>
      <w:r w:rsidRPr="009A2157">
        <w:rPr>
          <w:shd w:val="clear" w:color="auto" w:fill="FFFFFF"/>
        </w:rPr>
        <w:t xml:space="preserve"> To my employer District Executive Director of Same District Jimson Mhagama and my co-workers at Same District, thank you very much.</w:t>
      </w:r>
    </w:p>
    <w:p w:rsidR="00BA5C3D" w:rsidRDefault="00BA5C3D" w:rsidP="009A2157">
      <w:pPr>
        <w:pStyle w:val="Heading1"/>
        <w:spacing w:before="0" w:after="0"/>
        <w:rPr>
          <w:rFonts w:cs="Times New Roman"/>
          <w:szCs w:val="24"/>
        </w:rPr>
      </w:pPr>
    </w:p>
    <w:p w:rsidR="00BA5C3D" w:rsidRDefault="00BA5C3D" w:rsidP="00BA5C3D"/>
    <w:p w:rsidR="00BA5C3D" w:rsidRDefault="00BA5C3D" w:rsidP="00BA5C3D"/>
    <w:p w:rsidR="00BA5C3D" w:rsidRPr="00BA5C3D" w:rsidRDefault="00BA5C3D" w:rsidP="00BA5C3D"/>
    <w:p w:rsidR="00CE3B78" w:rsidRPr="009A2157" w:rsidRDefault="00CE3B78" w:rsidP="009A2157">
      <w:pPr>
        <w:pStyle w:val="Heading1"/>
        <w:spacing w:before="0" w:after="0"/>
        <w:rPr>
          <w:rFonts w:cs="Times New Roman"/>
          <w:szCs w:val="24"/>
        </w:rPr>
      </w:pPr>
      <w:r w:rsidRPr="009A2157">
        <w:rPr>
          <w:rFonts w:cs="Times New Roman"/>
          <w:szCs w:val="24"/>
        </w:rPr>
        <w:t>ACKNOWLEDGEMENT</w:t>
      </w:r>
      <w:bookmarkEnd w:id="26"/>
      <w:bookmarkEnd w:id="27"/>
      <w:bookmarkEnd w:id="28"/>
      <w:bookmarkEnd w:id="29"/>
      <w:bookmarkEnd w:id="30"/>
      <w:bookmarkEnd w:id="31"/>
      <w:r w:rsidR="00B33427">
        <w:rPr>
          <w:rFonts w:cs="Times New Roman"/>
          <w:szCs w:val="24"/>
        </w:rPr>
        <w:fldChar w:fldCharType="begin"/>
      </w:r>
      <w:r w:rsidR="00B33427">
        <w:instrText xml:space="preserve"> TC "</w:instrText>
      </w:r>
      <w:bookmarkStart w:id="33" w:name="_Toc213301650"/>
      <w:r w:rsidR="00B33427" w:rsidRPr="007D4598">
        <w:rPr>
          <w:rFonts w:cs="Times New Roman"/>
          <w:szCs w:val="24"/>
        </w:rPr>
        <w:instrText>ACKNOWLEDGEMENT</w:instrText>
      </w:r>
      <w:bookmarkEnd w:id="33"/>
      <w:r w:rsidR="00B33427">
        <w:instrText xml:space="preserve">" \f C \l "1" </w:instrText>
      </w:r>
      <w:r w:rsidR="00B33427">
        <w:rPr>
          <w:rFonts w:cs="Times New Roman"/>
          <w:szCs w:val="24"/>
        </w:rPr>
        <w:fldChar w:fldCharType="end"/>
      </w:r>
    </w:p>
    <w:p w:rsidR="00CE3B78" w:rsidRPr="009A2157" w:rsidRDefault="00CE3B78" w:rsidP="009A2157">
      <w:pPr>
        <w:spacing w:before="0" w:after="0"/>
      </w:pPr>
      <w:r w:rsidRPr="009A2157">
        <w:t>First and foremost, I offer my deepest gratitude to the Almighty God for His unwavering guidance, protection, and strength throughout this academic journey. Without His boundless blessings, the completion of this study would have been an unattainable feat. I am profoundly indebted to my supervisors</w:t>
      </w:r>
      <w:r w:rsidR="0065671E" w:rsidRPr="009A2157">
        <w:t xml:space="preserve"> Dr. Abdallah Ally Mri</w:t>
      </w:r>
      <w:r w:rsidR="009E34FB" w:rsidRPr="009A2157">
        <w:t>ndoko and Dr.</w:t>
      </w:r>
      <w:r w:rsidR="0065671E" w:rsidRPr="009A2157">
        <w:t xml:space="preserve"> </w:t>
      </w:r>
      <w:r w:rsidR="00E368AD" w:rsidRPr="009A2157">
        <w:t>Maulana Ayoub</w:t>
      </w:r>
      <w:r w:rsidRPr="009A2157">
        <w:t xml:space="preserve"> for their invaluable assistance, insightful feedback, and steadfast encouragement at every stage of this research. Their exceptional guidance has been pivotal in shaping both the trajectory and excellence of this work, and I am sincerely thankful for their commitment and expertise. Furthermore, I extend my heartfelt appreciation to everyone who has contributed to the successful completion of this study, whether directly or indirectly. Your support and inspiration have been truly indispensable.</w:t>
      </w:r>
    </w:p>
    <w:p w:rsidR="00CE3B78" w:rsidRPr="009A2157" w:rsidRDefault="00CE3B78" w:rsidP="009A2157">
      <w:pPr>
        <w:spacing w:before="0" w:after="0"/>
      </w:pPr>
    </w:p>
    <w:p w:rsidR="00CE3B78" w:rsidRPr="009A2157" w:rsidRDefault="00CE3B78" w:rsidP="009A2157">
      <w:pPr>
        <w:spacing w:before="0" w:after="0"/>
      </w:pPr>
    </w:p>
    <w:p w:rsidR="00CE3B78" w:rsidRPr="009A2157" w:rsidRDefault="00CE3B78" w:rsidP="009A2157">
      <w:pPr>
        <w:spacing w:before="0" w:after="0"/>
      </w:pPr>
    </w:p>
    <w:p w:rsidR="00CE3B78" w:rsidRPr="009A2157" w:rsidRDefault="00CE3B78" w:rsidP="009A2157">
      <w:pPr>
        <w:spacing w:before="0" w:after="0"/>
      </w:pPr>
    </w:p>
    <w:p w:rsidR="00CE3B78" w:rsidRPr="009A2157" w:rsidRDefault="00CE3B78" w:rsidP="009A2157">
      <w:pPr>
        <w:spacing w:before="0" w:after="0"/>
      </w:pPr>
    </w:p>
    <w:p w:rsidR="00CE3B78" w:rsidRPr="009A2157" w:rsidRDefault="00CE3B78" w:rsidP="009A2157">
      <w:pPr>
        <w:pStyle w:val="Heading1"/>
        <w:spacing w:before="0" w:after="0"/>
        <w:jc w:val="left"/>
        <w:rPr>
          <w:rFonts w:eastAsia="Times New Roman" w:cs="Times New Roman"/>
          <w:b w:val="0"/>
          <w:color w:val="auto"/>
          <w:szCs w:val="24"/>
        </w:rPr>
      </w:pPr>
    </w:p>
    <w:p w:rsidR="00CE3B78" w:rsidRPr="009A2157" w:rsidRDefault="00CE3B78" w:rsidP="009A2157">
      <w:pPr>
        <w:spacing w:before="0" w:after="0"/>
      </w:pPr>
    </w:p>
    <w:p w:rsidR="00CE3B78" w:rsidRPr="009A2157" w:rsidRDefault="00CE3B78" w:rsidP="009A2157">
      <w:pPr>
        <w:spacing w:before="0" w:after="0"/>
      </w:pPr>
    </w:p>
    <w:p w:rsidR="005B79AC" w:rsidRDefault="005B79AC" w:rsidP="009A2157">
      <w:pPr>
        <w:spacing w:before="0" w:after="0"/>
      </w:pPr>
    </w:p>
    <w:p w:rsidR="00BA5C3D" w:rsidRDefault="00BA5C3D" w:rsidP="009A2157">
      <w:pPr>
        <w:spacing w:before="0" w:after="0"/>
      </w:pPr>
    </w:p>
    <w:p w:rsidR="00BA5C3D" w:rsidRPr="009A2157" w:rsidRDefault="00BA5C3D" w:rsidP="009A2157">
      <w:pPr>
        <w:spacing w:before="0" w:after="0"/>
      </w:pPr>
    </w:p>
    <w:p w:rsidR="00BA5C3D" w:rsidRPr="009A2157" w:rsidRDefault="00BA5C3D" w:rsidP="00BA5C3D">
      <w:pPr>
        <w:pStyle w:val="Heading1"/>
        <w:spacing w:before="0" w:after="0"/>
        <w:rPr>
          <w:rFonts w:cs="Times New Roman"/>
          <w:szCs w:val="24"/>
        </w:rPr>
      </w:pPr>
      <w:bookmarkStart w:id="34" w:name="_Toc194836477"/>
      <w:bookmarkStart w:id="35" w:name="_Toc194836559"/>
      <w:bookmarkStart w:id="36" w:name="_Toc194836641"/>
      <w:bookmarkStart w:id="37" w:name="_Toc194836723"/>
      <w:bookmarkStart w:id="38" w:name="_Toc194845368"/>
      <w:r w:rsidRPr="009A2157">
        <w:rPr>
          <w:rFonts w:cs="Times New Roman"/>
          <w:szCs w:val="24"/>
        </w:rPr>
        <w:t>ABSTRACT</w:t>
      </w:r>
      <w:bookmarkEnd w:id="34"/>
      <w:bookmarkEnd w:id="35"/>
      <w:bookmarkEnd w:id="36"/>
      <w:bookmarkEnd w:id="37"/>
      <w:bookmarkEnd w:id="38"/>
      <w:r w:rsidR="00B33427">
        <w:rPr>
          <w:rFonts w:cs="Times New Roman"/>
          <w:szCs w:val="24"/>
        </w:rPr>
        <w:fldChar w:fldCharType="begin"/>
      </w:r>
      <w:r w:rsidR="00B33427">
        <w:instrText xml:space="preserve"> TC "</w:instrText>
      </w:r>
      <w:bookmarkStart w:id="39" w:name="_Toc213301651"/>
      <w:r w:rsidR="00B33427" w:rsidRPr="00657C9F">
        <w:rPr>
          <w:rFonts w:cs="Times New Roman"/>
          <w:szCs w:val="24"/>
        </w:rPr>
        <w:instrText>ABSTRACT</w:instrText>
      </w:r>
      <w:bookmarkEnd w:id="39"/>
      <w:r w:rsidR="00B33427">
        <w:instrText xml:space="preserve">" \f C \l "1" </w:instrText>
      </w:r>
      <w:r w:rsidR="00B33427">
        <w:rPr>
          <w:rFonts w:cs="Times New Roman"/>
          <w:szCs w:val="24"/>
        </w:rPr>
        <w:fldChar w:fldCharType="end"/>
      </w:r>
    </w:p>
    <w:p w:rsidR="00BA5C3D" w:rsidRDefault="00BA5C3D" w:rsidP="00BA5C3D">
      <w:pPr>
        <w:spacing w:before="0" w:after="0" w:line="360" w:lineRule="auto"/>
      </w:pPr>
      <w:r w:rsidRPr="009A2157">
        <w:t>This study critically assesses the legal implications of unit titles on land rights in Tanzania, with a particular focus on identifying the existing legal gaps governing unit titles, evaluating their impact on individual property rights, and comparing Tanzania's legal framework with international best practices. The study employs doctrinal and comparative research methodologies to examine the provisions of the UTA, analyzing legal texts, case law, and regulatory frameworks. The comparative approach evaluates Tanzania's legal structure against international best practices, drawing insights from jurisdictions with established unit title systems.</w:t>
      </w:r>
      <w:r>
        <w:t xml:space="preserve"> </w:t>
      </w:r>
      <w:r w:rsidRPr="009A2157">
        <w:t>The introduction of the Unit Titles Act (UTA) of 2008 has significantly altered the landscape of property ownership in urban Tanzania, enabling the division of properties into individually owned units while maintaining shared ownership of common areas. Despite the progress, the implementation of the UTA has created legal complexities surrounding individual rights, collective responsibilities, and governance structures in multi-unit developments. Findings reveal several key challenges in the application of the UTA. These include ambiguity in the rights and obligations of co-</w:t>
      </w:r>
      <w:bookmarkStart w:id="40" w:name="_GoBack"/>
      <w:bookmarkEnd w:id="40"/>
      <w:r w:rsidRPr="009A2157">
        <w:t>owners, particularly with respect to the maintenance of common areas, conflicts arising from governance structures, and issues with the regulation of incidental rights such as easements and restrictive covenants. Disputes often emerge when co-owners fail to meet financial obligations, and when governance structures fail to resolve conflicts over collective decision-making. The study also highlights deficiencies in the dispute resolution mechanisms outlined in the UTA, which are perceived as time-consuming and inadequate. In conclusion, the study underscores the need for legal reforms to address the gaps and ambiguities in the current unit title framework. The study recommends enhancing the UTA’s provisions to ensure a more balanced approach to individual ownership rights and collective responsibilities, as well as the incorporation of international best practices to improve legal certainty and governance in multi-unit development.</w:t>
      </w:r>
    </w:p>
    <w:p w:rsidR="00D52F61" w:rsidRPr="008F1A29" w:rsidRDefault="00D52F61" w:rsidP="00D52F61">
      <w:pPr>
        <w:spacing w:line="360" w:lineRule="auto"/>
        <w:rPr>
          <w:i/>
        </w:rPr>
      </w:pPr>
      <w:r w:rsidRPr="00D52F61">
        <w:rPr>
          <w:b/>
        </w:rPr>
        <w:t>Key Words:</w:t>
      </w:r>
      <w:r w:rsidRPr="00DF001C">
        <w:rPr>
          <w:i/>
        </w:rPr>
        <w:t xml:space="preserve"> Unit Titles, Land Rights, Property Ownership, Co-ownership, Governance Structures, Common Areas</w:t>
      </w:r>
    </w:p>
    <w:p w:rsidR="00BA5C3D" w:rsidRPr="009A2157" w:rsidRDefault="00BA5C3D" w:rsidP="00BA5C3D">
      <w:pPr>
        <w:spacing w:before="0" w:after="0"/>
        <w:jc w:val="center"/>
        <w:rPr>
          <w:b/>
        </w:rPr>
      </w:pPr>
      <w:r w:rsidRPr="009A2157">
        <w:rPr>
          <w:b/>
        </w:rPr>
        <w:t>TABLE OF CONTENT</w:t>
      </w:r>
      <w:r>
        <w:rPr>
          <w:b/>
        </w:rPr>
        <w:t>S</w:t>
      </w:r>
    </w:p>
    <w:p w:rsidR="00C1621A" w:rsidRPr="00052C7A" w:rsidRDefault="00C1621A" w:rsidP="00052C7A">
      <w:pPr>
        <w:pStyle w:val="TOC1"/>
        <w:spacing w:before="0" w:after="0" w:line="480" w:lineRule="auto"/>
        <w:ind w:left="1134" w:hanging="1134"/>
        <w:rPr>
          <w:rFonts w:eastAsiaTheme="minorEastAsia"/>
        </w:rPr>
      </w:pPr>
      <w:r w:rsidRPr="00C267C7">
        <w:rPr>
          <w:b w:val="0"/>
        </w:rPr>
        <w:fldChar w:fldCharType="begin"/>
      </w:r>
      <w:r w:rsidRPr="00C267C7">
        <w:rPr>
          <w:b w:val="0"/>
        </w:rPr>
        <w:instrText xml:space="preserve"> TOC \f </w:instrText>
      </w:r>
      <w:r w:rsidRPr="00C267C7">
        <w:rPr>
          <w:b w:val="0"/>
        </w:rPr>
        <w:fldChar w:fldCharType="separate"/>
      </w:r>
      <w:r w:rsidRPr="00052C7A">
        <w:t>CERTIFICATION</w:t>
      </w:r>
      <w:r w:rsidRPr="00052C7A">
        <w:tab/>
      </w:r>
      <w:r w:rsidRPr="00052C7A">
        <w:fldChar w:fldCharType="begin"/>
      </w:r>
      <w:r w:rsidRPr="00052C7A">
        <w:instrText xml:space="preserve"> PAGEREF _Toc213301646 \h </w:instrText>
      </w:r>
      <w:r w:rsidRPr="00052C7A">
        <w:fldChar w:fldCharType="separate"/>
      </w:r>
      <w:r w:rsidR="00D52F61">
        <w:t>ii</w:t>
      </w:r>
      <w:r w:rsidRPr="00052C7A">
        <w:fldChar w:fldCharType="end"/>
      </w:r>
    </w:p>
    <w:p w:rsidR="00C1621A" w:rsidRPr="00052C7A" w:rsidRDefault="00C1621A" w:rsidP="00052C7A">
      <w:pPr>
        <w:pStyle w:val="TOC1"/>
        <w:spacing w:before="0" w:after="0" w:line="480" w:lineRule="auto"/>
        <w:ind w:left="1134" w:hanging="1134"/>
        <w:rPr>
          <w:rFonts w:eastAsiaTheme="minorEastAsia"/>
        </w:rPr>
      </w:pPr>
      <w:r w:rsidRPr="00052C7A">
        <w:t>COPYRIGHT</w:t>
      </w:r>
      <w:r w:rsidRPr="00052C7A">
        <w:tab/>
      </w:r>
      <w:r w:rsidRPr="00052C7A">
        <w:fldChar w:fldCharType="begin"/>
      </w:r>
      <w:r w:rsidRPr="00052C7A">
        <w:instrText xml:space="preserve"> PAGEREF _Toc213301647 \h </w:instrText>
      </w:r>
      <w:r w:rsidRPr="00052C7A">
        <w:fldChar w:fldCharType="separate"/>
      </w:r>
      <w:r w:rsidR="00D52F61">
        <w:t>iii</w:t>
      </w:r>
      <w:r w:rsidRPr="00052C7A">
        <w:fldChar w:fldCharType="end"/>
      </w:r>
    </w:p>
    <w:p w:rsidR="00C1621A" w:rsidRPr="00052C7A" w:rsidRDefault="00C1621A" w:rsidP="00052C7A">
      <w:pPr>
        <w:pStyle w:val="TOC1"/>
        <w:spacing w:before="0" w:after="0" w:line="480" w:lineRule="auto"/>
        <w:ind w:left="1134" w:hanging="1134"/>
        <w:rPr>
          <w:rFonts w:eastAsiaTheme="minorEastAsia"/>
        </w:rPr>
      </w:pPr>
      <w:r w:rsidRPr="00052C7A">
        <w:t>DECLARATION</w:t>
      </w:r>
      <w:r w:rsidRPr="00052C7A">
        <w:tab/>
      </w:r>
      <w:r w:rsidRPr="00052C7A">
        <w:fldChar w:fldCharType="begin"/>
      </w:r>
      <w:r w:rsidRPr="00052C7A">
        <w:instrText xml:space="preserve"> PAGEREF _Toc213301648 \h </w:instrText>
      </w:r>
      <w:r w:rsidRPr="00052C7A">
        <w:fldChar w:fldCharType="separate"/>
      </w:r>
      <w:r w:rsidR="00D52F61">
        <w:t>iv</w:t>
      </w:r>
      <w:r w:rsidRPr="00052C7A">
        <w:fldChar w:fldCharType="end"/>
      </w:r>
    </w:p>
    <w:p w:rsidR="00C1621A" w:rsidRPr="00052C7A" w:rsidRDefault="00C1621A" w:rsidP="00052C7A">
      <w:pPr>
        <w:pStyle w:val="TOC1"/>
        <w:spacing w:before="0" w:after="0" w:line="480" w:lineRule="auto"/>
        <w:ind w:left="1134" w:hanging="1134"/>
        <w:rPr>
          <w:rFonts w:eastAsiaTheme="minorEastAsia"/>
        </w:rPr>
      </w:pPr>
      <w:r w:rsidRPr="00052C7A">
        <w:t>DEDICATION</w:t>
      </w:r>
      <w:r w:rsidRPr="00052C7A">
        <w:tab/>
      </w:r>
      <w:r w:rsidRPr="00052C7A">
        <w:fldChar w:fldCharType="begin"/>
      </w:r>
      <w:r w:rsidRPr="00052C7A">
        <w:instrText xml:space="preserve"> PAGEREF _Toc213301649 \h </w:instrText>
      </w:r>
      <w:r w:rsidRPr="00052C7A">
        <w:fldChar w:fldCharType="separate"/>
      </w:r>
      <w:r w:rsidR="00D52F61">
        <w:t>v</w:t>
      </w:r>
      <w:r w:rsidRPr="00052C7A">
        <w:fldChar w:fldCharType="end"/>
      </w:r>
    </w:p>
    <w:p w:rsidR="00C1621A" w:rsidRPr="00052C7A" w:rsidRDefault="00C1621A" w:rsidP="00052C7A">
      <w:pPr>
        <w:pStyle w:val="TOC1"/>
        <w:spacing w:before="0" w:after="0" w:line="480" w:lineRule="auto"/>
        <w:ind w:left="1134" w:hanging="1134"/>
        <w:rPr>
          <w:rFonts w:eastAsiaTheme="minorEastAsia"/>
        </w:rPr>
      </w:pPr>
      <w:r w:rsidRPr="00052C7A">
        <w:t>ACKNOWLEDGEMENT</w:t>
      </w:r>
      <w:r w:rsidRPr="00052C7A">
        <w:tab/>
      </w:r>
      <w:r w:rsidRPr="00052C7A">
        <w:fldChar w:fldCharType="begin"/>
      </w:r>
      <w:r w:rsidRPr="00052C7A">
        <w:instrText xml:space="preserve"> PAGEREF _Toc213301650 \h </w:instrText>
      </w:r>
      <w:r w:rsidRPr="00052C7A">
        <w:fldChar w:fldCharType="separate"/>
      </w:r>
      <w:r w:rsidR="00D52F61">
        <w:t>vi</w:t>
      </w:r>
      <w:r w:rsidRPr="00052C7A">
        <w:fldChar w:fldCharType="end"/>
      </w:r>
    </w:p>
    <w:p w:rsidR="00C1621A" w:rsidRPr="00052C7A" w:rsidRDefault="00C1621A" w:rsidP="00052C7A">
      <w:pPr>
        <w:pStyle w:val="TOC1"/>
        <w:spacing w:before="0" w:after="0" w:line="480" w:lineRule="auto"/>
        <w:ind w:left="1134" w:hanging="1134"/>
        <w:rPr>
          <w:rFonts w:eastAsiaTheme="minorEastAsia"/>
        </w:rPr>
      </w:pPr>
      <w:r w:rsidRPr="00052C7A">
        <w:t>ABSTRACT</w:t>
      </w:r>
      <w:r w:rsidRPr="00052C7A">
        <w:tab/>
      </w:r>
      <w:r w:rsidRPr="00052C7A">
        <w:fldChar w:fldCharType="begin"/>
      </w:r>
      <w:r w:rsidRPr="00052C7A">
        <w:instrText xml:space="preserve"> PAGEREF _Toc213301651 \h </w:instrText>
      </w:r>
      <w:r w:rsidRPr="00052C7A">
        <w:fldChar w:fldCharType="separate"/>
      </w:r>
      <w:r w:rsidR="00D52F61">
        <w:t>vii</w:t>
      </w:r>
      <w:r w:rsidRPr="00052C7A">
        <w:fldChar w:fldCharType="end"/>
      </w:r>
    </w:p>
    <w:p w:rsidR="00C1621A" w:rsidRPr="00052C7A" w:rsidRDefault="00C1621A" w:rsidP="00052C7A">
      <w:pPr>
        <w:pStyle w:val="TOC1"/>
        <w:spacing w:before="0" w:after="0" w:line="480" w:lineRule="auto"/>
        <w:ind w:left="1134" w:hanging="1134"/>
        <w:rPr>
          <w:rFonts w:eastAsiaTheme="minorEastAsia"/>
        </w:rPr>
      </w:pPr>
      <w:r w:rsidRPr="00052C7A">
        <w:t>LIST OF LEGAL LEGISLATIONS</w:t>
      </w:r>
      <w:r w:rsidRPr="00052C7A">
        <w:tab/>
      </w:r>
      <w:r w:rsidRPr="00052C7A">
        <w:fldChar w:fldCharType="begin"/>
      </w:r>
      <w:r w:rsidRPr="00052C7A">
        <w:instrText xml:space="preserve"> PAGEREF _Toc213301652 \h </w:instrText>
      </w:r>
      <w:r w:rsidRPr="00052C7A">
        <w:fldChar w:fldCharType="separate"/>
      </w:r>
      <w:r w:rsidR="00D52F61">
        <w:t>xiii</w:t>
      </w:r>
      <w:r w:rsidRPr="00052C7A">
        <w:fldChar w:fldCharType="end"/>
      </w:r>
    </w:p>
    <w:p w:rsidR="00C1621A" w:rsidRPr="00052C7A" w:rsidRDefault="00C1621A" w:rsidP="00052C7A">
      <w:pPr>
        <w:pStyle w:val="TOC1"/>
        <w:spacing w:before="0" w:after="0" w:line="480" w:lineRule="auto"/>
        <w:ind w:left="1134" w:hanging="1134"/>
        <w:rPr>
          <w:rFonts w:eastAsiaTheme="minorEastAsia"/>
        </w:rPr>
      </w:pPr>
      <w:r w:rsidRPr="00052C7A">
        <w:t>LIST OF ABBREVIATIONS</w:t>
      </w:r>
      <w:r w:rsidRPr="00052C7A">
        <w:tab/>
      </w:r>
      <w:r w:rsidRPr="00052C7A">
        <w:fldChar w:fldCharType="begin"/>
      </w:r>
      <w:r w:rsidRPr="00052C7A">
        <w:instrText xml:space="preserve"> PAGEREF _Toc213301653 \h </w:instrText>
      </w:r>
      <w:r w:rsidRPr="00052C7A">
        <w:fldChar w:fldCharType="separate"/>
      </w:r>
      <w:r w:rsidR="00D52F61">
        <w:t>xiv</w:t>
      </w:r>
      <w:r w:rsidRPr="00052C7A">
        <w:fldChar w:fldCharType="end"/>
      </w:r>
    </w:p>
    <w:p w:rsidR="00C1621A" w:rsidRPr="00052C7A" w:rsidRDefault="00C1621A" w:rsidP="00052C7A">
      <w:pPr>
        <w:pStyle w:val="TOC1"/>
        <w:spacing w:before="0" w:after="0" w:line="480" w:lineRule="auto"/>
        <w:ind w:left="1134" w:hanging="1134"/>
        <w:rPr>
          <w:rFonts w:eastAsiaTheme="minorEastAsia"/>
        </w:rPr>
      </w:pPr>
      <w:r w:rsidRPr="00052C7A">
        <w:rPr>
          <w:bCs/>
        </w:rPr>
        <w:t>CHAPTER ONE</w:t>
      </w:r>
      <w:r w:rsidRPr="00052C7A">
        <w:tab/>
      </w:r>
      <w:r w:rsidRPr="00052C7A">
        <w:fldChar w:fldCharType="begin"/>
      </w:r>
      <w:r w:rsidRPr="00052C7A">
        <w:instrText xml:space="preserve"> PAGEREF _Toc213301654 \h </w:instrText>
      </w:r>
      <w:r w:rsidRPr="00052C7A">
        <w:fldChar w:fldCharType="separate"/>
      </w:r>
      <w:r w:rsidR="00D52F61">
        <w:t>1</w:t>
      </w:r>
      <w:r w:rsidRPr="00052C7A">
        <w:fldChar w:fldCharType="end"/>
      </w:r>
    </w:p>
    <w:p w:rsidR="00C1621A" w:rsidRPr="00052C7A" w:rsidRDefault="00C1621A" w:rsidP="00052C7A">
      <w:pPr>
        <w:pStyle w:val="TOC1"/>
        <w:spacing w:before="0" w:after="0" w:line="480" w:lineRule="auto"/>
        <w:ind w:left="1134" w:hanging="1134"/>
        <w:rPr>
          <w:rFonts w:eastAsiaTheme="minorEastAsia"/>
        </w:rPr>
      </w:pPr>
      <w:r w:rsidRPr="00052C7A">
        <w:t>INTRODUCTION AND BACKGROUND TO THE STUDY</w:t>
      </w:r>
      <w:r w:rsidRPr="00052C7A">
        <w:tab/>
      </w:r>
      <w:r w:rsidRPr="00052C7A">
        <w:fldChar w:fldCharType="begin"/>
      </w:r>
      <w:r w:rsidRPr="00052C7A">
        <w:instrText xml:space="preserve"> PAGEREF _Toc213301655 \h </w:instrText>
      </w:r>
      <w:r w:rsidRPr="00052C7A">
        <w:fldChar w:fldCharType="separate"/>
      </w:r>
      <w:r w:rsidR="00D52F61">
        <w:t>1</w:t>
      </w:r>
      <w:r w:rsidRPr="00052C7A">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1.1 </w:t>
      </w:r>
      <w:r w:rsidR="00731433">
        <w:rPr>
          <w:b w:val="0"/>
        </w:rPr>
        <w:tab/>
      </w:r>
      <w:r w:rsidRPr="00C267C7">
        <w:rPr>
          <w:b w:val="0"/>
        </w:rPr>
        <w:t>Introduction to the Study</w:t>
      </w:r>
      <w:r w:rsidRPr="00C267C7">
        <w:rPr>
          <w:b w:val="0"/>
        </w:rPr>
        <w:tab/>
      </w:r>
      <w:r w:rsidRPr="00C267C7">
        <w:rPr>
          <w:b w:val="0"/>
        </w:rPr>
        <w:fldChar w:fldCharType="begin"/>
      </w:r>
      <w:r w:rsidRPr="00C267C7">
        <w:rPr>
          <w:b w:val="0"/>
        </w:rPr>
        <w:instrText xml:space="preserve"> PAGEREF _Toc213301656 \h </w:instrText>
      </w:r>
      <w:r w:rsidRPr="00C267C7">
        <w:rPr>
          <w:b w:val="0"/>
        </w:rPr>
      </w:r>
      <w:r w:rsidRPr="00C267C7">
        <w:rPr>
          <w:b w:val="0"/>
        </w:rPr>
        <w:fldChar w:fldCharType="separate"/>
      </w:r>
      <w:r w:rsidR="00D52F61">
        <w:rPr>
          <w:b w:val="0"/>
        </w:rPr>
        <w:t>1</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1.2 </w:t>
      </w:r>
      <w:r w:rsidR="00731433">
        <w:rPr>
          <w:b w:val="0"/>
        </w:rPr>
        <w:tab/>
      </w:r>
      <w:r w:rsidRPr="00C267C7">
        <w:rPr>
          <w:b w:val="0"/>
        </w:rPr>
        <w:t>Background to the Study</w:t>
      </w:r>
      <w:r w:rsidRPr="00C267C7">
        <w:rPr>
          <w:b w:val="0"/>
        </w:rPr>
        <w:tab/>
      </w:r>
      <w:r w:rsidRPr="00C267C7">
        <w:rPr>
          <w:b w:val="0"/>
        </w:rPr>
        <w:fldChar w:fldCharType="begin"/>
      </w:r>
      <w:r w:rsidRPr="00C267C7">
        <w:rPr>
          <w:b w:val="0"/>
        </w:rPr>
        <w:instrText xml:space="preserve"> PAGEREF _Toc213301657 \h </w:instrText>
      </w:r>
      <w:r w:rsidRPr="00C267C7">
        <w:rPr>
          <w:b w:val="0"/>
        </w:rPr>
      </w:r>
      <w:r w:rsidRPr="00C267C7">
        <w:rPr>
          <w:b w:val="0"/>
        </w:rPr>
        <w:fldChar w:fldCharType="separate"/>
      </w:r>
      <w:r w:rsidR="00D52F61">
        <w:rPr>
          <w:b w:val="0"/>
        </w:rPr>
        <w:t>4</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1.3 </w:t>
      </w:r>
      <w:r w:rsidR="00731433">
        <w:rPr>
          <w:b w:val="0"/>
        </w:rPr>
        <w:tab/>
      </w:r>
      <w:r w:rsidRPr="00C267C7">
        <w:rPr>
          <w:b w:val="0"/>
        </w:rPr>
        <w:t>Statement of the Problem</w:t>
      </w:r>
      <w:r w:rsidRPr="00C267C7">
        <w:rPr>
          <w:b w:val="0"/>
        </w:rPr>
        <w:tab/>
      </w:r>
      <w:r w:rsidRPr="00C267C7">
        <w:rPr>
          <w:b w:val="0"/>
        </w:rPr>
        <w:fldChar w:fldCharType="begin"/>
      </w:r>
      <w:r w:rsidRPr="00C267C7">
        <w:rPr>
          <w:b w:val="0"/>
        </w:rPr>
        <w:instrText xml:space="preserve"> PAGEREF _Toc213301658 \h </w:instrText>
      </w:r>
      <w:r w:rsidRPr="00C267C7">
        <w:rPr>
          <w:b w:val="0"/>
        </w:rPr>
      </w:r>
      <w:r w:rsidRPr="00C267C7">
        <w:rPr>
          <w:b w:val="0"/>
        </w:rPr>
        <w:fldChar w:fldCharType="separate"/>
      </w:r>
      <w:r w:rsidR="00D52F61">
        <w:rPr>
          <w:b w:val="0"/>
        </w:rPr>
        <w:t>9</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1.4 </w:t>
      </w:r>
      <w:r w:rsidR="00731433">
        <w:rPr>
          <w:b w:val="0"/>
        </w:rPr>
        <w:tab/>
      </w:r>
      <w:r w:rsidRPr="00C267C7">
        <w:rPr>
          <w:b w:val="0"/>
        </w:rPr>
        <w:t>Research Objective</w:t>
      </w:r>
      <w:r w:rsidRPr="00C267C7">
        <w:rPr>
          <w:b w:val="0"/>
        </w:rPr>
        <w:tab/>
      </w:r>
      <w:r w:rsidRPr="00C267C7">
        <w:rPr>
          <w:b w:val="0"/>
        </w:rPr>
        <w:fldChar w:fldCharType="begin"/>
      </w:r>
      <w:r w:rsidRPr="00C267C7">
        <w:rPr>
          <w:b w:val="0"/>
        </w:rPr>
        <w:instrText xml:space="preserve"> PAGEREF _Toc213301659 \h </w:instrText>
      </w:r>
      <w:r w:rsidRPr="00C267C7">
        <w:rPr>
          <w:b w:val="0"/>
        </w:rPr>
      </w:r>
      <w:r w:rsidRPr="00C267C7">
        <w:rPr>
          <w:b w:val="0"/>
        </w:rPr>
        <w:fldChar w:fldCharType="separate"/>
      </w:r>
      <w:r w:rsidR="00D52F61">
        <w:rPr>
          <w:b w:val="0"/>
        </w:rPr>
        <w:t>11</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1.4.1 </w:t>
      </w:r>
      <w:r w:rsidR="00731433">
        <w:rPr>
          <w:b w:val="0"/>
        </w:rPr>
        <w:tab/>
      </w:r>
      <w:r w:rsidRPr="00C267C7">
        <w:rPr>
          <w:b w:val="0"/>
        </w:rPr>
        <w:t>General Objective</w:t>
      </w:r>
      <w:r w:rsidRPr="00C267C7">
        <w:rPr>
          <w:b w:val="0"/>
        </w:rPr>
        <w:tab/>
      </w:r>
      <w:r w:rsidRPr="00C267C7">
        <w:rPr>
          <w:b w:val="0"/>
        </w:rPr>
        <w:fldChar w:fldCharType="begin"/>
      </w:r>
      <w:r w:rsidRPr="00C267C7">
        <w:rPr>
          <w:b w:val="0"/>
        </w:rPr>
        <w:instrText xml:space="preserve"> PAGEREF _Toc213301660 \h </w:instrText>
      </w:r>
      <w:r w:rsidRPr="00C267C7">
        <w:rPr>
          <w:b w:val="0"/>
        </w:rPr>
      </w:r>
      <w:r w:rsidRPr="00C267C7">
        <w:rPr>
          <w:b w:val="0"/>
        </w:rPr>
        <w:fldChar w:fldCharType="separate"/>
      </w:r>
      <w:r w:rsidR="00D52F61">
        <w:rPr>
          <w:b w:val="0"/>
        </w:rPr>
        <w:t>11</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1.4.2 </w:t>
      </w:r>
      <w:r w:rsidR="00731433">
        <w:rPr>
          <w:b w:val="0"/>
        </w:rPr>
        <w:tab/>
      </w:r>
      <w:r w:rsidRPr="00C267C7">
        <w:rPr>
          <w:b w:val="0"/>
        </w:rPr>
        <w:t>Specific Objective</w:t>
      </w:r>
      <w:r w:rsidRPr="00C267C7">
        <w:rPr>
          <w:b w:val="0"/>
        </w:rPr>
        <w:tab/>
      </w:r>
      <w:r w:rsidRPr="00C267C7">
        <w:rPr>
          <w:b w:val="0"/>
        </w:rPr>
        <w:fldChar w:fldCharType="begin"/>
      </w:r>
      <w:r w:rsidRPr="00C267C7">
        <w:rPr>
          <w:b w:val="0"/>
        </w:rPr>
        <w:instrText xml:space="preserve"> PAGEREF _Toc213301661 \h </w:instrText>
      </w:r>
      <w:r w:rsidRPr="00C267C7">
        <w:rPr>
          <w:b w:val="0"/>
        </w:rPr>
      </w:r>
      <w:r w:rsidRPr="00C267C7">
        <w:rPr>
          <w:b w:val="0"/>
        </w:rPr>
        <w:fldChar w:fldCharType="separate"/>
      </w:r>
      <w:r w:rsidR="00D52F61">
        <w:rPr>
          <w:b w:val="0"/>
        </w:rPr>
        <w:t>11</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1.5 </w:t>
      </w:r>
      <w:r w:rsidR="00731433">
        <w:rPr>
          <w:b w:val="0"/>
        </w:rPr>
        <w:tab/>
      </w:r>
      <w:r w:rsidRPr="00C267C7">
        <w:rPr>
          <w:b w:val="0"/>
        </w:rPr>
        <w:t>Research Question</w:t>
      </w:r>
      <w:r w:rsidRPr="00C267C7">
        <w:rPr>
          <w:b w:val="0"/>
        </w:rPr>
        <w:tab/>
      </w:r>
      <w:r w:rsidRPr="00C267C7">
        <w:rPr>
          <w:b w:val="0"/>
        </w:rPr>
        <w:fldChar w:fldCharType="begin"/>
      </w:r>
      <w:r w:rsidRPr="00C267C7">
        <w:rPr>
          <w:b w:val="0"/>
        </w:rPr>
        <w:instrText xml:space="preserve"> PAGEREF _Toc213301662 \h </w:instrText>
      </w:r>
      <w:r w:rsidRPr="00C267C7">
        <w:rPr>
          <w:b w:val="0"/>
        </w:rPr>
      </w:r>
      <w:r w:rsidRPr="00C267C7">
        <w:rPr>
          <w:b w:val="0"/>
        </w:rPr>
        <w:fldChar w:fldCharType="separate"/>
      </w:r>
      <w:r w:rsidR="00D52F61">
        <w:rPr>
          <w:b w:val="0"/>
        </w:rPr>
        <w:t>12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1.6 </w:t>
      </w:r>
      <w:r w:rsidR="00731433">
        <w:rPr>
          <w:b w:val="0"/>
        </w:rPr>
        <w:tab/>
      </w:r>
      <w:r w:rsidRPr="00C267C7">
        <w:rPr>
          <w:b w:val="0"/>
        </w:rPr>
        <w:t>Literature Review</w:t>
      </w:r>
      <w:r w:rsidRPr="00C267C7">
        <w:rPr>
          <w:b w:val="0"/>
        </w:rPr>
        <w:tab/>
      </w:r>
      <w:r w:rsidRPr="00C267C7">
        <w:rPr>
          <w:b w:val="0"/>
        </w:rPr>
        <w:fldChar w:fldCharType="begin"/>
      </w:r>
      <w:r w:rsidRPr="00C267C7">
        <w:rPr>
          <w:b w:val="0"/>
        </w:rPr>
        <w:instrText xml:space="preserve"> PAGEREF _Toc213301663 \h </w:instrText>
      </w:r>
      <w:r w:rsidRPr="00C267C7">
        <w:rPr>
          <w:b w:val="0"/>
        </w:rPr>
      </w:r>
      <w:r w:rsidRPr="00C267C7">
        <w:rPr>
          <w:b w:val="0"/>
        </w:rPr>
        <w:fldChar w:fldCharType="separate"/>
      </w:r>
      <w:r w:rsidR="00D52F61">
        <w:rPr>
          <w:b w:val="0"/>
        </w:rPr>
        <w:t>12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1.7 </w:t>
      </w:r>
      <w:r w:rsidR="00731433">
        <w:rPr>
          <w:b w:val="0"/>
        </w:rPr>
        <w:tab/>
      </w:r>
      <w:r w:rsidRPr="00C267C7">
        <w:rPr>
          <w:b w:val="0"/>
        </w:rPr>
        <w:t>Research Methodology</w:t>
      </w:r>
      <w:r w:rsidRPr="00C267C7">
        <w:rPr>
          <w:b w:val="0"/>
        </w:rPr>
        <w:tab/>
      </w:r>
      <w:r w:rsidRPr="00C267C7">
        <w:rPr>
          <w:b w:val="0"/>
        </w:rPr>
        <w:fldChar w:fldCharType="begin"/>
      </w:r>
      <w:r w:rsidRPr="00C267C7">
        <w:rPr>
          <w:b w:val="0"/>
        </w:rPr>
        <w:instrText xml:space="preserve"> PAGEREF _Toc213301664 \h </w:instrText>
      </w:r>
      <w:r w:rsidRPr="00C267C7">
        <w:rPr>
          <w:b w:val="0"/>
        </w:rPr>
      </w:r>
      <w:r w:rsidRPr="00C267C7">
        <w:rPr>
          <w:b w:val="0"/>
        </w:rPr>
        <w:fldChar w:fldCharType="separate"/>
      </w:r>
      <w:r w:rsidR="00D52F61">
        <w:rPr>
          <w:b w:val="0"/>
        </w:rPr>
        <w:t>20</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lang w:val="en-GB"/>
        </w:rPr>
        <w:t xml:space="preserve">1.7.1 </w:t>
      </w:r>
      <w:r w:rsidR="00731433">
        <w:rPr>
          <w:b w:val="0"/>
          <w:lang w:val="en-GB"/>
        </w:rPr>
        <w:tab/>
      </w:r>
      <w:r w:rsidRPr="00C267C7">
        <w:rPr>
          <w:b w:val="0"/>
          <w:lang w:val="en-GB"/>
        </w:rPr>
        <w:t>Doctrinal Legal Research</w:t>
      </w:r>
      <w:r w:rsidRPr="00C267C7">
        <w:rPr>
          <w:b w:val="0"/>
        </w:rPr>
        <w:tab/>
      </w:r>
      <w:r w:rsidRPr="00C267C7">
        <w:rPr>
          <w:b w:val="0"/>
        </w:rPr>
        <w:fldChar w:fldCharType="begin"/>
      </w:r>
      <w:r w:rsidRPr="00C267C7">
        <w:rPr>
          <w:b w:val="0"/>
        </w:rPr>
        <w:instrText xml:space="preserve"> PAGEREF _Toc213301665 \h </w:instrText>
      </w:r>
      <w:r w:rsidRPr="00C267C7">
        <w:rPr>
          <w:b w:val="0"/>
        </w:rPr>
      </w:r>
      <w:r w:rsidRPr="00C267C7">
        <w:rPr>
          <w:b w:val="0"/>
        </w:rPr>
        <w:fldChar w:fldCharType="separate"/>
      </w:r>
      <w:r w:rsidR="00D52F61">
        <w:rPr>
          <w:b w:val="0"/>
        </w:rPr>
        <w:t>20</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1.7.2 </w:t>
      </w:r>
      <w:r w:rsidR="00731433">
        <w:rPr>
          <w:b w:val="0"/>
        </w:rPr>
        <w:tab/>
      </w:r>
      <w:r w:rsidRPr="00C267C7">
        <w:rPr>
          <w:b w:val="0"/>
        </w:rPr>
        <w:t>Comparative Legal Research</w:t>
      </w:r>
      <w:r w:rsidRPr="00C267C7">
        <w:rPr>
          <w:b w:val="0"/>
        </w:rPr>
        <w:tab/>
      </w:r>
      <w:r w:rsidRPr="00C267C7">
        <w:rPr>
          <w:b w:val="0"/>
        </w:rPr>
        <w:fldChar w:fldCharType="begin"/>
      </w:r>
      <w:r w:rsidRPr="00C267C7">
        <w:rPr>
          <w:b w:val="0"/>
        </w:rPr>
        <w:instrText xml:space="preserve"> PAGEREF _Toc213301666 \h </w:instrText>
      </w:r>
      <w:r w:rsidRPr="00C267C7">
        <w:rPr>
          <w:b w:val="0"/>
        </w:rPr>
      </w:r>
      <w:r w:rsidRPr="00C267C7">
        <w:rPr>
          <w:b w:val="0"/>
        </w:rPr>
        <w:fldChar w:fldCharType="separate"/>
      </w:r>
      <w:r w:rsidR="00D52F61">
        <w:rPr>
          <w:b w:val="0"/>
        </w:rPr>
        <w:t>21</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1.8 </w:t>
      </w:r>
      <w:r w:rsidR="00731433">
        <w:rPr>
          <w:b w:val="0"/>
        </w:rPr>
        <w:tab/>
      </w:r>
      <w:r w:rsidRPr="00C267C7">
        <w:rPr>
          <w:b w:val="0"/>
        </w:rPr>
        <w:t>Significance of the Study</w:t>
      </w:r>
      <w:r w:rsidRPr="00C267C7">
        <w:rPr>
          <w:b w:val="0"/>
        </w:rPr>
        <w:tab/>
      </w:r>
      <w:r w:rsidRPr="00C267C7">
        <w:rPr>
          <w:b w:val="0"/>
        </w:rPr>
        <w:fldChar w:fldCharType="begin"/>
      </w:r>
      <w:r w:rsidRPr="00C267C7">
        <w:rPr>
          <w:b w:val="0"/>
        </w:rPr>
        <w:instrText xml:space="preserve"> PAGEREF _Toc213301667 \h </w:instrText>
      </w:r>
      <w:r w:rsidRPr="00C267C7">
        <w:rPr>
          <w:b w:val="0"/>
        </w:rPr>
      </w:r>
      <w:r w:rsidRPr="00C267C7">
        <w:rPr>
          <w:b w:val="0"/>
        </w:rPr>
        <w:fldChar w:fldCharType="separate"/>
      </w:r>
      <w:r w:rsidR="00D52F61">
        <w:rPr>
          <w:b w:val="0"/>
        </w:rPr>
        <w:t>22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1.9 </w:t>
      </w:r>
      <w:r w:rsidR="00731433">
        <w:rPr>
          <w:b w:val="0"/>
        </w:rPr>
        <w:tab/>
      </w:r>
      <w:r w:rsidRPr="00C267C7">
        <w:rPr>
          <w:b w:val="0"/>
        </w:rPr>
        <w:t>Scope and Limitation of the Study</w:t>
      </w:r>
      <w:r w:rsidRPr="00C267C7">
        <w:rPr>
          <w:b w:val="0"/>
        </w:rPr>
        <w:tab/>
      </w:r>
      <w:r w:rsidRPr="00C267C7">
        <w:rPr>
          <w:b w:val="0"/>
        </w:rPr>
        <w:fldChar w:fldCharType="begin"/>
      </w:r>
      <w:r w:rsidRPr="00C267C7">
        <w:rPr>
          <w:b w:val="0"/>
        </w:rPr>
        <w:instrText xml:space="preserve"> PAGEREF _Toc213301668 \h </w:instrText>
      </w:r>
      <w:r w:rsidRPr="00C267C7">
        <w:rPr>
          <w:b w:val="0"/>
        </w:rPr>
      </w:r>
      <w:r w:rsidRPr="00C267C7">
        <w:rPr>
          <w:b w:val="0"/>
        </w:rPr>
        <w:fldChar w:fldCharType="separate"/>
      </w:r>
      <w:r w:rsidR="00D52F61">
        <w:rPr>
          <w:b w:val="0"/>
        </w:rPr>
        <w:t>22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1.10 </w:t>
      </w:r>
      <w:r w:rsidR="00731433">
        <w:rPr>
          <w:b w:val="0"/>
        </w:rPr>
        <w:tab/>
      </w:r>
      <w:r w:rsidRPr="00C267C7">
        <w:rPr>
          <w:b w:val="0"/>
        </w:rPr>
        <w:t>Study Organization</w:t>
      </w:r>
      <w:r w:rsidRPr="00C267C7">
        <w:rPr>
          <w:b w:val="0"/>
        </w:rPr>
        <w:tab/>
      </w:r>
      <w:r w:rsidRPr="00C267C7">
        <w:rPr>
          <w:b w:val="0"/>
        </w:rPr>
        <w:fldChar w:fldCharType="begin"/>
      </w:r>
      <w:r w:rsidRPr="00C267C7">
        <w:rPr>
          <w:b w:val="0"/>
        </w:rPr>
        <w:instrText xml:space="preserve"> PAGEREF _Toc213301669 \h </w:instrText>
      </w:r>
      <w:r w:rsidRPr="00C267C7">
        <w:rPr>
          <w:b w:val="0"/>
        </w:rPr>
      </w:r>
      <w:r w:rsidRPr="00C267C7">
        <w:rPr>
          <w:b w:val="0"/>
        </w:rPr>
        <w:fldChar w:fldCharType="separate"/>
      </w:r>
      <w:r w:rsidR="00D52F61">
        <w:rPr>
          <w:b w:val="0"/>
        </w:rPr>
        <w:t>23</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1.11 </w:t>
      </w:r>
      <w:r w:rsidR="00731433">
        <w:rPr>
          <w:b w:val="0"/>
        </w:rPr>
        <w:tab/>
      </w:r>
      <w:r w:rsidRPr="00C267C7">
        <w:rPr>
          <w:b w:val="0"/>
        </w:rPr>
        <w:t>Ethical Considerations</w:t>
      </w:r>
      <w:r w:rsidRPr="00C267C7">
        <w:rPr>
          <w:b w:val="0"/>
        </w:rPr>
        <w:tab/>
      </w:r>
      <w:r w:rsidRPr="00C267C7">
        <w:rPr>
          <w:b w:val="0"/>
        </w:rPr>
        <w:fldChar w:fldCharType="begin"/>
      </w:r>
      <w:r w:rsidRPr="00C267C7">
        <w:rPr>
          <w:b w:val="0"/>
        </w:rPr>
        <w:instrText xml:space="preserve"> PAGEREF _Toc213301670 \h </w:instrText>
      </w:r>
      <w:r w:rsidRPr="00C267C7">
        <w:rPr>
          <w:b w:val="0"/>
        </w:rPr>
      </w:r>
      <w:r w:rsidRPr="00C267C7">
        <w:rPr>
          <w:b w:val="0"/>
        </w:rPr>
        <w:fldChar w:fldCharType="separate"/>
      </w:r>
      <w:r w:rsidR="00D52F61">
        <w:rPr>
          <w:b w:val="0"/>
        </w:rPr>
        <w:t>23</w:t>
      </w:r>
      <w:r w:rsidRPr="00C267C7">
        <w:rPr>
          <w:b w:val="0"/>
        </w:rPr>
        <w:fldChar w:fldCharType="end"/>
      </w:r>
    </w:p>
    <w:p w:rsidR="00C1621A" w:rsidRPr="00731433" w:rsidRDefault="00C1621A" w:rsidP="00052C7A">
      <w:pPr>
        <w:pStyle w:val="TOC1"/>
        <w:spacing w:before="0" w:after="0" w:line="480" w:lineRule="auto"/>
        <w:ind w:left="1134" w:hanging="1134"/>
        <w:rPr>
          <w:rFonts w:eastAsiaTheme="minorEastAsia"/>
        </w:rPr>
      </w:pPr>
      <w:r w:rsidRPr="00731433">
        <w:t>CHAPTER TWO</w:t>
      </w:r>
      <w:r w:rsidRPr="00731433">
        <w:tab/>
      </w:r>
      <w:r w:rsidRPr="00731433">
        <w:fldChar w:fldCharType="begin"/>
      </w:r>
      <w:r w:rsidRPr="00731433">
        <w:instrText xml:space="preserve"> PAGEREF _Toc213301671 \h </w:instrText>
      </w:r>
      <w:r w:rsidRPr="00731433">
        <w:fldChar w:fldCharType="separate"/>
      </w:r>
      <w:r w:rsidR="00D52F61">
        <w:t>25</w:t>
      </w:r>
      <w:r w:rsidRPr="00731433">
        <w:fldChar w:fldCharType="end"/>
      </w:r>
    </w:p>
    <w:p w:rsidR="00C1621A" w:rsidRPr="00731433" w:rsidRDefault="00C1621A" w:rsidP="00052C7A">
      <w:pPr>
        <w:pStyle w:val="TOC1"/>
        <w:spacing w:before="0" w:after="0" w:line="480" w:lineRule="auto"/>
        <w:ind w:left="1134" w:hanging="1134"/>
        <w:rPr>
          <w:rFonts w:eastAsiaTheme="minorEastAsia"/>
        </w:rPr>
      </w:pPr>
      <w:r w:rsidRPr="00731433">
        <w:t>CONCEPTUAL AND THEORETICAL FRAMEWORK</w:t>
      </w:r>
      <w:r w:rsidRPr="00731433">
        <w:tab/>
      </w:r>
      <w:r w:rsidRPr="00731433">
        <w:fldChar w:fldCharType="begin"/>
      </w:r>
      <w:r w:rsidRPr="00731433">
        <w:instrText xml:space="preserve"> PAGEREF _Toc213301672 \h </w:instrText>
      </w:r>
      <w:r w:rsidRPr="00731433">
        <w:fldChar w:fldCharType="separate"/>
      </w:r>
      <w:r w:rsidR="00D52F61">
        <w:t>25</w:t>
      </w:r>
      <w:r w:rsidRPr="00731433">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 </w:t>
      </w:r>
      <w:r w:rsidR="00731433">
        <w:rPr>
          <w:b w:val="0"/>
        </w:rPr>
        <w:tab/>
      </w:r>
      <w:r w:rsidRPr="00C267C7">
        <w:rPr>
          <w:b w:val="0"/>
        </w:rPr>
        <w:t>Introduction</w:t>
      </w:r>
      <w:r w:rsidRPr="00C267C7">
        <w:rPr>
          <w:b w:val="0"/>
        </w:rPr>
        <w:tab/>
      </w:r>
      <w:r w:rsidRPr="00C267C7">
        <w:rPr>
          <w:b w:val="0"/>
        </w:rPr>
        <w:fldChar w:fldCharType="begin"/>
      </w:r>
      <w:r w:rsidRPr="00C267C7">
        <w:rPr>
          <w:b w:val="0"/>
        </w:rPr>
        <w:instrText xml:space="preserve"> PAGEREF _Toc213301673 \h </w:instrText>
      </w:r>
      <w:r w:rsidRPr="00C267C7">
        <w:rPr>
          <w:b w:val="0"/>
        </w:rPr>
      </w:r>
      <w:r w:rsidRPr="00C267C7">
        <w:rPr>
          <w:b w:val="0"/>
        </w:rPr>
        <w:fldChar w:fldCharType="separate"/>
      </w:r>
      <w:r w:rsidR="00D52F61">
        <w:rPr>
          <w:b w:val="0"/>
        </w:rPr>
        <w:t>25</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2.2 </w:t>
      </w:r>
      <w:r w:rsidR="00731433">
        <w:rPr>
          <w:b w:val="0"/>
        </w:rPr>
        <w:tab/>
      </w:r>
      <w:r w:rsidRPr="00C267C7">
        <w:rPr>
          <w:b w:val="0"/>
        </w:rPr>
        <w:t>Unit Title</w:t>
      </w:r>
      <w:r w:rsidRPr="00C267C7">
        <w:rPr>
          <w:b w:val="0"/>
        </w:rPr>
        <w:tab/>
      </w:r>
      <w:r w:rsidRPr="00C267C7">
        <w:rPr>
          <w:b w:val="0"/>
        </w:rPr>
        <w:fldChar w:fldCharType="begin"/>
      </w:r>
      <w:r w:rsidRPr="00C267C7">
        <w:rPr>
          <w:b w:val="0"/>
        </w:rPr>
        <w:instrText xml:space="preserve"> PAGEREF _Toc213301674 \h </w:instrText>
      </w:r>
      <w:r w:rsidRPr="00C267C7">
        <w:rPr>
          <w:b w:val="0"/>
        </w:rPr>
      </w:r>
      <w:r w:rsidRPr="00C267C7">
        <w:rPr>
          <w:b w:val="0"/>
        </w:rPr>
        <w:fldChar w:fldCharType="separate"/>
      </w:r>
      <w:r w:rsidR="00D52F61">
        <w:rPr>
          <w:b w:val="0"/>
        </w:rPr>
        <w:t>25</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2.3 </w:t>
      </w:r>
      <w:r w:rsidR="00731433">
        <w:rPr>
          <w:b w:val="0"/>
        </w:rPr>
        <w:tab/>
      </w:r>
      <w:r w:rsidRPr="00C267C7">
        <w:rPr>
          <w:b w:val="0"/>
        </w:rPr>
        <w:t>Establishment of Unit Title</w:t>
      </w:r>
      <w:r w:rsidRPr="00C267C7">
        <w:rPr>
          <w:b w:val="0"/>
        </w:rPr>
        <w:tab/>
      </w:r>
      <w:r w:rsidRPr="00C267C7">
        <w:rPr>
          <w:b w:val="0"/>
        </w:rPr>
        <w:fldChar w:fldCharType="begin"/>
      </w:r>
      <w:r w:rsidRPr="00C267C7">
        <w:rPr>
          <w:b w:val="0"/>
        </w:rPr>
        <w:instrText xml:space="preserve"> PAGEREF _Toc213301675 \h </w:instrText>
      </w:r>
      <w:r w:rsidRPr="00C267C7">
        <w:rPr>
          <w:b w:val="0"/>
        </w:rPr>
      </w:r>
      <w:r w:rsidRPr="00C267C7">
        <w:rPr>
          <w:b w:val="0"/>
        </w:rPr>
        <w:fldChar w:fldCharType="separate"/>
      </w:r>
      <w:r w:rsidR="00D52F61">
        <w:rPr>
          <w:b w:val="0"/>
        </w:rPr>
        <w:t>27</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2.4 </w:t>
      </w:r>
      <w:r w:rsidR="00731433">
        <w:rPr>
          <w:b w:val="0"/>
        </w:rPr>
        <w:tab/>
      </w:r>
      <w:r w:rsidRPr="00C267C7">
        <w:rPr>
          <w:b w:val="0"/>
        </w:rPr>
        <w:t>Principal Characteristic of Unit Title</w:t>
      </w:r>
      <w:r w:rsidRPr="00C267C7">
        <w:rPr>
          <w:b w:val="0"/>
        </w:rPr>
        <w:tab/>
      </w:r>
      <w:r w:rsidRPr="00C267C7">
        <w:rPr>
          <w:b w:val="0"/>
        </w:rPr>
        <w:fldChar w:fldCharType="begin"/>
      </w:r>
      <w:r w:rsidRPr="00C267C7">
        <w:rPr>
          <w:b w:val="0"/>
        </w:rPr>
        <w:instrText xml:space="preserve"> PAGEREF _Toc213301676 \h </w:instrText>
      </w:r>
      <w:r w:rsidRPr="00C267C7">
        <w:rPr>
          <w:b w:val="0"/>
        </w:rPr>
      </w:r>
      <w:r w:rsidRPr="00C267C7">
        <w:rPr>
          <w:b w:val="0"/>
        </w:rPr>
        <w:fldChar w:fldCharType="separate"/>
      </w:r>
      <w:r w:rsidR="00D52F61">
        <w:rPr>
          <w:b w:val="0"/>
        </w:rPr>
        <w:t>30</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2.4.1 </w:t>
      </w:r>
      <w:r w:rsidR="00731433">
        <w:rPr>
          <w:b w:val="0"/>
        </w:rPr>
        <w:tab/>
      </w:r>
      <w:r w:rsidRPr="00C267C7">
        <w:rPr>
          <w:b w:val="0"/>
        </w:rPr>
        <w:t>Ownership of Individual Units</w:t>
      </w:r>
      <w:r w:rsidRPr="00C267C7">
        <w:rPr>
          <w:b w:val="0"/>
        </w:rPr>
        <w:tab/>
      </w:r>
      <w:r w:rsidRPr="00C267C7">
        <w:rPr>
          <w:b w:val="0"/>
        </w:rPr>
        <w:fldChar w:fldCharType="begin"/>
      </w:r>
      <w:r w:rsidRPr="00C267C7">
        <w:rPr>
          <w:b w:val="0"/>
        </w:rPr>
        <w:instrText xml:space="preserve"> PAGEREF _Toc213301677 \h </w:instrText>
      </w:r>
      <w:r w:rsidRPr="00C267C7">
        <w:rPr>
          <w:b w:val="0"/>
        </w:rPr>
      </w:r>
      <w:r w:rsidRPr="00C267C7">
        <w:rPr>
          <w:b w:val="0"/>
        </w:rPr>
        <w:fldChar w:fldCharType="separate"/>
      </w:r>
      <w:r w:rsidR="00D52F61">
        <w:rPr>
          <w:b w:val="0"/>
        </w:rPr>
        <w:t>30</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2.4.2 </w:t>
      </w:r>
      <w:r w:rsidR="00731433">
        <w:rPr>
          <w:b w:val="0"/>
        </w:rPr>
        <w:tab/>
      </w:r>
      <w:r w:rsidRPr="00C267C7">
        <w:rPr>
          <w:b w:val="0"/>
        </w:rPr>
        <w:t>Common Property Ownership</w:t>
      </w:r>
      <w:r w:rsidRPr="00C267C7">
        <w:rPr>
          <w:b w:val="0"/>
        </w:rPr>
        <w:tab/>
      </w:r>
      <w:r w:rsidRPr="00C267C7">
        <w:rPr>
          <w:b w:val="0"/>
        </w:rPr>
        <w:fldChar w:fldCharType="begin"/>
      </w:r>
      <w:r w:rsidRPr="00C267C7">
        <w:rPr>
          <w:b w:val="0"/>
        </w:rPr>
        <w:instrText xml:space="preserve"> PAGEREF _Toc213301678 \h </w:instrText>
      </w:r>
      <w:r w:rsidRPr="00C267C7">
        <w:rPr>
          <w:b w:val="0"/>
        </w:rPr>
      </w:r>
      <w:r w:rsidRPr="00C267C7">
        <w:rPr>
          <w:b w:val="0"/>
        </w:rPr>
        <w:fldChar w:fldCharType="separate"/>
      </w:r>
      <w:r w:rsidR="00D52F61">
        <w:rPr>
          <w:b w:val="0"/>
        </w:rPr>
        <w:t>31</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2.4.3 </w:t>
      </w:r>
      <w:r w:rsidR="00731433">
        <w:rPr>
          <w:b w:val="0"/>
        </w:rPr>
        <w:tab/>
      </w:r>
      <w:r w:rsidRPr="00C267C7">
        <w:rPr>
          <w:b w:val="0"/>
        </w:rPr>
        <w:t>Indivisibility of Title</w:t>
      </w:r>
      <w:r w:rsidRPr="00C267C7">
        <w:rPr>
          <w:b w:val="0"/>
        </w:rPr>
        <w:tab/>
      </w:r>
      <w:r w:rsidRPr="00C267C7">
        <w:rPr>
          <w:b w:val="0"/>
        </w:rPr>
        <w:fldChar w:fldCharType="begin"/>
      </w:r>
      <w:r w:rsidRPr="00C267C7">
        <w:rPr>
          <w:b w:val="0"/>
        </w:rPr>
        <w:instrText xml:space="preserve"> PAGEREF _Toc213301679 \h </w:instrText>
      </w:r>
      <w:r w:rsidRPr="00C267C7">
        <w:rPr>
          <w:b w:val="0"/>
        </w:rPr>
      </w:r>
      <w:r w:rsidRPr="00C267C7">
        <w:rPr>
          <w:b w:val="0"/>
        </w:rPr>
        <w:fldChar w:fldCharType="separate"/>
      </w:r>
      <w:r w:rsidR="00D52F61">
        <w:rPr>
          <w:b w:val="0"/>
        </w:rPr>
        <w:t>32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2.4.4 </w:t>
      </w:r>
      <w:r w:rsidR="00731433">
        <w:rPr>
          <w:b w:val="0"/>
        </w:rPr>
        <w:tab/>
      </w:r>
      <w:r w:rsidRPr="00C267C7">
        <w:rPr>
          <w:b w:val="0"/>
        </w:rPr>
        <w:t>Legal Framework for Governance</w:t>
      </w:r>
      <w:r w:rsidRPr="00C267C7">
        <w:rPr>
          <w:b w:val="0"/>
        </w:rPr>
        <w:tab/>
      </w:r>
      <w:r w:rsidRPr="00C267C7">
        <w:rPr>
          <w:b w:val="0"/>
        </w:rPr>
        <w:fldChar w:fldCharType="begin"/>
      </w:r>
      <w:r w:rsidRPr="00C267C7">
        <w:rPr>
          <w:b w:val="0"/>
        </w:rPr>
        <w:instrText xml:space="preserve"> PAGEREF _Toc213301680 \h </w:instrText>
      </w:r>
      <w:r w:rsidRPr="00C267C7">
        <w:rPr>
          <w:b w:val="0"/>
        </w:rPr>
      </w:r>
      <w:r w:rsidRPr="00C267C7">
        <w:rPr>
          <w:b w:val="0"/>
        </w:rPr>
        <w:fldChar w:fldCharType="separate"/>
      </w:r>
      <w:r w:rsidR="00D52F61">
        <w:rPr>
          <w:b w:val="0"/>
        </w:rPr>
        <w:t>33</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2.4.5 </w:t>
      </w:r>
      <w:r w:rsidR="00731433">
        <w:rPr>
          <w:b w:val="0"/>
        </w:rPr>
        <w:tab/>
      </w:r>
      <w:r w:rsidRPr="00C267C7">
        <w:rPr>
          <w:b w:val="0"/>
        </w:rPr>
        <w:t>Separate and Transferable Ownership</w:t>
      </w:r>
      <w:r w:rsidRPr="00C267C7">
        <w:rPr>
          <w:b w:val="0"/>
        </w:rPr>
        <w:tab/>
      </w:r>
      <w:r w:rsidRPr="00C267C7">
        <w:rPr>
          <w:b w:val="0"/>
        </w:rPr>
        <w:fldChar w:fldCharType="begin"/>
      </w:r>
      <w:r w:rsidRPr="00C267C7">
        <w:rPr>
          <w:b w:val="0"/>
        </w:rPr>
        <w:instrText xml:space="preserve"> PAGEREF _Toc213301681 \h </w:instrText>
      </w:r>
      <w:r w:rsidRPr="00C267C7">
        <w:rPr>
          <w:b w:val="0"/>
        </w:rPr>
      </w:r>
      <w:r w:rsidRPr="00C267C7">
        <w:rPr>
          <w:b w:val="0"/>
        </w:rPr>
        <w:fldChar w:fldCharType="separate"/>
      </w:r>
      <w:r w:rsidR="00D52F61">
        <w:rPr>
          <w:b w:val="0"/>
        </w:rPr>
        <w:t>34</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2.4.6 </w:t>
      </w:r>
      <w:r w:rsidR="00731433">
        <w:rPr>
          <w:b w:val="0"/>
        </w:rPr>
        <w:tab/>
      </w:r>
      <w:r w:rsidRPr="00C267C7">
        <w:rPr>
          <w:b w:val="0"/>
        </w:rPr>
        <w:t>Maintenance and Financial Contributions</w:t>
      </w:r>
      <w:r w:rsidRPr="00C267C7">
        <w:rPr>
          <w:b w:val="0"/>
        </w:rPr>
        <w:tab/>
      </w:r>
      <w:r w:rsidRPr="00C267C7">
        <w:rPr>
          <w:b w:val="0"/>
        </w:rPr>
        <w:fldChar w:fldCharType="begin"/>
      </w:r>
      <w:r w:rsidRPr="00C267C7">
        <w:rPr>
          <w:b w:val="0"/>
        </w:rPr>
        <w:instrText xml:space="preserve"> PAGEREF _Toc213301682 \h </w:instrText>
      </w:r>
      <w:r w:rsidRPr="00C267C7">
        <w:rPr>
          <w:b w:val="0"/>
        </w:rPr>
      </w:r>
      <w:r w:rsidRPr="00C267C7">
        <w:rPr>
          <w:b w:val="0"/>
        </w:rPr>
        <w:fldChar w:fldCharType="separate"/>
      </w:r>
      <w:r w:rsidR="00D52F61">
        <w:rPr>
          <w:b w:val="0"/>
        </w:rPr>
        <w:t>35</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2.5 </w:t>
      </w:r>
      <w:r w:rsidR="00731433">
        <w:rPr>
          <w:b w:val="0"/>
        </w:rPr>
        <w:tab/>
      </w:r>
      <w:r w:rsidRPr="00C267C7">
        <w:rPr>
          <w:b w:val="0"/>
        </w:rPr>
        <w:t>Registration of Unit Plans</w:t>
      </w:r>
      <w:r w:rsidRPr="00C267C7">
        <w:rPr>
          <w:b w:val="0"/>
        </w:rPr>
        <w:tab/>
      </w:r>
      <w:r w:rsidRPr="00C267C7">
        <w:rPr>
          <w:b w:val="0"/>
        </w:rPr>
        <w:fldChar w:fldCharType="begin"/>
      </w:r>
      <w:r w:rsidRPr="00C267C7">
        <w:rPr>
          <w:b w:val="0"/>
        </w:rPr>
        <w:instrText xml:space="preserve"> PAGEREF _Toc213301683 \h </w:instrText>
      </w:r>
      <w:r w:rsidRPr="00C267C7">
        <w:rPr>
          <w:b w:val="0"/>
        </w:rPr>
      </w:r>
      <w:r w:rsidRPr="00C267C7">
        <w:rPr>
          <w:b w:val="0"/>
        </w:rPr>
        <w:fldChar w:fldCharType="separate"/>
      </w:r>
      <w:r w:rsidR="00D52F61">
        <w:rPr>
          <w:b w:val="0"/>
        </w:rPr>
        <w:t>36</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2.6 </w:t>
      </w:r>
      <w:r w:rsidR="00731433">
        <w:rPr>
          <w:b w:val="0"/>
        </w:rPr>
        <w:tab/>
      </w:r>
      <w:r w:rsidRPr="00C267C7">
        <w:rPr>
          <w:b w:val="0"/>
        </w:rPr>
        <w:t>Registration of a Unit</w:t>
      </w:r>
      <w:r w:rsidRPr="00C267C7">
        <w:rPr>
          <w:b w:val="0"/>
        </w:rPr>
        <w:tab/>
      </w:r>
      <w:r w:rsidRPr="00C267C7">
        <w:rPr>
          <w:b w:val="0"/>
        </w:rPr>
        <w:fldChar w:fldCharType="begin"/>
      </w:r>
      <w:r w:rsidRPr="00C267C7">
        <w:rPr>
          <w:b w:val="0"/>
        </w:rPr>
        <w:instrText xml:space="preserve"> PAGEREF _Toc213301684 \h </w:instrText>
      </w:r>
      <w:r w:rsidRPr="00C267C7">
        <w:rPr>
          <w:b w:val="0"/>
        </w:rPr>
      </w:r>
      <w:r w:rsidRPr="00C267C7">
        <w:rPr>
          <w:b w:val="0"/>
        </w:rPr>
        <w:fldChar w:fldCharType="separate"/>
      </w:r>
      <w:r w:rsidR="00D52F61">
        <w:rPr>
          <w:b w:val="0"/>
        </w:rPr>
        <w:t>37</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2.7 </w:t>
      </w:r>
      <w:r w:rsidR="00731433">
        <w:rPr>
          <w:b w:val="0"/>
        </w:rPr>
        <w:tab/>
      </w:r>
      <w:r w:rsidRPr="00C267C7">
        <w:rPr>
          <w:b w:val="0"/>
        </w:rPr>
        <w:t>Disposition of Unit Title</w:t>
      </w:r>
      <w:r w:rsidRPr="00C267C7">
        <w:rPr>
          <w:b w:val="0"/>
        </w:rPr>
        <w:tab/>
      </w:r>
      <w:r w:rsidRPr="00C267C7">
        <w:rPr>
          <w:b w:val="0"/>
        </w:rPr>
        <w:fldChar w:fldCharType="begin"/>
      </w:r>
      <w:r w:rsidRPr="00C267C7">
        <w:rPr>
          <w:b w:val="0"/>
        </w:rPr>
        <w:instrText xml:space="preserve"> PAGEREF _Toc213301685 \h </w:instrText>
      </w:r>
      <w:r w:rsidRPr="00C267C7">
        <w:rPr>
          <w:b w:val="0"/>
        </w:rPr>
      </w:r>
      <w:r w:rsidRPr="00C267C7">
        <w:rPr>
          <w:b w:val="0"/>
        </w:rPr>
        <w:fldChar w:fldCharType="separate"/>
      </w:r>
      <w:r w:rsidR="00D52F61">
        <w:rPr>
          <w:b w:val="0"/>
        </w:rPr>
        <w:t>38</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2.7.1 </w:t>
      </w:r>
      <w:r w:rsidR="00731433">
        <w:rPr>
          <w:b w:val="0"/>
        </w:rPr>
        <w:tab/>
      </w:r>
      <w:r w:rsidRPr="00C267C7">
        <w:rPr>
          <w:b w:val="0"/>
        </w:rPr>
        <w:t>Sale by a Co-owner</w:t>
      </w:r>
      <w:r w:rsidRPr="00C267C7">
        <w:rPr>
          <w:b w:val="0"/>
        </w:rPr>
        <w:tab/>
      </w:r>
      <w:r w:rsidRPr="00C267C7">
        <w:rPr>
          <w:b w:val="0"/>
        </w:rPr>
        <w:fldChar w:fldCharType="begin"/>
      </w:r>
      <w:r w:rsidRPr="00C267C7">
        <w:rPr>
          <w:b w:val="0"/>
        </w:rPr>
        <w:instrText xml:space="preserve"> PAGEREF _Toc213301686 \h </w:instrText>
      </w:r>
      <w:r w:rsidRPr="00C267C7">
        <w:rPr>
          <w:b w:val="0"/>
        </w:rPr>
      </w:r>
      <w:r w:rsidRPr="00C267C7">
        <w:rPr>
          <w:b w:val="0"/>
        </w:rPr>
        <w:fldChar w:fldCharType="separate"/>
      </w:r>
      <w:r w:rsidR="00D52F61">
        <w:rPr>
          <w:b w:val="0"/>
        </w:rPr>
        <w:t>39</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2.8 </w:t>
      </w:r>
      <w:r w:rsidR="00731433">
        <w:rPr>
          <w:b w:val="0"/>
        </w:rPr>
        <w:tab/>
      </w:r>
      <w:r w:rsidRPr="00C267C7">
        <w:rPr>
          <w:b w:val="0"/>
        </w:rPr>
        <w:t>Termination of Unit Status</w:t>
      </w:r>
      <w:r w:rsidRPr="00C267C7">
        <w:rPr>
          <w:b w:val="0"/>
        </w:rPr>
        <w:tab/>
      </w:r>
      <w:r w:rsidRPr="00C267C7">
        <w:rPr>
          <w:b w:val="0"/>
        </w:rPr>
        <w:fldChar w:fldCharType="begin"/>
      </w:r>
      <w:r w:rsidRPr="00C267C7">
        <w:rPr>
          <w:b w:val="0"/>
        </w:rPr>
        <w:instrText xml:space="preserve"> PAGEREF _Toc213301687 \h </w:instrText>
      </w:r>
      <w:r w:rsidRPr="00C267C7">
        <w:rPr>
          <w:b w:val="0"/>
        </w:rPr>
      </w:r>
      <w:r w:rsidRPr="00C267C7">
        <w:rPr>
          <w:b w:val="0"/>
        </w:rPr>
        <w:fldChar w:fldCharType="separate"/>
      </w:r>
      <w:r w:rsidR="00D52F61">
        <w:rPr>
          <w:b w:val="0"/>
        </w:rPr>
        <w:t>40</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2.9 </w:t>
      </w:r>
      <w:r w:rsidR="00731433">
        <w:rPr>
          <w:b w:val="0"/>
        </w:rPr>
        <w:tab/>
      </w:r>
      <w:r w:rsidRPr="00C267C7">
        <w:rPr>
          <w:b w:val="0"/>
        </w:rPr>
        <w:t>Establishment of Unit Titles Association</w:t>
      </w:r>
      <w:r w:rsidRPr="00C267C7">
        <w:rPr>
          <w:b w:val="0"/>
        </w:rPr>
        <w:tab/>
      </w:r>
      <w:r w:rsidRPr="00C267C7">
        <w:rPr>
          <w:b w:val="0"/>
        </w:rPr>
        <w:fldChar w:fldCharType="begin"/>
      </w:r>
      <w:r w:rsidRPr="00C267C7">
        <w:rPr>
          <w:b w:val="0"/>
        </w:rPr>
        <w:instrText xml:space="preserve"> PAGEREF _Toc213301688 \h </w:instrText>
      </w:r>
      <w:r w:rsidRPr="00C267C7">
        <w:rPr>
          <w:b w:val="0"/>
        </w:rPr>
      </w:r>
      <w:r w:rsidRPr="00C267C7">
        <w:rPr>
          <w:b w:val="0"/>
        </w:rPr>
        <w:fldChar w:fldCharType="separate"/>
      </w:r>
      <w:r w:rsidR="00D52F61">
        <w:rPr>
          <w:b w:val="0"/>
        </w:rPr>
        <w:t>40</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2.10 </w:t>
      </w:r>
      <w:r w:rsidR="00731433">
        <w:rPr>
          <w:b w:val="0"/>
        </w:rPr>
        <w:tab/>
      </w:r>
      <w:r w:rsidRPr="00C267C7">
        <w:rPr>
          <w:b w:val="0"/>
        </w:rPr>
        <w:t>Registration of By-laws of Unit Property</w:t>
      </w:r>
      <w:r w:rsidRPr="00C267C7">
        <w:rPr>
          <w:b w:val="0"/>
        </w:rPr>
        <w:tab/>
      </w:r>
      <w:r w:rsidRPr="00C267C7">
        <w:rPr>
          <w:b w:val="0"/>
        </w:rPr>
        <w:fldChar w:fldCharType="begin"/>
      </w:r>
      <w:r w:rsidRPr="00C267C7">
        <w:rPr>
          <w:b w:val="0"/>
        </w:rPr>
        <w:instrText xml:space="preserve"> PAGEREF _Toc213301689 \h </w:instrText>
      </w:r>
      <w:r w:rsidRPr="00C267C7">
        <w:rPr>
          <w:b w:val="0"/>
        </w:rPr>
      </w:r>
      <w:r w:rsidRPr="00C267C7">
        <w:rPr>
          <w:b w:val="0"/>
        </w:rPr>
        <w:fldChar w:fldCharType="separate"/>
      </w:r>
      <w:r w:rsidR="00D52F61">
        <w:rPr>
          <w:b w:val="0"/>
        </w:rPr>
        <w:t>41</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2.11 </w:t>
      </w:r>
      <w:r w:rsidR="00731433">
        <w:rPr>
          <w:b w:val="0"/>
        </w:rPr>
        <w:tab/>
      </w:r>
      <w:r w:rsidRPr="00C267C7">
        <w:rPr>
          <w:b w:val="0"/>
        </w:rPr>
        <w:t>Differences between Unit Titles and Subtitles</w:t>
      </w:r>
      <w:r w:rsidRPr="00C267C7">
        <w:rPr>
          <w:b w:val="0"/>
        </w:rPr>
        <w:tab/>
      </w:r>
      <w:r w:rsidRPr="00C267C7">
        <w:rPr>
          <w:b w:val="0"/>
        </w:rPr>
        <w:fldChar w:fldCharType="begin"/>
      </w:r>
      <w:r w:rsidRPr="00C267C7">
        <w:rPr>
          <w:b w:val="0"/>
        </w:rPr>
        <w:instrText xml:space="preserve"> PAGEREF _Toc213301690 \h </w:instrText>
      </w:r>
      <w:r w:rsidRPr="00C267C7">
        <w:rPr>
          <w:b w:val="0"/>
        </w:rPr>
      </w:r>
      <w:r w:rsidRPr="00C267C7">
        <w:rPr>
          <w:b w:val="0"/>
        </w:rPr>
        <w:fldChar w:fldCharType="separate"/>
      </w:r>
      <w:r w:rsidR="00D52F61">
        <w:rPr>
          <w:b w:val="0"/>
        </w:rPr>
        <w:t>42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2.12 </w:t>
      </w:r>
      <w:r w:rsidR="00731433">
        <w:rPr>
          <w:b w:val="0"/>
        </w:rPr>
        <w:tab/>
      </w:r>
      <w:r w:rsidRPr="00C267C7">
        <w:rPr>
          <w:b w:val="0"/>
        </w:rPr>
        <w:t>Rights and Obligations of Co- owners</w:t>
      </w:r>
      <w:r w:rsidRPr="00C267C7">
        <w:rPr>
          <w:b w:val="0"/>
        </w:rPr>
        <w:tab/>
      </w:r>
      <w:r w:rsidRPr="00C267C7">
        <w:rPr>
          <w:b w:val="0"/>
        </w:rPr>
        <w:fldChar w:fldCharType="begin"/>
      </w:r>
      <w:r w:rsidRPr="00C267C7">
        <w:rPr>
          <w:b w:val="0"/>
        </w:rPr>
        <w:instrText xml:space="preserve"> PAGEREF _Toc213301691 \h </w:instrText>
      </w:r>
      <w:r w:rsidRPr="00C267C7">
        <w:rPr>
          <w:b w:val="0"/>
        </w:rPr>
      </w:r>
      <w:r w:rsidRPr="00C267C7">
        <w:rPr>
          <w:b w:val="0"/>
        </w:rPr>
        <w:fldChar w:fldCharType="separate"/>
      </w:r>
      <w:r w:rsidR="00D52F61">
        <w:rPr>
          <w:b w:val="0"/>
        </w:rPr>
        <w:t>44</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2.13 </w:t>
      </w:r>
      <w:r w:rsidR="00731433">
        <w:rPr>
          <w:b w:val="0"/>
        </w:rPr>
        <w:tab/>
      </w:r>
      <w:r w:rsidRPr="00C267C7">
        <w:rPr>
          <w:b w:val="0"/>
        </w:rPr>
        <w:t>Incidental Rights of owners of Common Property</w:t>
      </w:r>
      <w:r w:rsidRPr="00C267C7">
        <w:rPr>
          <w:b w:val="0"/>
        </w:rPr>
        <w:tab/>
      </w:r>
      <w:r w:rsidRPr="00C267C7">
        <w:rPr>
          <w:b w:val="0"/>
        </w:rPr>
        <w:fldChar w:fldCharType="begin"/>
      </w:r>
      <w:r w:rsidRPr="00C267C7">
        <w:rPr>
          <w:b w:val="0"/>
        </w:rPr>
        <w:instrText xml:space="preserve"> PAGEREF _Toc213301692 \h </w:instrText>
      </w:r>
      <w:r w:rsidRPr="00C267C7">
        <w:rPr>
          <w:b w:val="0"/>
        </w:rPr>
      </w:r>
      <w:r w:rsidRPr="00C267C7">
        <w:rPr>
          <w:b w:val="0"/>
        </w:rPr>
        <w:fldChar w:fldCharType="separate"/>
      </w:r>
      <w:r w:rsidR="00D52F61">
        <w:rPr>
          <w:b w:val="0"/>
        </w:rPr>
        <w:t>45</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2.14 </w:t>
      </w:r>
      <w:r w:rsidR="00731433">
        <w:rPr>
          <w:b w:val="0"/>
        </w:rPr>
        <w:tab/>
      </w:r>
      <w:r w:rsidRPr="00C267C7">
        <w:rPr>
          <w:b w:val="0"/>
        </w:rPr>
        <w:t>Theoretical Framework</w:t>
      </w:r>
      <w:r w:rsidRPr="00C267C7">
        <w:rPr>
          <w:b w:val="0"/>
        </w:rPr>
        <w:tab/>
      </w:r>
      <w:r w:rsidRPr="00C267C7">
        <w:rPr>
          <w:b w:val="0"/>
        </w:rPr>
        <w:fldChar w:fldCharType="begin"/>
      </w:r>
      <w:r w:rsidRPr="00C267C7">
        <w:rPr>
          <w:b w:val="0"/>
        </w:rPr>
        <w:instrText xml:space="preserve"> PAGEREF _Toc213301693 \h </w:instrText>
      </w:r>
      <w:r w:rsidRPr="00C267C7">
        <w:rPr>
          <w:b w:val="0"/>
        </w:rPr>
      </w:r>
      <w:r w:rsidRPr="00C267C7">
        <w:rPr>
          <w:b w:val="0"/>
        </w:rPr>
        <w:fldChar w:fldCharType="separate"/>
      </w:r>
      <w:r w:rsidR="00D52F61">
        <w:rPr>
          <w:b w:val="0"/>
        </w:rPr>
        <w:t>47</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2.14.1 </w:t>
      </w:r>
      <w:r w:rsidR="00731433">
        <w:rPr>
          <w:b w:val="0"/>
        </w:rPr>
        <w:tab/>
      </w:r>
      <w:r w:rsidRPr="00C267C7">
        <w:rPr>
          <w:b w:val="0"/>
        </w:rPr>
        <w:t>Ownership Theory</w:t>
      </w:r>
      <w:r w:rsidRPr="00C267C7">
        <w:rPr>
          <w:b w:val="0"/>
        </w:rPr>
        <w:tab/>
      </w:r>
      <w:r w:rsidRPr="00C267C7">
        <w:rPr>
          <w:b w:val="0"/>
        </w:rPr>
        <w:fldChar w:fldCharType="begin"/>
      </w:r>
      <w:r w:rsidRPr="00C267C7">
        <w:rPr>
          <w:b w:val="0"/>
        </w:rPr>
        <w:instrText xml:space="preserve"> PAGEREF _Toc213301694 \h </w:instrText>
      </w:r>
      <w:r w:rsidRPr="00C267C7">
        <w:rPr>
          <w:b w:val="0"/>
        </w:rPr>
      </w:r>
      <w:r w:rsidRPr="00C267C7">
        <w:rPr>
          <w:b w:val="0"/>
        </w:rPr>
        <w:fldChar w:fldCharType="separate"/>
      </w:r>
      <w:r w:rsidR="00D52F61">
        <w:rPr>
          <w:b w:val="0"/>
        </w:rPr>
        <w:t>47</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2.14.2 </w:t>
      </w:r>
      <w:r w:rsidR="00731433">
        <w:rPr>
          <w:b w:val="0"/>
        </w:rPr>
        <w:tab/>
      </w:r>
      <w:r w:rsidRPr="00C267C7">
        <w:rPr>
          <w:b w:val="0"/>
        </w:rPr>
        <w:t>Dual Ownership Theory</w:t>
      </w:r>
      <w:r w:rsidRPr="00C267C7">
        <w:rPr>
          <w:b w:val="0"/>
        </w:rPr>
        <w:tab/>
      </w:r>
      <w:r w:rsidRPr="00C267C7">
        <w:rPr>
          <w:b w:val="0"/>
        </w:rPr>
        <w:fldChar w:fldCharType="begin"/>
      </w:r>
      <w:r w:rsidRPr="00C267C7">
        <w:rPr>
          <w:b w:val="0"/>
        </w:rPr>
        <w:instrText xml:space="preserve"> PAGEREF _Toc213301695 \h </w:instrText>
      </w:r>
      <w:r w:rsidRPr="00C267C7">
        <w:rPr>
          <w:b w:val="0"/>
        </w:rPr>
      </w:r>
      <w:r w:rsidRPr="00C267C7">
        <w:rPr>
          <w:b w:val="0"/>
        </w:rPr>
        <w:fldChar w:fldCharType="separate"/>
      </w:r>
      <w:r w:rsidR="00D52F61">
        <w:rPr>
          <w:b w:val="0"/>
        </w:rPr>
        <w:t>48</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2.14.3 </w:t>
      </w:r>
      <w:r w:rsidR="00731433">
        <w:rPr>
          <w:b w:val="0"/>
        </w:rPr>
        <w:tab/>
      </w:r>
      <w:r w:rsidRPr="00C267C7">
        <w:rPr>
          <w:b w:val="0"/>
        </w:rPr>
        <w:t>Theory of Horizontal Property</w:t>
      </w:r>
      <w:r w:rsidRPr="00C267C7">
        <w:rPr>
          <w:b w:val="0"/>
        </w:rPr>
        <w:tab/>
      </w:r>
      <w:r w:rsidRPr="00C267C7">
        <w:rPr>
          <w:b w:val="0"/>
        </w:rPr>
        <w:fldChar w:fldCharType="begin"/>
      </w:r>
      <w:r w:rsidRPr="00C267C7">
        <w:rPr>
          <w:b w:val="0"/>
        </w:rPr>
        <w:instrText xml:space="preserve"> PAGEREF _Toc213301696 \h </w:instrText>
      </w:r>
      <w:r w:rsidRPr="00C267C7">
        <w:rPr>
          <w:b w:val="0"/>
        </w:rPr>
      </w:r>
      <w:r w:rsidRPr="00C267C7">
        <w:rPr>
          <w:b w:val="0"/>
        </w:rPr>
        <w:fldChar w:fldCharType="separate"/>
      </w:r>
      <w:r w:rsidR="00D52F61">
        <w:rPr>
          <w:b w:val="0"/>
        </w:rPr>
        <w:t>49</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2.14.4 </w:t>
      </w:r>
      <w:r w:rsidR="00731433">
        <w:rPr>
          <w:b w:val="0"/>
        </w:rPr>
        <w:tab/>
      </w:r>
      <w:r w:rsidRPr="00C267C7">
        <w:rPr>
          <w:b w:val="0"/>
        </w:rPr>
        <w:t>Communal Ownership Theory</w:t>
      </w:r>
      <w:r w:rsidRPr="00C267C7">
        <w:rPr>
          <w:b w:val="0"/>
        </w:rPr>
        <w:tab/>
      </w:r>
      <w:r w:rsidRPr="00C267C7">
        <w:rPr>
          <w:b w:val="0"/>
        </w:rPr>
        <w:fldChar w:fldCharType="begin"/>
      </w:r>
      <w:r w:rsidRPr="00C267C7">
        <w:rPr>
          <w:b w:val="0"/>
        </w:rPr>
        <w:instrText xml:space="preserve"> PAGEREF _Toc213301697 \h </w:instrText>
      </w:r>
      <w:r w:rsidRPr="00C267C7">
        <w:rPr>
          <w:b w:val="0"/>
        </w:rPr>
      </w:r>
      <w:r w:rsidRPr="00C267C7">
        <w:rPr>
          <w:b w:val="0"/>
        </w:rPr>
        <w:fldChar w:fldCharType="separate"/>
      </w:r>
      <w:r w:rsidR="00D52F61">
        <w:rPr>
          <w:b w:val="0"/>
        </w:rPr>
        <w:t>50</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2.14.5 </w:t>
      </w:r>
      <w:r w:rsidR="00731433">
        <w:rPr>
          <w:b w:val="0"/>
        </w:rPr>
        <w:tab/>
      </w:r>
      <w:r w:rsidRPr="00C267C7">
        <w:rPr>
          <w:b w:val="0"/>
        </w:rPr>
        <w:t>Servitude Theory</w:t>
      </w:r>
      <w:r w:rsidRPr="00C267C7">
        <w:rPr>
          <w:b w:val="0"/>
        </w:rPr>
        <w:tab/>
      </w:r>
      <w:r w:rsidRPr="00C267C7">
        <w:rPr>
          <w:b w:val="0"/>
        </w:rPr>
        <w:fldChar w:fldCharType="begin"/>
      </w:r>
      <w:r w:rsidRPr="00C267C7">
        <w:rPr>
          <w:b w:val="0"/>
        </w:rPr>
        <w:instrText xml:space="preserve"> PAGEREF _Toc213301698 \h </w:instrText>
      </w:r>
      <w:r w:rsidRPr="00C267C7">
        <w:rPr>
          <w:b w:val="0"/>
        </w:rPr>
      </w:r>
      <w:r w:rsidRPr="00C267C7">
        <w:rPr>
          <w:b w:val="0"/>
        </w:rPr>
        <w:fldChar w:fldCharType="separate"/>
      </w:r>
      <w:r w:rsidR="00D52F61">
        <w:rPr>
          <w:b w:val="0"/>
        </w:rPr>
        <w:t>51</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2.14.6 </w:t>
      </w:r>
      <w:r w:rsidR="00731433">
        <w:rPr>
          <w:b w:val="0"/>
        </w:rPr>
        <w:tab/>
      </w:r>
      <w:r w:rsidRPr="00C267C7">
        <w:rPr>
          <w:b w:val="0"/>
        </w:rPr>
        <w:t>Contractual Theory</w:t>
      </w:r>
      <w:r w:rsidRPr="00C267C7">
        <w:rPr>
          <w:b w:val="0"/>
        </w:rPr>
        <w:tab/>
      </w:r>
      <w:r w:rsidRPr="00C267C7">
        <w:rPr>
          <w:b w:val="0"/>
        </w:rPr>
        <w:fldChar w:fldCharType="begin"/>
      </w:r>
      <w:r w:rsidRPr="00C267C7">
        <w:rPr>
          <w:b w:val="0"/>
        </w:rPr>
        <w:instrText xml:space="preserve"> PAGEREF _Toc213301699 \h </w:instrText>
      </w:r>
      <w:r w:rsidRPr="00C267C7">
        <w:rPr>
          <w:b w:val="0"/>
        </w:rPr>
      </w:r>
      <w:r w:rsidRPr="00C267C7">
        <w:rPr>
          <w:b w:val="0"/>
        </w:rPr>
        <w:fldChar w:fldCharType="separate"/>
      </w:r>
      <w:r w:rsidR="00D52F61">
        <w:rPr>
          <w:b w:val="0"/>
        </w:rPr>
        <w:t>52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2.14.7 </w:t>
      </w:r>
      <w:r w:rsidR="00731433">
        <w:rPr>
          <w:b w:val="0"/>
        </w:rPr>
        <w:tab/>
      </w:r>
      <w:r w:rsidRPr="00C267C7">
        <w:rPr>
          <w:b w:val="0"/>
        </w:rPr>
        <w:t>Institutional Theory</w:t>
      </w:r>
      <w:r w:rsidRPr="00C267C7">
        <w:rPr>
          <w:b w:val="0"/>
        </w:rPr>
        <w:tab/>
      </w:r>
      <w:r w:rsidRPr="00C267C7">
        <w:rPr>
          <w:b w:val="0"/>
        </w:rPr>
        <w:fldChar w:fldCharType="begin"/>
      </w:r>
      <w:r w:rsidRPr="00C267C7">
        <w:rPr>
          <w:b w:val="0"/>
        </w:rPr>
        <w:instrText xml:space="preserve"> PAGEREF _Toc213301700 \h </w:instrText>
      </w:r>
      <w:r w:rsidRPr="00C267C7">
        <w:rPr>
          <w:b w:val="0"/>
        </w:rPr>
      </w:r>
      <w:r w:rsidRPr="00C267C7">
        <w:rPr>
          <w:b w:val="0"/>
        </w:rPr>
        <w:fldChar w:fldCharType="separate"/>
      </w:r>
      <w:r w:rsidR="00D52F61">
        <w:rPr>
          <w:b w:val="0"/>
        </w:rPr>
        <w:t>52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2.15 </w:t>
      </w:r>
      <w:r w:rsidR="00731433">
        <w:rPr>
          <w:b w:val="0"/>
        </w:rPr>
        <w:tab/>
      </w:r>
      <w:r w:rsidRPr="00C267C7">
        <w:rPr>
          <w:b w:val="0"/>
        </w:rPr>
        <w:t>Conclusion</w:t>
      </w:r>
      <w:r w:rsidRPr="00C267C7">
        <w:rPr>
          <w:b w:val="0"/>
        </w:rPr>
        <w:tab/>
      </w:r>
      <w:r w:rsidRPr="00C267C7">
        <w:rPr>
          <w:b w:val="0"/>
        </w:rPr>
        <w:fldChar w:fldCharType="begin"/>
      </w:r>
      <w:r w:rsidRPr="00C267C7">
        <w:rPr>
          <w:b w:val="0"/>
        </w:rPr>
        <w:instrText xml:space="preserve"> PAGEREF _Toc213301701 \h </w:instrText>
      </w:r>
      <w:r w:rsidRPr="00C267C7">
        <w:rPr>
          <w:b w:val="0"/>
        </w:rPr>
      </w:r>
      <w:r w:rsidRPr="00C267C7">
        <w:rPr>
          <w:b w:val="0"/>
        </w:rPr>
        <w:fldChar w:fldCharType="separate"/>
      </w:r>
      <w:r w:rsidR="00D52F61">
        <w:rPr>
          <w:b w:val="0"/>
        </w:rPr>
        <w:t>53</w:t>
      </w:r>
      <w:r w:rsidRPr="00C267C7">
        <w:rPr>
          <w:b w:val="0"/>
        </w:rPr>
        <w:fldChar w:fldCharType="end"/>
      </w:r>
    </w:p>
    <w:p w:rsidR="00C1621A" w:rsidRPr="00731433" w:rsidRDefault="00C1621A" w:rsidP="00052C7A">
      <w:pPr>
        <w:pStyle w:val="TOC1"/>
        <w:spacing w:before="0" w:after="0" w:line="480" w:lineRule="auto"/>
        <w:ind w:left="1134" w:hanging="1134"/>
        <w:rPr>
          <w:rFonts w:eastAsiaTheme="minorEastAsia"/>
        </w:rPr>
      </w:pPr>
      <w:r w:rsidRPr="00731433">
        <w:t>CHAPTER THREE</w:t>
      </w:r>
      <w:r w:rsidRPr="00731433">
        <w:tab/>
      </w:r>
      <w:r w:rsidRPr="00731433">
        <w:fldChar w:fldCharType="begin"/>
      </w:r>
      <w:r w:rsidRPr="00731433">
        <w:instrText xml:space="preserve"> PAGEREF _Toc213301702 \h </w:instrText>
      </w:r>
      <w:r w:rsidRPr="00731433">
        <w:fldChar w:fldCharType="separate"/>
      </w:r>
      <w:r w:rsidR="00D52F61">
        <w:t>55</w:t>
      </w:r>
      <w:r w:rsidRPr="00731433">
        <w:fldChar w:fldCharType="end"/>
      </w:r>
    </w:p>
    <w:p w:rsidR="00731433" w:rsidRDefault="00C1621A" w:rsidP="00731433">
      <w:pPr>
        <w:pStyle w:val="TOC1"/>
        <w:spacing w:before="0" w:after="0" w:line="480" w:lineRule="auto"/>
        <w:ind w:left="1134" w:hanging="1134"/>
        <w:rPr>
          <w:bCs/>
        </w:rPr>
      </w:pPr>
      <w:r w:rsidRPr="00731433">
        <w:rPr>
          <w:bCs/>
        </w:rPr>
        <w:t xml:space="preserve">INTERNATIONAL LEGAL FRAMEWORK AND BEST </w:t>
      </w:r>
    </w:p>
    <w:p w:rsidR="00C1621A" w:rsidRPr="00731433" w:rsidRDefault="00C1621A" w:rsidP="00731433">
      <w:pPr>
        <w:pStyle w:val="TOC1"/>
        <w:spacing w:before="0" w:after="0" w:line="480" w:lineRule="auto"/>
        <w:ind w:left="1134" w:hanging="1134"/>
        <w:rPr>
          <w:bCs/>
        </w:rPr>
      </w:pPr>
      <w:r w:rsidRPr="00731433">
        <w:rPr>
          <w:bCs/>
        </w:rPr>
        <w:t>PRACTICES ON UNIT TITLES</w:t>
      </w:r>
      <w:r w:rsidRPr="00731433">
        <w:tab/>
      </w:r>
      <w:r w:rsidRPr="00731433">
        <w:fldChar w:fldCharType="begin"/>
      </w:r>
      <w:r w:rsidRPr="00731433">
        <w:instrText xml:space="preserve"> PAGEREF _Toc213301703 \h </w:instrText>
      </w:r>
      <w:r w:rsidRPr="00731433">
        <w:fldChar w:fldCharType="separate"/>
      </w:r>
      <w:r w:rsidR="00D52F61">
        <w:t>55</w:t>
      </w:r>
      <w:r w:rsidRPr="00731433">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3.1 </w:t>
      </w:r>
      <w:r w:rsidR="00047413">
        <w:rPr>
          <w:b w:val="0"/>
        </w:rPr>
        <w:tab/>
      </w:r>
      <w:r w:rsidRPr="00C267C7">
        <w:rPr>
          <w:b w:val="0"/>
        </w:rPr>
        <w:t>Introduction</w:t>
      </w:r>
      <w:r w:rsidRPr="00C267C7">
        <w:rPr>
          <w:b w:val="0"/>
        </w:rPr>
        <w:tab/>
      </w:r>
      <w:r w:rsidRPr="00C267C7">
        <w:rPr>
          <w:b w:val="0"/>
        </w:rPr>
        <w:fldChar w:fldCharType="begin"/>
      </w:r>
      <w:r w:rsidRPr="00C267C7">
        <w:rPr>
          <w:b w:val="0"/>
        </w:rPr>
        <w:instrText xml:space="preserve"> PAGEREF _Toc213301704 \h </w:instrText>
      </w:r>
      <w:r w:rsidRPr="00C267C7">
        <w:rPr>
          <w:b w:val="0"/>
        </w:rPr>
      </w:r>
      <w:r w:rsidRPr="00C267C7">
        <w:rPr>
          <w:b w:val="0"/>
        </w:rPr>
        <w:fldChar w:fldCharType="separate"/>
      </w:r>
      <w:r w:rsidR="00D52F61">
        <w:rPr>
          <w:b w:val="0"/>
        </w:rPr>
        <w:t>55</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3.2 </w:t>
      </w:r>
      <w:r w:rsidR="00047413">
        <w:rPr>
          <w:b w:val="0"/>
        </w:rPr>
        <w:tab/>
      </w:r>
      <w:r w:rsidRPr="00C267C7">
        <w:rPr>
          <w:b w:val="0"/>
        </w:rPr>
        <w:t>United Nations (UN) Guidelines on Housing and Land Rights</w:t>
      </w:r>
      <w:r w:rsidRPr="00C267C7">
        <w:rPr>
          <w:b w:val="0"/>
        </w:rPr>
        <w:tab/>
      </w:r>
      <w:r w:rsidRPr="00C267C7">
        <w:rPr>
          <w:b w:val="0"/>
        </w:rPr>
        <w:fldChar w:fldCharType="begin"/>
      </w:r>
      <w:r w:rsidRPr="00C267C7">
        <w:rPr>
          <w:b w:val="0"/>
        </w:rPr>
        <w:instrText xml:space="preserve"> PAGEREF _Toc213301705 \h </w:instrText>
      </w:r>
      <w:r w:rsidRPr="00C267C7">
        <w:rPr>
          <w:b w:val="0"/>
        </w:rPr>
      </w:r>
      <w:r w:rsidRPr="00C267C7">
        <w:rPr>
          <w:b w:val="0"/>
        </w:rPr>
        <w:fldChar w:fldCharType="separate"/>
      </w:r>
      <w:r w:rsidR="00D52F61">
        <w:rPr>
          <w:b w:val="0"/>
        </w:rPr>
        <w:t>55</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bCs/>
        </w:rPr>
        <w:t xml:space="preserve">3.3 </w:t>
      </w:r>
      <w:r w:rsidR="00047413">
        <w:rPr>
          <w:b w:val="0"/>
          <w:bCs/>
        </w:rPr>
        <w:tab/>
      </w:r>
      <w:r w:rsidRPr="00C267C7">
        <w:rPr>
          <w:b w:val="0"/>
          <w:bCs/>
        </w:rPr>
        <w:t>United Nations – Habitat Agenda (1996)</w:t>
      </w:r>
      <w:r w:rsidRPr="00C267C7">
        <w:rPr>
          <w:b w:val="0"/>
        </w:rPr>
        <w:tab/>
      </w:r>
      <w:r w:rsidRPr="00C267C7">
        <w:rPr>
          <w:b w:val="0"/>
        </w:rPr>
        <w:fldChar w:fldCharType="begin"/>
      </w:r>
      <w:r w:rsidRPr="00C267C7">
        <w:rPr>
          <w:b w:val="0"/>
        </w:rPr>
        <w:instrText xml:space="preserve"> PAGEREF _Toc213301706 \h </w:instrText>
      </w:r>
      <w:r w:rsidRPr="00C267C7">
        <w:rPr>
          <w:b w:val="0"/>
        </w:rPr>
      </w:r>
      <w:r w:rsidRPr="00C267C7">
        <w:rPr>
          <w:b w:val="0"/>
        </w:rPr>
        <w:fldChar w:fldCharType="separate"/>
      </w:r>
      <w:r w:rsidR="00D52F61">
        <w:rPr>
          <w:b w:val="0"/>
        </w:rPr>
        <w:t>57</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3.4 </w:t>
      </w:r>
      <w:r w:rsidR="00047413">
        <w:rPr>
          <w:b w:val="0"/>
        </w:rPr>
        <w:tab/>
      </w:r>
      <w:r w:rsidRPr="00C267C7">
        <w:rPr>
          <w:b w:val="0"/>
          <w:bCs/>
        </w:rPr>
        <w:t>World Bank – Urban Development and Housing Strategies</w:t>
      </w:r>
      <w:r w:rsidRPr="00C267C7">
        <w:rPr>
          <w:b w:val="0"/>
        </w:rPr>
        <w:tab/>
      </w:r>
      <w:r w:rsidRPr="00C267C7">
        <w:rPr>
          <w:b w:val="0"/>
        </w:rPr>
        <w:fldChar w:fldCharType="begin"/>
      </w:r>
      <w:r w:rsidRPr="00C267C7">
        <w:rPr>
          <w:b w:val="0"/>
        </w:rPr>
        <w:instrText xml:space="preserve"> PAGEREF _Toc213301707 \h </w:instrText>
      </w:r>
      <w:r w:rsidRPr="00C267C7">
        <w:rPr>
          <w:b w:val="0"/>
        </w:rPr>
      </w:r>
      <w:r w:rsidRPr="00C267C7">
        <w:rPr>
          <w:b w:val="0"/>
        </w:rPr>
        <w:fldChar w:fldCharType="separate"/>
      </w:r>
      <w:r w:rsidR="00D52F61">
        <w:rPr>
          <w:b w:val="0"/>
        </w:rPr>
        <w:t>58</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3.5 </w:t>
      </w:r>
      <w:r w:rsidR="00047413">
        <w:rPr>
          <w:b w:val="0"/>
        </w:rPr>
        <w:tab/>
      </w:r>
      <w:r w:rsidRPr="00C267C7">
        <w:rPr>
          <w:b w:val="0"/>
          <w:bCs/>
        </w:rPr>
        <w:t>Habitat for Humanity – Global Housing Policy</w:t>
      </w:r>
      <w:r w:rsidRPr="00C267C7">
        <w:rPr>
          <w:b w:val="0"/>
        </w:rPr>
        <w:tab/>
      </w:r>
      <w:r w:rsidRPr="00C267C7">
        <w:rPr>
          <w:b w:val="0"/>
        </w:rPr>
        <w:fldChar w:fldCharType="begin"/>
      </w:r>
      <w:r w:rsidRPr="00C267C7">
        <w:rPr>
          <w:b w:val="0"/>
        </w:rPr>
        <w:instrText xml:space="preserve"> PAGEREF _Toc213301708 \h </w:instrText>
      </w:r>
      <w:r w:rsidRPr="00C267C7">
        <w:rPr>
          <w:b w:val="0"/>
        </w:rPr>
      </w:r>
      <w:r w:rsidRPr="00C267C7">
        <w:rPr>
          <w:b w:val="0"/>
        </w:rPr>
        <w:fldChar w:fldCharType="separate"/>
      </w:r>
      <w:r w:rsidR="00D52F61">
        <w:rPr>
          <w:b w:val="0"/>
        </w:rPr>
        <w:t>60</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3.6 </w:t>
      </w:r>
      <w:r w:rsidR="00047413">
        <w:rPr>
          <w:b w:val="0"/>
        </w:rPr>
        <w:tab/>
      </w:r>
      <w:r w:rsidRPr="00C267C7">
        <w:rPr>
          <w:b w:val="0"/>
        </w:rPr>
        <w:t>African Union (AU) Agenda 2063</w:t>
      </w:r>
      <w:r w:rsidRPr="00C267C7">
        <w:rPr>
          <w:b w:val="0"/>
        </w:rPr>
        <w:tab/>
      </w:r>
      <w:r w:rsidRPr="00C267C7">
        <w:rPr>
          <w:b w:val="0"/>
        </w:rPr>
        <w:fldChar w:fldCharType="begin"/>
      </w:r>
      <w:r w:rsidRPr="00C267C7">
        <w:rPr>
          <w:b w:val="0"/>
        </w:rPr>
        <w:instrText xml:space="preserve"> PAGEREF _Toc213301709 \h </w:instrText>
      </w:r>
      <w:r w:rsidRPr="00C267C7">
        <w:rPr>
          <w:b w:val="0"/>
        </w:rPr>
      </w:r>
      <w:r w:rsidRPr="00C267C7">
        <w:rPr>
          <w:b w:val="0"/>
        </w:rPr>
        <w:fldChar w:fldCharType="separate"/>
      </w:r>
      <w:r w:rsidR="00D52F61">
        <w:rPr>
          <w:b w:val="0"/>
        </w:rPr>
        <w:t>61</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3.7 </w:t>
      </w:r>
      <w:r w:rsidR="00047413">
        <w:rPr>
          <w:b w:val="0"/>
        </w:rPr>
        <w:tab/>
      </w:r>
      <w:r w:rsidRPr="00C267C7">
        <w:rPr>
          <w:b w:val="0"/>
        </w:rPr>
        <w:t>Best Practice</w:t>
      </w:r>
      <w:r w:rsidRPr="00C267C7">
        <w:rPr>
          <w:b w:val="0"/>
        </w:rPr>
        <w:tab/>
      </w:r>
      <w:r w:rsidRPr="00C267C7">
        <w:rPr>
          <w:b w:val="0"/>
        </w:rPr>
        <w:fldChar w:fldCharType="begin"/>
      </w:r>
      <w:r w:rsidRPr="00C267C7">
        <w:rPr>
          <w:b w:val="0"/>
        </w:rPr>
        <w:instrText xml:space="preserve"> PAGEREF _Toc213301710 \h </w:instrText>
      </w:r>
      <w:r w:rsidRPr="00C267C7">
        <w:rPr>
          <w:b w:val="0"/>
        </w:rPr>
      </w:r>
      <w:r w:rsidRPr="00C267C7">
        <w:rPr>
          <w:b w:val="0"/>
        </w:rPr>
        <w:fldChar w:fldCharType="separate"/>
      </w:r>
      <w:r w:rsidR="00D52F61">
        <w:rPr>
          <w:b w:val="0"/>
        </w:rPr>
        <w:t>62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3.7.1 </w:t>
      </w:r>
      <w:r w:rsidR="00047413">
        <w:rPr>
          <w:b w:val="0"/>
        </w:rPr>
        <w:tab/>
      </w:r>
      <w:r w:rsidRPr="00C267C7">
        <w:rPr>
          <w:b w:val="0"/>
        </w:rPr>
        <w:t>Comprehensive Legislation</w:t>
      </w:r>
      <w:r w:rsidRPr="00C267C7">
        <w:rPr>
          <w:b w:val="0"/>
        </w:rPr>
        <w:tab/>
      </w:r>
      <w:r w:rsidRPr="00C267C7">
        <w:rPr>
          <w:b w:val="0"/>
        </w:rPr>
        <w:fldChar w:fldCharType="begin"/>
      </w:r>
      <w:r w:rsidRPr="00C267C7">
        <w:rPr>
          <w:b w:val="0"/>
        </w:rPr>
        <w:instrText xml:space="preserve"> PAGEREF _Toc213301711 \h </w:instrText>
      </w:r>
      <w:r w:rsidRPr="00C267C7">
        <w:rPr>
          <w:b w:val="0"/>
        </w:rPr>
      </w:r>
      <w:r w:rsidRPr="00C267C7">
        <w:rPr>
          <w:b w:val="0"/>
        </w:rPr>
        <w:fldChar w:fldCharType="separate"/>
      </w:r>
      <w:r w:rsidR="00D52F61">
        <w:rPr>
          <w:b w:val="0"/>
        </w:rPr>
        <w:t>62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3.7.2 </w:t>
      </w:r>
      <w:r w:rsidR="00047413">
        <w:rPr>
          <w:b w:val="0"/>
        </w:rPr>
        <w:tab/>
      </w:r>
      <w:r w:rsidRPr="00C267C7">
        <w:rPr>
          <w:b w:val="0"/>
        </w:rPr>
        <w:t>Effective Governance Structures</w:t>
      </w:r>
      <w:r w:rsidRPr="00C267C7">
        <w:rPr>
          <w:b w:val="0"/>
        </w:rPr>
        <w:tab/>
      </w:r>
      <w:r w:rsidRPr="00C267C7">
        <w:rPr>
          <w:b w:val="0"/>
        </w:rPr>
        <w:fldChar w:fldCharType="begin"/>
      </w:r>
      <w:r w:rsidRPr="00C267C7">
        <w:rPr>
          <w:b w:val="0"/>
        </w:rPr>
        <w:instrText xml:space="preserve"> PAGEREF _Toc213301712 \h </w:instrText>
      </w:r>
      <w:r w:rsidRPr="00C267C7">
        <w:rPr>
          <w:b w:val="0"/>
        </w:rPr>
      </w:r>
      <w:r w:rsidRPr="00C267C7">
        <w:rPr>
          <w:b w:val="0"/>
        </w:rPr>
        <w:fldChar w:fldCharType="separate"/>
      </w:r>
      <w:r w:rsidR="00D52F61">
        <w:rPr>
          <w:b w:val="0"/>
        </w:rPr>
        <w:t>64</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3.7.3 </w:t>
      </w:r>
      <w:r w:rsidR="00047413">
        <w:rPr>
          <w:b w:val="0"/>
        </w:rPr>
        <w:tab/>
      </w:r>
      <w:r w:rsidRPr="00C267C7">
        <w:rPr>
          <w:b w:val="0"/>
        </w:rPr>
        <w:t>Financial Transparency and Accountability</w:t>
      </w:r>
      <w:r w:rsidRPr="00C267C7">
        <w:rPr>
          <w:b w:val="0"/>
        </w:rPr>
        <w:tab/>
      </w:r>
      <w:r w:rsidRPr="00C267C7">
        <w:rPr>
          <w:b w:val="0"/>
        </w:rPr>
        <w:fldChar w:fldCharType="begin"/>
      </w:r>
      <w:r w:rsidRPr="00C267C7">
        <w:rPr>
          <w:b w:val="0"/>
        </w:rPr>
        <w:instrText xml:space="preserve"> PAGEREF _Toc213301713 \h </w:instrText>
      </w:r>
      <w:r w:rsidRPr="00C267C7">
        <w:rPr>
          <w:b w:val="0"/>
        </w:rPr>
      </w:r>
      <w:r w:rsidRPr="00C267C7">
        <w:rPr>
          <w:b w:val="0"/>
        </w:rPr>
        <w:fldChar w:fldCharType="separate"/>
      </w:r>
      <w:r w:rsidR="00D52F61">
        <w:rPr>
          <w:b w:val="0"/>
        </w:rPr>
        <w:t>66</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3.7.4 </w:t>
      </w:r>
      <w:r w:rsidR="00047413">
        <w:rPr>
          <w:b w:val="0"/>
        </w:rPr>
        <w:tab/>
      </w:r>
      <w:r w:rsidRPr="00C267C7">
        <w:rPr>
          <w:b w:val="0"/>
        </w:rPr>
        <w:t>Maintenance Planning</w:t>
      </w:r>
      <w:r w:rsidRPr="00C267C7">
        <w:rPr>
          <w:b w:val="0"/>
        </w:rPr>
        <w:tab/>
      </w:r>
      <w:r w:rsidRPr="00C267C7">
        <w:rPr>
          <w:b w:val="0"/>
        </w:rPr>
        <w:fldChar w:fldCharType="begin"/>
      </w:r>
      <w:r w:rsidRPr="00C267C7">
        <w:rPr>
          <w:b w:val="0"/>
        </w:rPr>
        <w:instrText xml:space="preserve"> PAGEREF _Toc213301714 \h </w:instrText>
      </w:r>
      <w:r w:rsidRPr="00C267C7">
        <w:rPr>
          <w:b w:val="0"/>
        </w:rPr>
      </w:r>
      <w:r w:rsidRPr="00C267C7">
        <w:rPr>
          <w:b w:val="0"/>
        </w:rPr>
        <w:fldChar w:fldCharType="separate"/>
      </w:r>
      <w:r w:rsidR="00D52F61">
        <w:rPr>
          <w:b w:val="0"/>
        </w:rPr>
        <w:t>67</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3.7.5 </w:t>
      </w:r>
      <w:r w:rsidR="00047413">
        <w:rPr>
          <w:b w:val="0"/>
        </w:rPr>
        <w:tab/>
      </w:r>
      <w:r w:rsidRPr="00C267C7">
        <w:rPr>
          <w:b w:val="0"/>
        </w:rPr>
        <w:t>Dispute Resolution Mechanisms</w:t>
      </w:r>
      <w:r w:rsidRPr="00C267C7">
        <w:rPr>
          <w:b w:val="0"/>
        </w:rPr>
        <w:tab/>
      </w:r>
      <w:r w:rsidRPr="00C267C7">
        <w:rPr>
          <w:b w:val="0"/>
        </w:rPr>
        <w:fldChar w:fldCharType="begin"/>
      </w:r>
      <w:r w:rsidRPr="00C267C7">
        <w:rPr>
          <w:b w:val="0"/>
        </w:rPr>
        <w:instrText xml:space="preserve"> PAGEREF _Toc213301715 \h </w:instrText>
      </w:r>
      <w:r w:rsidRPr="00C267C7">
        <w:rPr>
          <w:b w:val="0"/>
        </w:rPr>
      </w:r>
      <w:r w:rsidRPr="00C267C7">
        <w:rPr>
          <w:b w:val="0"/>
        </w:rPr>
        <w:fldChar w:fldCharType="separate"/>
      </w:r>
      <w:r w:rsidR="00D52F61">
        <w:rPr>
          <w:b w:val="0"/>
        </w:rPr>
        <w:t>69</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3.8 </w:t>
      </w:r>
      <w:r w:rsidR="00047413">
        <w:rPr>
          <w:b w:val="0"/>
        </w:rPr>
        <w:tab/>
      </w:r>
      <w:r w:rsidRPr="00C267C7">
        <w:rPr>
          <w:b w:val="0"/>
        </w:rPr>
        <w:t>Conclusion</w:t>
      </w:r>
      <w:r w:rsidRPr="00C267C7">
        <w:rPr>
          <w:b w:val="0"/>
        </w:rPr>
        <w:tab/>
      </w:r>
      <w:r w:rsidRPr="00C267C7">
        <w:rPr>
          <w:b w:val="0"/>
        </w:rPr>
        <w:fldChar w:fldCharType="begin"/>
      </w:r>
      <w:r w:rsidRPr="00C267C7">
        <w:rPr>
          <w:b w:val="0"/>
        </w:rPr>
        <w:instrText xml:space="preserve"> PAGEREF _Toc213301716 \h </w:instrText>
      </w:r>
      <w:r w:rsidRPr="00C267C7">
        <w:rPr>
          <w:b w:val="0"/>
        </w:rPr>
      </w:r>
      <w:r w:rsidRPr="00C267C7">
        <w:rPr>
          <w:b w:val="0"/>
        </w:rPr>
        <w:fldChar w:fldCharType="separate"/>
      </w:r>
      <w:r w:rsidR="00D52F61">
        <w:rPr>
          <w:b w:val="0"/>
        </w:rPr>
        <w:t>71</w:t>
      </w:r>
      <w:r w:rsidRPr="00C267C7">
        <w:rPr>
          <w:b w:val="0"/>
        </w:rPr>
        <w:fldChar w:fldCharType="end"/>
      </w:r>
    </w:p>
    <w:p w:rsidR="00C1621A" w:rsidRPr="00047413" w:rsidRDefault="00C1621A" w:rsidP="00052C7A">
      <w:pPr>
        <w:pStyle w:val="TOC1"/>
        <w:spacing w:before="0" w:after="0" w:line="480" w:lineRule="auto"/>
        <w:ind w:left="1134" w:hanging="1134"/>
        <w:rPr>
          <w:rFonts w:eastAsiaTheme="minorEastAsia"/>
        </w:rPr>
      </w:pPr>
      <w:r w:rsidRPr="00047413">
        <w:t>CHAPTER FOUR</w:t>
      </w:r>
      <w:r w:rsidRPr="00047413">
        <w:tab/>
      </w:r>
      <w:r w:rsidRPr="00047413">
        <w:fldChar w:fldCharType="begin"/>
      </w:r>
      <w:r w:rsidRPr="00047413">
        <w:instrText xml:space="preserve"> PAGEREF _Toc213301717 \h </w:instrText>
      </w:r>
      <w:r w:rsidRPr="00047413">
        <w:fldChar w:fldCharType="separate"/>
      </w:r>
      <w:r w:rsidR="00D52F61">
        <w:t>72</w:t>
      </w:r>
      <w:r w:rsidRPr="00047413">
        <w:fldChar w:fldCharType="end"/>
      </w:r>
    </w:p>
    <w:p w:rsidR="00C1621A" w:rsidRPr="00047413" w:rsidRDefault="00C1621A" w:rsidP="00052C7A">
      <w:pPr>
        <w:pStyle w:val="TOC1"/>
        <w:spacing w:before="0" w:after="0" w:line="480" w:lineRule="auto"/>
        <w:ind w:left="1134" w:hanging="1134"/>
        <w:rPr>
          <w:rFonts w:eastAsiaTheme="minorEastAsia"/>
        </w:rPr>
      </w:pPr>
      <w:r w:rsidRPr="00047413">
        <w:t>TANZANIA LEGAL FRAMEWORK ON UNIT TITLE</w:t>
      </w:r>
      <w:r w:rsidRPr="00047413">
        <w:tab/>
      </w:r>
      <w:r w:rsidRPr="00047413">
        <w:fldChar w:fldCharType="begin"/>
      </w:r>
      <w:r w:rsidRPr="00047413">
        <w:instrText xml:space="preserve"> PAGEREF _Toc213301718 \h </w:instrText>
      </w:r>
      <w:r w:rsidRPr="00047413">
        <w:fldChar w:fldCharType="separate"/>
      </w:r>
      <w:r w:rsidR="00D52F61">
        <w:t>72</w:t>
      </w:r>
      <w:r w:rsidRPr="00047413">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4.1 </w:t>
      </w:r>
      <w:r w:rsidR="00047413">
        <w:rPr>
          <w:b w:val="0"/>
        </w:rPr>
        <w:tab/>
      </w:r>
      <w:r w:rsidRPr="00C267C7">
        <w:rPr>
          <w:b w:val="0"/>
        </w:rPr>
        <w:t>Introduction</w:t>
      </w:r>
      <w:r w:rsidRPr="00C267C7">
        <w:rPr>
          <w:b w:val="0"/>
        </w:rPr>
        <w:tab/>
      </w:r>
      <w:r w:rsidRPr="00C267C7">
        <w:rPr>
          <w:b w:val="0"/>
        </w:rPr>
        <w:fldChar w:fldCharType="begin"/>
      </w:r>
      <w:r w:rsidRPr="00C267C7">
        <w:rPr>
          <w:b w:val="0"/>
        </w:rPr>
        <w:instrText xml:space="preserve"> PAGEREF _Toc213301719 \h </w:instrText>
      </w:r>
      <w:r w:rsidRPr="00C267C7">
        <w:rPr>
          <w:b w:val="0"/>
        </w:rPr>
      </w:r>
      <w:r w:rsidRPr="00C267C7">
        <w:rPr>
          <w:b w:val="0"/>
        </w:rPr>
        <w:fldChar w:fldCharType="separate"/>
      </w:r>
      <w:r w:rsidR="00D52F61">
        <w:rPr>
          <w:b w:val="0"/>
        </w:rPr>
        <w:t>72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4.2 </w:t>
      </w:r>
      <w:r w:rsidR="00047413">
        <w:rPr>
          <w:b w:val="0"/>
        </w:rPr>
        <w:tab/>
      </w:r>
      <w:r w:rsidRPr="00C267C7">
        <w:rPr>
          <w:b w:val="0"/>
        </w:rPr>
        <w:t>Constitution of the United Republic of Tanzania</w:t>
      </w:r>
      <w:r w:rsidRPr="00C267C7">
        <w:rPr>
          <w:b w:val="0"/>
        </w:rPr>
        <w:tab/>
      </w:r>
      <w:r w:rsidRPr="00C267C7">
        <w:rPr>
          <w:b w:val="0"/>
        </w:rPr>
        <w:fldChar w:fldCharType="begin"/>
      </w:r>
      <w:r w:rsidRPr="00C267C7">
        <w:rPr>
          <w:b w:val="0"/>
        </w:rPr>
        <w:instrText xml:space="preserve"> PAGEREF _Toc213301720 \h </w:instrText>
      </w:r>
      <w:r w:rsidRPr="00C267C7">
        <w:rPr>
          <w:b w:val="0"/>
        </w:rPr>
      </w:r>
      <w:r w:rsidRPr="00C267C7">
        <w:rPr>
          <w:b w:val="0"/>
        </w:rPr>
        <w:fldChar w:fldCharType="separate"/>
      </w:r>
      <w:r w:rsidR="00D52F61">
        <w:rPr>
          <w:b w:val="0"/>
        </w:rPr>
        <w:t>72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4.3 </w:t>
      </w:r>
      <w:r w:rsidR="00047413">
        <w:rPr>
          <w:b w:val="0"/>
        </w:rPr>
        <w:tab/>
      </w:r>
      <w:r w:rsidRPr="00C267C7">
        <w:rPr>
          <w:b w:val="0"/>
        </w:rPr>
        <w:t>The Unit Titles Act 2008</w:t>
      </w:r>
      <w:r w:rsidRPr="00C267C7">
        <w:rPr>
          <w:b w:val="0"/>
        </w:rPr>
        <w:tab/>
      </w:r>
      <w:r w:rsidRPr="00C267C7">
        <w:rPr>
          <w:b w:val="0"/>
        </w:rPr>
        <w:fldChar w:fldCharType="begin"/>
      </w:r>
      <w:r w:rsidRPr="00C267C7">
        <w:rPr>
          <w:b w:val="0"/>
        </w:rPr>
        <w:instrText xml:space="preserve"> PAGEREF _Toc213301721 \h </w:instrText>
      </w:r>
      <w:r w:rsidRPr="00C267C7">
        <w:rPr>
          <w:b w:val="0"/>
        </w:rPr>
      </w:r>
      <w:r w:rsidRPr="00C267C7">
        <w:rPr>
          <w:b w:val="0"/>
        </w:rPr>
        <w:fldChar w:fldCharType="separate"/>
      </w:r>
      <w:r w:rsidR="00D52F61">
        <w:rPr>
          <w:b w:val="0"/>
        </w:rPr>
        <w:t>73</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4.4 </w:t>
      </w:r>
      <w:r w:rsidR="00047413">
        <w:rPr>
          <w:b w:val="0"/>
        </w:rPr>
        <w:tab/>
      </w:r>
      <w:r w:rsidRPr="00C267C7">
        <w:rPr>
          <w:b w:val="0"/>
        </w:rPr>
        <w:t>Unit Titles Regulation GN No 357 of 2009</w:t>
      </w:r>
      <w:r w:rsidRPr="00C267C7">
        <w:rPr>
          <w:b w:val="0"/>
        </w:rPr>
        <w:tab/>
      </w:r>
      <w:r w:rsidRPr="00C267C7">
        <w:rPr>
          <w:b w:val="0"/>
        </w:rPr>
        <w:fldChar w:fldCharType="begin"/>
      </w:r>
      <w:r w:rsidRPr="00C267C7">
        <w:rPr>
          <w:b w:val="0"/>
        </w:rPr>
        <w:instrText xml:space="preserve"> PAGEREF _Toc213301722 \h </w:instrText>
      </w:r>
      <w:r w:rsidRPr="00C267C7">
        <w:rPr>
          <w:b w:val="0"/>
        </w:rPr>
      </w:r>
      <w:r w:rsidRPr="00C267C7">
        <w:rPr>
          <w:b w:val="0"/>
        </w:rPr>
        <w:fldChar w:fldCharType="separate"/>
      </w:r>
      <w:r w:rsidR="00D52F61">
        <w:rPr>
          <w:b w:val="0"/>
        </w:rPr>
        <w:t>75</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4.5 </w:t>
      </w:r>
      <w:r w:rsidR="00047413">
        <w:rPr>
          <w:b w:val="0"/>
        </w:rPr>
        <w:tab/>
      </w:r>
      <w:r w:rsidRPr="00C267C7">
        <w:rPr>
          <w:b w:val="0"/>
        </w:rPr>
        <w:t>Land Act of 1999</w:t>
      </w:r>
      <w:r w:rsidRPr="00C267C7">
        <w:rPr>
          <w:b w:val="0"/>
        </w:rPr>
        <w:tab/>
      </w:r>
      <w:r w:rsidRPr="00C267C7">
        <w:rPr>
          <w:b w:val="0"/>
        </w:rPr>
        <w:fldChar w:fldCharType="begin"/>
      </w:r>
      <w:r w:rsidRPr="00C267C7">
        <w:rPr>
          <w:b w:val="0"/>
        </w:rPr>
        <w:instrText xml:space="preserve"> PAGEREF _Toc213301723 \h </w:instrText>
      </w:r>
      <w:r w:rsidRPr="00C267C7">
        <w:rPr>
          <w:b w:val="0"/>
        </w:rPr>
      </w:r>
      <w:r w:rsidRPr="00C267C7">
        <w:rPr>
          <w:b w:val="0"/>
        </w:rPr>
        <w:fldChar w:fldCharType="separate"/>
      </w:r>
      <w:r w:rsidR="00D52F61">
        <w:rPr>
          <w:b w:val="0"/>
        </w:rPr>
        <w:t>77</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4.6 </w:t>
      </w:r>
      <w:r w:rsidR="00047413">
        <w:rPr>
          <w:b w:val="0"/>
        </w:rPr>
        <w:tab/>
      </w:r>
      <w:r w:rsidRPr="00C267C7">
        <w:rPr>
          <w:b w:val="0"/>
        </w:rPr>
        <w:t>Land Registration Act</w:t>
      </w:r>
      <w:r w:rsidRPr="00C267C7">
        <w:rPr>
          <w:b w:val="0"/>
        </w:rPr>
        <w:tab/>
      </w:r>
      <w:r w:rsidRPr="00C267C7">
        <w:rPr>
          <w:b w:val="0"/>
        </w:rPr>
        <w:fldChar w:fldCharType="begin"/>
      </w:r>
      <w:r w:rsidRPr="00C267C7">
        <w:rPr>
          <w:b w:val="0"/>
        </w:rPr>
        <w:instrText xml:space="preserve"> PAGEREF _Toc213301724 \h </w:instrText>
      </w:r>
      <w:r w:rsidRPr="00C267C7">
        <w:rPr>
          <w:b w:val="0"/>
        </w:rPr>
      </w:r>
      <w:r w:rsidRPr="00C267C7">
        <w:rPr>
          <w:b w:val="0"/>
        </w:rPr>
        <w:fldChar w:fldCharType="separate"/>
      </w:r>
      <w:r w:rsidR="00D52F61">
        <w:rPr>
          <w:b w:val="0"/>
        </w:rPr>
        <w:t>80</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4.7 </w:t>
      </w:r>
      <w:r w:rsidR="00047413">
        <w:rPr>
          <w:b w:val="0"/>
        </w:rPr>
        <w:tab/>
      </w:r>
      <w:r w:rsidRPr="00C267C7">
        <w:rPr>
          <w:b w:val="0"/>
        </w:rPr>
        <w:t>Mortgage Financing (Special Provisions) Act</w:t>
      </w:r>
      <w:r w:rsidRPr="00C267C7">
        <w:rPr>
          <w:b w:val="0"/>
        </w:rPr>
        <w:tab/>
      </w:r>
      <w:r w:rsidRPr="00C267C7">
        <w:rPr>
          <w:b w:val="0"/>
        </w:rPr>
        <w:fldChar w:fldCharType="begin"/>
      </w:r>
      <w:r w:rsidRPr="00C267C7">
        <w:rPr>
          <w:b w:val="0"/>
        </w:rPr>
        <w:instrText xml:space="preserve"> PAGEREF _Toc213301725 \h </w:instrText>
      </w:r>
      <w:r w:rsidRPr="00C267C7">
        <w:rPr>
          <w:b w:val="0"/>
        </w:rPr>
      </w:r>
      <w:r w:rsidRPr="00C267C7">
        <w:rPr>
          <w:b w:val="0"/>
        </w:rPr>
        <w:fldChar w:fldCharType="separate"/>
      </w:r>
      <w:r w:rsidR="00D52F61">
        <w:rPr>
          <w:b w:val="0"/>
        </w:rPr>
        <w:t>82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bCs/>
        </w:rPr>
        <w:t xml:space="preserve">4.8 </w:t>
      </w:r>
      <w:r w:rsidR="00047413">
        <w:rPr>
          <w:b w:val="0"/>
          <w:bCs/>
        </w:rPr>
        <w:tab/>
      </w:r>
      <w:r w:rsidRPr="00C267C7">
        <w:rPr>
          <w:b w:val="0"/>
          <w:bCs/>
        </w:rPr>
        <w:t>Land Acquisition Act of 1967</w:t>
      </w:r>
      <w:r w:rsidRPr="00C267C7">
        <w:rPr>
          <w:b w:val="0"/>
        </w:rPr>
        <w:tab/>
      </w:r>
      <w:r w:rsidRPr="00C267C7">
        <w:rPr>
          <w:b w:val="0"/>
        </w:rPr>
        <w:fldChar w:fldCharType="begin"/>
      </w:r>
      <w:r w:rsidRPr="00C267C7">
        <w:rPr>
          <w:b w:val="0"/>
        </w:rPr>
        <w:instrText xml:space="preserve"> PAGEREF _Toc213301726 \h </w:instrText>
      </w:r>
      <w:r w:rsidRPr="00C267C7">
        <w:rPr>
          <w:b w:val="0"/>
        </w:rPr>
      </w:r>
      <w:r w:rsidRPr="00C267C7">
        <w:rPr>
          <w:b w:val="0"/>
        </w:rPr>
        <w:fldChar w:fldCharType="separate"/>
      </w:r>
      <w:r w:rsidR="00D52F61">
        <w:rPr>
          <w:b w:val="0"/>
        </w:rPr>
        <w:t>84</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bCs/>
        </w:rPr>
        <w:t xml:space="preserve">4.9 </w:t>
      </w:r>
      <w:r w:rsidR="00047413">
        <w:rPr>
          <w:b w:val="0"/>
          <w:bCs/>
        </w:rPr>
        <w:tab/>
      </w:r>
      <w:r w:rsidRPr="00C267C7">
        <w:rPr>
          <w:b w:val="0"/>
          <w:bCs/>
        </w:rPr>
        <w:t>Registration of Documents Act, Cap 117</w:t>
      </w:r>
      <w:r w:rsidRPr="00C267C7">
        <w:rPr>
          <w:b w:val="0"/>
        </w:rPr>
        <w:tab/>
      </w:r>
      <w:r w:rsidRPr="00C267C7">
        <w:rPr>
          <w:b w:val="0"/>
        </w:rPr>
        <w:fldChar w:fldCharType="begin"/>
      </w:r>
      <w:r w:rsidRPr="00C267C7">
        <w:rPr>
          <w:b w:val="0"/>
        </w:rPr>
        <w:instrText xml:space="preserve"> PAGEREF _Toc213301727 \h </w:instrText>
      </w:r>
      <w:r w:rsidRPr="00C267C7">
        <w:rPr>
          <w:b w:val="0"/>
        </w:rPr>
      </w:r>
      <w:r w:rsidRPr="00C267C7">
        <w:rPr>
          <w:b w:val="0"/>
        </w:rPr>
        <w:fldChar w:fldCharType="separate"/>
      </w:r>
      <w:r w:rsidR="00D52F61">
        <w:rPr>
          <w:b w:val="0"/>
        </w:rPr>
        <w:t>85</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4.10 </w:t>
      </w:r>
      <w:r w:rsidR="00047413">
        <w:rPr>
          <w:b w:val="0"/>
        </w:rPr>
        <w:tab/>
      </w:r>
      <w:r w:rsidRPr="00C267C7">
        <w:rPr>
          <w:b w:val="0"/>
        </w:rPr>
        <w:t>Legal Challenges</w:t>
      </w:r>
      <w:r w:rsidRPr="00C267C7">
        <w:rPr>
          <w:b w:val="0"/>
        </w:rPr>
        <w:tab/>
      </w:r>
      <w:r w:rsidRPr="00C267C7">
        <w:rPr>
          <w:b w:val="0"/>
        </w:rPr>
        <w:fldChar w:fldCharType="begin"/>
      </w:r>
      <w:r w:rsidRPr="00C267C7">
        <w:rPr>
          <w:b w:val="0"/>
        </w:rPr>
        <w:instrText xml:space="preserve"> PAGEREF _Toc213301728 \h </w:instrText>
      </w:r>
      <w:r w:rsidRPr="00C267C7">
        <w:rPr>
          <w:b w:val="0"/>
        </w:rPr>
      </w:r>
      <w:r w:rsidRPr="00C267C7">
        <w:rPr>
          <w:b w:val="0"/>
        </w:rPr>
        <w:fldChar w:fldCharType="separate"/>
      </w:r>
      <w:r w:rsidR="00D52F61">
        <w:rPr>
          <w:b w:val="0"/>
        </w:rPr>
        <w:t>86</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4.10.1 </w:t>
      </w:r>
      <w:r w:rsidR="00047413">
        <w:rPr>
          <w:b w:val="0"/>
        </w:rPr>
        <w:tab/>
      </w:r>
      <w:r w:rsidRPr="00C267C7">
        <w:rPr>
          <w:b w:val="0"/>
        </w:rPr>
        <w:t>Ambiguity in Co-Ownership Rights and Obligations</w:t>
      </w:r>
      <w:r w:rsidRPr="00C267C7">
        <w:rPr>
          <w:b w:val="0"/>
        </w:rPr>
        <w:tab/>
      </w:r>
      <w:r w:rsidRPr="00C267C7">
        <w:rPr>
          <w:b w:val="0"/>
        </w:rPr>
        <w:fldChar w:fldCharType="begin"/>
      </w:r>
      <w:r w:rsidRPr="00C267C7">
        <w:rPr>
          <w:b w:val="0"/>
        </w:rPr>
        <w:instrText xml:space="preserve"> PAGEREF _Toc213301729 \h </w:instrText>
      </w:r>
      <w:r w:rsidRPr="00C267C7">
        <w:rPr>
          <w:b w:val="0"/>
        </w:rPr>
      </w:r>
      <w:r w:rsidRPr="00C267C7">
        <w:rPr>
          <w:b w:val="0"/>
        </w:rPr>
        <w:fldChar w:fldCharType="separate"/>
      </w:r>
      <w:r w:rsidR="00D52F61">
        <w:rPr>
          <w:b w:val="0"/>
        </w:rPr>
        <w:t>86</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4.10.2 </w:t>
      </w:r>
      <w:r w:rsidR="00047413">
        <w:rPr>
          <w:b w:val="0"/>
        </w:rPr>
        <w:tab/>
      </w:r>
      <w:r w:rsidRPr="00C267C7">
        <w:rPr>
          <w:b w:val="0"/>
        </w:rPr>
        <w:t>Governance Structure and Decision-Making Conflicts</w:t>
      </w:r>
      <w:r w:rsidRPr="00C267C7">
        <w:rPr>
          <w:b w:val="0"/>
        </w:rPr>
        <w:tab/>
      </w:r>
      <w:r w:rsidRPr="00C267C7">
        <w:rPr>
          <w:b w:val="0"/>
        </w:rPr>
        <w:fldChar w:fldCharType="begin"/>
      </w:r>
      <w:r w:rsidRPr="00C267C7">
        <w:rPr>
          <w:b w:val="0"/>
        </w:rPr>
        <w:instrText xml:space="preserve"> PAGEREF _Toc213301730 \h </w:instrText>
      </w:r>
      <w:r w:rsidRPr="00C267C7">
        <w:rPr>
          <w:b w:val="0"/>
        </w:rPr>
      </w:r>
      <w:r w:rsidRPr="00C267C7">
        <w:rPr>
          <w:b w:val="0"/>
        </w:rPr>
        <w:fldChar w:fldCharType="separate"/>
      </w:r>
      <w:r w:rsidR="00D52F61">
        <w:rPr>
          <w:b w:val="0"/>
        </w:rPr>
        <w:t>88</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4.10.3 </w:t>
      </w:r>
      <w:r w:rsidR="00047413">
        <w:rPr>
          <w:b w:val="0"/>
        </w:rPr>
        <w:tab/>
      </w:r>
      <w:r w:rsidRPr="00C267C7">
        <w:rPr>
          <w:b w:val="0"/>
        </w:rPr>
        <w:t>Challenges in Regulating Incidental Rights</w:t>
      </w:r>
      <w:r w:rsidRPr="00C267C7">
        <w:rPr>
          <w:b w:val="0"/>
        </w:rPr>
        <w:tab/>
      </w:r>
      <w:r w:rsidRPr="00C267C7">
        <w:rPr>
          <w:b w:val="0"/>
        </w:rPr>
        <w:fldChar w:fldCharType="begin"/>
      </w:r>
      <w:r w:rsidRPr="00C267C7">
        <w:rPr>
          <w:b w:val="0"/>
        </w:rPr>
        <w:instrText xml:space="preserve"> PAGEREF _Toc213301731 \h </w:instrText>
      </w:r>
      <w:r w:rsidRPr="00C267C7">
        <w:rPr>
          <w:b w:val="0"/>
        </w:rPr>
      </w:r>
      <w:r w:rsidRPr="00C267C7">
        <w:rPr>
          <w:b w:val="0"/>
        </w:rPr>
        <w:fldChar w:fldCharType="separate"/>
      </w:r>
      <w:r w:rsidR="00D52F61">
        <w:rPr>
          <w:b w:val="0"/>
        </w:rPr>
        <w:t>90</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4.10.4 </w:t>
      </w:r>
      <w:r w:rsidR="00047413">
        <w:rPr>
          <w:b w:val="0"/>
        </w:rPr>
        <w:tab/>
      </w:r>
      <w:r w:rsidRPr="00C267C7">
        <w:rPr>
          <w:b w:val="0"/>
        </w:rPr>
        <w:t>Ineffective Dispute Resolution Mechanisms</w:t>
      </w:r>
      <w:r w:rsidRPr="00C267C7">
        <w:rPr>
          <w:b w:val="0"/>
        </w:rPr>
        <w:tab/>
      </w:r>
      <w:r w:rsidRPr="00C267C7">
        <w:rPr>
          <w:b w:val="0"/>
        </w:rPr>
        <w:fldChar w:fldCharType="begin"/>
      </w:r>
      <w:r w:rsidRPr="00C267C7">
        <w:rPr>
          <w:b w:val="0"/>
        </w:rPr>
        <w:instrText xml:space="preserve"> PAGEREF _Toc213301732 \h </w:instrText>
      </w:r>
      <w:r w:rsidRPr="00C267C7">
        <w:rPr>
          <w:b w:val="0"/>
        </w:rPr>
      </w:r>
      <w:r w:rsidRPr="00C267C7">
        <w:rPr>
          <w:b w:val="0"/>
        </w:rPr>
        <w:fldChar w:fldCharType="separate"/>
      </w:r>
      <w:r w:rsidR="00D52F61">
        <w:rPr>
          <w:b w:val="0"/>
        </w:rPr>
        <w:t>91</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4.11 </w:t>
      </w:r>
      <w:r w:rsidR="00047413">
        <w:rPr>
          <w:b w:val="0"/>
        </w:rPr>
        <w:tab/>
      </w:r>
      <w:r w:rsidRPr="00C267C7">
        <w:rPr>
          <w:b w:val="0"/>
        </w:rPr>
        <w:t>Different between Domestic and International Best Practice</w:t>
      </w:r>
      <w:r w:rsidRPr="00C267C7">
        <w:rPr>
          <w:b w:val="0"/>
        </w:rPr>
        <w:tab/>
      </w:r>
      <w:r w:rsidRPr="00C267C7">
        <w:rPr>
          <w:b w:val="0"/>
        </w:rPr>
        <w:fldChar w:fldCharType="begin"/>
      </w:r>
      <w:r w:rsidRPr="00C267C7">
        <w:rPr>
          <w:b w:val="0"/>
        </w:rPr>
        <w:instrText xml:space="preserve"> PAGEREF _Toc213301733 \h </w:instrText>
      </w:r>
      <w:r w:rsidRPr="00C267C7">
        <w:rPr>
          <w:b w:val="0"/>
        </w:rPr>
      </w:r>
      <w:r w:rsidRPr="00C267C7">
        <w:rPr>
          <w:b w:val="0"/>
        </w:rPr>
        <w:fldChar w:fldCharType="separate"/>
      </w:r>
      <w:r w:rsidR="00D52F61">
        <w:rPr>
          <w:b w:val="0"/>
        </w:rPr>
        <w:t>93</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4.12 </w:t>
      </w:r>
      <w:r w:rsidR="00047413">
        <w:rPr>
          <w:b w:val="0"/>
        </w:rPr>
        <w:tab/>
      </w:r>
      <w:r w:rsidRPr="00C267C7">
        <w:rPr>
          <w:b w:val="0"/>
        </w:rPr>
        <w:t>Conclusion</w:t>
      </w:r>
      <w:r w:rsidRPr="00C267C7">
        <w:rPr>
          <w:b w:val="0"/>
        </w:rPr>
        <w:tab/>
      </w:r>
      <w:r w:rsidRPr="00C267C7">
        <w:rPr>
          <w:b w:val="0"/>
        </w:rPr>
        <w:fldChar w:fldCharType="begin"/>
      </w:r>
      <w:r w:rsidRPr="00C267C7">
        <w:rPr>
          <w:b w:val="0"/>
        </w:rPr>
        <w:instrText xml:space="preserve"> PAGEREF _Toc213301734 \h </w:instrText>
      </w:r>
      <w:r w:rsidRPr="00C267C7">
        <w:rPr>
          <w:b w:val="0"/>
        </w:rPr>
      </w:r>
      <w:r w:rsidRPr="00C267C7">
        <w:rPr>
          <w:b w:val="0"/>
        </w:rPr>
        <w:fldChar w:fldCharType="separate"/>
      </w:r>
      <w:r w:rsidR="00D52F61">
        <w:rPr>
          <w:b w:val="0"/>
        </w:rPr>
        <w:t>96</w:t>
      </w:r>
      <w:r w:rsidRPr="00C267C7">
        <w:rPr>
          <w:b w:val="0"/>
        </w:rPr>
        <w:fldChar w:fldCharType="end"/>
      </w:r>
    </w:p>
    <w:p w:rsidR="00C1621A" w:rsidRPr="00047413" w:rsidRDefault="00C1621A" w:rsidP="00052C7A">
      <w:pPr>
        <w:pStyle w:val="TOC1"/>
        <w:spacing w:before="0" w:after="0" w:line="480" w:lineRule="auto"/>
        <w:ind w:left="1134" w:hanging="1134"/>
        <w:rPr>
          <w:rFonts w:eastAsiaTheme="minorEastAsia"/>
        </w:rPr>
      </w:pPr>
      <w:r w:rsidRPr="00047413">
        <w:t>CHAPTER FIVE</w:t>
      </w:r>
      <w:r w:rsidRPr="00047413">
        <w:tab/>
      </w:r>
      <w:r w:rsidRPr="00047413">
        <w:fldChar w:fldCharType="begin"/>
      </w:r>
      <w:r w:rsidRPr="00047413">
        <w:instrText xml:space="preserve"> PAGEREF _Toc213301735 \h </w:instrText>
      </w:r>
      <w:r w:rsidRPr="00047413">
        <w:fldChar w:fldCharType="separate"/>
      </w:r>
      <w:r w:rsidR="00D52F61">
        <w:t>97</w:t>
      </w:r>
      <w:r w:rsidRPr="00047413">
        <w:fldChar w:fldCharType="end"/>
      </w:r>
    </w:p>
    <w:p w:rsidR="00C1621A" w:rsidRPr="00047413" w:rsidRDefault="00C1621A" w:rsidP="00052C7A">
      <w:pPr>
        <w:pStyle w:val="TOC1"/>
        <w:spacing w:before="0" w:after="0" w:line="480" w:lineRule="auto"/>
        <w:ind w:left="1134" w:hanging="1134"/>
        <w:rPr>
          <w:rFonts w:eastAsiaTheme="minorEastAsia"/>
        </w:rPr>
      </w:pPr>
      <w:r w:rsidRPr="00047413">
        <w:t>SUMMARY, CONCLUSION AND RECOMMENDATIONS</w:t>
      </w:r>
      <w:r w:rsidRPr="00047413">
        <w:tab/>
      </w:r>
      <w:r w:rsidRPr="00047413">
        <w:fldChar w:fldCharType="begin"/>
      </w:r>
      <w:r w:rsidRPr="00047413">
        <w:instrText xml:space="preserve"> PAGEREF _Toc213301736 \h </w:instrText>
      </w:r>
      <w:r w:rsidRPr="00047413">
        <w:fldChar w:fldCharType="separate"/>
      </w:r>
      <w:r w:rsidR="00D52F61">
        <w:t>97</w:t>
      </w:r>
      <w:r w:rsidRPr="00047413">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5.1 </w:t>
      </w:r>
      <w:r w:rsidR="00047413">
        <w:rPr>
          <w:b w:val="0"/>
        </w:rPr>
        <w:tab/>
      </w:r>
      <w:r w:rsidRPr="00C267C7">
        <w:rPr>
          <w:b w:val="0"/>
        </w:rPr>
        <w:t>Summary of the Study</w:t>
      </w:r>
      <w:r w:rsidRPr="00C267C7">
        <w:rPr>
          <w:b w:val="0"/>
        </w:rPr>
        <w:tab/>
      </w:r>
      <w:r w:rsidRPr="00C267C7">
        <w:rPr>
          <w:b w:val="0"/>
        </w:rPr>
        <w:fldChar w:fldCharType="begin"/>
      </w:r>
      <w:r w:rsidRPr="00C267C7">
        <w:rPr>
          <w:b w:val="0"/>
        </w:rPr>
        <w:instrText xml:space="preserve"> PAGEREF _Toc213301737 \h </w:instrText>
      </w:r>
      <w:r w:rsidRPr="00C267C7">
        <w:rPr>
          <w:b w:val="0"/>
        </w:rPr>
      </w:r>
      <w:r w:rsidRPr="00C267C7">
        <w:rPr>
          <w:b w:val="0"/>
        </w:rPr>
        <w:fldChar w:fldCharType="separate"/>
      </w:r>
      <w:r w:rsidR="00D52F61">
        <w:rPr>
          <w:b w:val="0"/>
        </w:rPr>
        <w:t>97</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5.2 </w:t>
      </w:r>
      <w:r w:rsidR="00047413">
        <w:rPr>
          <w:b w:val="0"/>
        </w:rPr>
        <w:tab/>
      </w:r>
      <w:r w:rsidRPr="00C267C7">
        <w:rPr>
          <w:b w:val="0"/>
        </w:rPr>
        <w:t>Conclusion of the Study</w:t>
      </w:r>
      <w:r w:rsidRPr="00C267C7">
        <w:rPr>
          <w:b w:val="0"/>
        </w:rPr>
        <w:tab/>
      </w:r>
      <w:r w:rsidRPr="00C267C7">
        <w:rPr>
          <w:b w:val="0"/>
        </w:rPr>
        <w:fldChar w:fldCharType="begin"/>
      </w:r>
      <w:r w:rsidRPr="00C267C7">
        <w:rPr>
          <w:b w:val="0"/>
        </w:rPr>
        <w:instrText xml:space="preserve"> PAGEREF _Toc213301738 \h </w:instrText>
      </w:r>
      <w:r w:rsidRPr="00C267C7">
        <w:rPr>
          <w:b w:val="0"/>
        </w:rPr>
      </w:r>
      <w:r w:rsidRPr="00C267C7">
        <w:rPr>
          <w:b w:val="0"/>
        </w:rPr>
        <w:fldChar w:fldCharType="separate"/>
      </w:r>
      <w:r w:rsidR="00D52F61">
        <w:rPr>
          <w:b w:val="0"/>
        </w:rPr>
        <w:t>99</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5.3 </w:t>
      </w:r>
      <w:r w:rsidR="00047413">
        <w:rPr>
          <w:b w:val="0"/>
        </w:rPr>
        <w:tab/>
      </w:r>
      <w:r w:rsidRPr="00C267C7">
        <w:rPr>
          <w:b w:val="0"/>
        </w:rPr>
        <w:t>Recommendations</w:t>
      </w:r>
      <w:r w:rsidRPr="00C267C7">
        <w:rPr>
          <w:b w:val="0"/>
        </w:rPr>
        <w:tab/>
      </w:r>
      <w:r w:rsidRPr="00C267C7">
        <w:rPr>
          <w:b w:val="0"/>
        </w:rPr>
        <w:fldChar w:fldCharType="begin"/>
      </w:r>
      <w:r w:rsidRPr="00C267C7">
        <w:rPr>
          <w:b w:val="0"/>
        </w:rPr>
        <w:instrText xml:space="preserve"> PAGEREF _Toc213301739 \h </w:instrText>
      </w:r>
      <w:r w:rsidRPr="00C267C7">
        <w:rPr>
          <w:b w:val="0"/>
        </w:rPr>
      </w:r>
      <w:r w:rsidRPr="00C267C7">
        <w:rPr>
          <w:b w:val="0"/>
        </w:rPr>
        <w:fldChar w:fldCharType="separate"/>
      </w:r>
      <w:r w:rsidR="00D52F61">
        <w:rPr>
          <w:b w:val="0"/>
        </w:rPr>
        <w:t>101</w:t>
      </w:r>
      <w:r w:rsidRPr="00C267C7">
        <w:rPr>
          <w:b w:val="0"/>
        </w:rPr>
        <w:fldChar w:fldCharType="end"/>
      </w:r>
    </w:p>
    <w:p w:rsidR="00047413" w:rsidRDefault="00C1621A" w:rsidP="00052C7A">
      <w:pPr>
        <w:pStyle w:val="TOC1"/>
        <w:spacing w:before="0" w:after="0" w:line="480" w:lineRule="auto"/>
        <w:ind w:left="1134" w:hanging="1134"/>
        <w:rPr>
          <w:b w:val="0"/>
        </w:rPr>
      </w:pPr>
      <w:r w:rsidRPr="00C267C7">
        <w:rPr>
          <w:b w:val="0"/>
        </w:rPr>
        <w:t xml:space="preserve">5.3.1 </w:t>
      </w:r>
      <w:r w:rsidR="00047413">
        <w:rPr>
          <w:b w:val="0"/>
        </w:rPr>
        <w:tab/>
      </w:r>
      <w:r w:rsidRPr="00C267C7">
        <w:rPr>
          <w:b w:val="0"/>
        </w:rPr>
        <w:t xml:space="preserve">Strengthen the Unit Titles Act (UTA) with Comprehensive </w:t>
      </w:r>
    </w:p>
    <w:p w:rsidR="00C1621A" w:rsidRPr="00C267C7" w:rsidRDefault="00047413" w:rsidP="00052C7A">
      <w:pPr>
        <w:pStyle w:val="TOC1"/>
        <w:spacing w:before="0" w:after="0" w:line="480" w:lineRule="auto"/>
        <w:ind w:left="1134" w:hanging="1134"/>
        <w:rPr>
          <w:rFonts w:eastAsiaTheme="minorEastAsia"/>
          <w:b w:val="0"/>
        </w:rPr>
      </w:pPr>
      <w:r>
        <w:rPr>
          <w:b w:val="0"/>
        </w:rPr>
        <w:tab/>
      </w:r>
      <w:r w:rsidR="00C1621A" w:rsidRPr="00C267C7">
        <w:rPr>
          <w:b w:val="0"/>
        </w:rPr>
        <w:t>Reforms</w:t>
      </w:r>
      <w:r w:rsidR="00C1621A" w:rsidRPr="00C267C7">
        <w:rPr>
          <w:b w:val="0"/>
        </w:rPr>
        <w:tab/>
      </w:r>
      <w:r w:rsidR="00C1621A" w:rsidRPr="00C267C7">
        <w:rPr>
          <w:b w:val="0"/>
        </w:rPr>
        <w:fldChar w:fldCharType="begin"/>
      </w:r>
      <w:r w:rsidR="00C1621A" w:rsidRPr="00C267C7">
        <w:rPr>
          <w:b w:val="0"/>
        </w:rPr>
        <w:instrText xml:space="preserve"> PAGEREF _Toc213301740 \h </w:instrText>
      </w:r>
      <w:r w:rsidR="00C1621A" w:rsidRPr="00C267C7">
        <w:rPr>
          <w:b w:val="0"/>
        </w:rPr>
      </w:r>
      <w:r w:rsidR="00C1621A" w:rsidRPr="00C267C7">
        <w:rPr>
          <w:b w:val="0"/>
        </w:rPr>
        <w:fldChar w:fldCharType="separate"/>
      </w:r>
      <w:r w:rsidR="00D52F61">
        <w:rPr>
          <w:b w:val="0"/>
        </w:rPr>
        <w:t>101</w:t>
      </w:r>
      <w:r w:rsidR="00C1621A" w:rsidRPr="00C267C7">
        <w:rPr>
          <w:b w:val="0"/>
        </w:rPr>
        <w:fldChar w:fldCharType="end"/>
      </w:r>
    </w:p>
    <w:p w:rsidR="00047413" w:rsidRDefault="00C1621A" w:rsidP="00052C7A">
      <w:pPr>
        <w:pStyle w:val="TOC1"/>
        <w:spacing w:before="0" w:after="0" w:line="480" w:lineRule="auto"/>
        <w:ind w:left="1134" w:hanging="1134"/>
        <w:rPr>
          <w:b w:val="0"/>
        </w:rPr>
      </w:pPr>
      <w:r w:rsidRPr="00C267C7">
        <w:rPr>
          <w:b w:val="0"/>
        </w:rPr>
        <w:t xml:space="preserve">5.3.2 </w:t>
      </w:r>
      <w:r w:rsidR="00047413">
        <w:rPr>
          <w:b w:val="0"/>
        </w:rPr>
        <w:tab/>
      </w:r>
      <w:r w:rsidRPr="00C267C7">
        <w:rPr>
          <w:b w:val="0"/>
        </w:rPr>
        <w:t xml:space="preserve">Introduce Mechanisms to Balance Individual and Collective </w:t>
      </w:r>
    </w:p>
    <w:p w:rsidR="00C1621A" w:rsidRPr="00C267C7" w:rsidRDefault="00047413" w:rsidP="00052C7A">
      <w:pPr>
        <w:pStyle w:val="TOC1"/>
        <w:spacing w:before="0" w:after="0" w:line="480" w:lineRule="auto"/>
        <w:ind w:left="1134" w:hanging="1134"/>
        <w:rPr>
          <w:rFonts w:eastAsiaTheme="minorEastAsia"/>
          <w:b w:val="0"/>
        </w:rPr>
      </w:pPr>
      <w:r>
        <w:rPr>
          <w:b w:val="0"/>
        </w:rPr>
        <w:tab/>
      </w:r>
      <w:r w:rsidR="00C1621A" w:rsidRPr="00C267C7">
        <w:rPr>
          <w:b w:val="0"/>
        </w:rPr>
        <w:t>Property Rights</w:t>
      </w:r>
      <w:r w:rsidR="00C1621A" w:rsidRPr="00C267C7">
        <w:rPr>
          <w:b w:val="0"/>
        </w:rPr>
        <w:tab/>
      </w:r>
      <w:r w:rsidR="00C1621A" w:rsidRPr="00C267C7">
        <w:rPr>
          <w:b w:val="0"/>
        </w:rPr>
        <w:fldChar w:fldCharType="begin"/>
      </w:r>
      <w:r w:rsidR="00C1621A" w:rsidRPr="00C267C7">
        <w:rPr>
          <w:b w:val="0"/>
        </w:rPr>
        <w:instrText xml:space="preserve"> PAGEREF _Toc213301741 \h </w:instrText>
      </w:r>
      <w:r w:rsidR="00C1621A" w:rsidRPr="00C267C7">
        <w:rPr>
          <w:b w:val="0"/>
        </w:rPr>
      </w:r>
      <w:r w:rsidR="00C1621A" w:rsidRPr="00C267C7">
        <w:rPr>
          <w:b w:val="0"/>
        </w:rPr>
        <w:fldChar w:fldCharType="separate"/>
      </w:r>
      <w:r w:rsidR="00D52F61">
        <w:rPr>
          <w:b w:val="0"/>
        </w:rPr>
        <w:t>101</w:t>
      </w:r>
      <w:r w:rsidR="00C1621A"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5.3.3</w:t>
      </w:r>
      <w:r w:rsidR="00047413">
        <w:rPr>
          <w:b w:val="0"/>
        </w:rPr>
        <w:tab/>
      </w:r>
      <w:r w:rsidRPr="00C267C7">
        <w:rPr>
          <w:b w:val="0"/>
        </w:rPr>
        <w:t>Adopt Best Practices from International Frameworks</w:t>
      </w:r>
      <w:r w:rsidRPr="00C267C7">
        <w:rPr>
          <w:b w:val="0"/>
        </w:rPr>
        <w:tab/>
      </w:r>
      <w:r w:rsidRPr="00C267C7">
        <w:rPr>
          <w:b w:val="0"/>
        </w:rPr>
        <w:fldChar w:fldCharType="begin"/>
      </w:r>
      <w:r w:rsidRPr="00C267C7">
        <w:rPr>
          <w:b w:val="0"/>
        </w:rPr>
        <w:instrText xml:space="preserve"> PAGEREF _Toc213301742 \h </w:instrText>
      </w:r>
      <w:r w:rsidRPr="00C267C7">
        <w:rPr>
          <w:b w:val="0"/>
        </w:rPr>
      </w:r>
      <w:r w:rsidRPr="00C267C7">
        <w:rPr>
          <w:b w:val="0"/>
        </w:rPr>
        <w:fldChar w:fldCharType="separate"/>
      </w:r>
      <w:r w:rsidR="00D52F61">
        <w:rPr>
          <w:b w:val="0"/>
        </w:rPr>
        <w:t>102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5.3.4 </w:t>
      </w:r>
      <w:r w:rsidR="00047413">
        <w:rPr>
          <w:b w:val="0"/>
        </w:rPr>
        <w:tab/>
      </w:r>
      <w:r w:rsidRPr="00C267C7">
        <w:rPr>
          <w:b w:val="0"/>
        </w:rPr>
        <w:t>Strengthen Capacity Building and Public Awareness Initiatives</w:t>
      </w:r>
      <w:r w:rsidRPr="00C267C7">
        <w:rPr>
          <w:b w:val="0"/>
        </w:rPr>
        <w:tab/>
      </w:r>
      <w:r w:rsidRPr="00C267C7">
        <w:rPr>
          <w:b w:val="0"/>
        </w:rPr>
        <w:fldChar w:fldCharType="begin"/>
      </w:r>
      <w:r w:rsidRPr="00C267C7">
        <w:rPr>
          <w:b w:val="0"/>
        </w:rPr>
        <w:instrText xml:space="preserve"> PAGEREF _Toc213301743 \h </w:instrText>
      </w:r>
      <w:r w:rsidRPr="00C267C7">
        <w:rPr>
          <w:b w:val="0"/>
        </w:rPr>
      </w:r>
      <w:r w:rsidRPr="00C267C7">
        <w:rPr>
          <w:b w:val="0"/>
        </w:rPr>
        <w:fldChar w:fldCharType="separate"/>
      </w:r>
      <w:r w:rsidR="00D52F61">
        <w:rPr>
          <w:b w:val="0"/>
        </w:rPr>
        <w:t>102</w:t>
      </w:r>
      <w:r w:rsidRPr="00C267C7">
        <w:rPr>
          <w:b w:val="0"/>
        </w:rPr>
        <w:fldChar w:fldCharType="end"/>
      </w:r>
    </w:p>
    <w:p w:rsidR="00C1621A" w:rsidRPr="00C267C7" w:rsidRDefault="00C1621A" w:rsidP="00052C7A">
      <w:pPr>
        <w:pStyle w:val="TOC1"/>
        <w:spacing w:before="0" w:after="0" w:line="480" w:lineRule="auto"/>
        <w:ind w:left="1134" w:hanging="1134"/>
        <w:rPr>
          <w:rFonts w:eastAsiaTheme="minorEastAsia"/>
          <w:b w:val="0"/>
        </w:rPr>
      </w:pPr>
      <w:r w:rsidRPr="00C267C7">
        <w:rPr>
          <w:b w:val="0"/>
        </w:rPr>
        <w:t xml:space="preserve">5.3.5 </w:t>
      </w:r>
      <w:r w:rsidR="00047413">
        <w:rPr>
          <w:b w:val="0"/>
        </w:rPr>
        <w:tab/>
      </w:r>
      <w:r w:rsidRPr="00C267C7">
        <w:rPr>
          <w:b w:val="0"/>
        </w:rPr>
        <w:t>Enhance Regulatory Oversight and Enforcement</w:t>
      </w:r>
      <w:r w:rsidRPr="00C267C7">
        <w:rPr>
          <w:b w:val="0"/>
        </w:rPr>
        <w:tab/>
      </w:r>
      <w:r w:rsidRPr="00C267C7">
        <w:rPr>
          <w:b w:val="0"/>
        </w:rPr>
        <w:fldChar w:fldCharType="begin"/>
      </w:r>
      <w:r w:rsidRPr="00C267C7">
        <w:rPr>
          <w:b w:val="0"/>
        </w:rPr>
        <w:instrText xml:space="preserve"> PAGEREF _Toc213301744 \h </w:instrText>
      </w:r>
      <w:r w:rsidRPr="00C267C7">
        <w:rPr>
          <w:b w:val="0"/>
        </w:rPr>
      </w:r>
      <w:r w:rsidRPr="00C267C7">
        <w:rPr>
          <w:b w:val="0"/>
        </w:rPr>
        <w:fldChar w:fldCharType="separate"/>
      </w:r>
      <w:r w:rsidR="00D52F61">
        <w:rPr>
          <w:b w:val="0"/>
        </w:rPr>
        <w:t>102</w:t>
      </w:r>
      <w:r w:rsidRPr="00C267C7">
        <w:rPr>
          <w:b w:val="0"/>
        </w:rPr>
        <w:fldChar w:fldCharType="end"/>
      </w:r>
    </w:p>
    <w:p w:rsidR="00C1621A" w:rsidRPr="00047413" w:rsidRDefault="00C1621A" w:rsidP="00052C7A">
      <w:pPr>
        <w:pStyle w:val="TOC1"/>
        <w:spacing w:before="0" w:after="0" w:line="480" w:lineRule="auto"/>
        <w:ind w:left="1134" w:hanging="1134"/>
        <w:rPr>
          <w:rFonts w:eastAsiaTheme="minorEastAsia"/>
        </w:rPr>
      </w:pPr>
      <w:r w:rsidRPr="00047413">
        <w:rPr>
          <w:bCs/>
        </w:rPr>
        <w:t>REFERENCES</w:t>
      </w:r>
      <w:r w:rsidRPr="00047413">
        <w:tab/>
      </w:r>
      <w:r w:rsidRPr="00047413">
        <w:fldChar w:fldCharType="begin"/>
      </w:r>
      <w:r w:rsidRPr="00047413">
        <w:instrText xml:space="preserve"> PAGEREF _Toc213301745 \h </w:instrText>
      </w:r>
      <w:r w:rsidRPr="00047413">
        <w:fldChar w:fldCharType="separate"/>
      </w:r>
      <w:r w:rsidR="00D52F61">
        <w:t>103</w:t>
      </w:r>
      <w:r w:rsidRPr="00047413">
        <w:fldChar w:fldCharType="end"/>
      </w:r>
    </w:p>
    <w:p w:rsidR="00CE3B78" w:rsidRDefault="00C1621A" w:rsidP="00052C7A">
      <w:pPr>
        <w:pStyle w:val="Heading1"/>
        <w:spacing w:before="0" w:after="0"/>
        <w:ind w:left="1134" w:hanging="1134"/>
        <w:jc w:val="both"/>
        <w:rPr>
          <w:rFonts w:cs="Times New Roman"/>
          <w:szCs w:val="24"/>
        </w:rPr>
      </w:pPr>
      <w:r w:rsidRPr="00C267C7">
        <w:rPr>
          <w:rFonts w:cs="Times New Roman"/>
          <w:b w:val="0"/>
          <w:szCs w:val="24"/>
        </w:rPr>
        <w:fldChar w:fldCharType="end"/>
      </w:r>
    </w:p>
    <w:p w:rsidR="00EB7223" w:rsidRDefault="00EB7223" w:rsidP="00EB7223"/>
    <w:p w:rsidR="00EB7223" w:rsidRDefault="00EB7223" w:rsidP="00EB7223"/>
    <w:p w:rsidR="00EB7223" w:rsidRDefault="00EB7223" w:rsidP="00EB7223"/>
    <w:p w:rsidR="00EB7223" w:rsidRDefault="00EB7223" w:rsidP="00EB7223"/>
    <w:p w:rsidR="00EB7223" w:rsidRDefault="00EB7223" w:rsidP="00EB7223"/>
    <w:p w:rsidR="00EB7223" w:rsidRDefault="00EB7223" w:rsidP="00EB7223"/>
    <w:p w:rsidR="00EB7223" w:rsidRDefault="00EB7223" w:rsidP="00EB7223"/>
    <w:p w:rsidR="00EB7223" w:rsidRDefault="00EB7223" w:rsidP="00EB7223"/>
    <w:p w:rsidR="00EB7223" w:rsidRPr="00EB7223" w:rsidRDefault="00EB7223" w:rsidP="00EB7223"/>
    <w:p w:rsidR="00CE3B78" w:rsidRPr="009A2157" w:rsidRDefault="00CE3B78" w:rsidP="009A2157">
      <w:pPr>
        <w:spacing w:before="0" w:after="0"/>
      </w:pPr>
    </w:p>
    <w:p w:rsidR="00CE3B78" w:rsidRPr="009A2157" w:rsidRDefault="00CE3B78" w:rsidP="009A2157">
      <w:pPr>
        <w:pStyle w:val="Heading1"/>
        <w:spacing w:before="0" w:after="0"/>
        <w:rPr>
          <w:rFonts w:cs="Times New Roman"/>
          <w:szCs w:val="24"/>
        </w:rPr>
      </w:pPr>
      <w:bookmarkStart w:id="41" w:name="_Toc183521811"/>
      <w:bookmarkStart w:id="42" w:name="_Toc194836476"/>
      <w:bookmarkStart w:id="43" w:name="_Toc194836558"/>
      <w:bookmarkStart w:id="44" w:name="_Toc194836640"/>
      <w:bookmarkStart w:id="45" w:name="_Toc194836722"/>
      <w:bookmarkStart w:id="46" w:name="_Toc194845367"/>
      <w:r w:rsidRPr="009A2157">
        <w:rPr>
          <w:rFonts w:cs="Times New Roman"/>
          <w:szCs w:val="24"/>
        </w:rPr>
        <w:t>LIST OF LEGAL LEGISLATIONS</w:t>
      </w:r>
      <w:bookmarkEnd w:id="41"/>
      <w:bookmarkEnd w:id="42"/>
      <w:bookmarkEnd w:id="43"/>
      <w:bookmarkEnd w:id="44"/>
      <w:bookmarkEnd w:id="45"/>
      <w:bookmarkEnd w:id="46"/>
      <w:r w:rsidR="00B33427">
        <w:rPr>
          <w:rFonts w:cs="Times New Roman"/>
          <w:szCs w:val="24"/>
        </w:rPr>
        <w:fldChar w:fldCharType="begin"/>
      </w:r>
      <w:r w:rsidR="00B33427">
        <w:instrText xml:space="preserve"> TC "</w:instrText>
      </w:r>
      <w:bookmarkStart w:id="47" w:name="_Toc213301652"/>
      <w:r w:rsidR="00B33427" w:rsidRPr="00C22FA9">
        <w:rPr>
          <w:rFonts w:cs="Times New Roman"/>
          <w:szCs w:val="24"/>
        </w:rPr>
        <w:instrText>LIST OF LEGAL LEGISLATIONS</w:instrText>
      </w:r>
      <w:bookmarkEnd w:id="47"/>
      <w:r w:rsidR="00B33427">
        <w:instrText xml:space="preserve">" \f C \l "1" </w:instrText>
      </w:r>
      <w:r w:rsidR="00B33427">
        <w:rPr>
          <w:rFonts w:cs="Times New Roman"/>
          <w:szCs w:val="24"/>
        </w:rPr>
        <w:fldChar w:fldCharType="end"/>
      </w:r>
    </w:p>
    <w:p w:rsidR="000A116C" w:rsidRPr="009A2157" w:rsidRDefault="000A116C" w:rsidP="009A2157">
      <w:pPr>
        <w:spacing w:before="0" w:after="0"/>
      </w:pPr>
      <w:r w:rsidRPr="009A2157">
        <w:t>African Union (AU) Agenda 2063</w:t>
      </w:r>
    </w:p>
    <w:p w:rsidR="000A116C" w:rsidRPr="009A2157" w:rsidRDefault="000A116C" w:rsidP="009A2157">
      <w:pPr>
        <w:spacing w:before="0" w:after="0"/>
      </w:pPr>
      <w:r w:rsidRPr="009A2157">
        <w:t>Constitution of the United Republic of Tanzania, 1977</w:t>
      </w:r>
    </w:p>
    <w:p w:rsidR="000A116C" w:rsidRPr="009A2157" w:rsidRDefault="000A116C" w:rsidP="009A2157">
      <w:pPr>
        <w:spacing w:before="0" w:after="0"/>
      </w:pPr>
      <w:r w:rsidRPr="009A2157">
        <w:t>Land Act of 1999</w:t>
      </w:r>
    </w:p>
    <w:p w:rsidR="000A116C" w:rsidRPr="009A2157" w:rsidRDefault="000A116C" w:rsidP="009A2157">
      <w:pPr>
        <w:spacing w:before="0" w:after="0"/>
      </w:pPr>
      <w:r w:rsidRPr="009A2157">
        <w:t>Land Registration Act</w:t>
      </w:r>
    </w:p>
    <w:p w:rsidR="000A116C" w:rsidRPr="009A2157" w:rsidRDefault="000A116C" w:rsidP="009A2157">
      <w:pPr>
        <w:spacing w:before="0" w:after="0"/>
      </w:pPr>
      <w:r w:rsidRPr="009A2157">
        <w:t>Mortgage Financing (Special Provisions) Act</w:t>
      </w:r>
    </w:p>
    <w:p w:rsidR="000A116C" w:rsidRPr="009A2157" w:rsidRDefault="000A116C" w:rsidP="009A2157">
      <w:pPr>
        <w:spacing w:before="0" w:after="0"/>
      </w:pPr>
      <w:r w:rsidRPr="009A2157">
        <w:rPr>
          <w:bCs/>
        </w:rPr>
        <w:t>Unit Titles Act 2008</w:t>
      </w:r>
    </w:p>
    <w:p w:rsidR="000A116C" w:rsidRPr="009A2157" w:rsidRDefault="000A116C" w:rsidP="009A2157">
      <w:pPr>
        <w:spacing w:before="0" w:after="0"/>
      </w:pPr>
      <w:r w:rsidRPr="009A2157">
        <w:t>Unit Titles Regulation GN No 357 of 2009</w:t>
      </w:r>
    </w:p>
    <w:p w:rsidR="000A116C" w:rsidRPr="009A2157" w:rsidRDefault="000A116C" w:rsidP="009A2157">
      <w:pPr>
        <w:spacing w:before="0" w:after="0"/>
      </w:pPr>
      <w:r w:rsidRPr="009A2157">
        <w:t>United Nations (UN) Guidelines on Housing and Land Rights</w:t>
      </w:r>
    </w:p>
    <w:p w:rsidR="00CE3B78" w:rsidRPr="009A2157" w:rsidRDefault="00CE3B78" w:rsidP="009A2157">
      <w:pPr>
        <w:spacing w:before="0" w:after="0"/>
      </w:pPr>
    </w:p>
    <w:p w:rsidR="00CE3B78" w:rsidRPr="009A2157" w:rsidRDefault="00CE3B78" w:rsidP="009A2157">
      <w:pPr>
        <w:spacing w:before="0" w:after="0"/>
      </w:pPr>
    </w:p>
    <w:p w:rsidR="00CE3B78" w:rsidRDefault="00CE3B78" w:rsidP="009A2157">
      <w:pPr>
        <w:spacing w:before="0" w:after="0"/>
      </w:pPr>
    </w:p>
    <w:p w:rsidR="00EB7223" w:rsidRDefault="00EB7223" w:rsidP="009A2157">
      <w:pPr>
        <w:spacing w:before="0" w:after="0"/>
      </w:pPr>
    </w:p>
    <w:p w:rsidR="00EB7223" w:rsidRDefault="00EB7223" w:rsidP="009A2157">
      <w:pPr>
        <w:spacing w:before="0" w:after="0"/>
      </w:pPr>
    </w:p>
    <w:p w:rsidR="00EB7223" w:rsidRDefault="00EB7223" w:rsidP="009A2157">
      <w:pPr>
        <w:spacing w:before="0" w:after="0"/>
      </w:pPr>
    </w:p>
    <w:p w:rsidR="00EB7223" w:rsidRDefault="00EB7223" w:rsidP="009A2157">
      <w:pPr>
        <w:spacing w:before="0" w:after="0"/>
      </w:pPr>
    </w:p>
    <w:p w:rsidR="00EB7223" w:rsidRDefault="00EB7223" w:rsidP="009A2157">
      <w:pPr>
        <w:spacing w:before="0" w:after="0"/>
      </w:pPr>
    </w:p>
    <w:p w:rsidR="00EB7223" w:rsidRDefault="00EB7223" w:rsidP="009A2157">
      <w:pPr>
        <w:spacing w:before="0" w:after="0"/>
      </w:pPr>
    </w:p>
    <w:p w:rsidR="00EB7223" w:rsidRDefault="00EB7223" w:rsidP="009A2157">
      <w:pPr>
        <w:spacing w:before="0" w:after="0"/>
      </w:pPr>
    </w:p>
    <w:p w:rsidR="00EB7223" w:rsidRDefault="00EB7223" w:rsidP="009A2157">
      <w:pPr>
        <w:spacing w:before="0" w:after="0"/>
      </w:pPr>
    </w:p>
    <w:p w:rsidR="00EB7223" w:rsidRDefault="00EB7223" w:rsidP="009A2157">
      <w:pPr>
        <w:spacing w:before="0" w:after="0"/>
      </w:pPr>
    </w:p>
    <w:p w:rsidR="00EB7223" w:rsidRDefault="00EB7223" w:rsidP="009A2157">
      <w:pPr>
        <w:spacing w:before="0" w:after="0"/>
      </w:pPr>
    </w:p>
    <w:p w:rsidR="00EB7223" w:rsidRDefault="00EB7223" w:rsidP="009A2157">
      <w:pPr>
        <w:spacing w:before="0" w:after="0"/>
      </w:pPr>
    </w:p>
    <w:p w:rsidR="00EB7223" w:rsidRDefault="00EB7223" w:rsidP="009A2157">
      <w:pPr>
        <w:spacing w:before="0" w:after="0"/>
      </w:pPr>
    </w:p>
    <w:p w:rsidR="00BA5C3D" w:rsidRPr="009A2157" w:rsidRDefault="00BA5C3D" w:rsidP="00BA5C3D">
      <w:pPr>
        <w:pStyle w:val="Heading1"/>
        <w:spacing w:before="0" w:after="0"/>
        <w:rPr>
          <w:rFonts w:cs="Times New Roman"/>
          <w:szCs w:val="24"/>
        </w:rPr>
      </w:pPr>
      <w:bookmarkStart w:id="48" w:name="_Toc174593407"/>
      <w:bookmarkStart w:id="49" w:name="_Toc176607077"/>
      <w:bookmarkStart w:id="50" w:name="_Toc183521810"/>
      <w:bookmarkStart w:id="51" w:name="_Toc194836475"/>
      <w:bookmarkStart w:id="52" w:name="_Toc194836557"/>
      <w:bookmarkStart w:id="53" w:name="_Toc194836639"/>
      <w:bookmarkStart w:id="54" w:name="_Toc194836721"/>
      <w:bookmarkStart w:id="55" w:name="_Toc194845366"/>
      <w:r w:rsidRPr="009A2157">
        <w:rPr>
          <w:rFonts w:cs="Times New Roman"/>
          <w:szCs w:val="24"/>
        </w:rPr>
        <w:t>LIST OF ABBREVIATIONS</w:t>
      </w:r>
      <w:bookmarkEnd w:id="48"/>
      <w:bookmarkEnd w:id="49"/>
      <w:bookmarkEnd w:id="50"/>
      <w:bookmarkEnd w:id="51"/>
      <w:bookmarkEnd w:id="52"/>
      <w:bookmarkEnd w:id="53"/>
      <w:bookmarkEnd w:id="54"/>
      <w:bookmarkEnd w:id="55"/>
      <w:r w:rsidR="00B33427">
        <w:rPr>
          <w:rFonts w:cs="Times New Roman"/>
          <w:szCs w:val="24"/>
        </w:rPr>
        <w:fldChar w:fldCharType="begin"/>
      </w:r>
      <w:r w:rsidR="00B33427">
        <w:instrText xml:space="preserve"> TC "</w:instrText>
      </w:r>
      <w:bookmarkStart w:id="56" w:name="_Toc213301653"/>
      <w:r w:rsidR="00B33427" w:rsidRPr="00532BB8">
        <w:rPr>
          <w:rFonts w:cs="Times New Roman"/>
          <w:szCs w:val="24"/>
        </w:rPr>
        <w:instrText>LIST OF ABBREVIATIONS</w:instrText>
      </w:r>
      <w:bookmarkEnd w:id="56"/>
      <w:r w:rsidR="00B33427">
        <w:instrText xml:space="preserve">" \f C \l "1" </w:instrText>
      </w:r>
      <w:r w:rsidR="00B33427">
        <w:rPr>
          <w:rFonts w:cs="Times New Roman"/>
          <w:szCs w:val="24"/>
        </w:rPr>
        <w:fldChar w:fldCharType="end"/>
      </w:r>
    </w:p>
    <w:p w:rsidR="00BA5C3D" w:rsidRPr="00BA5C3D" w:rsidRDefault="00BA5C3D" w:rsidP="00BA5C3D">
      <w:pPr>
        <w:spacing w:before="0" w:after="0"/>
        <w:jc w:val="left"/>
      </w:pPr>
      <w:r w:rsidRPr="00BA5C3D">
        <w:rPr>
          <w:bCs/>
        </w:rPr>
        <w:t>CPL</w:t>
      </w:r>
      <w:r>
        <w:tab/>
      </w:r>
      <w:r>
        <w:tab/>
      </w:r>
      <w:r w:rsidRPr="00BA5C3D">
        <w:t>Customary Property Laws</w:t>
      </w:r>
    </w:p>
    <w:p w:rsidR="00BA5C3D" w:rsidRPr="00BA5C3D" w:rsidRDefault="00BA5C3D" w:rsidP="00BA5C3D">
      <w:pPr>
        <w:spacing w:before="0" w:after="0"/>
        <w:jc w:val="left"/>
      </w:pPr>
      <w:r w:rsidRPr="00BA5C3D">
        <w:rPr>
          <w:bCs/>
        </w:rPr>
        <w:t>FDP</w:t>
      </w:r>
      <w:r w:rsidRPr="00BA5C3D">
        <w:tab/>
      </w:r>
      <w:r w:rsidRPr="00BA5C3D">
        <w:tab/>
        <w:t>Foreign Direct Property</w:t>
      </w:r>
    </w:p>
    <w:p w:rsidR="00BA5C3D" w:rsidRPr="00BA5C3D" w:rsidRDefault="00BA5C3D" w:rsidP="00BA5C3D">
      <w:pPr>
        <w:spacing w:before="0" w:after="0"/>
        <w:jc w:val="left"/>
      </w:pPr>
      <w:r w:rsidRPr="00BA5C3D">
        <w:rPr>
          <w:bCs/>
        </w:rPr>
        <w:t>LR</w:t>
      </w:r>
      <w:r w:rsidRPr="00BA5C3D">
        <w:tab/>
      </w:r>
      <w:r w:rsidRPr="00BA5C3D">
        <w:tab/>
        <w:t>Land Rights</w:t>
      </w:r>
    </w:p>
    <w:p w:rsidR="00BA5C3D" w:rsidRPr="00BA5C3D" w:rsidRDefault="00BA5C3D" w:rsidP="00BA5C3D">
      <w:pPr>
        <w:spacing w:before="0" w:after="0"/>
        <w:jc w:val="left"/>
      </w:pPr>
      <w:r w:rsidRPr="00BA5C3D">
        <w:rPr>
          <w:bCs/>
        </w:rPr>
        <w:t>LRA</w:t>
      </w:r>
      <w:r w:rsidRPr="00BA5C3D">
        <w:tab/>
      </w:r>
      <w:r w:rsidRPr="00BA5C3D">
        <w:tab/>
        <w:t>Land Registration Act</w:t>
      </w:r>
    </w:p>
    <w:p w:rsidR="00BA5C3D" w:rsidRPr="00BA5C3D" w:rsidRDefault="00BA5C3D" w:rsidP="00BA5C3D">
      <w:pPr>
        <w:spacing w:before="0" w:after="0"/>
        <w:jc w:val="left"/>
      </w:pPr>
      <w:r w:rsidRPr="00BA5C3D">
        <w:rPr>
          <w:bCs/>
        </w:rPr>
        <w:t>LRL</w:t>
      </w:r>
      <w:r w:rsidRPr="00BA5C3D">
        <w:tab/>
      </w:r>
      <w:r w:rsidRPr="00BA5C3D">
        <w:tab/>
        <w:t>Land Rights Laws</w:t>
      </w:r>
    </w:p>
    <w:p w:rsidR="00BA5C3D" w:rsidRPr="00BA5C3D" w:rsidRDefault="00BA5C3D" w:rsidP="00BA5C3D">
      <w:pPr>
        <w:spacing w:before="0" w:after="0"/>
        <w:jc w:val="left"/>
      </w:pPr>
      <w:r w:rsidRPr="00BA5C3D">
        <w:rPr>
          <w:bCs/>
        </w:rPr>
        <w:t>LT</w:t>
      </w:r>
      <w:r w:rsidRPr="00BA5C3D">
        <w:tab/>
      </w:r>
      <w:r w:rsidRPr="00BA5C3D">
        <w:tab/>
        <w:t>Land Tenure</w:t>
      </w:r>
    </w:p>
    <w:p w:rsidR="00BA5C3D" w:rsidRPr="00BA5C3D" w:rsidRDefault="00BA5C3D" w:rsidP="00BA5C3D">
      <w:pPr>
        <w:spacing w:before="0" w:after="0"/>
        <w:jc w:val="left"/>
      </w:pPr>
      <w:r w:rsidRPr="00BA5C3D">
        <w:rPr>
          <w:bCs/>
        </w:rPr>
        <w:t>LTA</w:t>
      </w:r>
      <w:r w:rsidRPr="00BA5C3D">
        <w:tab/>
      </w:r>
      <w:r w:rsidRPr="00BA5C3D">
        <w:tab/>
        <w:t>Land Title Act</w:t>
      </w:r>
    </w:p>
    <w:p w:rsidR="00BA5C3D" w:rsidRPr="00BA5C3D" w:rsidRDefault="00BA5C3D" w:rsidP="00BA5C3D">
      <w:pPr>
        <w:spacing w:before="0" w:after="0"/>
        <w:jc w:val="left"/>
      </w:pPr>
      <w:r w:rsidRPr="00BA5C3D">
        <w:rPr>
          <w:bCs/>
        </w:rPr>
        <w:t>UT</w:t>
      </w:r>
      <w:r w:rsidRPr="00BA5C3D">
        <w:tab/>
      </w:r>
      <w:r w:rsidRPr="00BA5C3D">
        <w:tab/>
        <w:t>Unit Titles</w:t>
      </w:r>
    </w:p>
    <w:p w:rsidR="00BA5C3D" w:rsidRPr="00BA5C3D" w:rsidRDefault="00BA5C3D" w:rsidP="00BA5C3D">
      <w:pPr>
        <w:spacing w:before="0" w:after="0"/>
        <w:jc w:val="left"/>
      </w:pPr>
      <w:r w:rsidRPr="00BA5C3D">
        <w:t>UTA                Unit Title Act</w:t>
      </w:r>
    </w:p>
    <w:p w:rsidR="000A116C" w:rsidRPr="009A2157" w:rsidRDefault="000A116C" w:rsidP="009A2157">
      <w:pPr>
        <w:spacing w:before="0" w:after="0"/>
      </w:pPr>
    </w:p>
    <w:p w:rsidR="000A116C" w:rsidRPr="009A2157" w:rsidRDefault="000A116C" w:rsidP="009A2157">
      <w:pPr>
        <w:spacing w:before="0" w:after="0"/>
      </w:pPr>
    </w:p>
    <w:p w:rsidR="000A116C" w:rsidRPr="009A2157" w:rsidRDefault="000A116C" w:rsidP="009A2157">
      <w:pPr>
        <w:spacing w:before="0" w:after="0"/>
      </w:pPr>
    </w:p>
    <w:p w:rsidR="00CE3B78" w:rsidRPr="009A2157" w:rsidRDefault="00CE3B78" w:rsidP="009A2157">
      <w:pPr>
        <w:spacing w:before="0" w:after="0"/>
      </w:pPr>
      <w:bookmarkStart w:id="57" w:name="_Toc183521812"/>
    </w:p>
    <w:bookmarkEnd w:id="57"/>
    <w:p w:rsidR="00FB7819" w:rsidRPr="009A2157" w:rsidRDefault="00FB7819" w:rsidP="009A2157">
      <w:pPr>
        <w:spacing w:before="0" w:after="0"/>
        <w:sectPr w:rsidR="00FB7819" w:rsidRPr="009A2157" w:rsidSect="008D4814">
          <w:headerReference w:type="even" r:id="rId9"/>
          <w:headerReference w:type="default" r:id="rId10"/>
          <w:footerReference w:type="even" r:id="rId11"/>
          <w:footerReference w:type="default" r:id="rId12"/>
          <w:headerReference w:type="first" r:id="rId13"/>
          <w:pgSz w:w="11907" w:h="16839" w:code="9"/>
          <w:pgMar w:top="2268" w:right="1418" w:bottom="1418" w:left="2268" w:header="993" w:footer="0" w:gutter="0"/>
          <w:pgNumType w:fmt="lowerRoman" w:start="1"/>
          <w:cols w:space="720"/>
          <w:titlePg/>
          <w:docGrid w:linePitch="360"/>
        </w:sectPr>
      </w:pPr>
    </w:p>
    <w:p w:rsidR="00DC075C" w:rsidRPr="009A2157" w:rsidRDefault="00ED1B52" w:rsidP="009A2157">
      <w:pPr>
        <w:pStyle w:val="Heading1"/>
        <w:spacing w:before="0" w:after="0"/>
        <w:rPr>
          <w:rFonts w:cs="Times New Roman"/>
          <w:bCs/>
          <w:szCs w:val="24"/>
        </w:rPr>
      </w:pPr>
      <w:bookmarkStart w:id="58" w:name="_Toc194845369"/>
      <w:r w:rsidRPr="009A2157">
        <w:rPr>
          <w:rFonts w:cs="Times New Roman"/>
          <w:bCs/>
          <w:szCs w:val="24"/>
        </w:rPr>
        <w:t>CHAPTER ONE</w:t>
      </w:r>
      <w:bookmarkEnd w:id="58"/>
      <w:r w:rsidR="00B33427">
        <w:rPr>
          <w:rFonts w:cs="Times New Roman"/>
          <w:bCs/>
          <w:szCs w:val="24"/>
        </w:rPr>
        <w:fldChar w:fldCharType="begin"/>
      </w:r>
      <w:r w:rsidR="00B33427">
        <w:instrText xml:space="preserve"> TC "</w:instrText>
      </w:r>
      <w:bookmarkStart w:id="59" w:name="_Toc213301654"/>
      <w:r w:rsidR="00B33427" w:rsidRPr="008D0BDD">
        <w:rPr>
          <w:rFonts w:cs="Times New Roman"/>
          <w:bCs/>
          <w:szCs w:val="24"/>
        </w:rPr>
        <w:instrText>CHAPTER ONE</w:instrText>
      </w:r>
      <w:bookmarkEnd w:id="59"/>
      <w:r w:rsidR="00B33427">
        <w:instrText xml:space="preserve">" \f C \l "1" </w:instrText>
      </w:r>
      <w:r w:rsidR="00B33427">
        <w:rPr>
          <w:rFonts w:cs="Times New Roman"/>
          <w:bCs/>
          <w:szCs w:val="24"/>
        </w:rPr>
        <w:fldChar w:fldCharType="end"/>
      </w:r>
    </w:p>
    <w:p w:rsidR="00ED1B52" w:rsidRPr="009A2157" w:rsidRDefault="00ED1B52" w:rsidP="009A2157">
      <w:pPr>
        <w:pStyle w:val="Heading1"/>
        <w:spacing w:before="0" w:after="0"/>
        <w:rPr>
          <w:rFonts w:cs="Times New Roman"/>
          <w:szCs w:val="24"/>
        </w:rPr>
      </w:pPr>
      <w:bookmarkStart w:id="60" w:name="_Toc194845370"/>
      <w:r w:rsidRPr="009A2157">
        <w:rPr>
          <w:rFonts w:cs="Times New Roman"/>
          <w:szCs w:val="24"/>
        </w:rPr>
        <w:t>INTRODUCTION</w:t>
      </w:r>
      <w:r w:rsidR="00736D67" w:rsidRPr="009A2157">
        <w:rPr>
          <w:rFonts w:cs="Times New Roman"/>
          <w:szCs w:val="24"/>
        </w:rPr>
        <w:t xml:space="preserve"> AND BACKGROUND TO THE STUDY</w:t>
      </w:r>
      <w:bookmarkEnd w:id="60"/>
      <w:r w:rsidR="00B33427">
        <w:rPr>
          <w:rFonts w:cs="Times New Roman"/>
          <w:szCs w:val="24"/>
        </w:rPr>
        <w:fldChar w:fldCharType="begin"/>
      </w:r>
      <w:r w:rsidR="00B33427">
        <w:instrText xml:space="preserve"> TC "</w:instrText>
      </w:r>
      <w:bookmarkStart w:id="61" w:name="_Toc213301655"/>
      <w:r w:rsidR="00B33427" w:rsidRPr="007233C9">
        <w:rPr>
          <w:rFonts w:cs="Times New Roman"/>
          <w:szCs w:val="24"/>
        </w:rPr>
        <w:instrText>INTRODUCTION AND BACKGROUND TO THE STUDY</w:instrText>
      </w:r>
      <w:bookmarkEnd w:id="61"/>
      <w:r w:rsidR="00B33427">
        <w:instrText xml:space="preserve">" \f C \l "1" </w:instrText>
      </w:r>
      <w:r w:rsidR="00B33427">
        <w:rPr>
          <w:rFonts w:cs="Times New Roman"/>
          <w:szCs w:val="24"/>
        </w:rPr>
        <w:fldChar w:fldCharType="end"/>
      </w:r>
    </w:p>
    <w:p w:rsidR="00B96FC7" w:rsidRPr="009A2157" w:rsidRDefault="00EB7223" w:rsidP="009A2157">
      <w:pPr>
        <w:pStyle w:val="Heading2"/>
        <w:spacing w:before="0" w:after="0"/>
        <w:rPr>
          <w:rFonts w:eastAsia="Times New Roman" w:cs="Times New Roman"/>
          <w:b w:val="0"/>
          <w:color w:val="auto"/>
          <w:szCs w:val="24"/>
        </w:rPr>
      </w:pPr>
      <w:bookmarkStart w:id="62" w:name="_Toc194845371"/>
      <w:r>
        <w:rPr>
          <w:rFonts w:cs="Times New Roman"/>
          <w:szCs w:val="24"/>
        </w:rPr>
        <w:t xml:space="preserve">1.1 </w:t>
      </w:r>
      <w:r w:rsidR="00783D0A" w:rsidRPr="009A2157">
        <w:rPr>
          <w:rFonts w:cs="Times New Roman"/>
          <w:szCs w:val="24"/>
        </w:rPr>
        <w:t>Introduction</w:t>
      </w:r>
      <w:r w:rsidR="00DA3688" w:rsidRPr="009A2157">
        <w:rPr>
          <w:rFonts w:cs="Times New Roman"/>
          <w:szCs w:val="24"/>
        </w:rPr>
        <w:t xml:space="preserve"> to the Study</w:t>
      </w:r>
      <w:bookmarkEnd w:id="62"/>
      <w:r w:rsidR="00B33427">
        <w:rPr>
          <w:rFonts w:cs="Times New Roman"/>
          <w:szCs w:val="24"/>
        </w:rPr>
        <w:fldChar w:fldCharType="begin"/>
      </w:r>
      <w:r w:rsidR="00B33427">
        <w:instrText xml:space="preserve"> TC "</w:instrText>
      </w:r>
      <w:bookmarkStart w:id="63" w:name="_Toc213301656"/>
      <w:r w:rsidR="00B33427" w:rsidRPr="000D16A2">
        <w:rPr>
          <w:rFonts w:cs="Times New Roman"/>
          <w:szCs w:val="24"/>
        </w:rPr>
        <w:instrText>1.1 Introduction to the Study</w:instrText>
      </w:r>
      <w:bookmarkEnd w:id="63"/>
      <w:r w:rsidR="00B33427">
        <w:instrText xml:space="preserve">" \f C \l "1" </w:instrText>
      </w:r>
      <w:r w:rsidR="00B33427">
        <w:rPr>
          <w:rFonts w:cs="Times New Roman"/>
          <w:szCs w:val="24"/>
        </w:rPr>
        <w:fldChar w:fldCharType="end"/>
      </w:r>
    </w:p>
    <w:p w:rsidR="00B96FC7" w:rsidRDefault="00783D0A" w:rsidP="009A2157">
      <w:pPr>
        <w:spacing w:before="0" w:after="0"/>
      </w:pPr>
      <w:r w:rsidRPr="009A2157">
        <w:t>Unit titles are established when a property is divided into two or more separately owned units, typically found in apartment blocks, townhouses, office buildings, or industrial and retail complexes.</w:t>
      </w:r>
      <w:r w:rsidRPr="009A2157">
        <w:rPr>
          <w:rStyle w:val="FootnoteReference"/>
        </w:rPr>
        <w:footnoteReference w:id="1"/>
      </w:r>
      <w:r w:rsidRPr="009A2157">
        <w:t xml:space="preserve"> This type of property development allows individuals to own private portions of land or specific parts of a building while also sharing common areas with other unit owners. The Unit Titles Act of 2008 introduces the concept of "common property," referring to an entire or partial property collectively owned by all unit owners for shared use. Before or after the registration of a unit plan, ownership of common areas is divided into fractions among co-owners. Each co-owner holds an undivided right in the common areas proportional to their fractional share.</w:t>
      </w:r>
      <w:r w:rsidRPr="009A2157">
        <w:rPr>
          <w:rStyle w:val="FootnoteReference"/>
        </w:rPr>
        <w:footnoteReference w:id="2"/>
      </w:r>
    </w:p>
    <w:p w:rsidR="0047764D" w:rsidRPr="009A2157" w:rsidRDefault="0047764D" w:rsidP="009A2157">
      <w:pPr>
        <w:spacing w:before="0" w:after="0"/>
      </w:pPr>
    </w:p>
    <w:p w:rsidR="00B96FC7" w:rsidRPr="009A2157" w:rsidRDefault="00783D0A" w:rsidP="009A2157">
      <w:pPr>
        <w:spacing w:before="0" w:after="0"/>
      </w:pPr>
      <w:r w:rsidRPr="009A2157">
        <w:t>As defined in Section 6(3) of the Unit Titles Act 2008, common areas encompass land, yards, verandas, balconies, parks, gardens, access ways, stairways, elevators, passageways, halls, service areas, parking and storage areas, basements, main walls, common equipment, apparatus, and partitions or walls that do not form part of a building's foundations or main walls. Unit owners are granted specific rights, such as using their unit and common areas for personal and familial needs, transferring their unit to another person through various legal means without needing approval, and participating in association management in accordance with by-laws.</w:t>
      </w:r>
    </w:p>
    <w:p w:rsidR="00B96FC7" w:rsidRPr="009A2157" w:rsidRDefault="00783D0A" w:rsidP="009A2157">
      <w:pPr>
        <w:spacing w:before="0" w:after="0"/>
      </w:pPr>
      <w:r w:rsidRPr="009A2157">
        <w:t>According to the Act, an association, treated as a body corporate, must be established and assigned a plan number by the Registrar. The association's name should include the number allotted to the unit's plan upon registration, and an association can be formed by five or more owners of the unit properties. In recent years, the concept of unit titles has gained prominence as a viable framework for shared property ownership and management. As nations strive to accommodate growing urban populations and foster sustainable community living, the implementation of unit titles has become a crucial facet of modern property law. Tanzania, like many other nations, faces the dynamic challenge of balancing urban development with the need for coherent and efficient property management structures. The implementation of unit titles offers a promising avenue for achieving this balance by fostering shared responsibilities and ownership among property communities.</w:t>
      </w:r>
      <w:r w:rsidRPr="009A2157">
        <w:rPr>
          <w:rStyle w:val="FootnoteReference"/>
        </w:rPr>
        <w:footnoteReference w:id="3"/>
      </w:r>
      <w:r w:rsidRPr="009A2157">
        <w:t xml:space="preserve">However, the success of such initiatives is contingent upon navigating a complex legal and institutional landscape. </w:t>
      </w:r>
    </w:p>
    <w:p w:rsidR="00373E41" w:rsidRDefault="00373E41" w:rsidP="009A2157">
      <w:pPr>
        <w:spacing w:before="0" w:after="0"/>
      </w:pPr>
    </w:p>
    <w:p w:rsidR="00373E41" w:rsidRDefault="00783D0A" w:rsidP="009A2157">
      <w:pPr>
        <w:spacing w:before="0" w:after="0"/>
      </w:pPr>
      <w:r w:rsidRPr="009A2157">
        <w:t>The doctrine of the "bundle of rights" is a foundational concept in property law that conceptualizes property ownership as a collection of distinct rights, such as the right to use, sell, lease, and exclude others from the property.</w:t>
      </w:r>
      <w:r w:rsidRPr="009A2157">
        <w:rPr>
          <w:rStyle w:val="FootnoteReference"/>
        </w:rPr>
        <w:footnoteReference w:id="4"/>
      </w:r>
      <w:r w:rsidRPr="009A2157">
        <w:t xml:space="preserve"> These rights can be individually separated and transferred. When applied to unit title property, such as condominiums or strata titles, the bundle of rights is impacted in several specific ways. Unit titles introduce a unique dimension to the traditional "bundle of rights" concept. While unit owners retain many of the traditional rights associated with property ownership, these rights are interwoven with shared rights and responsibilities inherent in the communal living environment. For instance, the right to use common areas is shared among all unit owners, requiring collective decision-making and management as mandated by the Unit Titles Act. </w:t>
      </w:r>
    </w:p>
    <w:p w:rsidR="00373E41" w:rsidRDefault="00373E41" w:rsidP="009A2157">
      <w:pPr>
        <w:spacing w:before="0" w:after="0"/>
      </w:pPr>
    </w:p>
    <w:p w:rsidR="00B96FC7" w:rsidRPr="009A2157" w:rsidRDefault="00783D0A" w:rsidP="009A2157">
      <w:pPr>
        <w:spacing w:before="0" w:after="0"/>
      </w:pPr>
      <w:r w:rsidRPr="009A2157">
        <w:t>The governance structure, financial obligations, and dispute resolution mechanisms stipulated in the Act modify the traditional bundle of rights, introducing a level of communal control and restriction. Disputes between unit owners or between an owner and the owners' association often need to be resolved through the mechanisms set out in the bylaws or by relevant legal processes. This can impact an owner's ability to unilaterally enforce their rights. The communal governance required for managing common property necessitates a balance between individual rights and collective responsibilities, reflecting a more complex application of the bundle of rights doctrine within unit title properties.</w:t>
      </w:r>
    </w:p>
    <w:p w:rsidR="00373E41" w:rsidRDefault="00373E41" w:rsidP="009A2157">
      <w:pPr>
        <w:spacing w:before="0" w:after="0"/>
      </w:pPr>
    </w:p>
    <w:p w:rsidR="0081155D" w:rsidRPr="009A2157" w:rsidRDefault="00D902A3" w:rsidP="009A2157">
      <w:pPr>
        <w:spacing w:before="0" w:after="0"/>
      </w:pPr>
      <w:r w:rsidRPr="009A2157">
        <w:t>This study</w:t>
      </w:r>
      <w:r w:rsidR="00E34EBD" w:rsidRPr="009A2157">
        <w:t xml:space="preserve"> covers several critical areas to comprehensively assess the legal implications of unit titles on land rights in Tanzania. It begins with an introduction that sets the context for the study, followed by a detailed background to the study that provides historical and current perspectives. The statement of the problem identifies the specific issues this research aims to address. The objectives of the study outline the goals and expected outcomes, while the literature review examines existing research and theories related to the topic. The significance of the study highlights its importance and potential impact. Finally, the research methodology section describes the approach, methods, and techniques to be used in conducting the research, ensuring a systematic and thorough analysis.</w:t>
      </w:r>
    </w:p>
    <w:p w:rsidR="00373E41" w:rsidRDefault="00373E41" w:rsidP="009A2157">
      <w:pPr>
        <w:pStyle w:val="Heading2"/>
        <w:spacing w:before="0" w:after="0"/>
        <w:rPr>
          <w:rFonts w:cs="Times New Roman"/>
          <w:szCs w:val="24"/>
        </w:rPr>
      </w:pPr>
      <w:bookmarkStart w:id="64" w:name="_Toc194845372"/>
    </w:p>
    <w:p w:rsidR="00B96FC7" w:rsidRPr="009A2157" w:rsidRDefault="00783D0A" w:rsidP="009A2157">
      <w:pPr>
        <w:pStyle w:val="Heading2"/>
        <w:spacing w:before="0" w:after="0"/>
        <w:rPr>
          <w:rFonts w:cs="Times New Roman"/>
          <w:szCs w:val="24"/>
        </w:rPr>
      </w:pPr>
      <w:r w:rsidRPr="009A2157">
        <w:rPr>
          <w:rFonts w:cs="Times New Roman"/>
          <w:szCs w:val="24"/>
        </w:rPr>
        <w:t>1.2 Background to the Study</w:t>
      </w:r>
      <w:bookmarkEnd w:id="64"/>
      <w:r w:rsidR="00B33427">
        <w:rPr>
          <w:rFonts w:cs="Times New Roman"/>
          <w:szCs w:val="24"/>
        </w:rPr>
        <w:fldChar w:fldCharType="begin"/>
      </w:r>
      <w:r w:rsidR="00B33427">
        <w:instrText xml:space="preserve"> TC "</w:instrText>
      </w:r>
      <w:bookmarkStart w:id="65" w:name="_Toc213301657"/>
      <w:r w:rsidR="00B33427" w:rsidRPr="00A74FF2">
        <w:rPr>
          <w:rFonts w:cs="Times New Roman"/>
          <w:szCs w:val="24"/>
        </w:rPr>
        <w:instrText>1.2 Background to the Study</w:instrText>
      </w:r>
      <w:bookmarkEnd w:id="65"/>
      <w:r w:rsidR="00B33427">
        <w:instrText xml:space="preserve">" \f C \l "1" </w:instrText>
      </w:r>
      <w:r w:rsidR="00B33427">
        <w:rPr>
          <w:rFonts w:cs="Times New Roman"/>
          <w:szCs w:val="24"/>
        </w:rPr>
        <w:fldChar w:fldCharType="end"/>
      </w:r>
    </w:p>
    <w:p w:rsidR="00B96FC7" w:rsidRPr="009A2157" w:rsidRDefault="00783D0A" w:rsidP="009A2157">
      <w:pPr>
        <w:spacing w:before="0" w:after="0"/>
      </w:pPr>
      <w:r w:rsidRPr="009A2157">
        <w:t>Before independence, the Land Ordinance of 1923 was a pivotal legislative framework established during British colonial rule in Tanzania. This ordinance declared all land in the country as public land vested in the Governor, effectively centralizing land control under colonial administration.</w:t>
      </w:r>
      <w:r w:rsidRPr="009A2157">
        <w:rPr>
          <w:rStyle w:val="FootnoteReference"/>
        </w:rPr>
        <w:footnoteReference w:id="5"/>
      </w:r>
      <w:r w:rsidRPr="009A2157">
        <w:t xml:space="preserve"> This move undermined indigenous land ownership structures by introducing a dual system of land tenure, customary land tenure for indigenous people and statutory land tenure for settlers. The customary tenure system allowed indigenous communities to continue their traditional practices, but their rights were significantly diminished compared to the statutory system, which provided more secure and formalized land rights to settlers.</w:t>
      </w:r>
      <w:r w:rsidRPr="009A2157">
        <w:rPr>
          <w:rStyle w:val="FootnoteReference"/>
        </w:rPr>
        <w:footnoteReference w:id="6"/>
      </w:r>
      <w:r w:rsidRPr="009A2157">
        <w:t xml:space="preserve"> This division created a hierarchy that favored colonial settlers and marginalized the indigenous population, setting the stage for land-related conflicts and inequalities.</w:t>
      </w:r>
    </w:p>
    <w:p w:rsidR="00373E41" w:rsidRDefault="00373E41" w:rsidP="009A2157">
      <w:pPr>
        <w:spacing w:before="0" w:after="0"/>
      </w:pPr>
    </w:p>
    <w:p w:rsidR="00B96FC7" w:rsidRPr="009A2157" w:rsidRDefault="00783D0A" w:rsidP="009A2157">
      <w:pPr>
        <w:spacing w:before="0" w:after="0"/>
      </w:pPr>
      <w:r w:rsidRPr="009A2157">
        <w:t>The Native Authority Ordinance of 1926 further entrenched colonial dominance over land by allowing traditional leaders to administer customary land rights. While this ordinance recognized customary land tenure systems, it subordinated them to colonial authority, effectively reducing the autonomy of traditional leaders and their communities.</w:t>
      </w:r>
      <w:r w:rsidRPr="009A2157">
        <w:rPr>
          <w:rStyle w:val="FootnoteReference"/>
        </w:rPr>
        <w:footnoteReference w:id="7"/>
      </w:r>
      <w:r w:rsidRPr="009A2157">
        <w:t xml:space="preserve"> Traditional leaders were tasked with managing land according to customary laws but within the confines of colonial interests. This subordination ensured that ultimate control remained with the colonial government, limiting the effectiveness of traditional governance and exacerbating tensions between indigenous land practices and colonial statutory systems.</w:t>
      </w:r>
      <w:r w:rsidRPr="009A2157">
        <w:rPr>
          <w:rStyle w:val="FootnoteReference"/>
        </w:rPr>
        <w:footnoteReference w:id="8"/>
      </w:r>
      <w:r w:rsidRPr="009A2157">
        <w:t xml:space="preserve"> These legislative measures collectively disrupted indigenous land ownership patterns and laid the groundwork for the complex land tenure issues that would persist in Tanzania even after independence.</w:t>
      </w:r>
    </w:p>
    <w:p w:rsidR="00373E41" w:rsidRDefault="00373E41" w:rsidP="009A2157">
      <w:pPr>
        <w:spacing w:before="0" w:after="0"/>
      </w:pPr>
    </w:p>
    <w:p w:rsidR="00B96FC7" w:rsidRPr="009A2157" w:rsidRDefault="00783D0A" w:rsidP="009A2157">
      <w:pPr>
        <w:spacing w:before="0" w:after="0"/>
      </w:pPr>
      <w:r w:rsidRPr="009A2157">
        <w:t xml:space="preserve">After independence, Tanzania undertook significant land reforms to address the complexities and inequities inherited from colonial rule. The Land Act No. 4 of 1999 and the Village Land Act No. 5 of 1999 were major legislative milestones aimed at formalizing land rights and establishing clearer legal frameworks. These Acts categorized land into three types: general land, village land, and reserved land, thereby providing a structured approach to land management. </w:t>
      </w:r>
    </w:p>
    <w:p w:rsidR="00373E41" w:rsidRDefault="00373E41" w:rsidP="009A2157">
      <w:pPr>
        <w:spacing w:before="0" w:after="0"/>
      </w:pPr>
    </w:p>
    <w:p w:rsidR="00B96FC7" w:rsidRPr="009A2157" w:rsidRDefault="00783D0A" w:rsidP="009A2157">
      <w:pPr>
        <w:spacing w:before="0" w:after="0"/>
      </w:pPr>
      <w:r w:rsidRPr="009A2157">
        <w:t>The Land Amendment Act of 2004 and the Mortgage Financing (Special Provisions) Act of 2008 further enhanced Tanzania’s land tenure system. The 2004 amendment addressed critical issues related to the mortgage and use of land as collateral, thereby strengthening the legal framework for land transactions. This made it easier for landowners to engage in secure and legally recognized transactions, promoting economic activity. The 2008 Act facilitated the use of land as security for loans, encouraging the development of a mortgage market in Tanzania. These reforms aimed to integrate land into the financial sector, thereby increasing access to credit and fostering economic growth. Collectively, these legislative measures sought to rectify past injustices, modernize land tenure systems, and stimulate socio-economic development in post-independence Tanzania.</w:t>
      </w:r>
      <w:r w:rsidRPr="009A2157">
        <w:rPr>
          <w:rStyle w:val="FootnoteReference"/>
        </w:rPr>
        <w:footnoteReference w:id="9"/>
      </w:r>
    </w:p>
    <w:p w:rsidR="00373E41" w:rsidRPr="00373E41" w:rsidRDefault="00373E41" w:rsidP="009A2157">
      <w:pPr>
        <w:spacing w:before="0" w:after="0"/>
        <w:rPr>
          <w:sz w:val="22"/>
        </w:rPr>
      </w:pPr>
    </w:p>
    <w:p w:rsidR="00B96FC7" w:rsidRPr="009A2157" w:rsidRDefault="00783D0A" w:rsidP="009A2157">
      <w:pPr>
        <w:spacing w:before="0" w:after="0"/>
      </w:pPr>
      <w:r w:rsidRPr="009A2157">
        <w:t>The introduction of unit titles marked a significant change in the mode of land ownership in Tanzania. The Unit Titles Act of 2008 facilitated the ownership of individual units within a larger property, such as apartments in a condominium, by providing a legal framework for the registration and transfer of unit titles. This reform addressed the growing demand for urban housing and the need for a structured approach to managing multi-unit properties.</w:t>
      </w:r>
      <w:r w:rsidRPr="009A2157">
        <w:rPr>
          <w:rStyle w:val="FootnoteReference"/>
        </w:rPr>
        <w:footnoteReference w:id="10"/>
      </w:r>
      <w:r w:rsidRPr="009A2157">
        <w:t xml:space="preserve"> By allowing individuals to own distinct units within a shared property, the Act not only increased the availability of secure housing options but also promoted investments in real estate development, thereby contributing to urban growth and economic development.</w:t>
      </w:r>
    </w:p>
    <w:p w:rsidR="00373E41" w:rsidRPr="00373E41" w:rsidRDefault="00373E41" w:rsidP="009A2157">
      <w:pPr>
        <w:spacing w:before="0" w:after="0"/>
        <w:rPr>
          <w:sz w:val="18"/>
        </w:rPr>
      </w:pPr>
    </w:p>
    <w:p w:rsidR="00B96FC7" w:rsidRPr="009A2157" w:rsidRDefault="00783D0A" w:rsidP="009A2157">
      <w:pPr>
        <w:spacing w:before="0" w:after="0"/>
      </w:pPr>
      <w:r w:rsidRPr="009A2157">
        <w:t>The introduction of unit titles in Tanzania represents a significant shift in property ownership by allowing individuals to own specific units within a larger property, such as apartments within a condominium.</w:t>
      </w:r>
      <w:r w:rsidRPr="009A2157">
        <w:rPr>
          <w:rStyle w:val="FootnoteReference"/>
        </w:rPr>
        <w:footnoteReference w:id="11"/>
      </w:r>
      <w:r w:rsidRPr="009A2157">
        <w:t xml:space="preserve"> This grants clear and distinct ownership rights to unit holders, providing them with legal recognition and protection. The transition from traditional land tenure systems to unit titles ensures that ownership rights are enforceable by law, reducing the risk of disputes and arbitrary evictions. This legal framework enhances owners' confidence in their property rights, encouraging investment in the real estate market.</w:t>
      </w:r>
      <w:r w:rsidRPr="009A2157">
        <w:rPr>
          <w:rStyle w:val="FootnoteReference"/>
        </w:rPr>
        <w:footnoteReference w:id="12"/>
      </w:r>
    </w:p>
    <w:p w:rsidR="00373E41" w:rsidRDefault="00373E41" w:rsidP="009A2157">
      <w:pPr>
        <w:spacing w:before="0" w:after="0"/>
      </w:pPr>
    </w:p>
    <w:p w:rsidR="00B96FC7" w:rsidRPr="009A2157" w:rsidRDefault="00783D0A" w:rsidP="009A2157">
      <w:pPr>
        <w:spacing w:before="0" w:after="0"/>
      </w:pPr>
      <w:r w:rsidRPr="009A2157">
        <w:t>Unit titles provide clear documentation of ownership, which significantly reduces disputes over property boundaries and ownership claims. This clarity in ownership not only enhances security but also fosters confidence among property owners. With well-defined legal boundaries and rights, unit title holders can engage in property transactions, such as buying, selling, or leasing, with greater assurance.</w:t>
      </w:r>
      <w:r w:rsidRPr="009A2157">
        <w:rPr>
          <w:rStyle w:val="FootnoteReference"/>
        </w:rPr>
        <w:footnoteReference w:id="13"/>
      </w:r>
      <w:r w:rsidRPr="009A2157">
        <w:t xml:space="preserve"> The resultant legal clarity ensures that ownership rights are transparent and indisputable, contributing to a more stable and predictable property market.</w:t>
      </w:r>
    </w:p>
    <w:p w:rsidR="00373E41" w:rsidRDefault="00373E41" w:rsidP="009A2157">
      <w:pPr>
        <w:spacing w:before="0" w:after="0"/>
      </w:pPr>
    </w:p>
    <w:p w:rsidR="00B96FC7" w:rsidRPr="009A2157" w:rsidRDefault="00783D0A" w:rsidP="009A2157">
      <w:pPr>
        <w:spacing w:before="0" w:after="0"/>
      </w:pPr>
      <w:r w:rsidRPr="009A2157">
        <w:t>The legal implications of unit titles on land rights are multifaceted. Owners of unit titles have exclusive ownership of their individual units and share ownership of common property. Unit title developments are usually managed by a body corporate (or homeowners association), which is responsible for the maintenance and management of common property. This arrangement provides legal clarity and security but also introduces communal control and restriction, potentially contradicting the free right of association. Disputes between unit owners or between an owner and the owners' association often need to be resolved through the mechanisms set out in the bylaws or by relevant legal processes. This can impact an owner's ability to unilaterally enforce their rights. The communal governance required for managing common property necessitates a balance between individual rights and collective responsibilities, reflecting a more complex application of the bundle of rights doctrine within unit title properties.</w:t>
      </w:r>
    </w:p>
    <w:p w:rsidR="00373E41" w:rsidRDefault="00373E41" w:rsidP="009A2157">
      <w:pPr>
        <w:snapToGrid w:val="0"/>
        <w:spacing w:before="0" w:after="0"/>
      </w:pPr>
    </w:p>
    <w:p w:rsidR="00B15732" w:rsidRPr="009A2157" w:rsidRDefault="00B15732" w:rsidP="009A2157">
      <w:pPr>
        <w:snapToGrid w:val="0"/>
        <w:spacing w:before="0" w:after="0"/>
      </w:pPr>
      <w:r w:rsidRPr="009A2157">
        <w:t xml:space="preserve">The introduction of unit titles in Tanzania under the Unit Titles Act of 2008 marks a pivotal evolution in property ownership, reflecting broader historical transitions in land law. While the colonial land ordinances established statutory and customary land tenure systems that marginalized indigenous practices, the post-independence reforms sought to rectify these inequities through a structured legal framework. However, the shift from traditional tenure systems to unit titles introduced a new set of challenges. These challenges include balancing individual ownership rights with collective responsibilities in shared properties, addressing legal ambiguities in the governance of unit developments, and resolving disputes effectively. This historical trajectory underscores the need to critically examine how unit titles build </w:t>
      </w:r>
      <w:r w:rsidR="008248D1" w:rsidRPr="009A2157">
        <w:t>upon or</w:t>
      </w:r>
      <w:r w:rsidR="0059707A" w:rsidRPr="009A2157">
        <w:t xml:space="preserve"> diverge from </w:t>
      </w:r>
      <w:r w:rsidRPr="009A2157">
        <w:t>earlier land reforms, highlighting specific legal and institutional gaps that persist in managing multi-unit properties.</w:t>
      </w:r>
    </w:p>
    <w:p w:rsidR="00373E41" w:rsidRDefault="00373E41" w:rsidP="009A2157">
      <w:pPr>
        <w:snapToGrid w:val="0"/>
        <w:spacing w:before="0" w:after="0"/>
      </w:pPr>
    </w:p>
    <w:p w:rsidR="000A116C" w:rsidRPr="009A2157" w:rsidRDefault="00BE3A40" w:rsidP="009A2157">
      <w:pPr>
        <w:snapToGrid w:val="0"/>
        <w:spacing w:before="0" w:after="0"/>
      </w:pPr>
      <w:r w:rsidRPr="009A2157">
        <w:t>From the above background, it can be concluded that the evolution of land laws in Tanzania, culminating in the introduction of the Unit Titles Act of 2008, represents both progress and complexity in the legal framework for property ownership. The Act builds on historical reforms aimed at addressing colonial-era inequities but also introduces unique challenges related to the governance of shared properties, the balance between individual and collective rights, and dispute resolution mechanisms. These developments emphasize the need for a focused analysis of how unit titles align with or diverge from prior land reforms. Specifically, understanding the legal and institutional gaps in managing multi-unit properties can provide valuable insights into addressing the complexities inherent in the current property ownership framework and ensuring equitable and effective governance.</w:t>
      </w:r>
    </w:p>
    <w:p w:rsidR="00373E41" w:rsidRDefault="00373E41" w:rsidP="009A2157">
      <w:pPr>
        <w:pStyle w:val="Heading2"/>
        <w:spacing w:before="0" w:after="0"/>
        <w:rPr>
          <w:rFonts w:cs="Times New Roman"/>
          <w:szCs w:val="24"/>
        </w:rPr>
      </w:pPr>
      <w:bookmarkStart w:id="66" w:name="_Toc194845373"/>
    </w:p>
    <w:p w:rsidR="00B96FC7" w:rsidRPr="009A2157" w:rsidRDefault="00783D0A" w:rsidP="009A2157">
      <w:pPr>
        <w:pStyle w:val="Heading2"/>
        <w:spacing w:before="0" w:after="0"/>
        <w:rPr>
          <w:rFonts w:cs="Times New Roman"/>
          <w:szCs w:val="24"/>
        </w:rPr>
      </w:pPr>
      <w:r w:rsidRPr="009A2157">
        <w:rPr>
          <w:rFonts w:cs="Times New Roman"/>
          <w:szCs w:val="24"/>
        </w:rPr>
        <w:t>1.3 Statement of the Problem</w:t>
      </w:r>
      <w:bookmarkEnd w:id="66"/>
      <w:r w:rsidR="00B33427">
        <w:rPr>
          <w:rFonts w:cs="Times New Roman"/>
          <w:szCs w:val="24"/>
        </w:rPr>
        <w:fldChar w:fldCharType="begin"/>
      </w:r>
      <w:r w:rsidR="00B33427">
        <w:instrText xml:space="preserve"> TC "</w:instrText>
      </w:r>
      <w:bookmarkStart w:id="67" w:name="_Toc213301658"/>
      <w:r w:rsidR="00B33427" w:rsidRPr="00F91FCE">
        <w:rPr>
          <w:rFonts w:cs="Times New Roman"/>
          <w:szCs w:val="24"/>
        </w:rPr>
        <w:instrText>1.3 Statement of the Problem</w:instrText>
      </w:r>
      <w:bookmarkEnd w:id="67"/>
      <w:r w:rsidR="00B33427">
        <w:instrText xml:space="preserve">" \f C \l "1" </w:instrText>
      </w:r>
      <w:r w:rsidR="00B33427">
        <w:rPr>
          <w:rFonts w:cs="Times New Roman"/>
          <w:szCs w:val="24"/>
        </w:rPr>
        <w:fldChar w:fldCharType="end"/>
      </w:r>
    </w:p>
    <w:p w:rsidR="00373E41" w:rsidRDefault="00A417BA" w:rsidP="009A2157">
      <w:pPr>
        <w:spacing w:before="0" w:after="0"/>
      </w:pPr>
      <w:r w:rsidRPr="009A2157">
        <w:t xml:space="preserve">The introduction of unit titles in Tanzania under the Unit Titles Act (UTA) of 2008 has significantly redefined property ownership structures, particularly in urban settings. This Act enables the division of properties into individually owned units while maintaining shared ownership of common areas. However, the application of the UTA has created a complex interaction between individual ownership rights and collective responsibilities. One of the major challenges is the ambiguity surrounding the rights and obligations of co-owners. Section 28(1) of the UTA grants co-owners exclusive ownership rights to their units, including the right to transfer or lease them without needing consent from other co-owners or the association. </w:t>
      </w:r>
    </w:p>
    <w:p w:rsidR="00373E41" w:rsidRDefault="00373E41" w:rsidP="009A2157">
      <w:pPr>
        <w:spacing w:before="0" w:after="0"/>
      </w:pPr>
    </w:p>
    <w:p w:rsidR="00A417BA" w:rsidRPr="009A2157" w:rsidRDefault="00A417BA" w:rsidP="009A2157">
      <w:pPr>
        <w:spacing w:before="0" w:after="0"/>
      </w:pPr>
      <w:r w:rsidRPr="009A2157">
        <w:t>Yet, these individual rights are often at odds with collective responsibilities, such as the obligation to contribute to maintenance costs, as outlined in Section 38(2</w:t>
      </w:r>
      <w:proofErr w:type="gramStart"/>
      <w:r w:rsidRPr="009A2157">
        <w:t>)(</w:t>
      </w:r>
      <w:proofErr w:type="gramEnd"/>
      <w:r w:rsidRPr="009A2157">
        <w:t>a) and the 14th Schedule (By-Law 54) of the Unit Titles Regulations (UTR). Disputes commonly arise when co-owners fail to meet these financial obligations, undermining the effective management and upkeep of the property, and exacerbating tensions between personal ownership and communal duties. These issues highlight the delicate balance that must be struck between individual rights and shared responsibilities in multi-unit developments, creating both legal and practical challenges for the enforcement of property regulations.</w:t>
      </w:r>
    </w:p>
    <w:p w:rsidR="00373E41" w:rsidRDefault="00373E41" w:rsidP="009A2157">
      <w:pPr>
        <w:spacing w:before="0" w:after="0"/>
      </w:pPr>
    </w:p>
    <w:p w:rsidR="002A6F8E" w:rsidRPr="009A2157" w:rsidRDefault="002A6F8E" w:rsidP="009A2157">
      <w:pPr>
        <w:spacing w:before="0" w:after="0"/>
      </w:pPr>
      <w:r w:rsidRPr="009A2157">
        <w:t>Another challenge lies in the governance structures of unit title developments. Section 19 of the UTA establishes the body corporate as the management entity responsible for enforcing by-laws and overseeing common property. However, the Act does not adequately address conflicts that arise during collective decision-making, particularly when individual rights, such as those protected under Section 20(1)(e)</w:t>
      </w:r>
      <w:r w:rsidR="00B33427">
        <w:t xml:space="preserve"> </w:t>
      </w:r>
      <w:r w:rsidRPr="009A2157">
        <w:t>the right to quiet enjoyment</w:t>
      </w:r>
      <w:r w:rsidR="00B33427">
        <w:t xml:space="preserve"> </w:t>
      </w:r>
      <w:r w:rsidRPr="009A2157">
        <w:t>clash with decisions made by the body corporate. These conflicts often lead to legal disputes, especially when by-laws are inconsistently enforced or when financial accountability within the body corporate is questioned.</w:t>
      </w:r>
    </w:p>
    <w:p w:rsidR="00373E41" w:rsidRDefault="00373E41" w:rsidP="009A2157">
      <w:pPr>
        <w:spacing w:before="0" w:after="0"/>
      </w:pPr>
    </w:p>
    <w:p w:rsidR="002A6F8E" w:rsidRPr="009A2157" w:rsidRDefault="002A6F8E" w:rsidP="009A2157">
      <w:pPr>
        <w:spacing w:before="0" w:after="0"/>
      </w:pPr>
      <w:r w:rsidRPr="009A2157">
        <w:t xml:space="preserve">The regulation of incidental rights, including easements and restrictive covenants, also poses challenges. Section 21(3) of the UTA codifies easements that allow for access to essential services like water, electricity, and sewage. However, the practical application of these easements remains unclear, particularly in high-density urban </w:t>
      </w:r>
      <w:proofErr w:type="gramStart"/>
      <w:r w:rsidR="004D0534" w:rsidRPr="009A2157">
        <w:t>development’s</w:t>
      </w:r>
      <w:proofErr w:type="gramEnd"/>
      <w:r w:rsidRPr="009A2157">
        <w:t xml:space="preserve"> where competition for resources is intense. Additionally, the introduction of restrictive covenants under Sections 25 and 26 of the UTA has created tensions between individual autonomy and collective governance. For instance, while restrictive covenants aim to maintain harmony by regulating property use, they often limit individual owners’ ability to modify or utilize their units as they wish.These challenges are compounded by the lack of clear mechanisms for resolving disputes among co-owners or between co-owners and the body corporate. Although Section 47 of the UTA provides for dispute resolution, the process is often viewed as time-consuming and insufficiently detailed, leaving gaps in addressing complex issues such as financial disputes or breaches of by-laws.</w:t>
      </w:r>
    </w:p>
    <w:p w:rsidR="00373E41" w:rsidRPr="00373E41" w:rsidRDefault="00373E41" w:rsidP="009A2157">
      <w:pPr>
        <w:spacing w:before="0" w:after="0"/>
        <w:rPr>
          <w:sz w:val="18"/>
        </w:rPr>
      </w:pPr>
    </w:p>
    <w:p w:rsidR="0081155D" w:rsidRPr="009A2157" w:rsidRDefault="002A6F8E" w:rsidP="009A2157">
      <w:pPr>
        <w:spacing w:before="0" w:after="0"/>
      </w:pPr>
      <w:r w:rsidRPr="009A2157">
        <w:t>Tanzania's rapid urbanization has intensified reliance on unit title developments, making it crucial to address these legal and practical gaps. This study seeks to critically examine the provisions of the UTA and its associated regulations, identifying specific areas where clarity is lacking or where implementation has proven challenging. By assessing the interplay between individual ownership rights and collective responsibilities, the research aims to provide actionable recommendations for legal and policy reforms to enhance the effectiveness of the unit titles framework.</w:t>
      </w:r>
    </w:p>
    <w:p w:rsidR="00373E41" w:rsidRPr="00373E41" w:rsidRDefault="00373E41" w:rsidP="009A2157">
      <w:pPr>
        <w:pStyle w:val="Heading2"/>
        <w:spacing w:before="0" w:after="0"/>
        <w:rPr>
          <w:rFonts w:cs="Times New Roman"/>
          <w:sz w:val="18"/>
          <w:szCs w:val="24"/>
        </w:rPr>
      </w:pPr>
      <w:bookmarkStart w:id="68" w:name="_Toc194845374"/>
    </w:p>
    <w:p w:rsidR="00B96FC7" w:rsidRPr="00373E41" w:rsidRDefault="00783D0A" w:rsidP="009A2157">
      <w:pPr>
        <w:pStyle w:val="Heading2"/>
        <w:spacing w:before="0" w:after="0"/>
        <w:rPr>
          <w:rFonts w:cs="Times New Roman"/>
          <w:szCs w:val="24"/>
        </w:rPr>
      </w:pPr>
      <w:r w:rsidRPr="00373E41">
        <w:rPr>
          <w:rFonts w:cs="Times New Roman"/>
          <w:szCs w:val="24"/>
        </w:rPr>
        <w:t>1.4 Research Objective</w:t>
      </w:r>
      <w:bookmarkEnd w:id="68"/>
      <w:r w:rsidR="00B33427" w:rsidRPr="00373E41">
        <w:rPr>
          <w:rFonts w:cs="Times New Roman"/>
          <w:szCs w:val="24"/>
        </w:rPr>
        <w:fldChar w:fldCharType="begin"/>
      </w:r>
      <w:r w:rsidR="00B33427" w:rsidRPr="00373E41">
        <w:instrText xml:space="preserve"> TC "</w:instrText>
      </w:r>
      <w:bookmarkStart w:id="69" w:name="_Toc213301659"/>
      <w:r w:rsidR="00B33427" w:rsidRPr="00373E41">
        <w:rPr>
          <w:rFonts w:cs="Times New Roman"/>
          <w:szCs w:val="24"/>
        </w:rPr>
        <w:instrText>1.4 Research Objective</w:instrText>
      </w:r>
      <w:bookmarkEnd w:id="69"/>
      <w:r w:rsidR="00B33427" w:rsidRPr="00373E41">
        <w:instrText xml:space="preserve">" \f C \l "1" </w:instrText>
      </w:r>
      <w:r w:rsidR="00B33427" w:rsidRPr="00373E41">
        <w:rPr>
          <w:rFonts w:cs="Times New Roman"/>
          <w:szCs w:val="24"/>
        </w:rPr>
        <w:fldChar w:fldCharType="end"/>
      </w:r>
    </w:p>
    <w:p w:rsidR="00B96FC7" w:rsidRPr="009A2157" w:rsidRDefault="00783D0A" w:rsidP="009A2157">
      <w:pPr>
        <w:pStyle w:val="Heading3"/>
        <w:spacing w:before="0" w:after="0"/>
        <w:rPr>
          <w:rFonts w:cs="Times New Roman"/>
        </w:rPr>
      </w:pPr>
      <w:bookmarkStart w:id="70" w:name="_Toc194845375"/>
      <w:r w:rsidRPr="009A2157">
        <w:rPr>
          <w:rFonts w:cs="Times New Roman"/>
        </w:rPr>
        <w:t>1.4.1 General Objective</w:t>
      </w:r>
      <w:bookmarkEnd w:id="70"/>
      <w:r w:rsidR="00B33427">
        <w:rPr>
          <w:rFonts w:cs="Times New Roman"/>
        </w:rPr>
        <w:fldChar w:fldCharType="begin"/>
      </w:r>
      <w:r w:rsidR="00B33427">
        <w:instrText xml:space="preserve"> TC "</w:instrText>
      </w:r>
      <w:bookmarkStart w:id="71" w:name="_Toc213301660"/>
      <w:r w:rsidR="00B33427" w:rsidRPr="005A6C6A">
        <w:rPr>
          <w:rFonts w:cs="Times New Roman"/>
        </w:rPr>
        <w:instrText>1.4.1 General Objective</w:instrText>
      </w:r>
      <w:bookmarkEnd w:id="71"/>
      <w:r w:rsidR="00B33427">
        <w:instrText xml:space="preserve">" \f C \l "1" </w:instrText>
      </w:r>
      <w:r w:rsidR="00B33427">
        <w:rPr>
          <w:rFonts w:cs="Times New Roman"/>
        </w:rPr>
        <w:fldChar w:fldCharType="end"/>
      </w:r>
    </w:p>
    <w:p w:rsidR="003D30E2" w:rsidRPr="009A2157" w:rsidRDefault="00783D0A" w:rsidP="009A2157">
      <w:pPr>
        <w:spacing w:before="0" w:after="0"/>
        <w:rPr>
          <w:bCs/>
        </w:rPr>
      </w:pPr>
      <w:r w:rsidRPr="009A2157">
        <w:rPr>
          <w:bCs/>
        </w:rPr>
        <w:t>This work intends to assess legal implications of unit titles on land rights in Tanzania, with a focus on understanding how unit title ownership affects individual and collective property rights, land use, and property management within the framework of Tanzanian land laws</w:t>
      </w:r>
      <w:r w:rsidR="0081155D" w:rsidRPr="009A2157">
        <w:rPr>
          <w:bCs/>
        </w:rPr>
        <w:t>.</w:t>
      </w:r>
    </w:p>
    <w:p w:rsidR="00373E41" w:rsidRPr="00373E41" w:rsidRDefault="00373E41" w:rsidP="009A2157">
      <w:pPr>
        <w:pStyle w:val="Heading3"/>
        <w:spacing w:before="0" w:after="0"/>
        <w:rPr>
          <w:rFonts w:cs="Times New Roman"/>
          <w:sz w:val="18"/>
        </w:rPr>
      </w:pPr>
      <w:bookmarkStart w:id="72" w:name="_Toc194845376"/>
    </w:p>
    <w:p w:rsidR="00B96FC7" w:rsidRPr="009A2157" w:rsidRDefault="0046444B" w:rsidP="009A2157">
      <w:pPr>
        <w:pStyle w:val="Heading3"/>
        <w:spacing w:before="0" w:after="0"/>
        <w:rPr>
          <w:rFonts w:cs="Times New Roman"/>
        </w:rPr>
      </w:pPr>
      <w:r w:rsidRPr="009A2157">
        <w:rPr>
          <w:rFonts w:cs="Times New Roman"/>
        </w:rPr>
        <w:t>1.4.2</w:t>
      </w:r>
      <w:r w:rsidR="00B33427">
        <w:rPr>
          <w:rFonts w:cs="Times New Roman"/>
        </w:rPr>
        <w:t xml:space="preserve"> </w:t>
      </w:r>
      <w:r w:rsidR="00783D0A" w:rsidRPr="009A2157">
        <w:rPr>
          <w:rFonts w:cs="Times New Roman"/>
        </w:rPr>
        <w:t>Specific Objective</w:t>
      </w:r>
      <w:bookmarkEnd w:id="72"/>
      <w:r w:rsidR="00B33427">
        <w:rPr>
          <w:rFonts w:cs="Times New Roman"/>
        </w:rPr>
        <w:fldChar w:fldCharType="begin"/>
      </w:r>
      <w:r w:rsidR="00B33427">
        <w:instrText xml:space="preserve"> TC "</w:instrText>
      </w:r>
      <w:bookmarkStart w:id="73" w:name="_Toc213301661"/>
      <w:r w:rsidR="00B33427" w:rsidRPr="008D046C">
        <w:rPr>
          <w:rFonts w:cs="Times New Roman"/>
        </w:rPr>
        <w:instrText>1.4.2 Specific Objective</w:instrText>
      </w:r>
      <w:bookmarkEnd w:id="73"/>
      <w:r w:rsidR="00B33427">
        <w:instrText xml:space="preserve">" \f C \l "1" </w:instrText>
      </w:r>
      <w:r w:rsidR="00B33427">
        <w:rPr>
          <w:rFonts w:cs="Times New Roman"/>
        </w:rPr>
        <w:fldChar w:fldCharType="end"/>
      </w:r>
    </w:p>
    <w:p w:rsidR="00B96FC7" w:rsidRPr="009A2157" w:rsidRDefault="00783D0A" w:rsidP="00373E41">
      <w:pPr>
        <w:pStyle w:val="CommentText"/>
        <w:numPr>
          <w:ilvl w:val="0"/>
          <w:numId w:val="12"/>
        </w:numPr>
        <w:spacing w:before="0" w:after="0" w:line="480" w:lineRule="auto"/>
        <w:ind w:left="426" w:hanging="142"/>
        <w:rPr>
          <w:sz w:val="24"/>
          <w:szCs w:val="24"/>
        </w:rPr>
      </w:pPr>
      <w:r w:rsidRPr="009A2157">
        <w:rPr>
          <w:sz w:val="24"/>
          <w:szCs w:val="24"/>
        </w:rPr>
        <w:t>To identify the existing lega</w:t>
      </w:r>
      <w:r w:rsidR="00C03B37" w:rsidRPr="009A2157">
        <w:rPr>
          <w:sz w:val="24"/>
          <w:szCs w:val="24"/>
        </w:rPr>
        <w:t>l gaps governing unit titles on</w:t>
      </w:r>
      <w:r w:rsidRPr="009A2157">
        <w:rPr>
          <w:sz w:val="24"/>
          <w:szCs w:val="24"/>
        </w:rPr>
        <w:t xml:space="preserve"> land rights in Tanzania.</w:t>
      </w:r>
    </w:p>
    <w:p w:rsidR="00B96FC7" w:rsidRPr="009A2157" w:rsidRDefault="00783D0A" w:rsidP="00373E41">
      <w:pPr>
        <w:pStyle w:val="CommentText"/>
        <w:numPr>
          <w:ilvl w:val="0"/>
          <w:numId w:val="12"/>
        </w:numPr>
        <w:spacing w:before="0" w:after="0" w:line="480" w:lineRule="auto"/>
        <w:ind w:left="426" w:hanging="142"/>
        <w:rPr>
          <w:sz w:val="24"/>
          <w:szCs w:val="24"/>
        </w:rPr>
      </w:pPr>
      <w:r w:rsidRPr="009A2157">
        <w:rPr>
          <w:sz w:val="24"/>
          <w:szCs w:val="24"/>
        </w:rPr>
        <w:t>To evaluate the impact of unit titles on individual property rights.</w:t>
      </w:r>
    </w:p>
    <w:p w:rsidR="00344CA4" w:rsidRPr="009A2157" w:rsidRDefault="00783D0A" w:rsidP="00373E41">
      <w:pPr>
        <w:pStyle w:val="CommentText"/>
        <w:numPr>
          <w:ilvl w:val="0"/>
          <w:numId w:val="12"/>
        </w:numPr>
        <w:spacing w:before="0" w:after="0" w:line="480" w:lineRule="auto"/>
        <w:ind w:left="426" w:hanging="142"/>
        <w:rPr>
          <w:sz w:val="24"/>
          <w:szCs w:val="24"/>
        </w:rPr>
      </w:pPr>
      <w:r w:rsidRPr="009A2157">
        <w:rPr>
          <w:sz w:val="24"/>
          <w:szCs w:val="24"/>
        </w:rPr>
        <w:t>To compare the Tanzanian legal framework on unit titles with international best practices</w:t>
      </w:r>
      <w:r w:rsidR="00F86EB1" w:rsidRPr="009A2157">
        <w:rPr>
          <w:sz w:val="24"/>
          <w:szCs w:val="24"/>
        </w:rPr>
        <w:t>.</w:t>
      </w:r>
    </w:p>
    <w:p w:rsidR="00373E41" w:rsidRDefault="00373E41" w:rsidP="009A2157">
      <w:pPr>
        <w:pStyle w:val="Heading2"/>
        <w:spacing w:before="0" w:after="0"/>
        <w:rPr>
          <w:rFonts w:cs="Times New Roman"/>
          <w:szCs w:val="24"/>
        </w:rPr>
      </w:pPr>
      <w:bookmarkStart w:id="74" w:name="_Toc194845377"/>
    </w:p>
    <w:p w:rsidR="00B96FC7" w:rsidRPr="009A2157" w:rsidRDefault="00B33427" w:rsidP="009A2157">
      <w:pPr>
        <w:pStyle w:val="Heading2"/>
        <w:spacing w:before="0" w:after="0"/>
        <w:rPr>
          <w:rFonts w:cs="Times New Roman"/>
          <w:szCs w:val="24"/>
        </w:rPr>
      </w:pPr>
      <w:r w:rsidRPr="009A2157">
        <w:rPr>
          <w:rFonts w:cs="Times New Roman"/>
          <w:szCs w:val="24"/>
        </w:rPr>
        <w:t xml:space="preserve">1.5 </w:t>
      </w:r>
      <w:r w:rsidR="00783D0A" w:rsidRPr="009A2157">
        <w:rPr>
          <w:rFonts w:cs="Times New Roman"/>
          <w:szCs w:val="24"/>
        </w:rPr>
        <w:t xml:space="preserve">Research </w:t>
      </w:r>
      <w:r w:rsidRPr="009A2157">
        <w:rPr>
          <w:rFonts w:cs="Times New Roman"/>
          <w:szCs w:val="24"/>
        </w:rPr>
        <w:t>Question</w:t>
      </w:r>
      <w:bookmarkEnd w:id="74"/>
      <w:r>
        <w:rPr>
          <w:rFonts w:cs="Times New Roman"/>
          <w:szCs w:val="24"/>
        </w:rPr>
        <w:fldChar w:fldCharType="begin"/>
      </w:r>
      <w:r>
        <w:instrText xml:space="preserve"> TC "</w:instrText>
      </w:r>
      <w:bookmarkStart w:id="75" w:name="_Toc213301662"/>
      <w:r w:rsidRPr="003E6D78">
        <w:rPr>
          <w:rFonts w:cs="Times New Roman"/>
          <w:szCs w:val="24"/>
        </w:rPr>
        <w:instrText>1.5 Research Question</w:instrText>
      </w:r>
      <w:bookmarkEnd w:id="75"/>
      <w:r>
        <w:instrText xml:space="preserve">" \f C \l "1" </w:instrText>
      </w:r>
      <w:r>
        <w:rPr>
          <w:rFonts w:cs="Times New Roman"/>
          <w:szCs w:val="24"/>
        </w:rPr>
        <w:fldChar w:fldCharType="end"/>
      </w:r>
    </w:p>
    <w:p w:rsidR="0034502F" w:rsidRPr="009A2157" w:rsidRDefault="0034502F" w:rsidP="00373E41">
      <w:pPr>
        <w:pStyle w:val="ListParagraph"/>
        <w:numPr>
          <w:ilvl w:val="0"/>
          <w:numId w:val="14"/>
        </w:numPr>
        <w:spacing w:before="0" w:after="0"/>
        <w:ind w:left="426" w:hanging="142"/>
      </w:pPr>
      <w:r w:rsidRPr="009A2157">
        <w:rPr>
          <w:bCs/>
        </w:rPr>
        <w:t>What are the existing legal gaps in t</w:t>
      </w:r>
      <w:r w:rsidR="000864A3" w:rsidRPr="009A2157">
        <w:rPr>
          <w:bCs/>
        </w:rPr>
        <w:t>he regulation of unit titles on</w:t>
      </w:r>
      <w:r w:rsidRPr="009A2157">
        <w:rPr>
          <w:bCs/>
        </w:rPr>
        <w:t xml:space="preserve"> land rights in Tanzania?</w:t>
      </w:r>
    </w:p>
    <w:p w:rsidR="0034502F" w:rsidRPr="009A2157" w:rsidRDefault="0034502F" w:rsidP="00373E41">
      <w:pPr>
        <w:pStyle w:val="ListParagraph"/>
        <w:numPr>
          <w:ilvl w:val="0"/>
          <w:numId w:val="14"/>
        </w:numPr>
        <w:spacing w:before="0" w:after="0"/>
        <w:ind w:left="426" w:hanging="142"/>
      </w:pPr>
      <w:r w:rsidRPr="009A2157">
        <w:rPr>
          <w:bCs/>
        </w:rPr>
        <w:t>How do unit titles affect individual property rights in Tanzania?</w:t>
      </w:r>
    </w:p>
    <w:p w:rsidR="00A83EF7" w:rsidRPr="009A2157" w:rsidRDefault="00A83EF7" w:rsidP="00373E41">
      <w:pPr>
        <w:pStyle w:val="ListParagraph"/>
        <w:numPr>
          <w:ilvl w:val="0"/>
          <w:numId w:val="14"/>
        </w:numPr>
        <w:spacing w:before="0" w:after="0"/>
        <w:ind w:left="426" w:hanging="142"/>
      </w:pPr>
      <w:r w:rsidRPr="009A2157">
        <w:t>In what ways does the Tanzanian legal framework on unit titles differ from or align with international best practices?</w:t>
      </w:r>
    </w:p>
    <w:p w:rsidR="0081155D" w:rsidRPr="009A2157" w:rsidRDefault="0081155D" w:rsidP="00373E41">
      <w:pPr>
        <w:spacing w:before="0" w:after="0"/>
      </w:pPr>
    </w:p>
    <w:p w:rsidR="00B96FC7" w:rsidRPr="009A2157" w:rsidRDefault="0046444B" w:rsidP="009A2157">
      <w:pPr>
        <w:pStyle w:val="Heading2"/>
        <w:spacing w:before="0" w:after="0"/>
        <w:rPr>
          <w:rFonts w:cs="Times New Roman"/>
          <w:szCs w:val="24"/>
        </w:rPr>
      </w:pPr>
      <w:bookmarkStart w:id="76" w:name="_Toc194845378"/>
      <w:r w:rsidRPr="009A2157">
        <w:rPr>
          <w:rFonts w:cs="Times New Roman"/>
          <w:szCs w:val="24"/>
        </w:rPr>
        <w:t>1.6</w:t>
      </w:r>
      <w:r w:rsidR="00B33427">
        <w:rPr>
          <w:rFonts w:cs="Times New Roman"/>
          <w:szCs w:val="24"/>
        </w:rPr>
        <w:t xml:space="preserve"> </w:t>
      </w:r>
      <w:r w:rsidR="00783D0A" w:rsidRPr="009A2157">
        <w:rPr>
          <w:rFonts w:cs="Times New Roman"/>
          <w:szCs w:val="24"/>
        </w:rPr>
        <w:t>Literature Review</w:t>
      </w:r>
      <w:bookmarkEnd w:id="76"/>
      <w:r w:rsidR="00B33427">
        <w:rPr>
          <w:rFonts w:cs="Times New Roman"/>
          <w:szCs w:val="24"/>
        </w:rPr>
        <w:fldChar w:fldCharType="begin"/>
      </w:r>
      <w:r w:rsidR="00B33427">
        <w:instrText xml:space="preserve"> TC "</w:instrText>
      </w:r>
      <w:bookmarkStart w:id="77" w:name="_Toc213301663"/>
      <w:r w:rsidR="00B33427" w:rsidRPr="005E68E2">
        <w:rPr>
          <w:rFonts w:cs="Times New Roman"/>
          <w:szCs w:val="24"/>
        </w:rPr>
        <w:instrText>1.6 Literature Review</w:instrText>
      </w:r>
      <w:bookmarkEnd w:id="77"/>
      <w:r w:rsidR="00B33427">
        <w:instrText xml:space="preserve">" \f C \l "1" </w:instrText>
      </w:r>
      <w:r w:rsidR="00B33427">
        <w:rPr>
          <w:rFonts w:cs="Times New Roman"/>
          <w:szCs w:val="24"/>
        </w:rPr>
        <w:fldChar w:fldCharType="end"/>
      </w:r>
    </w:p>
    <w:p w:rsidR="004D0534" w:rsidRPr="009A2157" w:rsidRDefault="00783D0A" w:rsidP="009A2157">
      <w:pPr>
        <w:spacing w:before="0" w:after="0"/>
        <w:rPr>
          <w:bCs/>
          <w:color w:val="000000" w:themeColor="text1"/>
        </w:rPr>
      </w:pPr>
      <w:r w:rsidRPr="009A2157">
        <w:rPr>
          <w:bCs/>
          <w:color w:val="000000" w:themeColor="text1"/>
        </w:rPr>
        <w:t>Cohen-Rimer and Stern</w:t>
      </w:r>
      <w:r w:rsidRPr="009A2157">
        <w:rPr>
          <w:rStyle w:val="FootnoteReference"/>
          <w:bCs/>
          <w:color w:val="000000" w:themeColor="text1"/>
        </w:rPr>
        <w:footnoteReference w:id="14"/>
      </w:r>
      <w:r w:rsidRPr="009A2157">
        <w:rPr>
          <w:bCs/>
          <w:color w:val="000000" w:themeColor="text1"/>
        </w:rPr>
        <w:t xml:space="preserve"> discussed the intricate dynamics of property rights in the context of welfare, particularly within condominium arrangements. The authors highlighted how the concept of "unbundling" property rights can lead to more equitable and efficient management of shared spaces in condominium settings. By dissecting the traditional notion of the "bundle of rights," they illustrated how individual ownership and communal responsibilities could be balanced to improve welfare outcomes. The study emphasized that this unbundling allows for more tailored approaches to property management, aligning the interests of individual unit owners with those of the collective community. The authors concluded that the bundle of rights in condominium settings, when effectively unbundled, leads to enhanced property management and improved legal clarity. They argued that this approach not only benefits individual property owners by providing clear documentation of their rights and responsibilities but also enhances the overall welfare of the community by promoting more efficient and cooperative management of common areas.</w:t>
      </w:r>
    </w:p>
    <w:p w:rsidR="00373E41" w:rsidRDefault="00373E41" w:rsidP="009A2157">
      <w:pPr>
        <w:spacing w:before="0" w:after="0"/>
        <w:rPr>
          <w:bCs/>
          <w:color w:val="000000" w:themeColor="text1"/>
        </w:rPr>
      </w:pPr>
    </w:p>
    <w:p w:rsidR="00B96FC7" w:rsidRPr="009A2157" w:rsidRDefault="00783D0A" w:rsidP="009A2157">
      <w:pPr>
        <w:spacing w:before="0" w:after="0"/>
        <w:rPr>
          <w:bCs/>
          <w:color w:val="000000" w:themeColor="text1"/>
        </w:rPr>
      </w:pPr>
      <w:r w:rsidRPr="009A2157">
        <w:rPr>
          <w:bCs/>
          <w:color w:val="000000" w:themeColor="text1"/>
        </w:rPr>
        <w:t>Harris and Patterson</w:t>
      </w:r>
      <w:proofErr w:type="gramStart"/>
      <w:r w:rsidRPr="009A2157">
        <w:rPr>
          <w:bCs/>
          <w:color w:val="000000" w:themeColor="text1"/>
        </w:rPr>
        <w:t>,</w:t>
      </w:r>
      <w:proofErr w:type="gramEnd"/>
      <w:r w:rsidRPr="009A2157">
        <w:rPr>
          <w:rStyle w:val="FootnoteReference"/>
          <w:bCs/>
          <w:color w:val="000000" w:themeColor="text1"/>
        </w:rPr>
        <w:footnoteReference w:id="15"/>
      </w:r>
      <w:r w:rsidRPr="009A2157">
        <w:rPr>
          <w:bCs/>
          <w:color w:val="000000" w:themeColor="text1"/>
        </w:rPr>
        <w:t>examined the challenges associated with condominium ownership within the framework of private local government in British Columbia. They discussed how the sprawl of ownership within these private local governments presents unique challenges, particularly in terms of governance and collective decision making. One major challenge highlighted by the authors is the potential for conflicts between individual unit owners and the condominium board or homeowners' association, which often leads to disputes over maintenance, management, and the allocation of shared resources. The complexity of these governance structures can sometimes result in inefficiencies and a lack of clarity in decision-making processes.</w:t>
      </w:r>
    </w:p>
    <w:p w:rsidR="00373E41" w:rsidRDefault="00373E41" w:rsidP="009A2157">
      <w:pPr>
        <w:spacing w:before="0" w:after="0"/>
        <w:rPr>
          <w:bCs/>
          <w:color w:val="000000" w:themeColor="text1"/>
        </w:rPr>
      </w:pPr>
    </w:p>
    <w:p w:rsidR="00B96FC7" w:rsidRPr="009A2157" w:rsidRDefault="00783D0A" w:rsidP="009A2157">
      <w:pPr>
        <w:spacing w:before="0" w:after="0"/>
        <w:rPr>
          <w:bCs/>
          <w:color w:val="000000" w:themeColor="text1"/>
        </w:rPr>
      </w:pPr>
      <w:r w:rsidRPr="009A2157">
        <w:rPr>
          <w:bCs/>
          <w:color w:val="000000" w:themeColor="text1"/>
        </w:rPr>
        <w:t>The authors further noted that another significant challenge for condominiums is ensuring equitable participation among unit owners in the governance process. In many cases, the concentration of decision-making power in a small group of board members can lead to a lack of representation and inclusivity, causing discontent among the broader community of unit owners. The authors concluded that addressing these challenges requires a careful balance of individual property rights and collective responsibilities, alongside the implementation of more transparent and democratic governance practices.</w:t>
      </w:r>
    </w:p>
    <w:p w:rsidR="00373E41" w:rsidRDefault="00373E41" w:rsidP="009A2157">
      <w:pPr>
        <w:spacing w:before="0" w:after="0"/>
        <w:rPr>
          <w:bCs/>
          <w:color w:val="000000" w:themeColor="text1"/>
        </w:rPr>
      </w:pPr>
    </w:p>
    <w:p w:rsidR="00B96FC7" w:rsidRPr="009A2157" w:rsidRDefault="00783D0A" w:rsidP="009A2157">
      <w:pPr>
        <w:spacing w:before="0" w:after="0"/>
        <w:rPr>
          <w:bCs/>
          <w:color w:val="000000" w:themeColor="text1"/>
        </w:rPr>
      </w:pPr>
      <w:r w:rsidRPr="009A2157">
        <w:rPr>
          <w:bCs/>
          <w:color w:val="000000" w:themeColor="text1"/>
        </w:rPr>
        <w:t>Bonanno</w:t>
      </w:r>
      <w:r w:rsidRPr="009A2157">
        <w:rPr>
          <w:rStyle w:val="FootnoteReference"/>
          <w:bCs/>
          <w:color w:val="000000" w:themeColor="text1"/>
        </w:rPr>
        <w:footnoteReference w:id="16"/>
      </w:r>
      <w:r w:rsidRPr="009A2157">
        <w:rPr>
          <w:bCs/>
          <w:color w:val="000000" w:themeColor="text1"/>
        </w:rPr>
        <w:t xml:space="preserve"> explored land tenure systems and the concept of the "bundle of rights" in West Africa and agrarian Sierra Leone, focusing on their impact on well-being. The dissertation highlighted the complexities of land tenure in these regions, where traditional and formal systems coexist and often conflict. The author emphasized that the "bundle of rights" in these contexts is not static but rather fluid, influenced by social, economic, and political factors. This fluidity affects how land rights are perceived and exercised, impacting overall well-bein</w:t>
      </w:r>
      <w:r w:rsidR="00373E41">
        <w:rPr>
          <w:bCs/>
          <w:color w:val="000000" w:themeColor="text1"/>
        </w:rPr>
        <w:t xml:space="preserve">g and security for landholders. </w:t>
      </w:r>
      <w:r w:rsidRPr="009A2157">
        <w:rPr>
          <w:bCs/>
          <w:color w:val="000000" w:themeColor="text1"/>
        </w:rPr>
        <w:t xml:space="preserve">The author concluded that in agrarian societies like Sierra Leone, the bundle of rights encompasses a range of entitlements and responsibilities that are crucial for sustaining livelihoods. These rights include access to land, the ability to use land for farming, and the security of tenure. The author argued that strengthening these rights through clearer legal frameworks and better enforcement mechanisms could enhance well-being and economic stability. </w:t>
      </w:r>
    </w:p>
    <w:p w:rsidR="00373E41" w:rsidRDefault="00373E41" w:rsidP="009A2157">
      <w:pPr>
        <w:spacing w:before="0" w:after="0"/>
        <w:rPr>
          <w:bCs/>
          <w:color w:val="000000" w:themeColor="text1"/>
        </w:rPr>
      </w:pPr>
    </w:p>
    <w:p w:rsidR="00B96FC7" w:rsidRDefault="00783D0A" w:rsidP="009A2157">
      <w:pPr>
        <w:spacing w:before="0" w:after="0"/>
        <w:rPr>
          <w:bCs/>
          <w:color w:val="000000" w:themeColor="text1"/>
        </w:rPr>
      </w:pPr>
      <w:r w:rsidRPr="009A2157">
        <w:rPr>
          <w:bCs/>
          <w:color w:val="000000" w:themeColor="text1"/>
        </w:rPr>
        <w:t>Hassan and Klaus</w:t>
      </w:r>
      <w:r w:rsidRPr="009A2157">
        <w:rPr>
          <w:rStyle w:val="FootnoteReference"/>
          <w:bCs/>
          <w:color w:val="000000" w:themeColor="text1"/>
        </w:rPr>
        <w:footnoteReference w:id="17"/>
      </w:r>
      <w:r w:rsidRPr="009A2157">
        <w:rPr>
          <w:bCs/>
          <w:color w:val="000000" w:themeColor="text1"/>
        </w:rPr>
        <w:t xml:space="preserve"> investigated the politics of property rights in Kenya, focusing on the evolving landscape of land ownership and its implications for urban development. The authors discussed how these arrangements, while providing a solution to housing shortages, face significant challenges that impact their effectiveness and sustainability. One major challenge identified is the governance of condominiums. In Kenya, the management of these properties often suffers from weak regulatory frameworks and poor enforcement of existing laws. This leads to issues such as inadequate maintenance of common areas and conflicts among unit owners over shared responsibilities. Additionally, the study noted the difficulties in establishing clear and enforceable rules for the management bodies, which can result in mismanagement and financial instability. Another challenge is the lack of transparency and accountability in the allocation and sale of condominium units, which can lead to disputes and undermine trust among stakeholders.</w:t>
      </w:r>
    </w:p>
    <w:p w:rsidR="00373E41" w:rsidRPr="009A2157" w:rsidRDefault="00373E41" w:rsidP="009A2157">
      <w:pPr>
        <w:spacing w:before="0" w:after="0"/>
        <w:rPr>
          <w:bCs/>
          <w:color w:val="000000" w:themeColor="text1"/>
        </w:rPr>
      </w:pPr>
    </w:p>
    <w:p w:rsidR="00B96FC7" w:rsidRPr="009A2157" w:rsidRDefault="00783D0A" w:rsidP="009A2157">
      <w:pPr>
        <w:spacing w:before="0" w:after="0"/>
      </w:pPr>
      <w:r w:rsidRPr="009A2157">
        <w:rPr>
          <w:color w:val="000000" w:themeColor="text1"/>
        </w:rPr>
        <w:t>Azaki</w:t>
      </w:r>
      <w:r w:rsidRPr="009A2157">
        <w:rPr>
          <w:rStyle w:val="FootnoteReference"/>
          <w:color w:val="000000" w:themeColor="text1"/>
        </w:rPr>
        <w:footnoteReference w:id="18"/>
      </w:r>
      <w:r w:rsidRPr="009A2157">
        <w:rPr>
          <w:color w:val="000000" w:themeColor="text1"/>
        </w:rPr>
        <w:t xml:space="preserve"> identified that the legal framework in Zambia poses a significant challenge to the effective use of unit titles. The author highlights complexities and ambiguities within specific legal provisions, which argues contribute to obstacles such as a lack of clarity in property rights, challenges in dispute resolution, and difficulties in ensuring compliance. The author's findings underscore the presence of ambiguity within legal provisions, leading to difficulties in defining property rights, potential disputes among property owners, and operational challenges in managing unit title properties. This ambiguity not only gives rise to disputes but also introduces </w:t>
      </w:r>
      <w:r w:rsidRPr="009A2157">
        <w:t>operational challenges that impede the seamless functioning of the unit title system in Zambia. The author emphasizes that a clearer and more robust legal framework is essential for the successful implementation of unit titles in the country.</w:t>
      </w:r>
    </w:p>
    <w:p w:rsidR="00373E41" w:rsidRPr="00373E41" w:rsidRDefault="00373E41" w:rsidP="009A2157">
      <w:pPr>
        <w:spacing w:before="0" w:after="0"/>
        <w:rPr>
          <w:sz w:val="22"/>
        </w:rPr>
      </w:pPr>
    </w:p>
    <w:p w:rsidR="00B96FC7" w:rsidRPr="009A2157" w:rsidRDefault="00783D0A" w:rsidP="009A2157">
      <w:pPr>
        <w:spacing w:before="0" w:after="0"/>
      </w:pPr>
      <w:r w:rsidRPr="009A2157">
        <w:t>Robinson</w:t>
      </w:r>
      <w:r w:rsidRPr="009A2157">
        <w:rPr>
          <w:rStyle w:val="FootnoteReference"/>
        </w:rPr>
        <w:footnoteReference w:id="19"/>
      </w:r>
      <w:r w:rsidRPr="009A2157">
        <w:t xml:space="preserve">examined the legal challenges surrounding community consensus in obtaining unit titles. The author aims to uncover the complexities arising from divergent interests within property communities during the unit title acquisition process. Findings reveal that obtaining community consensus for unit titles often becomes a stumbling block. Conflicting opinions on property usage, maintenance responsibilities, and resource allocation can lead to prolonged negotiations and legal disputes. </w:t>
      </w:r>
    </w:p>
    <w:p w:rsidR="00373E41" w:rsidRPr="00373E41" w:rsidRDefault="00373E41" w:rsidP="009A2157">
      <w:pPr>
        <w:spacing w:before="0" w:after="0"/>
        <w:rPr>
          <w:sz w:val="22"/>
        </w:rPr>
      </w:pPr>
    </w:p>
    <w:p w:rsidR="00B96FC7" w:rsidRPr="009A2157" w:rsidRDefault="00783D0A" w:rsidP="009A2157">
      <w:pPr>
        <w:spacing w:before="0" w:after="0"/>
      </w:pPr>
      <w:r w:rsidRPr="009A2157">
        <w:t>The author discusses specific cases where a lack of clear guidelines has led to delays, adding layers of complexity to an already intricate process. The implications are profound as strained community relations can jeopardize the effectiveness of unit titles in fostering shared property management. The findings emphasize the importance of clear legal procedures frameworks to mitigate long processes. Without addressing these legal challenges may persist, hindering the overall success of shared property ownership structures.</w:t>
      </w:r>
    </w:p>
    <w:p w:rsidR="00373E41" w:rsidRPr="00373E41" w:rsidRDefault="00373E41" w:rsidP="009A2157">
      <w:pPr>
        <w:spacing w:before="0" w:after="0"/>
        <w:rPr>
          <w:sz w:val="20"/>
        </w:rPr>
      </w:pPr>
    </w:p>
    <w:p w:rsidR="00B96FC7" w:rsidRPr="009A2157" w:rsidRDefault="00783D0A" w:rsidP="009A2157">
      <w:pPr>
        <w:spacing w:before="0" w:after="0"/>
      </w:pPr>
      <w:r w:rsidRPr="009A2157">
        <w:t>Taylor</w:t>
      </w:r>
      <w:r w:rsidRPr="009A2157">
        <w:rPr>
          <w:rStyle w:val="FootnoteReference"/>
        </w:rPr>
        <w:footnoteReference w:id="20"/>
      </w:r>
      <w:r w:rsidRPr="009A2157">
        <w:t xml:space="preserve">investigates the institutional challenges that act as barriers to the effective implementation of unit titles in Ghana. The study sheds light on the nuanced nature of these challenges, providing insights into their implications for property owners and proposing potential solutions. Findings reveal a significant institutional bottleneck hindering the effective implementation of unit titles. Complex regulatory frameworks, bureaucratic processes, and inadequate support mechanisms emerge as formidable challenges. The author discusses cases where the lack of institutional agility and responsiveness has led to delays, cost overruns, and frustration among property owners. </w:t>
      </w:r>
    </w:p>
    <w:p w:rsidR="00373E41" w:rsidRDefault="00373E41" w:rsidP="009A2157">
      <w:pPr>
        <w:spacing w:before="0" w:after="0"/>
      </w:pPr>
    </w:p>
    <w:p w:rsidR="00B96FC7" w:rsidRDefault="00783D0A" w:rsidP="009A2157">
      <w:pPr>
        <w:spacing w:before="0" w:after="0"/>
      </w:pPr>
      <w:r w:rsidRPr="009A2157">
        <w:t>The implications are profound, as institutional challenges can undermine the very essence of the unit title, preventing its widespread adoption. The study advocates for institutional reforms to enhance the adaptability and efficiency of frameworks governing unit titles. The author emphasizes the need for streamlined procedures, improved communication channels, and enhanced institutional support to overcome the existing challenges. Without addressing these institutional bottlenecks, the broader success of unit titles may remain elusive, limiting their potential benefits for property communities.</w:t>
      </w:r>
    </w:p>
    <w:p w:rsidR="00373E41" w:rsidRPr="009A2157" w:rsidRDefault="00373E41" w:rsidP="009A2157">
      <w:pPr>
        <w:spacing w:before="0" w:after="0"/>
      </w:pPr>
    </w:p>
    <w:p w:rsidR="00B96FC7" w:rsidRDefault="00783D0A" w:rsidP="009A2157">
      <w:pPr>
        <w:spacing w:before="0" w:after="0"/>
      </w:pPr>
      <w:r w:rsidRPr="009A2157">
        <w:t>Tenga and Mramba</w:t>
      </w:r>
      <w:r w:rsidRPr="009A2157">
        <w:rPr>
          <w:rStyle w:val="FootnoteReference"/>
        </w:rPr>
        <w:footnoteReference w:id="21"/>
      </w:r>
      <w:r w:rsidRPr="009A2157">
        <w:t xml:space="preserve"> delve into a comprehensive examination of the Unit Titles Act, analyzing its background, potential benefits, and the enforcement challenges it presents. The enactment of the Unit Titles Act was driven by a multifaceted aim, including the mitigation of issues prevalent in urban housing. Central to its provisions is the division of properties into units, facilitating shared ownership of common areas, facilities, and services, thereby distributing costs among occupants, which could potentially lead to cost savings. The article scrutinizes the diverse modes of disposition available for individuals to acquire or transfer unit properties in Tanzania. These modes encompass sales, leases, and mortgages. However, the analysis highlights persistent challenges that hinder the effective implementation of these dispositions under the Act. Consequently, there emerges a pressing need for a robust legal and institutional framework to enable the Act to achieve its desired outcomes.</w:t>
      </w:r>
    </w:p>
    <w:p w:rsidR="00373E41" w:rsidRPr="009A2157" w:rsidRDefault="00373E41" w:rsidP="009A2157">
      <w:pPr>
        <w:spacing w:before="0" w:after="0"/>
      </w:pPr>
    </w:p>
    <w:p w:rsidR="00B96FC7" w:rsidRDefault="00783D0A" w:rsidP="009A2157">
      <w:pPr>
        <w:spacing w:before="0" w:after="0"/>
      </w:pPr>
      <w:r w:rsidRPr="009A2157">
        <w:t>Victory Attorneys</w:t>
      </w:r>
      <w:r w:rsidRPr="009A2157">
        <w:rPr>
          <w:rStyle w:val="FootnoteReference"/>
        </w:rPr>
        <w:footnoteReference w:id="22"/>
      </w:r>
      <w:r w:rsidRPr="009A2157">
        <w:t>examined the registration procedure for unit titles, shedding light on crucial aspects of compliance and governance within the realm of property ownership. The article revealed a structured process mandated by law, emphasizing the pivotal role played by associations in managing common properties and ensuring regulatory adherence. According to the findings, the Unit Titles Act mandates unit owners to register an association when there are five or more owners. Conversely, in cases where there are fewer than five owners, registration of by-laws is required, as stipulated by Section 35(3) and (4) of the Act. Upon registration, the association assumes the status of a body corporate, endowed with perpetual succession, a common seal, and the capacity to institute legal proceedings, in accordance with Section 36 of the Act. Notably, the Act accommodates existing buildings facing challenges in common property management, allowing them to apply for unit registration and subsequent association formation. Additionally, acquisition of a unit property automatically confers membership to the association upon the individual.</w:t>
      </w:r>
    </w:p>
    <w:p w:rsidR="00373E41" w:rsidRPr="009A2157" w:rsidRDefault="00373E41" w:rsidP="009A2157">
      <w:pPr>
        <w:spacing w:before="0" w:after="0"/>
      </w:pPr>
    </w:p>
    <w:p w:rsidR="00B96FC7" w:rsidRDefault="00783D0A" w:rsidP="009A2157">
      <w:pPr>
        <w:spacing w:before="0" w:after="0"/>
      </w:pPr>
      <w:r w:rsidRPr="009A2157">
        <w:t>The article emphasized the pivotal role of the Association in enforcing by-laws governing the utilization of common property and units, as outlined in Sections 40(2) and 50 of the Act. Noteworthy provisions permit the Association to invest, establish funds such as sinking funds or capital reserve management funds, and organize annual general meetings along with forming committees. Furthermore, the law grants the Association the authority to petition the court for the termination of unit status, leading to the dissolution of the association and the disposal of its assets. The enactment of the Unit Titles Act has formalized and legitimized horizontal land ownership in Tanzania, making unit properties increasingly appealing to buyers and developers alike. In the context of rapid urbanization, unit properties hold significant promise, offering a compelling investment opportunity amidst evolving cityscapes.</w:t>
      </w:r>
    </w:p>
    <w:p w:rsidR="00373E41" w:rsidRPr="009A2157" w:rsidRDefault="00373E41" w:rsidP="009A2157">
      <w:pPr>
        <w:spacing w:before="0" w:after="0"/>
      </w:pPr>
    </w:p>
    <w:p w:rsidR="00B96FC7" w:rsidRDefault="00783D0A" w:rsidP="009A2157">
      <w:pPr>
        <w:spacing w:before="0" w:after="0"/>
      </w:pPr>
      <w:r w:rsidRPr="009A2157">
        <w:t>Based on the literature review provided, a notable research gap emerges regarding the practical legal implications of unit titles on land rights in Tanzania, particularly in terms of the effectiveness of current legal frameworks and institutional structures in managing unit properties. Existing studies primarily discuss challenges such as governance issues, regulatory complexities, and the lack of clarity in property rights. However, there is a need for a focused analysis on how these legal provisions impact the actual exercise and protection of land rights by individual owners within unit title properties in Tanzania. This study aims to fill this gap by conducting a comprehensive analysis that not only identifies these challenges but also proposes practical solutions to enhance the legal clarity and effectiveness of unit titles in safeguarding land rights and promoting equitable property management practices within the Tanzanian context.</w:t>
      </w:r>
    </w:p>
    <w:p w:rsidR="00373E41" w:rsidRPr="009A2157" w:rsidRDefault="00373E41" w:rsidP="009A2157">
      <w:pPr>
        <w:spacing w:before="0" w:after="0"/>
      </w:pPr>
    </w:p>
    <w:p w:rsidR="00B96FC7" w:rsidRPr="009A2157" w:rsidRDefault="00783D0A" w:rsidP="009A2157">
      <w:pPr>
        <w:pStyle w:val="Heading2"/>
        <w:spacing w:before="0" w:after="0"/>
        <w:rPr>
          <w:rFonts w:cs="Times New Roman"/>
          <w:szCs w:val="24"/>
        </w:rPr>
      </w:pPr>
      <w:bookmarkStart w:id="78" w:name="_Toc194845379"/>
      <w:r w:rsidRPr="009A2157">
        <w:rPr>
          <w:rFonts w:cs="Times New Roman"/>
          <w:szCs w:val="24"/>
        </w:rPr>
        <w:t>1.</w:t>
      </w:r>
      <w:r w:rsidR="0046444B" w:rsidRPr="009A2157">
        <w:rPr>
          <w:rFonts w:cs="Times New Roman"/>
          <w:szCs w:val="24"/>
        </w:rPr>
        <w:t>7</w:t>
      </w:r>
      <w:r w:rsidR="00B33427">
        <w:rPr>
          <w:rFonts w:cs="Times New Roman"/>
          <w:szCs w:val="24"/>
        </w:rPr>
        <w:t xml:space="preserve"> </w:t>
      </w:r>
      <w:r w:rsidRPr="009A2157">
        <w:rPr>
          <w:rFonts w:cs="Times New Roman"/>
          <w:szCs w:val="24"/>
        </w:rPr>
        <w:t>Research Methodology</w:t>
      </w:r>
      <w:bookmarkEnd w:id="78"/>
      <w:r w:rsidR="00B33427">
        <w:rPr>
          <w:rFonts w:cs="Times New Roman"/>
          <w:szCs w:val="24"/>
        </w:rPr>
        <w:fldChar w:fldCharType="begin"/>
      </w:r>
      <w:r w:rsidR="00B33427">
        <w:instrText xml:space="preserve"> TC "</w:instrText>
      </w:r>
      <w:bookmarkStart w:id="79" w:name="_Toc213301664"/>
      <w:r w:rsidR="00B33427" w:rsidRPr="00644E5A">
        <w:rPr>
          <w:rFonts w:cs="Times New Roman"/>
          <w:szCs w:val="24"/>
        </w:rPr>
        <w:instrText>1.7 Research Methodology</w:instrText>
      </w:r>
      <w:bookmarkEnd w:id="79"/>
      <w:r w:rsidR="00B33427">
        <w:instrText xml:space="preserve">" \f C \l "1" </w:instrText>
      </w:r>
      <w:r w:rsidR="00B33427">
        <w:rPr>
          <w:rFonts w:cs="Times New Roman"/>
          <w:szCs w:val="24"/>
        </w:rPr>
        <w:fldChar w:fldCharType="end"/>
      </w:r>
    </w:p>
    <w:p w:rsidR="005B2F9B" w:rsidRPr="009A2157" w:rsidRDefault="005B2F9B" w:rsidP="009A2157">
      <w:pPr>
        <w:spacing w:before="0" w:after="0"/>
      </w:pPr>
      <w:r w:rsidRPr="009A2157">
        <w:t xml:space="preserve">This research employed two principal legal research methodologies: the </w:t>
      </w:r>
      <w:r w:rsidRPr="009A2157">
        <w:rPr>
          <w:bCs/>
        </w:rPr>
        <w:t>doctrinal</w:t>
      </w:r>
      <w:r w:rsidRPr="009A2157">
        <w:t xml:space="preserve"> and </w:t>
      </w:r>
      <w:r w:rsidRPr="009A2157">
        <w:rPr>
          <w:bCs/>
        </w:rPr>
        <w:t>comparative</w:t>
      </w:r>
      <w:r w:rsidRPr="009A2157">
        <w:t xml:space="preserve"> legal research methods. These approaches were selected due to their relevance and suitability in examining legal texts, interpreting statutory provisions, and analyzing judicial decisions in the context of unit titles and land rights in Tanzania.</w:t>
      </w:r>
    </w:p>
    <w:p w:rsidR="005B2F9B" w:rsidRPr="009A2157" w:rsidRDefault="005B2F9B" w:rsidP="009A2157">
      <w:pPr>
        <w:spacing w:before="0" w:after="0"/>
      </w:pPr>
    </w:p>
    <w:p w:rsidR="00B96FC7" w:rsidRPr="009A2157" w:rsidRDefault="008505B9" w:rsidP="009A2157">
      <w:pPr>
        <w:pStyle w:val="Heading3"/>
        <w:spacing w:before="0" w:after="0"/>
        <w:jc w:val="both"/>
        <w:rPr>
          <w:rFonts w:cs="Times New Roman"/>
        </w:rPr>
      </w:pPr>
      <w:bookmarkStart w:id="80" w:name="_Toc194845380"/>
      <w:r w:rsidRPr="009A2157">
        <w:rPr>
          <w:rFonts w:cs="Times New Roman"/>
          <w:lang w:val="en-GB"/>
        </w:rPr>
        <w:t>1.7.</w:t>
      </w:r>
      <w:r w:rsidR="00B33427">
        <w:rPr>
          <w:rFonts w:cs="Times New Roman"/>
          <w:lang w:val="en-GB"/>
        </w:rPr>
        <w:t xml:space="preserve">1 </w:t>
      </w:r>
      <w:r w:rsidRPr="009A2157">
        <w:rPr>
          <w:rFonts w:cs="Times New Roman"/>
          <w:lang w:val="en-GB"/>
        </w:rPr>
        <w:t>Doctrinal Legal Research</w:t>
      </w:r>
      <w:bookmarkEnd w:id="80"/>
      <w:r w:rsidR="00B33427">
        <w:rPr>
          <w:rFonts w:cs="Times New Roman"/>
          <w:lang w:val="en-GB"/>
        </w:rPr>
        <w:fldChar w:fldCharType="begin"/>
      </w:r>
      <w:r w:rsidR="00B33427">
        <w:instrText xml:space="preserve"> TC "</w:instrText>
      </w:r>
      <w:bookmarkStart w:id="81" w:name="_Toc213301665"/>
      <w:r w:rsidR="00B33427" w:rsidRPr="00155360">
        <w:rPr>
          <w:rFonts w:cs="Times New Roman"/>
          <w:lang w:val="en-GB"/>
        </w:rPr>
        <w:instrText>1.7.1 Doctrinal Legal Research</w:instrText>
      </w:r>
      <w:bookmarkEnd w:id="81"/>
      <w:r w:rsidR="00B33427">
        <w:instrText xml:space="preserve">" \f C \l "1" </w:instrText>
      </w:r>
      <w:r w:rsidR="00B33427">
        <w:rPr>
          <w:rFonts w:cs="Times New Roman"/>
          <w:lang w:val="en-GB"/>
        </w:rPr>
        <w:fldChar w:fldCharType="end"/>
      </w:r>
    </w:p>
    <w:p w:rsidR="005B2F9B" w:rsidRPr="009A2157" w:rsidRDefault="005B2F9B" w:rsidP="009A2157">
      <w:pPr>
        <w:spacing w:before="0" w:after="0"/>
      </w:pPr>
      <w:r w:rsidRPr="009A2157">
        <w:t>Doctrinal legal research, also known as library-based or traditional legal research, is the core method in legal studies. It involves a detailed and systematic analysis of legal rules, principles, doctrines, and judicial interpretations as set out in statutes, case law, and other authoritative legal texts. In this study, the doctrinal method was employed to analyze the Tanzanian legal framework governing unit titles, particularly in relation to individual and collective land rights. Primary legal sources such as the Land Act, the Unit Titles Act and relevant case law were thoroughly reviewed. Secondary sources including journal articles, legal commentaries, books, and government reports were also consulted to provide scholarly insights and context.</w:t>
      </w:r>
      <w:r w:rsidR="00373E41">
        <w:t xml:space="preserve"> </w:t>
      </w:r>
      <w:r w:rsidRPr="009A2157">
        <w:t>This method was essential for establishing the current legal position on unit titles and identifying any legal uncertainties, contradictions, or gaps within the existing framework. Data collection involved a comprehensive review of legal documents, while data analysis was conducted using interpretative legal reasoning methods, including statutory interpretation, legal reasoning (deductive and inductive), and case analysis. The doctrinal method enabled a deep understanding of the legal implications of unit titles on land rights and informed potential legal reforms aimed at enhancing clarity and efficiency in property ownership and management.</w:t>
      </w:r>
    </w:p>
    <w:p w:rsidR="005B2F9B" w:rsidRPr="009A2157" w:rsidRDefault="005B2F9B" w:rsidP="009A2157">
      <w:pPr>
        <w:spacing w:before="0" w:after="0"/>
      </w:pPr>
    </w:p>
    <w:p w:rsidR="005B2F9B" w:rsidRPr="009A2157" w:rsidRDefault="008505B9" w:rsidP="009A2157">
      <w:pPr>
        <w:pStyle w:val="Heading3"/>
        <w:spacing w:before="0" w:after="0"/>
        <w:rPr>
          <w:rFonts w:cs="Times New Roman"/>
        </w:rPr>
      </w:pPr>
      <w:bookmarkStart w:id="82" w:name="_Toc194845381"/>
      <w:r w:rsidRPr="009A2157">
        <w:rPr>
          <w:rFonts w:cs="Times New Roman"/>
        </w:rPr>
        <w:t>1.7.2 Comparative Legal Research</w:t>
      </w:r>
      <w:bookmarkEnd w:id="82"/>
      <w:r w:rsidR="00B33427">
        <w:rPr>
          <w:rFonts w:cs="Times New Roman"/>
        </w:rPr>
        <w:fldChar w:fldCharType="begin"/>
      </w:r>
      <w:r w:rsidR="00B33427">
        <w:instrText xml:space="preserve"> TC "</w:instrText>
      </w:r>
      <w:bookmarkStart w:id="83" w:name="_Toc213301666"/>
      <w:r w:rsidR="00B33427" w:rsidRPr="00474D32">
        <w:rPr>
          <w:rFonts w:cs="Times New Roman"/>
        </w:rPr>
        <w:instrText>1.7.2 Comparative Legal Research</w:instrText>
      </w:r>
      <w:bookmarkEnd w:id="83"/>
      <w:r w:rsidR="00B33427">
        <w:instrText xml:space="preserve">" \f C \l "1" </w:instrText>
      </w:r>
      <w:r w:rsidR="00B33427">
        <w:rPr>
          <w:rFonts w:cs="Times New Roman"/>
        </w:rPr>
        <w:fldChar w:fldCharType="end"/>
      </w:r>
    </w:p>
    <w:p w:rsidR="005B2F9B" w:rsidRPr="009A2157" w:rsidRDefault="005B2F9B" w:rsidP="009A2157">
      <w:pPr>
        <w:spacing w:before="0" w:after="0"/>
      </w:pPr>
      <w:r w:rsidRPr="009A2157">
        <w:t>The comparative legal research method was used to examine how other jurisdictions have structured their legal frameworks concerning unit titles and how their approaches might inform improvements in the Tanzanian context. This method entails comparing laws across different legal systems to draw lessons and identify best practices. The selection of jurisdictions for comparison was guided by the relevance of their legal systems, shared colonial legal heritage, or successful implementation of unit title regimes. The comparative method facilitated a critical evaluation of the strengths and weaknesses of Tanzania’s legal framework by juxtaposing it with international standards and practices.</w:t>
      </w:r>
    </w:p>
    <w:p w:rsidR="00373E41" w:rsidRDefault="00373E41" w:rsidP="009A2157">
      <w:pPr>
        <w:spacing w:before="0" w:after="0"/>
      </w:pPr>
    </w:p>
    <w:p w:rsidR="005B2F9B" w:rsidRPr="009A2157" w:rsidRDefault="005B2F9B" w:rsidP="009A2157">
      <w:pPr>
        <w:spacing w:before="0" w:after="0"/>
      </w:pPr>
      <w:r w:rsidRPr="009A2157">
        <w:t>This approach provided valuable insights into possible reforms, especially in areas such as property governance, dispute resolution, management of common property, and the balance between individual and collective rights. Ultimately, the comparative analysis aimed to support recommendations for aligning Tanzanian law with effective global practices, ensuring legal certainty, equitable rights distribution, and effective management of multi-unit developments.</w:t>
      </w:r>
    </w:p>
    <w:p w:rsidR="00B96FC7" w:rsidRPr="009A2157" w:rsidRDefault="00783D0A" w:rsidP="009A2157">
      <w:pPr>
        <w:pStyle w:val="Heading2"/>
        <w:spacing w:before="0" w:after="0"/>
        <w:rPr>
          <w:rFonts w:cs="Times New Roman"/>
          <w:szCs w:val="24"/>
        </w:rPr>
      </w:pPr>
      <w:bookmarkStart w:id="84" w:name="_Toc194845385"/>
      <w:r w:rsidRPr="009A2157">
        <w:rPr>
          <w:rFonts w:cs="Times New Roman"/>
          <w:szCs w:val="24"/>
        </w:rPr>
        <w:t>1.</w:t>
      </w:r>
      <w:r w:rsidR="005B2F9B" w:rsidRPr="009A2157">
        <w:rPr>
          <w:rFonts w:cs="Times New Roman"/>
          <w:szCs w:val="24"/>
        </w:rPr>
        <w:t>8</w:t>
      </w:r>
      <w:r w:rsidR="00B33427">
        <w:rPr>
          <w:rFonts w:cs="Times New Roman"/>
          <w:szCs w:val="24"/>
        </w:rPr>
        <w:t xml:space="preserve"> </w:t>
      </w:r>
      <w:r w:rsidRPr="009A2157">
        <w:rPr>
          <w:rFonts w:cs="Times New Roman"/>
          <w:szCs w:val="24"/>
        </w:rPr>
        <w:t>Significance of the Study</w:t>
      </w:r>
      <w:bookmarkEnd w:id="84"/>
      <w:r w:rsidR="00B33427">
        <w:rPr>
          <w:rFonts w:cs="Times New Roman"/>
          <w:szCs w:val="24"/>
        </w:rPr>
        <w:fldChar w:fldCharType="begin"/>
      </w:r>
      <w:r w:rsidR="00B33427">
        <w:instrText xml:space="preserve"> TC "</w:instrText>
      </w:r>
      <w:bookmarkStart w:id="85" w:name="_Toc213301667"/>
      <w:r w:rsidR="00B33427" w:rsidRPr="00EA6FE9">
        <w:rPr>
          <w:rFonts w:cs="Times New Roman"/>
          <w:szCs w:val="24"/>
        </w:rPr>
        <w:instrText>1.8 Significance of the Study</w:instrText>
      </w:r>
      <w:bookmarkEnd w:id="85"/>
      <w:r w:rsidR="00B33427">
        <w:instrText xml:space="preserve">" \f C \l "1" </w:instrText>
      </w:r>
      <w:r w:rsidR="00B33427">
        <w:rPr>
          <w:rFonts w:cs="Times New Roman"/>
          <w:szCs w:val="24"/>
        </w:rPr>
        <w:fldChar w:fldCharType="end"/>
      </w:r>
    </w:p>
    <w:p w:rsidR="00B96FC7" w:rsidRPr="009A2157" w:rsidRDefault="00783D0A" w:rsidP="009A2157">
      <w:pPr>
        <w:spacing w:before="0" w:after="0"/>
      </w:pPr>
      <w:r w:rsidRPr="009A2157">
        <w:t>The study is of significant importance as it addresses critical issues in property rights and real estate development. The findings hold potential for informing policy and legislation by providing insights into the challenges hindering the effective implementation of unit titles. Policymakers and legislators can use these insights to shape and improve existing legal frameworks, fostering a more secure and transparent real estate environment. Moreover, the study will contribute to academic knowledge in property law and real estate development, benefiting scholars, researchers, and students interested in these areas.</w:t>
      </w:r>
    </w:p>
    <w:p w:rsidR="00373E41" w:rsidRDefault="00373E41" w:rsidP="009A2157">
      <w:pPr>
        <w:spacing w:before="0" w:after="0"/>
      </w:pPr>
    </w:p>
    <w:p w:rsidR="00B05479" w:rsidRPr="009A2157" w:rsidRDefault="00783D0A" w:rsidP="009A2157">
      <w:pPr>
        <w:spacing w:before="0" w:after="0"/>
      </w:pPr>
      <w:r w:rsidRPr="009A2157">
        <w:t>Furthermore, the research's practical implications are noteworthy, as it has the potential to guide institutional reforms, facilitating more effective implementation and enforcement of unit title regulations. By identifying challenges and proposing solutions, the study empowers various stakeholders, including property owners, developers, legal practitioners, and government agencies, to make informed decisions and navigate the legal landscape more effectively. Ultimately, the significance of this study extends beyond academic inquiry, playing a crucial role in shaping policies, improving property rights, and fostering responsible and organized real estate development in Tanzania.</w:t>
      </w:r>
    </w:p>
    <w:p w:rsidR="00373E41" w:rsidRDefault="00373E41" w:rsidP="009A2157">
      <w:pPr>
        <w:pStyle w:val="Heading2"/>
        <w:spacing w:before="0" w:after="0"/>
        <w:rPr>
          <w:rFonts w:cs="Times New Roman"/>
          <w:szCs w:val="24"/>
        </w:rPr>
      </w:pPr>
      <w:bookmarkStart w:id="86" w:name="_Toc194845386"/>
    </w:p>
    <w:p w:rsidR="00B96FC7" w:rsidRPr="009A2157" w:rsidRDefault="00783D0A" w:rsidP="009A2157">
      <w:pPr>
        <w:pStyle w:val="Heading2"/>
        <w:spacing w:before="0" w:after="0"/>
        <w:rPr>
          <w:rFonts w:cs="Times New Roman"/>
          <w:szCs w:val="24"/>
        </w:rPr>
      </w:pPr>
      <w:r w:rsidRPr="009A2157">
        <w:rPr>
          <w:rFonts w:cs="Times New Roman"/>
          <w:szCs w:val="24"/>
        </w:rPr>
        <w:t>1.</w:t>
      </w:r>
      <w:r w:rsidR="005B2F9B" w:rsidRPr="009A2157">
        <w:rPr>
          <w:rFonts w:cs="Times New Roman"/>
          <w:szCs w:val="24"/>
        </w:rPr>
        <w:t>9</w:t>
      </w:r>
      <w:r w:rsidR="00B33427">
        <w:rPr>
          <w:rFonts w:cs="Times New Roman"/>
          <w:szCs w:val="24"/>
        </w:rPr>
        <w:t xml:space="preserve"> </w:t>
      </w:r>
      <w:r w:rsidRPr="009A2157">
        <w:rPr>
          <w:rFonts w:cs="Times New Roman"/>
          <w:szCs w:val="24"/>
        </w:rPr>
        <w:t>Scope and Limitation of the Study</w:t>
      </w:r>
      <w:bookmarkEnd w:id="86"/>
      <w:r w:rsidR="00B33427">
        <w:rPr>
          <w:rFonts w:cs="Times New Roman"/>
          <w:szCs w:val="24"/>
        </w:rPr>
        <w:fldChar w:fldCharType="begin"/>
      </w:r>
      <w:r w:rsidR="00B33427">
        <w:instrText xml:space="preserve"> TC "</w:instrText>
      </w:r>
      <w:bookmarkStart w:id="87" w:name="_Toc213301668"/>
      <w:r w:rsidR="00B33427" w:rsidRPr="00672436">
        <w:rPr>
          <w:rFonts w:cs="Times New Roman"/>
          <w:szCs w:val="24"/>
        </w:rPr>
        <w:instrText>1.9 Scope and Limitation of the Study</w:instrText>
      </w:r>
      <w:bookmarkEnd w:id="87"/>
      <w:r w:rsidR="00B33427">
        <w:instrText xml:space="preserve">" \f C \l "1" </w:instrText>
      </w:r>
      <w:r w:rsidR="00B33427">
        <w:rPr>
          <w:rFonts w:cs="Times New Roman"/>
          <w:szCs w:val="24"/>
        </w:rPr>
        <w:fldChar w:fldCharType="end"/>
      </w:r>
    </w:p>
    <w:p w:rsidR="00373E41" w:rsidRDefault="00783D0A" w:rsidP="009A2157">
      <w:pPr>
        <w:spacing w:before="0" w:after="0"/>
      </w:pPr>
      <w:r w:rsidRPr="009A2157">
        <w:t xml:space="preserve">The research aims to unravel the legal intricacies, including ambiguities within legal provisions, potential disputes over property rights, and challenges in ensuring compliance, while also scrutinizing institutional hurdles such as bureaucratic processes and regulatory frameworks. Through comparative analysis and consideration of stakeholder perspectives, the study </w:t>
      </w:r>
      <w:r w:rsidR="00A83EF7" w:rsidRPr="009A2157">
        <w:t>provides</w:t>
      </w:r>
      <w:r w:rsidRPr="009A2157">
        <w:t xml:space="preserve"> a comprehensive understanding of the specific challenges facing unit title implementation in Tanzania, offering insights to inform potential legal and institutional reforms</w:t>
      </w:r>
      <w:r w:rsidR="00C37417" w:rsidRPr="009A2157">
        <w:t>.</w:t>
      </w:r>
    </w:p>
    <w:p w:rsidR="00406762" w:rsidRPr="009A2157" w:rsidRDefault="00406762" w:rsidP="009A2157">
      <w:pPr>
        <w:spacing w:before="0" w:after="0"/>
      </w:pPr>
    </w:p>
    <w:p w:rsidR="00B96FC7" w:rsidRPr="009A2157" w:rsidRDefault="00783D0A" w:rsidP="009A2157">
      <w:pPr>
        <w:pStyle w:val="Heading2"/>
        <w:spacing w:before="0" w:after="0"/>
        <w:rPr>
          <w:rFonts w:cs="Times New Roman"/>
          <w:szCs w:val="24"/>
        </w:rPr>
      </w:pPr>
      <w:bookmarkStart w:id="88" w:name="_Toc194845387"/>
      <w:r w:rsidRPr="009A2157">
        <w:rPr>
          <w:rFonts w:cs="Times New Roman"/>
          <w:szCs w:val="24"/>
        </w:rPr>
        <w:t>1.1</w:t>
      </w:r>
      <w:r w:rsidR="005B2F9B" w:rsidRPr="009A2157">
        <w:rPr>
          <w:rFonts w:cs="Times New Roman"/>
          <w:szCs w:val="24"/>
        </w:rPr>
        <w:t>0</w:t>
      </w:r>
      <w:r w:rsidR="00B33427">
        <w:rPr>
          <w:rFonts w:cs="Times New Roman"/>
          <w:szCs w:val="24"/>
        </w:rPr>
        <w:t xml:space="preserve"> </w:t>
      </w:r>
      <w:r w:rsidRPr="009A2157">
        <w:rPr>
          <w:rFonts w:cs="Times New Roman"/>
          <w:szCs w:val="24"/>
        </w:rPr>
        <w:t>Study Organization</w:t>
      </w:r>
      <w:bookmarkEnd w:id="88"/>
      <w:r w:rsidR="00B33427">
        <w:rPr>
          <w:rFonts w:cs="Times New Roman"/>
          <w:szCs w:val="24"/>
        </w:rPr>
        <w:fldChar w:fldCharType="begin"/>
      </w:r>
      <w:r w:rsidR="00B33427">
        <w:instrText xml:space="preserve"> TC "</w:instrText>
      </w:r>
      <w:bookmarkStart w:id="89" w:name="_Toc213301669"/>
      <w:r w:rsidR="00B33427" w:rsidRPr="00F03A8B">
        <w:rPr>
          <w:rFonts w:cs="Times New Roman"/>
          <w:szCs w:val="24"/>
        </w:rPr>
        <w:instrText>1.10 Study Organization</w:instrText>
      </w:r>
      <w:bookmarkEnd w:id="89"/>
      <w:r w:rsidR="00B33427">
        <w:instrText xml:space="preserve">" \f C \l "1" </w:instrText>
      </w:r>
      <w:r w:rsidR="00B33427">
        <w:rPr>
          <w:rFonts w:cs="Times New Roman"/>
          <w:szCs w:val="24"/>
        </w:rPr>
        <w:fldChar w:fldCharType="end"/>
      </w:r>
    </w:p>
    <w:p w:rsidR="00B96FC7" w:rsidRDefault="00783D0A" w:rsidP="009A2157">
      <w:pPr>
        <w:spacing w:before="0" w:after="0"/>
      </w:pPr>
      <w:r w:rsidRPr="009A2157">
        <w:t xml:space="preserve">The research is organized into </w:t>
      </w:r>
      <w:r w:rsidR="00F86EB1" w:rsidRPr="009A2157">
        <w:t>five</w:t>
      </w:r>
      <w:r w:rsidRPr="009A2157">
        <w:t xml:space="preserve"> comprehensive chapters. Chapter One functions as the General Introduction, presenting an overview that encompasses the introduction, problem statement, research objectives, research questions, and a literature review, emphasizing the study's significance and outlining its scope. </w:t>
      </w:r>
      <w:r w:rsidR="006E46D7" w:rsidRPr="009A2157">
        <w:t>Chapter two dwells with</w:t>
      </w:r>
      <w:r w:rsidRPr="009A2157">
        <w:t xml:space="preserve"> the Conceptual and Theoretical Framework, exploring key concepts and theories relevant to unit titles</w:t>
      </w:r>
      <w:r w:rsidR="006E46D7" w:rsidRPr="009A2157">
        <w:t xml:space="preserve"> </w:t>
      </w:r>
      <w:r w:rsidRPr="009A2157">
        <w:t>while</w:t>
      </w:r>
      <w:r w:rsidR="006E46D7" w:rsidRPr="009A2157">
        <w:t xml:space="preserve"> chapter three examines</w:t>
      </w:r>
      <w:r w:rsidRPr="009A2157">
        <w:t xml:space="preserve"> the International and Regional Frameworks related to unit titles. Chapter </w:t>
      </w:r>
      <w:r w:rsidR="00E012EB" w:rsidRPr="009A2157">
        <w:t>four focus</w:t>
      </w:r>
      <w:r w:rsidRPr="009A2157">
        <w:t xml:space="preserve"> on Tanzania’s Legal Framework concerning unit titles</w:t>
      </w:r>
      <w:r w:rsidR="002A3564" w:rsidRPr="009A2157">
        <w:t xml:space="preserve"> </w:t>
      </w:r>
      <w:r w:rsidRPr="009A2157">
        <w:t>whereas Chapter Five provides a Summary, Conclusion, and Recommendations, drawing together the research findings and offering suggestions for future legislative and policy improvements.</w:t>
      </w:r>
    </w:p>
    <w:p w:rsidR="00373E41" w:rsidRPr="009A2157" w:rsidRDefault="00373E41" w:rsidP="009A2157">
      <w:pPr>
        <w:spacing w:before="0" w:after="0"/>
      </w:pPr>
    </w:p>
    <w:p w:rsidR="00B96FC7" w:rsidRPr="009A2157" w:rsidRDefault="00783D0A" w:rsidP="009A2157">
      <w:pPr>
        <w:pStyle w:val="Heading2"/>
        <w:spacing w:before="0" w:after="0"/>
        <w:rPr>
          <w:rFonts w:cs="Times New Roman"/>
          <w:szCs w:val="24"/>
        </w:rPr>
      </w:pPr>
      <w:bookmarkStart w:id="90" w:name="_Toc194845388"/>
      <w:r w:rsidRPr="009A2157">
        <w:rPr>
          <w:rFonts w:cs="Times New Roman"/>
          <w:szCs w:val="24"/>
        </w:rPr>
        <w:t>1.1</w:t>
      </w:r>
      <w:r w:rsidR="005B2F9B" w:rsidRPr="009A2157">
        <w:rPr>
          <w:rFonts w:cs="Times New Roman"/>
          <w:szCs w:val="24"/>
        </w:rPr>
        <w:t>1</w:t>
      </w:r>
      <w:r w:rsidR="00B33427">
        <w:rPr>
          <w:rFonts w:cs="Times New Roman"/>
          <w:szCs w:val="24"/>
        </w:rPr>
        <w:t xml:space="preserve"> </w:t>
      </w:r>
      <w:r w:rsidRPr="009A2157">
        <w:rPr>
          <w:rFonts w:cs="Times New Roman"/>
          <w:szCs w:val="24"/>
        </w:rPr>
        <w:t>Ethical Considerations</w:t>
      </w:r>
      <w:bookmarkEnd w:id="90"/>
      <w:r w:rsidR="00B33427">
        <w:rPr>
          <w:rFonts w:cs="Times New Roman"/>
          <w:szCs w:val="24"/>
        </w:rPr>
        <w:fldChar w:fldCharType="begin"/>
      </w:r>
      <w:r w:rsidR="00B33427">
        <w:instrText xml:space="preserve"> TC "</w:instrText>
      </w:r>
      <w:bookmarkStart w:id="91" w:name="_Toc213301670"/>
      <w:r w:rsidR="00B33427" w:rsidRPr="00A273A6">
        <w:rPr>
          <w:rFonts w:cs="Times New Roman"/>
          <w:szCs w:val="24"/>
        </w:rPr>
        <w:instrText>1.11 Ethical Considerations</w:instrText>
      </w:r>
      <w:bookmarkEnd w:id="91"/>
      <w:r w:rsidR="00B33427">
        <w:instrText xml:space="preserve">" \f C \l "1" </w:instrText>
      </w:r>
      <w:r w:rsidR="00B33427">
        <w:rPr>
          <w:rFonts w:cs="Times New Roman"/>
          <w:szCs w:val="24"/>
        </w:rPr>
        <w:fldChar w:fldCharType="end"/>
      </w:r>
    </w:p>
    <w:p w:rsidR="00E012EB" w:rsidRPr="009A2157" w:rsidRDefault="00E012EB" w:rsidP="009A2157">
      <w:pPr>
        <w:spacing w:before="0" w:after="0"/>
      </w:pPr>
      <w:r w:rsidRPr="009A2157">
        <w:t>This research was conducted with a steadfast commitment to ethical principles. Participants provided informed consent, ensuring their voluntary participation and maintaining their right to withdraw at any stage of the study. Confidentiality and anonymity were rigorously maintained, with robust data security measures implemented to protect participants' information. The research was characterized by respect for participants' autonomy and cultural sensitivity, minimizing any potential harm. Transparent reporting, adherence to legal and ethical guidelines, and a focus on beneficence underscored the commitment to conducting a responsible and morally sound study.</w:t>
      </w:r>
    </w:p>
    <w:p w:rsidR="00E012EB" w:rsidRDefault="00E012EB"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Default="00373E41" w:rsidP="009A2157">
      <w:pPr>
        <w:spacing w:before="0" w:after="0"/>
      </w:pPr>
    </w:p>
    <w:p w:rsidR="00373E41" w:rsidRPr="009A2157" w:rsidRDefault="00373E41" w:rsidP="009A2157">
      <w:pPr>
        <w:spacing w:before="0" w:after="0"/>
      </w:pPr>
    </w:p>
    <w:p w:rsidR="00B8606E" w:rsidRPr="009A2157" w:rsidRDefault="00B8606E" w:rsidP="009A2157">
      <w:pPr>
        <w:pStyle w:val="Heading1"/>
        <w:spacing w:before="0" w:after="0"/>
        <w:rPr>
          <w:rFonts w:cs="Times New Roman"/>
          <w:szCs w:val="24"/>
        </w:rPr>
      </w:pPr>
      <w:bookmarkStart w:id="92" w:name="_Toc194845389"/>
      <w:r w:rsidRPr="009A2157">
        <w:rPr>
          <w:rFonts w:cs="Times New Roman"/>
          <w:szCs w:val="24"/>
        </w:rPr>
        <w:t>CHAPTER TWO</w:t>
      </w:r>
      <w:bookmarkEnd w:id="92"/>
      <w:r w:rsidR="00B33427">
        <w:rPr>
          <w:rFonts w:cs="Times New Roman"/>
          <w:szCs w:val="24"/>
        </w:rPr>
        <w:fldChar w:fldCharType="begin"/>
      </w:r>
      <w:r w:rsidR="00B33427">
        <w:instrText xml:space="preserve"> TC "</w:instrText>
      </w:r>
      <w:bookmarkStart w:id="93" w:name="_Toc213301671"/>
      <w:r w:rsidR="00B33427" w:rsidRPr="007020D3">
        <w:rPr>
          <w:rFonts w:cs="Times New Roman"/>
          <w:szCs w:val="24"/>
        </w:rPr>
        <w:instrText>CHAPTER TWO</w:instrText>
      </w:r>
      <w:bookmarkEnd w:id="93"/>
      <w:r w:rsidR="00B33427">
        <w:instrText xml:space="preserve">" \f C \l "1" </w:instrText>
      </w:r>
      <w:r w:rsidR="00B33427">
        <w:rPr>
          <w:rFonts w:cs="Times New Roman"/>
          <w:szCs w:val="24"/>
        </w:rPr>
        <w:fldChar w:fldCharType="end"/>
      </w:r>
    </w:p>
    <w:p w:rsidR="00B8606E" w:rsidRPr="009A2157" w:rsidRDefault="00B8606E" w:rsidP="009A2157">
      <w:pPr>
        <w:pStyle w:val="Heading1"/>
        <w:spacing w:before="0" w:after="0"/>
        <w:rPr>
          <w:rFonts w:cs="Times New Roman"/>
          <w:szCs w:val="24"/>
        </w:rPr>
      </w:pPr>
      <w:bookmarkStart w:id="94" w:name="_Toc194845390"/>
      <w:r w:rsidRPr="009A2157">
        <w:rPr>
          <w:rFonts w:cs="Times New Roman"/>
          <w:szCs w:val="24"/>
        </w:rPr>
        <w:t>CONCEPTUAL AND THEORETICAL FRAMEWORK</w:t>
      </w:r>
      <w:bookmarkEnd w:id="94"/>
      <w:r w:rsidR="00B33427">
        <w:rPr>
          <w:rFonts w:cs="Times New Roman"/>
          <w:szCs w:val="24"/>
        </w:rPr>
        <w:fldChar w:fldCharType="begin"/>
      </w:r>
      <w:r w:rsidR="00B33427">
        <w:instrText xml:space="preserve"> TC "</w:instrText>
      </w:r>
      <w:bookmarkStart w:id="95" w:name="_Toc213301672"/>
      <w:r w:rsidR="00B33427" w:rsidRPr="00F52C3E">
        <w:rPr>
          <w:rFonts w:cs="Times New Roman"/>
          <w:szCs w:val="24"/>
        </w:rPr>
        <w:instrText>CONCEPTUAL AND THEORETICAL FRAMEWORK</w:instrText>
      </w:r>
      <w:bookmarkEnd w:id="95"/>
      <w:r w:rsidR="00B33427">
        <w:instrText xml:space="preserve">" \f C \l "1" </w:instrText>
      </w:r>
      <w:r w:rsidR="00B33427">
        <w:rPr>
          <w:rFonts w:cs="Times New Roman"/>
          <w:szCs w:val="24"/>
        </w:rPr>
        <w:fldChar w:fldCharType="end"/>
      </w:r>
    </w:p>
    <w:p w:rsidR="00B8606E" w:rsidRPr="009A2157" w:rsidRDefault="00B33427" w:rsidP="009A2157">
      <w:pPr>
        <w:pStyle w:val="Heading2"/>
        <w:spacing w:before="0" w:after="0"/>
        <w:rPr>
          <w:rFonts w:cs="Times New Roman"/>
          <w:szCs w:val="24"/>
        </w:rPr>
      </w:pPr>
      <w:bookmarkStart w:id="96" w:name="_Toc194845391"/>
      <w:r>
        <w:rPr>
          <w:rFonts w:cs="Times New Roman"/>
          <w:szCs w:val="24"/>
        </w:rPr>
        <w:t xml:space="preserve">2.1 </w:t>
      </w:r>
      <w:r w:rsidR="00B8606E" w:rsidRPr="009A2157">
        <w:rPr>
          <w:rFonts w:cs="Times New Roman"/>
          <w:szCs w:val="24"/>
        </w:rPr>
        <w:t>Introduction</w:t>
      </w:r>
      <w:bookmarkEnd w:id="96"/>
      <w:r>
        <w:rPr>
          <w:rFonts w:cs="Times New Roman"/>
          <w:szCs w:val="24"/>
        </w:rPr>
        <w:fldChar w:fldCharType="begin"/>
      </w:r>
      <w:r>
        <w:instrText xml:space="preserve"> TC "</w:instrText>
      </w:r>
      <w:bookmarkStart w:id="97" w:name="_Toc213301673"/>
      <w:r w:rsidRPr="008C047F">
        <w:rPr>
          <w:rFonts w:cs="Times New Roman"/>
          <w:szCs w:val="24"/>
        </w:rPr>
        <w:instrText>2.1 Introduction</w:instrText>
      </w:r>
      <w:bookmarkEnd w:id="97"/>
      <w:r>
        <w:instrText xml:space="preserve">" \f C \l "1" </w:instrText>
      </w:r>
      <w:r>
        <w:rPr>
          <w:rFonts w:cs="Times New Roman"/>
          <w:szCs w:val="24"/>
        </w:rPr>
        <w:fldChar w:fldCharType="end"/>
      </w:r>
    </w:p>
    <w:p w:rsidR="00B8606E" w:rsidRPr="009A2157" w:rsidRDefault="00B8606E" w:rsidP="009A2157">
      <w:pPr>
        <w:spacing w:before="0" w:after="0"/>
      </w:pPr>
      <w:r w:rsidRPr="009A2157">
        <w:t>This chapter delves into the conceptual and theoretical framework underlying the study on the legal implications of unit titles on land rights in Tanzania. It provides an in-depth analysis of the key concepts, terminologies, and principles that define unit titles and their interaction with land rights. Additionally, the chapter explores relevant theories that frame the understanding of property ownership, land tenure systems, and the legal structures governing unit titles.</w:t>
      </w:r>
    </w:p>
    <w:p w:rsidR="00373E41" w:rsidRDefault="00373E41" w:rsidP="009A2157">
      <w:pPr>
        <w:pStyle w:val="Heading2"/>
        <w:spacing w:before="0" w:after="0"/>
        <w:rPr>
          <w:rFonts w:cs="Times New Roman"/>
          <w:szCs w:val="24"/>
        </w:rPr>
      </w:pPr>
      <w:bookmarkStart w:id="98" w:name="_Toc194845392"/>
    </w:p>
    <w:p w:rsidR="00A42491" w:rsidRPr="009A2157" w:rsidRDefault="00B33427" w:rsidP="009A2157">
      <w:pPr>
        <w:pStyle w:val="Heading2"/>
        <w:spacing w:before="0" w:after="0"/>
        <w:rPr>
          <w:rFonts w:cs="Times New Roman"/>
          <w:szCs w:val="24"/>
        </w:rPr>
      </w:pPr>
      <w:r>
        <w:rPr>
          <w:rFonts w:cs="Times New Roman"/>
          <w:szCs w:val="24"/>
        </w:rPr>
        <w:t xml:space="preserve">2.2 </w:t>
      </w:r>
      <w:r w:rsidR="00A42491" w:rsidRPr="009A2157">
        <w:rPr>
          <w:rFonts w:cs="Times New Roman"/>
          <w:szCs w:val="24"/>
        </w:rPr>
        <w:t>Unit Title</w:t>
      </w:r>
      <w:bookmarkEnd w:id="98"/>
      <w:r>
        <w:rPr>
          <w:rFonts w:cs="Times New Roman"/>
          <w:szCs w:val="24"/>
        </w:rPr>
        <w:fldChar w:fldCharType="begin"/>
      </w:r>
      <w:r>
        <w:instrText xml:space="preserve"> TC "</w:instrText>
      </w:r>
      <w:bookmarkStart w:id="99" w:name="_Toc213301674"/>
      <w:r w:rsidRPr="00AB4764">
        <w:rPr>
          <w:rFonts w:cs="Times New Roman"/>
          <w:szCs w:val="24"/>
        </w:rPr>
        <w:instrText>2.2 Unit Title</w:instrText>
      </w:r>
      <w:bookmarkEnd w:id="99"/>
      <w:r>
        <w:instrText xml:space="preserve">" \f C \l "1" </w:instrText>
      </w:r>
      <w:r>
        <w:rPr>
          <w:rFonts w:cs="Times New Roman"/>
          <w:szCs w:val="24"/>
        </w:rPr>
        <w:fldChar w:fldCharType="end"/>
      </w:r>
    </w:p>
    <w:p w:rsidR="00A42491" w:rsidRPr="009A2157" w:rsidRDefault="00A42491" w:rsidP="009A2157">
      <w:pPr>
        <w:spacing w:before="0" w:after="0"/>
      </w:pPr>
      <w:r w:rsidRPr="009A2157">
        <w:t>A unit title refers to a distinct portion of property owned exclusively by a specific individual or co-owned for the owners’ collective use, with the unit itself constituting property in the legal sense.</w:t>
      </w:r>
      <w:r w:rsidR="00344CA4" w:rsidRPr="009A2157">
        <w:rPr>
          <w:rStyle w:val="FootnoteReference"/>
        </w:rPr>
        <w:footnoteReference w:id="23"/>
      </w:r>
      <w:r w:rsidRPr="009A2157">
        <w:t xml:space="preserve"> The Unit Titles Act, under Section 1, defines this concept as a form of property ownership where an individual can possess a specified portion of a building for exclusive use. Importantly, a unit title encapsulates the dual nature of ownership: the exclusive right to a specific unit and shared rights over common areas. This legal arrangement responds to the growing demand for modern residential and commercial structures in Tanzania, necessitated by rapid urbanization and population growth, which require efficient land use and orderly city planning.</w:t>
      </w:r>
    </w:p>
    <w:p w:rsidR="00A42491" w:rsidRPr="009A2157" w:rsidRDefault="00A42491" w:rsidP="009A2157">
      <w:pPr>
        <w:spacing w:before="0" w:after="0"/>
      </w:pPr>
      <w:r w:rsidRPr="009A2157">
        <w:t>Unit title developments are characterized by individual ownership of specific units combined with collective ownership of common areas. These shared areas include spaces and facilities such as verandas, balconies, gardens, parks, passageways, stairways, elevators, basements, parking areas, storage rooms, and the structural elements of the property. For instance, the ownership of a single unit in a high-rise apartment building implies not only exclusive rights to the apartment but also proportional rights and responsibilities for maintaining shared spaces like the lobby, parking lots, and utility systems.</w:t>
      </w:r>
      <w:r w:rsidR="00344CA4" w:rsidRPr="009A2157">
        <w:rPr>
          <w:rStyle w:val="FootnoteReference"/>
        </w:rPr>
        <w:footnoteReference w:id="24"/>
      </w:r>
      <w:r w:rsidRPr="009A2157">
        <w:t xml:space="preserve"> This arrangement ensures a balance between individual property rights and collective community interests, promoting sustainable urban development.</w:t>
      </w:r>
    </w:p>
    <w:p w:rsidR="00373E41" w:rsidRDefault="00373E41" w:rsidP="009A2157">
      <w:pPr>
        <w:spacing w:before="0" w:after="0"/>
      </w:pPr>
    </w:p>
    <w:p w:rsidR="00EB1C78" w:rsidRDefault="00A42491" w:rsidP="009A2157">
      <w:pPr>
        <w:spacing w:before="0" w:after="0"/>
      </w:pPr>
      <w:r w:rsidRPr="009A2157">
        <w:t xml:space="preserve">In cases of joint occupancy, where two or more persons hold an estate or interest in land simultaneously, the law recognizes the co-owners as a single legal entity for ownership purposes. Section 159 of the Land Act provides that co-occupancy, whether as joint occupancy or occupancy in common, involves undivided shares of land held by multiple parties. Joint occupancy requires unity of </w:t>
      </w:r>
      <w:r w:rsidR="004A6090" w:rsidRPr="009A2157">
        <w:t>possession;</w:t>
      </w:r>
      <w:r w:rsidRPr="009A2157">
        <w:t xml:space="preserve"> interest, time, and title, meaning all co-owners must acquire their interest concurrently and hold an equal, indivisible interest in the property. For example, if two individuals purchase a parcel of land together under joint occupancy, neither party can claim exclusive ownership of any part of the land without mutual agreement or legal partitioning. This legal framework underpins the equitable and efficient use of shared property rights in Tanzania’s evolving urban landscape.</w:t>
      </w:r>
    </w:p>
    <w:p w:rsidR="00373E41" w:rsidRPr="009A2157" w:rsidRDefault="00373E41" w:rsidP="009A2157">
      <w:pPr>
        <w:spacing w:before="0" w:after="0"/>
      </w:pPr>
    </w:p>
    <w:p w:rsidR="00EB1C78" w:rsidRPr="009A2157" w:rsidRDefault="00ED1B52" w:rsidP="009A2157">
      <w:pPr>
        <w:pStyle w:val="Heading2"/>
        <w:spacing w:before="0" w:after="0"/>
        <w:rPr>
          <w:rFonts w:cs="Times New Roman"/>
          <w:szCs w:val="24"/>
        </w:rPr>
      </w:pPr>
      <w:bookmarkStart w:id="100" w:name="_Toc194845393"/>
      <w:r w:rsidRPr="009A2157">
        <w:rPr>
          <w:rFonts w:cs="Times New Roman"/>
          <w:szCs w:val="24"/>
        </w:rPr>
        <w:t>2.3</w:t>
      </w:r>
      <w:r w:rsidR="00B33427">
        <w:rPr>
          <w:rFonts w:cs="Times New Roman"/>
          <w:szCs w:val="24"/>
        </w:rPr>
        <w:t xml:space="preserve"> </w:t>
      </w:r>
      <w:r w:rsidR="00EB1C78" w:rsidRPr="009A2157">
        <w:rPr>
          <w:rFonts w:cs="Times New Roman"/>
          <w:szCs w:val="24"/>
        </w:rPr>
        <w:t>Establishment of Unit Title</w:t>
      </w:r>
      <w:bookmarkEnd w:id="100"/>
      <w:r w:rsidR="00B33427">
        <w:rPr>
          <w:rFonts w:cs="Times New Roman"/>
          <w:szCs w:val="24"/>
        </w:rPr>
        <w:fldChar w:fldCharType="begin"/>
      </w:r>
      <w:r w:rsidR="00B33427">
        <w:instrText xml:space="preserve"> TC "</w:instrText>
      </w:r>
      <w:bookmarkStart w:id="101" w:name="_Toc213301675"/>
      <w:r w:rsidR="00B33427" w:rsidRPr="00181134">
        <w:rPr>
          <w:rFonts w:cs="Times New Roman"/>
          <w:szCs w:val="24"/>
        </w:rPr>
        <w:instrText>2.3 Establishment of Unit Title</w:instrText>
      </w:r>
      <w:bookmarkEnd w:id="101"/>
      <w:r w:rsidR="00B33427">
        <w:instrText xml:space="preserve">" \f C \l "1" </w:instrText>
      </w:r>
      <w:r w:rsidR="00B33427">
        <w:rPr>
          <w:rFonts w:cs="Times New Roman"/>
          <w:szCs w:val="24"/>
        </w:rPr>
        <w:fldChar w:fldCharType="end"/>
      </w:r>
    </w:p>
    <w:p w:rsidR="00EB1C78" w:rsidRPr="009A2157" w:rsidRDefault="00EB1C78" w:rsidP="009A2157">
      <w:pPr>
        <w:pStyle w:val="NormalWeb"/>
        <w:spacing w:before="0" w:after="0"/>
      </w:pPr>
      <w:r w:rsidRPr="009A2157">
        <w:t>The establishment of a unit title arises when specific portions of a single property are designated for individual ownership (referred to as the Principal Unit) while other portions of the same property are set aside for collective ownership (referred to as Common Property).</w:t>
      </w:r>
      <w:r w:rsidR="00344CA4" w:rsidRPr="009A2157">
        <w:rPr>
          <w:rStyle w:val="FootnoteReference"/>
        </w:rPr>
        <w:footnoteReference w:id="25"/>
      </w:r>
      <w:r w:rsidRPr="009A2157">
        <w:t xml:space="preserve"> This legal framework enables individuals to own exclusive spaces within a property, such as apartments or offices, while simultaneously sharing ownership of communal spaces like hallways, gardens, and parking areas. This dual ownership model fosters efficient property use and facilitates shared responsibility for the maintenance of common areas.</w:t>
      </w:r>
      <w:r w:rsidR="00344CA4" w:rsidRPr="009A2157">
        <w:rPr>
          <w:rStyle w:val="FootnoteReference"/>
        </w:rPr>
        <w:footnoteReference w:id="26"/>
      </w:r>
    </w:p>
    <w:p w:rsidR="00373E41" w:rsidRDefault="00373E41" w:rsidP="009A2157">
      <w:pPr>
        <w:pStyle w:val="NormalWeb"/>
        <w:spacing w:before="0" w:after="0"/>
      </w:pPr>
    </w:p>
    <w:p w:rsidR="00E21055" w:rsidRDefault="00EB1C78" w:rsidP="009A2157">
      <w:pPr>
        <w:pStyle w:val="NormalWeb"/>
        <w:spacing w:before="0" w:after="0"/>
      </w:pPr>
      <w:r w:rsidRPr="009A2157">
        <w:t>Under Section 4(3) of the Unit Titles Act, the developer or proprietor of a property is mandated to register a Unit Plan to formalize the creation of unit titles. The Unit Plan must include detailed drawings illustrating the layout and boundaries of individual units and their relationship to the common property. It must also demarcate the boundaries of each unit and specify their approximate floor areas. This documentation ensures clarity and precision in defining property rights, reducing the likelihood of disputes among unit owners and promoting transparent management of the shared property.</w:t>
      </w:r>
      <w:r w:rsidR="00373E41">
        <w:t xml:space="preserve"> </w:t>
      </w:r>
      <w:r w:rsidRPr="009A2157">
        <w:t>For instance, in a multi-storey residential complex, the Unit Plan might detail the dimensions of individual apartments, the location of shared amenities like elevators and stairways, and the proportional ownership interests in common property.</w:t>
      </w:r>
      <w:r w:rsidR="00344CA4" w:rsidRPr="009A2157">
        <w:rPr>
          <w:rStyle w:val="FootnoteReference"/>
        </w:rPr>
        <w:footnoteReference w:id="27"/>
      </w:r>
      <w:r w:rsidRPr="009A2157">
        <w:t xml:space="preserve"> By requiring the registration of such plans, the law provides a legal foundation </w:t>
      </w:r>
      <w:r w:rsidR="0038439D" w:rsidRPr="009A2157">
        <w:t>for individual</w:t>
      </w:r>
      <w:r w:rsidRPr="009A2157">
        <w:t xml:space="preserve"> and collective ownership, ensuring that the interests of all stakeholders are protected and facilitating the orderly development of property in Tanzania.</w:t>
      </w: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Default="00373E41" w:rsidP="009A2157">
      <w:pPr>
        <w:pStyle w:val="NormalWeb"/>
        <w:spacing w:before="0" w:after="0"/>
      </w:pPr>
    </w:p>
    <w:p w:rsidR="00373E41" w:rsidRPr="009A2157" w:rsidRDefault="00373E41" w:rsidP="009A2157">
      <w:pPr>
        <w:pStyle w:val="NormalWeb"/>
        <w:spacing w:before="0" w:after="0"/>
      </w:pPr>
    </w:p>
    <w:p w:rsidR="004D0534" w:rsidRPr="009A2157" w:rsidRDefault="00373E41" w:rsidP="00373E41">
      <w:pPr>
        <w:pStyle w:val="NormalWeb"/>
        <w:spacing w:before="0" w:after="0"/>
        <w:rPr>
          <w:b/>
        </w:rPr>
      </w:pPr>
      <w:r w:rsidRPr="009A2157">
        <w:rPr>
          <w:noProof/>
        </w:rPr>
        <w:drawing>
          <wp:anchor distT="0" distB="0" distL="114300" distR="114300" simplePos="0" relativeHeight="251660288" behindDoc="0" locked="0" layoutInCell="1" allowOverlap="1" wp14:anchorId="51B37DEA" wp14:editId="6DF26275">
            <wp:simplePos x="0" y="0"/>
            <wp:positionH relativeFrom="character">
              <wp:posOffset>112395</wp:posOffset>
            </wp:positionH>
            <wp:positionV relativeFrom="paragraph">
              <wp:posOffset>-87630</wp:posOffset>
            </wp:positionV>
            <wp:extent cx="5019675" cy="5410200"/>
            <wp:effectExtent l="0" t="0" r="9525" b="0"/>
            <wp:wrapTight wrapText="bothSides">
              <wp:wrapPolygon edited="0">
                <wp:start x="15903" y="76"/>
                <wp:lineTo x="0" y="837"/>
                <wp:lineTo x="0" y="3651"/>
                <wp:lineTo x="1476" y="3879"/>
                <wp:lineTo x="1557" y="7530"/>
                <wp:lineTo x="82" y="8670"/>
                <wp:lineTo x="82" y="13462"/>
                <wp:lineTo x="656" y="13614"/>
                <wp:lineTo x="4181" y="13614"/>
                <wp:lineTo x="4672" y="14831"/>
                <wp:lineTo x="4263" y="15515"/>
                <wp:lineTo x="4099" y="15896"/>
                <wp:lineTo x="4099" y="17493"/>
                <wp:lineTo x="4345" y="18482"/>
                <wp:lineTo x="4427" y="18634"/>
                <wp:lineTo x="5820" y="19699"/>
                <wp:lineTo x="7869" y="20915"/>
                <wp:lineTo x="7951" y="21144"/>
                <wp:lineTo x="12378" y="21448"/>
                <wp:lineTo x="14919" y="21524"/>
                <wp:lineTo x="15329" y="21524"/>
                <wp:lineTo x="15411" y="20915"/>
                <wp:lineTo x="17952" y="19699"/>
                <wp:lineTo x="19018" y="18634"/>
                <wp:lineTo x="19264" y="16048"/>
                <wp:lineTo x="18772" y="15135"/>
                <wp:lineTo x="18608" y="14755"/>
                <wp:lineTo x="17214" y="13918"/>
                <wp:lineTo x="16395" y="13614"/>
                <wp:lineTo x="15985" y="12397"/>
                <wp:lineTo x="17296" y="8746"/>
                <wp:lineTo x="21559" y="8518"/>
                <wp:lineTo x="21559" y="6541"/>
                <wp:lineTo x="20821" y="6313"/>
                <wp:lineTo x="21395" y="5552"/>
                <wp:lineTo x="21477" y="3194"/>
                <wp:lineTo x="21067" y="3042"/>
                <wp:lineTo x="17788" y="2662"/>
                <wp:lineTo x="18936" y="2662"/>
                <wp:lineTo x="20329" y="1977"/>
                <wp:lineTo x="20247" y="76"/>
                <wp:lineTo x="15903" y="76"/>
              </wp:wrapPolygon>
            </wp:wrapTight>
            <wp:docPr id="85" name="Content Placeholde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pic:cNvPicPr>
                  </pic:nvPicPr>
                  <pic:blipFill rotWithShape="1">
                    <a:blip r:embed="rId14" cstate="print">
                      <a:extLst>
                        <a:ext uri="{28A0092B-C50C-407E-A947-70E740481C1C}">
                          <a14:useLocalDpi xmlns:a14="http://schemas.microsoft.com/office/drawing/2010/main" val="0"/>
                        </a:ext>
                      </a:extLst>
                    </a:blip>
                    <a:srcRect t="9339" b="14798"/>
                    <a:stretch/>
                  </pic:blipFill>
                  <pic:spPr bwMode="auto">
                    <a:xfrm>
                      <a:off x="0" y="0"/>
                      <a:ext cx="5019675" cy="541020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D0534" w:rsidRPr="009A2157" w:rsidRDefault="004D0534" w:rsidP="009A2157">
      <w:pPr>
        <w:spacing w:before="0" w:after="0"/>
        <w:jc w:val="center"/>
        <w:rPr>
          <w:b/>
        </w:rPr>
      </w:pPr>
    </w:p>
    <w:p w:rsidR="004D0534" w:rsidRPr="009A2157" w:rsidRDefault="004D0534" w:rsidP="009A2157">
      <w:pPr>
        <w:spacing w:before="0" w:after="0"/>
        <w:jc w:val="center"/>
        <w:rPr>
          <w:b/>
        </w:rPr>
      </w:pPr>
    </w:p>
    <w:p w:rsidR="004D0534" w:rsidRPr="009A2157" w:rsidRDefault="004D0534" w:rsidP="009A2157">
      <w:pPr>
        <w:spacing w:before="0" w:after="0"/>
        <w:jc w:val="center"/>
        <w:rPr>
          <w:b/>
        </w:rPr>
      </w:pPr>
    </w:p>
    <w:p w:rsidR="004D0534" w:rsidRPr="009A2157" w:rsidRDefault="004D0534" w:rsidP="009A2157">
      <w:pPr>
        <w:spacing w:before="0" w:after="0"/>
        <w:jc w:val="center"/>
        <w:rPr>
          <w:b/>
        </w:rPr>
      </w:pPr>
    </w:p>
    <w:p w:rsidR="004D0534" w:rsidRPr="009A2157" w:rsidRDefault="004D0534" w:rsidP="009A2157">
      <w:pPr>
        <w:spacing w:before="0" w:after="0"/>
        <w:jc w:val="center"/>
        <w:rPr>
          <w:b/>
        </w:rPr>
      </w:pPr>
    </w:p>
    <w:p w:rsidR="004D0534" w:rsidRPr="009A2157" w:rsidRDefault="004D0534" w:rsidP="009A2157">
      <w:pPr>
        <w:spacing w:before="0" w:after="0"/>
        <w:jc w:val="center"/>
        <w:rPr>
          <w:b/>
        </w:rPr>
      </w:pPr>
    </w:p>
    <w:p w:rsidR="004D0534" w:rsidRPr="009A2157" w:rsidRDefault="004D0534" w:rsidP="009A2157">
      <w:pPr>
        <w:spacing w:before="0" w:after="0"/>
        <w:jc w:val="center"/>
        <w:rPr>
          <w:b/>
        </w:rPr>
      </w:pPr>
    </w:p>
    <w:p w:rsidR="004D0534" w:rsidRPr="009A2157" w:rsidRDefault="004D0534" w:rsidP="009A2157">
      <w:pPr>
        <w:spacing w:before="0" w:after="0"/>
        <w:jc w:val="center"/>
        <w:rPr>
          <w:b/>
        </w:rPr>
      </w:pPr>
    </w:p>
    <w:p w:rsidR="004D0534" w:rsidRPr="009A2157" w:rsidRDefault="004D0534" w:rsidP="009A2157">
      <w:pPr>
        <w:spacing w:before="0" w:after="0"/>
        <w:jc w:val="center"/>
        <w:rPr>
          <w:b/>
        </w:rPr>
      </w:pPr>
    </w:p>
    <w:p w:rsidR="004D0534" w:rsidRPr="009A2157" w:rsidRDefault="004D0534" w:rsidP="009A2157">
      <w:pPr>
        <w:spacing w:before="0" w:after="0"/>
        <w:jc w:val="center"/>
        <w:rPr>
          <w:b/>
        </w:rPr>
      </w:pPr>
    </w:p>
    <w:p w:rsidR="004D0534" w:rsidRPr="009A2157" w:rsidRDefault="004D0534" w:rsidP="009A2157">
      <w:pPr>
        <w:spacing w:before="0" w:after="0"/>
        <w:jc w:val="center"/>
        <w:rPr>
          <w:b/>
        </w:rPr>
      </w:pPr>
    </w:p>
    <w:p w:rsidR="00373E41" w:rsidRDefault="00373E41" w:rsidP="00B33427">
      <w:pPr>
        <w:spacing w:before="0" w:after="0"/>
        <w:rPr>
          <w:b/>
        </w:rPr>
      </w:pPr>
    </w:p>
    <w:p w:rsidR="00373E41" w:rsidRDefault="00373E41" w:rsidP="00B33427">
      <w:pPr>
        <w:spacing w:before="0" w:after="0"/>
        <w:rPr>
          <w:b/>
        </w:rPr>
      </w:pPr>
    </w:p>
    <w:p w:rsidR="00373E41" w:rsidRDefault="00373E41" w:rsidP="00B33427">
      <w:pPr>
        <w:spacing w:before="0" w:after="0"/>
        <w:rPr>
          <w:b/>
        </w:rPr>
      </w:pPr>
    </w:p>
    <w:p w:rsidR="00373BEF" w:rsidRPr="009A2157" w:rsidRDefault="00E21055" w:rsidP="00B33427">
      <w:pPr>
        <w:spacing w:before="0" w:after="0"/>
        <w:rPr>
          <w:b/>
        </w:rPr>
      </w:pPr>
      <w:proofErr w:type="gramStart"/>
      <w:r w:rsidRPr="009A2157">
        <w:rPr>
          <w:b/>
        </w:rPr>
        <w:t>The operation of the Unit Titles Act, Cap.</w:t>
      </w:r>
      <w:proofErr w:type="gramEnd"/>
      <w:r w:rsidRPr="009A2157">
        <w:rPr>
          <w:b/>
        </w:rPr>
        <w:t xml:space="preserve"> 416, as outlined in Tenga's framework, designates the Registrar of Titles as the primary regulatory authority</w:t>
      </w:r>
    </w:p>
    <w:p w:rsidR="00B33427" w:rsidRDefault="00B33427" w:rsidP="00B33427">
      <w:pPr>
        <w:pStyle w:val="Caption"/>
        <w:spacing w:line="480" w:lineRule="auto"/>
        <w:jc w:val="both"/>
        <w:rPr>
          <w:sz w:val="24"/>
          <w:szCs w:val="24"/>
        </w:rPr>
      </w:pPr>
    </w:p>
    <w:p w:rsidR="00B33427" w:rsidRPr="00D77A16" w:rsidRDefault="00761BE9" w:rsidP="00B33427">
      <w:pPr>
        <w:pStyle w:val="Caption"/>
        <w:spacing w:line="480" w:lineRule="auto"/>
        <w:jc w:val="both"/>
        <w:rPr>
          <w:sz w:val="24"/>
          <w:szCs w:val="24"/>
        </w:rPr>
      </w:pPr>
      <w:r w:rsidRPr="009A2157">
        <w:rPr>
          <w:noProof/>
          <w:sz w:val="24"/>
          <w:szCs w:val="24"/>
          <w:lang w:val="en-US"/>
        </w:rPr>
        <w:drawing>
          <wp:anchor distT="0" distB="0" distL="114300" distR="114300" simplePos="0" relativeHeight="251656192" behindDoc="0" locked="0" layoutInCell="1" allowOverlap="1" wp14:anchorId="6FCEB125" wp14:editId="676ECE87">
            <wp:simplePos x="0" y="0"/>
            <wp:positionH relativeFrom="character">
              <wp:posOffset>-68580</wp:posOffset>
            </wp:positionH>
            <wp:positionV relativeFrom="paragraph">
              <wp:posOffset>236220</wp:posOffset>
            </wp:positionV>
            <wp:extent cx="5248275" cy="4352925"/>
            <wp:effectExtent l="0" t="0" r="0" b="0"/>
            <wp:wrapTight wrapText="bothSides">
              <wp:wrapPolygon edited="0">
                <wp:start x="10349" y="95"/>
                <wp:lineTo x="2587" y="1040"/>
                <wp:lineTo x="1646" y="1229"/>
                <wp:lineTo x="1646" y="12383"/>
                <wp:lineTo x="0" y="12761"/>
                <wp:lineTo x="0" y="14747"/>
                <wp:lineTo x="1646" y="15408"/>
                <wp:lineTo x="1646" y="16448"/>
                <wp:lineTo x="2509" y="16921"/>
                <wp:lineTo x="4312" y="16921"/>
                <wp:lineTo x="4312" y="20607"/>
                <wp:lineTo x="7291" y="21175"/>
                <wp:lineTo x="10349" y="21364"/>
                <wp:lineTo x="14113" y="21364"/>
                <wp:lineTo x="17484" y="21175"/>
                <wp:lineTo x="20698" y="20607"/>
                <wp:lineTo x="20620" y="6333"/>
                <wp:lineTo x="19287" y="6333"/>
                <wp:lineTo x="20698" y="5955"/>
                <wp:lineTo x="20777" y="3970"/>
                <wp:lineTo x="20385" y="3592"/>
                <wp:lineTo x="19052" y="3309"/>
                <wp:lineTo x="19130" y="2363"/>
                <wp:lineTo x="17013" y="1796"/>
                <wp:lineTo x="17092" y="1134"/>
                <wp:lineTo x="13799" y="95"/>
                <wp:lineTo x="10349" y="95"/>
              </wp:wrapPolygon>
            </wp:wrapTight>
            <wp:docPr id="87" name="Content Placeholde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tent Placeholder 3"/>
                    <pic:cNvPicPr preferRelativeResize="0">
                      <a:picLocks/>
                    </pic:cNvPicPr>
                  </pic:nvPicPr>
                  <pic:blipFill rotWithShape="1">
                    <a:blip r:embed="rId15" cstate="print">
                      <a:extLst>
                        <a:ext uri="{28A0092B-C50C-407E-A947-70E740481C1C}">
                          <a14:useLocalDpi xmlns:a14="http://schemas.microsoft.com/office/drawing/2010/main" val="0"/>
                        </a:ext>
                      </a:extLst>
                    </a:blip>
                    <a:srcRect t="2300" b="38333"/>
                    <a:stretch/>
                  </pic:blipFill>
                  <pic:spPr bwMode="auto">
                    <a:xfrm>
                      <a:off x="0" y="0"/>
                      <a:ext cx="5248275" cy="435292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3427" w:rsidRPr="00D77A16">
        <w:rPr>
          <w:sz w:val="24"/>
          <w:szCs w:val="24"/>
        </w:rPr>
        <w:t>The Unit Titles Association - Operational Relationships</w:t>
      </w:r>
    </w:p>
    <w:p w:rsidR="00373BEF" w:rsidRDefault="00373BEF" w:rsidP="009A2157">
      <w:pPr>
        <w:pStyle w:val="NormalWeb"/>
        <w:spacing w:before="0" w:after="0"/>
      </w:pPr>
    </w:p>
    <w:p w:rsidR="00B33427" w:rsidRDefault="00B33427" w:rsidP="009A2157">
      <w:pPr>
        <w:pStyle w:val="NormalWeb"/>
        <w:spacing w:before="0" w:after="0"/>
      </w:pPr>
    </w:p>
    <w:p w:rsidR="00B33427" w:rsidRDefault="00B33427" w:rsidP="009A2157">
      <w:pPr>
        <w:pStyle w:val="NormalWeb"/>
        <w:spacing w:before="0" w:after="0"/>
      </w:pPr>
    </w:p>
    <w:p w:rsidR="00B33427" w:rsidRDefault="00B33427" w:rsidP="009A2157">
      <w:pPr>
        <w:pStyle w:val="NormalWeb"/>
        <w:spacing w:before="0" w:after="0"/>
      </w:pPr>
    </w:p>
    <w:p w:rsidR="00B33427" w:rsidRDefault="00B33427" w:rsidP="009A2157">
      <w:pPr>
        <w:pStyle w:val="NormalWeb"/>
        <w:spacing w:before="0" w:after="0"/>
      </w:pPr>
    </w:p>
    <w:p w:rsidR="00B33427" w:rsidRPr="009A2157" w:rsidRDefault="00B33427" w:rsidP="009A2157">
      <w:pPr>
        <w:pStyle w:val="NormalWeb"/>
        <w:spacing w:before="0" w:after="0"/>
      </w:pPr>
    </w:p>
    <w:p w:rsidR="00B33427" w:rsidRDefault="00B33427" w:rsidP="009A2157">
      <w:pPr>
        <w:pStyle w:val="Heading2"/>
        <w:spacing w:before="0" w:after="0"/>
        <w:rPr>
          <w:rFonts w:cs="Times New Roman"/>
          <w:szCs w:val="24"/>
        </w:rPr>
      </w:pPr>
      <w:bookmarkStart w:id="102" w:name="_Toc194845394"/>
    </w:p>
    <w:p w:rsidR="00B33427" w:rsidRDefault="00B33427" w:rsidP="009A2157">
      <w:pPr>
        <w:pStyle w:val="Heading2"/>
        <w:spacing w:before="0" w:after="0"/>
        <w:rPr>
          <w:rFonts w:cs="Times New Roman"/>
          <w:szCs w:val="24"/>
        </w:rPr>
      </w:pPr>
    </w:p>
    <w:p w:rsidR="00B33427" w:rsidRDefault="00B33427" w:rsidP="009A2157">
      <w:pPr>
        <w:pStyle w:val="Heading2"/>
        <w:spacing w:before="0" w:after="0"/>
        <w:rPr>
          <w:rFonts w:cs="Times New Roman"/>
          <w:szCs w:val="24"/>
        </w:rPr>
      </w:pPr>
    </w:p>
    <w:p w:rsidR="00B33427" w:rsidRDefault="00B33427" w:rsidP="009A2157">
      <w:pPr>
        <w:pStyle w:val="Heading2"/>
        <w:spacing w:before="0" w:after="0"/>
        <w:rPr>
          <w:rFonts w:cs="Times New Roman"/>
          <w:szCs w:val="24"/>
        </w:rPr>
      </w:pPr>
    </w:p>
    <w:p w:rsidR="00B33427" w:rsidRDefault="00B33427" w:rsidP="009A2157">
      <w:pPr>
        <w:pStyle w:val="Heading2"/>
        <w:spacing w:before="0" w:after="0"/>
        <w:rPr>
          <w:rFonts w:cs="Times New Roman"/>
          <w:szCs w:val="24"/>
        </w:rPr>
      </w:pPr>
    </w:p>
    <w:p w:rsidR="00761BE9" w:rsidRDefault="00761BE9" w:rsidP="009A2157">
      <w:pPr>
        <w:pStyle w:val="Heading2"/>
        <w:spacing w:before="0" w:after="0"/>
        <w:rPr>
          <w:rFonts w:cs="Times New Roman"/>
          <w:szCs w:val="24"/>
        </w:rPr>
      </w:pPr>
    </w:p>
    <w:p w:rsidR="00373E41" w:rsidRPr="00373E41" w:rsidRDefault="00373E41" w:rsidP="00373E41">
      <w:pPr>
        <w:spacing w:before="0" w:after="0"/>
      </w:pPr>
    </w:p>
    <w:p w:rsidR="00EB1C78" w:rsidRPr="009A2157" w:rsidRDefault="007F3BF7" w:rsidP="009A2157">
      <w:pPr>
        <w:pStyle w:val="Heading2"/>
        <w:spacing w:before="0" w:after="0"/>
        <w:rPr>
          <w:rFonts w:cs="Times New Roman"/>
          <w:szCs w:val="24"/>
        </w:rPr>
      </w:pPr>
      <w:r w:rsidRPr="009A2157">
        <w:rPr>
          <w:rFonts w:cs="Times New Roman"/>
          <w:szCs w:val="24"/>
        </w:rPr>
        <w:t>2.4</w:t>
      </w:r>
      <w:r w:rsidR="00B33427">
        <w:rPr>
          <w:rFonts w:cs="Times New Roman"/>
          <w:szCs w:val="24"/>
        </w:rPr>
        <w:t xml:space="preserve"> </w:t>
      </w:r>
      <w:r w:rsidR="00EB1C78" w:rsidRPr="009A2157">
        <w:rPr>
          <w:rFonts w:cs="Times New Roman"/>
          <w:szCs w:val="24"/>
        </w:rPr>
        <w:t>Principal Characteristic of Unit Title</w:t>
      </w:r>
      <w:bookmarkEnd w:id="102"/>
      <w:r w:rsidR="0081377F">
        <w:rPr>
          <w:rFonts w:cs="Times New Roman"/>
          <w:szCs w:val="24"/>
        </w:rPr>
        <w:fldChar w:fldCharType="begin"/>
      </w:r>
      <w:r w:rsidR="0081377F">
        <w:instrText xml:space="preserve"> TC "</w:instrText>
      </w:r>
      <w:bookmarkStart w:id="103" w:name="_Toc213301676"/>
      <w:r w:rsidR="0081377F" w:rsidRPr="009C5518">
        <w:rPr>
          <w:rFonts w:cs="Times New Roman"/>
          <w:szCs w:val="24"/>
        </w:rPr>
        <w:instrText>2.4 Principal Characteristic of Unit Title</w:instrText>
      </w:r>
      <w:bookmarkEnd w:id="103"/>
      <w:r w:rsidR="0081377F">
        <w:instrText xml:space="preserve">" \f C \l "1" </w:instrText>
      </w:r>
      <w:r w:rsidR="0081377F">
        <w:rPr>
          <w:rFonts w:cs="Times New Roman"/>
          <w:szCs w:val="24"/>
        </w:rPr>
        <w:fldChar w:fldCharType="end"/>
      </w:r>
    </w:p>
    <w:p w:rsidR="00EB1C78" w:rsidRPr="009A2157" w:rsidRDefault="00EB1C78" w:rsidP="009A2157">
      <w:pPr>
        <w:spacing w:before="0" w:after="0"/>
        <w:jc w:val="left"/>
      </w:pPr>
      <w:r w:rsidRPr="009A2157">
        <w:t>There are three principal characteristics of unit title, as described below;</w:t>
      </w:r>
    </w:p>
    <w:p w:rsidR="00761BE9" w:rsidRPr="00373E41" w:rsidRDefault="00761BE9" w:rsidP="009A2157">
      <w:pPr>
        <w:pStyle w:val="Heading3"/>
        <w:spacing w:before="0" w:after="0"/>
        <w:rPr>
          <w:rStyle w:val="Strong"/>
          <w:rFonts w:cs="Times New Roman"/>
          <w:b/>
          <w:bCs w:val="0"/>
          <w:sz w:val="22"/>
        </w:rPr>
      </w:pPr>
      <w:bookmarkStart w:id="104" w:name="_Toc194845395"/>
    </w:p>
    <w:p w:rsidR="0023777A" w:rsidRPr="009A2157" w:rsidRDefault="00184A44" w:rsidP="0081377F">
      <w:pPr>
        <w:pStyle w:val="Heading3"/>
        <w:spacing w:before="0" w:after="0"/>
        <w:jc w:val="both"/>
        <w:rPr>
          <w:rFonts w:cs="Times New Roman"/>
        </w:rPr>
      </w:pPr>
      <w:r w:rsidRPr="009A2157">
        <w:rPr>
          <w:rStyle w:val="Strong"/>
          <w:rFonts w:cs="Times New Roman"/>
          <w:b/>
          <w:bCs w:val="0"/>
        </w:rPr>
        <w:t>2.4.1</w:t>
      </w:r>
      <w:r w:rsidR="00761BE9">
        <w:rPr>
          <w:rStyle w:val="Strong"/>
          <w:rFonts w:cs="Times New Roman"/>
          <w:b/>
          <w:bCs w:val="0"/>
        </w:rPr>
        <w:t xml:space="preserve"> </w:t>
      </w:r>
      <w:r w:rsidR="0023777A" w:rsidRPr="009A2157">
        <w:rPr>
          <w:rStyle w:val="Strong"/>
          <w:rFonts w:cs="Times New Roman"/>
          <w:b/>
          <w:bCs w:val="0"/>
        </w:rPr>
        <w:t>Ownership of Individual Units</w:t>
      </w:r>
      <w:bookmarkEnd w:id="104"/>
      <w:r w:rsidR="0081377F">
        <w:rPr>
          <w:rStyle w:val="Strong"/>
          <w:rFonts w:cs="Times New Roman"/>
          <w:b/>
          <w:bCs w:val="0"/>
        </w:rPr>
        <w:fldChar w:fldCharType="begin"/>
      </w:r>
      <w:r w:rsidR="0081377F">
        <w:instrText xml:space="preserve"> TC "</w:instrText>
      </w:r>
      <w:bookmarkStart w:id="105" w:name="_Toc213301677"/>
      <w:r w:rsidR="0081377F" w:rsidRPr="00C569BE">
        <w:rPr>
          <w:rStyle w:val="Strong"/>
          <w:rFonts w:cs="Times New Roman"/>
          <w:b/>
          <w:bCs w:val="0"/>
        </w:rPr>
        <w:instrText>2.4.1 Ownership of Individual Units</w:instrText>
      </w:r>
      <w:bookmarkEnd w:id="105"/>
      <w:r w:rsidR="0081377F">
        <w:instrText xml:space="preserve">" \f C \l "1" </w:instrText>
      </w:r>
      <w:r w:rsidR="0081377F">
        <w:rPr>
          <w:rStyle w:val="Strong"/>
          <w:rFonts w:cs="Times New Roman"/>
          <w:b/>
          <w:bCs w:val="0"/>
        </w:rPr>
        <w:fldChar w:fldCharType="end"/>
      </w:r>
    </w:p>
    <w:p w:rsidR="0023777A" w:rsidRDefault="0023777A" w:rsidP="009A2157">
      <w:pPr>
        <w:pStyle w:val="NormalWeb"/>
        <w:spacing w:before="0" w:after="0"/>
      </w:pPr>
      <w:r w:rsidRPr="009A2157">
        <w:t>The Unit Title system allows individuals to own distinct units within a larger property development, such as apartments, townhouses, or office spaces. Each unit owner is granted a separate legal title, which provides them with exclusive rights to occupy, use, and transfer their specific unit.</w:t>
      </w:r>
      <w:r w:rsidR="00A83EF7" w:rsidRPr="009A2157">
        <w:rPr>
          <w:rStyle w:val="FootnoteReference"/>
        </w:rPr>
        <w:footnoteReference w:id="28"/>
      </w:r>
      <w:r w:rsidRPr="009A2157">
        <w:t xml:space="preserve"> This form of ownership is particularly beneficial in urban areas, where high-rise buildings and planned developments require structured property rights. By providing a clear and legally recognized ownership structure, unit titles enhance the security of property investments and facilitate real estate transactions.</w:t>
      </w:r>
    </w:p>
    <w:p w:rsidR="00373E41" w:rsidRPr="009A2157" w:rsidRDefault="00373E41" w:rsidP="009A2157">
      <w:pPr>
        <w:pStyle w:val="NormalWeb"/>
        <w:spacing w:before="0" w:after="0"/>
      </w:pPr>
    </w:p>
    <w:p w:rsidR="0023777A" w:rsidRDefault="0023777A" w:rsidP="009A2157">
      <w:pPr>
        <w:pStyle w:val="NormalWeb"/>
        <w:spacing w:before="0" w:after="0"/>
      </w:pPr>
      <w:r w:rsidRPr="009A2157">
        <w:t>Furthermore, unit ownership under this system is protected by statutory regulations that define the boundaries of individual units and distinguish them from shared spaces. This ensures that owners can exercise their rights without interference while being obligated to comply with building regulations and management rules. The unit title framework enables a streamlined process for buying, selling, or leasing units, making property transactions more transparent and efficient.</w:t>
      </w:r>
      <w:r w:rsidR="00A83EF7" w:rsidRPr="009A2157">
        <w:rPr>
          <w:rStyle w:val="FootnoteReference"/>
        </w:rPr>
        <w:footnoteReference w:id="29"/>
      </w:r>
    </w:p>
    <w:p w:rsidR="00373E41" w:rsidRPr="009A2157" w:rsidRDefault="00373E41" w:rsidP="009A2157">
      <w:pPr>
        <w:pStyle w:val="NormalWeb"/>
        <w:spacing w:before="0" w:after="0"/>
      </w:pPr>
    </w:p>
    <w:p w:rsidR="0023777A" w:rsidRPr="009A2157" w:rsidRDefault="00184A44" w:rsidP="009A2157">
      <w:pPr>
        <w:pStyle w:val="Heading3"/>
        <w:spacing w:before="0" w:after="0"/>
        <w:rPr>
          <w:rFonts w:cs="Times New Roman"/>
        </w:rPr>
      </w:pPr>
      <w:bookmarkStart w:id="106" w:name="_Toc194845396"/>
      <w:r w:rsidRPr="009A2157">
        <w:rPr>
          <w:rStyle w:val="Strong"/>
          <w:rFonts w:cs="Times New Roman"/>
          <w:b/>
          <w:bCs w:val="0"/>
        </w:rPr>
        <w:t>2.4.2</w:t>
      </w:r>
      <w:r w:rsidR="0081377F">
        <w:rPr>
          <w:rStyle w:val="Strong"/>
          <w:rFonts w:cs="Times New Roman"/>
          <w:b/>
          <w:bCs w:val="0"/>
        </w:rPr>
        <w:t xml:space="preserve"> </w:t>
      </w:r>
      <w:r w:rsidR="0023777A" w:rsidRPr="009A2157">
        <w:rPr>
          <w:rStyle w:val="Strong"/>
          <w:rFonts w:cs="Times New Roman"/>
          <w:b/>
          <w:bCs w:val="0"/>
        </w:rPr>
        <w:t>Common Property Ownership</w:t>
      </w:r>
      <w:bookmarkEnd w:id="106"/>
      <w:r w:rsidR="0081377F">
        <w:rPr>
          <w:rStyle w:val="Strong"/>
          <w:rFonts w:cs="Times New Roman"/>
          <w:b/>
          <w:bCs w:val="0"/>
        </w:rPr>
        <w:fldChar w:fldCharType="begin"/>
      </w:r>
      <w:r w:rsidR="0081377F">
        <w:instrText xml:space="preserve"> TC "</w:instrText>
      </w:r>
      <w:bookmarkStart w:id="107" w:name="_Toc213301678"/>
      <w:r w:rsidR="0081377F" w:rsidRPr="00AB134F">
        <w:rPr>
          <w:rStyle w:val="Strong"/>
          <w:rFonts w:cs="Times New Roman"/>
          <w:b/>
          <w:bCs w:val="0"/>
        </w:rPr>
        <w:instrText>2.4.2 Common Property Ownership</w:instrText>
      </w:r>
      <w:bookmarkEnd w:id="107"/>
      <w:r w:rsidR="0081377F">
        <w:instrText xml:space="preserve">" \f C \l "1" </w:instrText>
      </w:r>
      <w:r w:rsidR="0081377F">
        <w:rPr>
          <w:rStyle w:val="Strong"/>
          <w:rFonts w:cs="Times New Roman"/>
          <w:b/>
          <w:bCs w:val="0"/>
        </w:rPr>
        <w:fldChar w:fldCharType="end"/>
      </w:r>
    </w:p>
    <w:p w:rsidR="0023777A" w:rsidRDefault="0023777A" w:rsidP="009A2157">
      <w:pPr>
        <w:pStyle w:val="NormalWeb"/>
        <w:spacing w:before="0" w:after="0"/>
      </w:pPr>
      <w:r w:rsidRPr="009A2157">
        <w:t>While each unit owner holds an individual title, they also share collective ownership of common areas within the development. These shared spaces typically include hallways, elevators, staircases, gardens, and recreational facilities, which are essential for the overall functionality and aesthetic appeal of the property.</w:t>
      </w:r>
      <w:r w:rsidR="00A83EF7" w:rsidRPr="009A2157">
        <w:rPr>
          <w:rStyle w:val="FootnoteReference"/>
        </w:rPr>
        <w:footnoteReference w:id="30"/>
      </w:r>
      <w:r w:rsidRPr="009A2157">
        <w:t xml:space="preserve"> The common property is managed by a legally established entity, such as a body corporate or an owners' association, which oversees maintenance, security, and operational matters. This structure ensures that all owners contribute to the upkeep of shared spaces, maintaining the value and livability of the property.</w:t>
      </w:r>
      <w:r w:rsidR="00A83EF7" w:rsidRPr="009A2157">
        <w:rPr>
          <w:rStyle w:val="FootnoteReference"/>
        </w:rPr>
        <w:footnoteReference w:id="31"/>
      </w:r>
      <w:r w:rsidR="00373E41">
        <w:t xml:space="preserve"> </w:t>
      </w:r>
      <w:r w:rsidRPr="009A2157">
        <w:t>In addition, the governance of common property is subject to clearly defined legal provisions that regulate decision-making and financial responsibilities among unit owners. The body corporate enforces rules regarding the use of shared spaces, dispute resolution, and compliance with safety and environmental standards. This collective management approach balances individual property rights with communal responsibilities, fostering harmonious co-existence among unit owners.</w:t>
      </w:r>
      <w:r w:rsidR="00CF4FD0" w:rsidRPr="009A2157">
        <w:rPr>
          <w:rStyle w:val="FootnoteReference"/>
        </w:rPr>
        <w:footnoteReference w:id="32"/>
      </w:r>
    </w:p>
    <w:p w:rsidR="00373E41" w:rsidRPr="009A2157" w:rsidRDefault="00373E41" w:rsidP="009A2157">
      <w:pPr>
        <w:pStyle w:val="NormalWeb"/>
        <w:spacing w:before="0" w:after="0"/>
      </w:pPr>
    </w:p>
    <w:p w:rsidR="0023777A" w:rsidRPr="009A2157" w:rsidRDefault="00184A44" w:rsidP="009A2157">
      <w:pPr>
        <w:pStyle w:val="Heading3"/>
        <w:spacing w:before="0" w:after="0"/>
        <w:rPr>
          <w:rFonts w:cs="Times New Roman"/>
        </w:rPr>
      </w:pPr>
      <w:bookmarkStart w:id="108" w:name="_Toc194845397"/>
      <w:r w:rsidRPr="009A2157">
        <w:rPr>
          <w:rStyle w:val="Strong"/>
          <w:rFonts w:cs="Times New Roman"/>
          <w:b/>
          <w:bCs w:val="0"/>
        </w:rPr>
        <w:t>2.4.3</w:t>
      </w:r>
      <w:r w:rsidR="0081377F">
        <w:rPr>
          <w:rStyle w:val="Strong"/>
          <w:rFonts w:cs="Times New Roman"/>
          <w:b/>
          <w:bCs w:val="0"/>
        </w:rPr>
        <w:t xml:space="preserve"> </w:t>
      </w:r>
      <w:r w:rsidR="0023777A" w:rsidRPr="009A2157">
        <w:rPr>
          <w:rStyle w:val="Strong"/>
          <w:rFonts w:cs="Times New Roman"/>
          <w:b/>
          <w:bCs w:val="0"/>
        </w:rPr>
        <w:t>Indivisibility of Title</w:t>
      </w:r>
      <w:bookmarkEnd w:id="108"/>
      <w:r w:rsidR="0081377F">
        <w:rPr>
          <w:rStyle w:val="Strong"/>
          <w:rFonts w:cs="Times New Roman"/>
          <w:b/>
          <w:bCs w:val="0"/>
        </w:rPr>
        <w:fldChar w:fldCharType="begin"/>
      </w:r>
      <w:r w:rsidR="0081377F">
        <w:instrText xml:space="preserve"> TC "</w:instrText>
      </w:r>
      <w:bookmarkStart w:id="109" w:name="_Toc213301679"/>
      <w:r w:rsidR="0081377F" w:rsidRPr="00CE73A1">
        <w:rPr>
          <w:rStyle w:val="Strong"/>
          <w:rFonts w:cs="Times New Roman"/>
          <w:b/>
          <w:bCs w:val="0"/>
        </w:rPr>
        <w:instrText>2.4.3 Indivisibility of Title</w:instrText>
      </w:r>
      <w:bookmarkEnd w:id="109"/>
      <w:r w:rsidR="0081377F">
        <w:instrText xml:space="preserve">" \f C \l "1" </w:instrText>
      </w:r>
      <w:r w:rsidR="0081377F">
        <w:rPr>
          <w:rStyle w:val="Strong"/>
          <w:rFonts w:cs="Times New Roman"/>
          <w:b/>
          <w:bCs w:val="0"/>
        </w:rPr>
        <w:fldChar w:fldCharType="end"/>
      </w:r>
    </w:p>
    <w:p w:rsidR="00A83EF7" w:rsidRDefault="0023777A" w:rsidP="009A2157">
      <w:pPr>
        <w:pStyle w:val="NormalWeb"/>
        <w:spacing w:before="0" w:after="0"/>
      </w:pPr>
      <w:r w:rsidRPr="009A2157">
        <w:t>A fundamental characteristic of the unit title system is that ownership of an individual unit is inseparably linked to a proportional share in the common property.</w:t>
      </w:r>
      <w:r w:rsidR="00CF4FD0" w:rsidRPr="009A2157">
        <w:rPr>
          <w:rStyle w:val="FootnoteReference"/>
        </w:rPr>
        <w:footnoteReference w:id="33"/>
      </w:r>
      <w:r w:rsidRPr="009A2157">
        <w:t xml:space="preserve"> This means that a unit cannot be sold or transferred separately from its corresponding share in the jointly owned spaces. The indivisibility of title ensures that all unit owners remain stakeholders in the collective management of the development, preventing fragmentation of ownership rights that could lead to governance complications.</w:t>
      </w:r>
      <w:r w:rsidR="00CF4FD0" w:rsidRPr="009A2157">
        <w:rPr>
          <w:rStyle w:val="FootnoteReference"/>
        </w:rPr>
        <w:footnoteReference w:id="34"/>
      </w:r>
    </w:p>
    <w:p w:rsidR="00373E41" w:rsidRPr="009A2157" w:rsidRDefault="00373E41" w:rsidP="009A2157">
      <w:pPr>
        <w:pStyle w:val="NormalWeb"/>
        <w:spacing w:before="0" w:after="0"/>
      </w:pPr>
    </w:p>
    <w:p w:rsidR="0023777A" w:rsidRPr="009A2157" w:rsidRDefault="0023777A" w:rsidP="009A2157">
      <w:pPr>
        <w:pStyle w:val="NormalWeb"/>
        <w:spacing w:before="0" w:after="0"/>
      </w:pPr>
      <w:r w:rsidRPr="009A2157">
        <w:t>This feature also plays a crucial role in preserving the integrity of the property and its shared facilities. By ensuring that every owner has a stake in the common property, the system encourages accountability and active participation in maintenance efforts. Additionally, it prevents situations where some units are sold without their corresponding obligations, which could disrupt the financial and operational stability of the development.</w:t>
      </w:r>
      <w:r w:rsidR="00CF4FD0" w:rsidRPr="009A2157">
        <w:rPr>
          <w:rStyle w:val="FootnoteReference"/>
        </w:rPr>
        <w:footnoteReference w:id="35"/>
      </w:r>
    </w:p>
    <w:p w:rsidR="00CF4FD0" w:rsidRPr="009A2157" w:rsidRDefault="00CF4FD0" w:rsidP="009A2157">
      <w:pPr>
        <w:pStyle w:val="NormalWeb"/>
        <w:spacing w:before="0" w:after="0"/>
      </w:pPr>
    </w:p>
    <w:p w:rsidR="0023777A" w:rsidRPr="009A2157" w:rsidRDefault="00184A44" w:rsidP="009A2157">
      <w:pPr>
        <w:pStyle w:val="Heading3"/>
        <w:spacing w:before="0" w:after="0"/>
        <w:rPr>
          <w:rFonts w:cs="Times New Roman"/>
        </w:rPr>
      </w:pPr>
      <w:bookmarkStart w:id="110" w:name="_Toc194845398"/>
      <w:r w:rsidRPr="009A2157">
        <w:rPr>
          <w:rStyle w:val="Strong"/>
          <w:rFonts w:cs="Times New Roman"/>
          <w:b/>
          <w:bCs w:val="0"/>
        </w:rPr>
        <w:t>2.4.4</w:t>
      </w:r>
      <w:r w:rsidR="0081377F">
        <w:rPr>
          <w:rStyle w:val="Strong"/>
          <w:rFonts w:cs="Times New Roman"/>
          <w:b/>
          <w:bCs w:val="0"/>
        </w:rPr>
        <w:t xml:space="preserve"> </w:t>
      </w:r>
      <w:r w:rsidR="0023777A" w:rsidRPr="009A2157">
        <w:rPr>
          <w:rStyle w:val="Strong"/>
          <w:rFonts w:cs="Times New Roman"/>
          <w:b/>
          <w:bCs w:val="0"/>
        </w:rPr>
        <w:t>Legal Framework for Governance</w:t>
      </w:r>
      <w:bookmarkEnd w:id="110"/>
      <w:r w:rsidR="0081377F">
        <w:rPr>
          <w:rStyle w:val="Strong"/>
          <w:rFonts w:cs="Times New Roman"/>
          <w:b/>
          <w:bCs w:val="0"/>
        </w:rPr>
        <w:fldChar w:fldCharType="begin"/>
      </w:r>
      <w:r w:rsidR="0081377F">
        <w:instrText xml:space="preserve"> TC "</w:instrText>
      </w:r>
      <w:bookmarkStart w:id="111" w:name="_Toc213301680"/>
      <w:r w:rsidR="0081377F" w:rsidRPr="00633B8B">
        <w:rPr>
          <w:rStyle w:val="Strong"/>
          <w:rFonts w:cs="Times New Roman"/>
          <w:b/>
          <w:bCs w:val="0"/>
        </w:rPr>
        <w:instrText>2.4.4 Legal Framework for Governance</w:instrText>
      </w:r>
      <w:bookmarkEnd w:id="111"/>
      <w:r w:rsidR="0081377F">
        <w:instrText xml:space="preserve">" \f C \l "1" </w:instrText>
      </w:r>
      <w:r w:rsidR="0081377F">
        <w:rPr>
          <w:rStyle w:val="Strong"/>
          <w:rFonts w:cs="Times New Roman"/>
          <w:b/>
          <w:bCs w:val="0"/>
        </w:rPr>
        <w:fldChar w:fldCharType="end"/>
      </w:r>
    </w:p>
    <w:p w:rsidR="0023777A" w:rsidRPr="009A2157" w:rsidRDefault="0023777A" w:rsidP="009A2157">
      <w:pPr>
        <w:pStyle w:val="NormalWeb"/>
        <w:spacing w:before="0" w:after="0"/>
      </w:pPr>
      <w:r w:rsidRPr="009A2157">
        <w:t>The management of unit title properties is governed by statutory laws, bylaws, and condominium regulations that outline the rights and responsibilities of owners and governing bodies.</w:t>
      </w:r>
      <w:r w:rsidR="00CF4FD0" w:rsidRPr="009A2157">
        <w:rPr>
          <w:rStyle w:val="FootnoteReference"/>
        </w:rPr>
        <w:footnoteReference w:id="36"/>
      </w:r>
      <w:r w:rsidRPr="009A2157">
        <w:t xml:space="preserve"> These legal frameworks establish clear guidelines for property administration, dispute resolution, and financial contributions, ensuring smooth operation and compliance with national property laws. Regulations typically cover aspects such as voting rights, decision-making procedures, and enforcement of rules related to property usage and modifications.</w:t>
      </w:r>
      <w:r w:rsidR="00CF4FD0" w:rsidRPr="009A2157">
        <w:rPr>
          <w:rStyle w:val="FootnoteReference"/>
        </w:rPr>
        <w:footnoteReference w:id="37"/>
      </w:r>
      <w:r w:rsidR="00373E41">
        <w:t xml:space="preserve"> </w:t>
      </w:r>
      <w:r w:rsidRPr="009A2157">
        <w:t>Moreover, the legal governance of unit titles promotes transparency and accountability in property management. Owners' associations or management bodies are required to operate within a structured legal framework, preventing arbitrary decision-making and fostering democratic participation among unit holders. This system also provides mechanisms for addressing conflicts and ensuring that unit owners fulfill their obligations, thus safeguarding the interests of all stakeholders.</w:t>
      </w:r>
      <w:r w:rsidR="00CF4FD0" w:rsidRPr="009A2157">
        <w:rPr>
          <w:rStyle w:val="FootnoteReference"/>
        </w:rPr>
        <w:footnoteReference w:id="38"/>
      </w:r>
    </w:p>
    <w:p w:rsidR="00CF4FD0" w:rsidRDefault="00766166" w:rsidP="009A2157">
      <w:pPr>
        <w:pStyle w:val="NormalWeb"/>
        <w:spacing w:before="0" w:after="0"/>
      </w:pPr>
      <w:r w:rsidRPr="009A2157">
        <w:t>Importantly, the legal governance of unit titles is rooted in the principal characteristics that define this form of ownership. These include dual ownership (individual and collective), shared maintenance obligations, participation in decision-making processes, and enforcement of common rules. The legal framework accommodates these characteristics by mandating the formation of owners’ associations (bodies corporate) and providing detailed procedures for collective action, such as passing resolutions and levying service charges. Moreover, dispute resolution mechanisms are incorporated to address conflicts arising from shared ownership, use of common property, or breach of community rules, thereby upholding the integrity and harmony of unit title developments.</w:t>
      </w:r>
    </w:p>
    <w:p w:rsidR="00373E41" w:rsidRPr="009A2157" w:rsidRDefault="00373E41" w:rsidP="009A2157">
      <w:pPr>
        <w:pStyle w:val="NormalWeb"/>
        <w:spacing w:before="0" w:after="0"/>
      </w:pPr>
    </w:p>
    <w:p w:rsidR="0023777A" w:rsidRPr="009A2157" w:rsidRDefault="00184A44" w:rsidP="0081377F">
      <w:pPr>
        <w:pStyle w:val="Heading3"/>
        <w:spacing w:before="0" w:after="0"/>
        <w:jc w:val="both"/>
        <w:rPr>
          <w:rFonts w:cs="Times New Roman"/>
        </w:rPr>
      </w:pPr>
      <w:bookmarkStart w:id="112" w:name="_Toc194845399"/>
      <w:r w:rsidRPr="009A2157">
        <w:rPr>
          <w:rStyle w:val="Strong"/>
          <w:rFonts w:cs="Times New Roman"/>
          <w:b/>
          <w:bCs w:val="0"/>
        </w:rPr>
        <w:t>2.4.5</w:t>
      </w:r>
      <w:r w:rsidR="0081377F">
        <w:rPr>
          <w:rStyle w:val="Strong"/>
          <w:rFonts w:cs="Times New Roman"/>
          <w:b/>
          <w:bCs w:val="0"/>
        </w:rPr>
        <w:t xml:space="preserve"> </w:t>
      </w:r>
      <w:r w:rsidR="0023777A" w:rsidRPr="009A2157">
        <w:rPr>
          <w:rStyle w:val="Strong"/>
          <w:rFonts w:cs="Times New Roman"/>
          <w:b/>
          <w:bCs w:val="0"/>
        </w:rPr>
        <w:t>Separate and Transferable Ownership</w:t>
      </w:r>
      <w:bookmarkEnd w:id="112"/>
      <w:r w:rsidR="0081377F">
        <w:rPr>
          <w:rStyle w:val="Strong"/>
          <w:rFonts w:cs="Times New Roman"/>
          <w:b/>
          <w:bCs w:val="0"/>
        </w:rPr>
        <w:fldChar w:fldCharType="begin"/>
      </w:r>
      <w:r w:rsidR="0081377F">
        <w:instrText xml:space="preserve"> TC "</w:instrText>
      </w:r>
      <w:bookmarkStart w:id="113" w:name="_Toc213301681"/>
      <w:r w:rsidR="0081377F" w:rsidRPr="004D7B98">
        <w:rPr>
          <w:rStyle w:val="Strong"/>
          <w:rFonts w:cs="Times New Roman"/>
          <w:b/>
          <w:bCs w:val="0"/>
        </w:rPr>
        <w:instrText>2.4.5 Separate and Transferable Ownership</w:instrText>
      </w:r>
      <w:bookmarkEnd w:id="113"/>
      <w:r w:rsidR="0081377F">
        <w:instrText xml:space="preserve">" \f C \l "1" </w:instrText>
      </w:r>
      <w:r w:rsidR="0081377F">
        <w:rPr>
          <w:rStyle w:val="Strong"/>
          <w:rFonts w:cs="Times New Roman"/>
          <w:b/>
          <w:bCs w:val="0"/>
        </w:rPr>
        <w:fldChar w:fldCharType="end"/>
      </w:r>
    </w:p>
    <w:p w:rsidR="0023777A" w:rsidRDefault="0023777A" w:rsidP="009A2157">
      <w:pPr>
        <w:pStyle w:val="NormalWeb"/>
        <w:spacing w:before="0" w:after="0"/>
      </w:pPr>
      <w:r w:rsidRPr="009A2157">
        <w:t>Unit titles offer flexibility in ownership, allowing individual units to be freely bought, sold, leased, or mortgaged.</w:t>
      </w:r>
      <w:r w:rsidR="00CF4FD0" w:rsidRPr="009A2157">
        <w:rPr>
          <w:rStyle w:val="FootnoteReference"/>
        </w:rPr>
        <w:footnoteReference w:id="39"/>
      </w:r>
      <w:r w:rsidRPr="009A2157">
        <w:t xml:space="preserve"> Unlike traditional land ownership structures, where land parcels are the primary focus, the unit title system enables ownership of space within a shared development.</w:t>
      </w:r>
      <w:r w:rsidR="00CF4FD0" w:rsidRPr="009A2157">
        <w:rPr>
          <w:rStyle w:val="FootnoteReference"/>
        </w:rPr>
        <w:footnoteReference w:id="40"/>
      </w:r>
      <w:r w:rsidRPr="009A2157">
        <w:t xml:space="preserve"> This feature enhances investment opportunities by making it easier for individuals and businesses to acquire property without the complexities of subdividing land.</w:t>
      </w:r>
    </w:p>
    <w:p w:rsidR="00373E41" w:rsidRPr="009A2157" w:rsidRDefault="00373E41" w:rsidP="009A2157">
      <w:pPr>
        <w:pStyle w:val="NormalWeb"/>
        <w:spacing w:before="0" w:after="0"/>
      </w:pPr>
    </w:p>
    <w:p w:rsidR="0023777A" w:rsidRPr="009A2157" w:rsidRDefault="0023777A" w:rsidP="009A2157">
      <w:pPr>
        <w:pStyle w:val="NormalWeb"/>
        <w:spacing w:before="0" w:after="0"/>
      </w:pPr>
      <w:r w:rsidRPr="009A2157">
        <w:t>The ability to transfer unit titles independently ensures liquidity in the real estate market and encourages financial institutions to provide mortgage financing for unit buyers.</w:t>
      </w:r>
      <w:r w:rsidR="00CF4FD0" w:rsidRPr="009A2157">
        <w:rPr>
          <w:rStyle w:val="FootnoteReference"/>
        </w:rPr>
        <w:footnoteReference w:id="41"/>
      </w:r>
      <w:r w:rsidRPr="009A2157">
        <w:t xml:space="preserve"> However, such transactions are subject to legal requirements and governing regulations that protect both buyers and existing owners. For instance, restrictions may be imposed on short-term rentals or commercial use of residential units to maintain the intended purpose and quality of the development.</w:t>
      </w:r>
      <w:r w:rsidR="00CF4FD0" w:rsidRPr="009A2157">
        <w:rPr>
          <w:rStyle w:val="FootnoteReference"/>
        </w:rPr>
        <w:footnoteReference w:id="42"/>
      </w:r>
    </w:p>
    <w:p w:rsidR="00373E41" w:rsidRDefault="00373E41" w:rsidP="0081377F">
      <w:pPr>
        <w:pStyle w:val="Heading3"/>
        <w:spacing w:before="0" w:after="0"/>
        <w:jc w:val="both"/>
        <w:rPr>
          <w:rStyle w:val="Strong"/>
          <w:rFonts w:cs="Times New Roman"/>
          <w:b/>
          <w:bCs w:val="0"/>
        </w:rPr>
      </w:pPr>
      <w:bookmarkStart w:id="114" w:name="_Toc194845400"/>
    </w:p>
    <w:p w:rsidR="0023777A" w:rsidRPr="009A2157" w:rsidRDefault="00184A44" w:rsidP="0081377F">
      <w:pPr>
        <w:pStyle w:val="Heading3"/>
        <w:spacing w:before="0" w:after="0"/>
        <w:jc w:val="both"/>
        <w:rPr>
          <w:rFonts w:cs="Times New Roman"/>
        </w:rPr>
      </w:pPr>
      <w:r w:rsidRPr="009A2157">
        <w:rPr>
          <w:rStyle w:val="Strong"/>
          <w:rFonts w:cs="Times New Roman"/>
          <w:b/>
          <w:bCs w:val="0"/>
        </w:rPr>
        <w:t>2.4.6</w:t>
      </w:r>
      <w:r w:rsidR="0081377F">
        <w:rPr>
          <w:rStyle w:val="Strong"/>
          <w:rFonts w:cs="Times New Roman"/>
          <w:b/>
          <w:bCs w:val="0"/>
        </w:rPr>
        <w:t xml:space="preserve"> </w:t>
      </w:r>
      <w:r w:rsidR="0023777A" w:rsidRPr="009A2157">
        <w:rPr>
          <w:rStyle w:val="Strong"/>
          <w:rFonts w:cs="Times New Roman"/>
          <w:b/>
          <w:bCs w:val="0"/>
        </w:rPr>
        <w:t>Maintenance and Financial Contributions</w:t>
      </w:r>
      <w:bookmarkEnd w:id="114"/>
      <w:r w:rsidR="0081377F">
        <w:rPr>
          <w:rStyle w:val="Strong"/>
          <w:rFonts w:cs="Times New Roman"/>
          <w:b/>
          <w:bCs w:val="0"/>
        </w:rPr>
        <w:fldChar w:fldCharType="begin"/>
      </w:r>
      <w:r w:rsidR="0081377F">
        <w:instrText xml:space="preserve"> TC "</w:instrText>
      </w:r>
      <w:bookmarkStart w:id="115" w:name="_Toc213301682"/>
      <w:r w:rsidR="0081377F" w:rsidRPr="008A4C32">
        <w:rPr>
          <w:rStyle w:val="Strong"/>
          <w:rFonts w:cs="Times New Roman"/>
          <w:b/>
          <w:bCs w:val="0"/>
        </w:rPr>
        <w:instrText>2.4.6 Maintenance and Financial Contributions</w:instrText>
      </w:r>
      <w:bookmarkEnd w:id="115"/>
      <w:r w:rsidR="0081377F">
        <w:instrText xml:space="preserve">" \f C \l "1" </w:instrText>
      </w:r>
      <w:r w:rsidR="0081377F">
        <w:rPr>
          <w:rStyle w:val="Strong"/>
          <w:rFonts w:cs="Times New Roman"/>
          <w:b/>
          <w:bCs w:val="0"/>
        </w:rPr>
        <w:fldChar w:fldCharType="end"/>
      </w:r>
    </w:p>
    <w:p w:rsidR="0023777A" w:rsidRPr="009A2157" w:rsidRDefault="0023777A" w:rsidP="009A2157">
      <w:pPr>
        <w:pStyle w:val="NormalWeb"/>
        <w:spacing w:before="0" w:after="0"/>
      </w:pPr>
      <w:r w:rsidRPr="009A2157">
        <w:t>A critical component of unit title ownership is the obligation of unit holders to contribute financially to the maintenance and management of common property</w:t>
      </w:r>
      <w:r w:rsidR="00CF4FD0" w:rsidRPr="009A2157">
        <w:rPr>
          <w:rStyle w:val="FootnoteReference"/>
        </w:rPr>
        <w:footnoteReference w:id="43"/>
      </w:r>
      <w:r w:rsidRPr="009A2157">
        <w:t>.These contributions, often collected as service charges or levies, fund essential services such as cleaning, security, landscaping, and repairs. The financial structure ensures that common areas remain well-maintained, enhancing the overall value of the development and providing a comfortable living or working environment for occupants.</w:t>
      </w:r>
      <w:r w:rsidR="00CF4FD0" w:rsidRPr="009A2157">
        <w:rPr>
          <w:rStyle w:val="FootnoteReference"/>
        </w:rPr>
        <w:footnoteReference w:id="44"/>
      </w:r>
    </w:p>
    <w:p w:rsidR="00373E41" w:rsidRDefault="00373E41" w:rsidP="009A2157">
      <w:pPr>
        <w:pStyle w:val="NormalWeb"/>
        <w:spacing w:before="0" w:after="0"/>
      </w:pPr>
    </w:p>
    <w:p w:rsidR="00CF4FD0" w:rsidRPr="009A2157" w:rsidRDefault="0023777A" w:rsidP="009A2157">
      <w:pPr>
        <w:pStyle w:val="NormalWeb"/>
        <w:spacing w:before="0" w:after="0"/>
      </w:pPr>
      <w:r w:rsidRPr="009A2157">
        <w:t>Failure to contribute to maintenance costs can lead to deterioration of shared facilities, affecting property values and the quality of life within the development. To prevent such issues, unit title regulations typically establish enforcement mechanisms for collecting contributions and addressing non-compliance. This structured financial responsibility ensures that all unit owners share the burden of upkeep, creating a sustainable and well-managed property environment.</w:t>
      </w:r>
      <w:r w:rsidR="00CF4FD0" w:rsidRPr="009A2157">
        <w:rPr>
          <w:rStyle w:val="FootnoteReference"/>
        </w:rPr>
        <w:footnoteReference w:id="45"/>
      </w:r>
    </w:p>
    <w:p w:rsidR="00373E41" w:rsidRDefault="00373E41" w:rsidP="009A2157">
      <w:pPr>
        <w:pStyle w:val="Heading2"/>
        <w:spacing w:before="0" w:after="0"/>
        <w:rPr>
          <w:rFonts w:cs="Times New Roman"/>
          <w:szCs w:val="24"/>
        </w:rPr>
      </w:pPr>
      <w:bookmarkStart w:id="116" w:name="_Toc194845401"/>
    </w:p>
    <w:p w:rsidR="005E1317" w:rsidRPr="009A2157" w:rsidRDefault="009F2A99" w:rsidP="009A2157">
      <w:pPr>
        <w:pStyle w:val="Heading2"/>
        <w:spacing w:before="0" w:after="0"/>
        <w:rPr>
          <w:rFonts w:cs="Times New Roman"/>
          <w:szCs w:val="24"/>
        </w:rPr>
      </w:pPr>
      <w:r w:rsidRPr="009A2157">
        <w:rPr>
          <w:rFonts w:cs="Times New Roman"/>
          <w:szCs w:val="24"/>
        </w:rPr>
        <w:t>2.</w:t>
      </w:r>
      <w:r w:rsidR="00184A44" w:rsidRPr="009A2157">
        <w:rPr>
          <w:rFonts w:cs="Times New Roman"/>
          <w:szCs w:val="24"/>
        </w:rPr>
        <w:t>5</w:t>
      </w:r>
      <w:r w:rsidR="0081377F">
        <w:rPr>
          <w:rFonts w:cs="Times New Roman"/>
          <w:szCs w:val="24"/>
        </w:rPr>
        <w:t xml:space="preserve"> </w:t>
      </w:r>
      <w:r w:rsidR="005E1317" w:rsidRPr="009A2157">
        <w:rPr>
          <w:rFonts w:cs="Times New Roman"/>
          <w:szCs w:val="24"/>
        </w:rPr>
        <w:t>Registration of Unit Plans</w:t>
      </w:r>
      <w:bookmarkEnd w:id="116"/>
      <w:r w:rsidR="0081377F">
        <w:rPr>
          <w:rFonts w:cs="Times New Roman"/>
          <w:szCs w:val="24"/>
        </w:rPr>
        <w:fldChar w:fldCharType="begin"/>
      </w:r>
      <w:r w:rsidR="0081377F">
        <w:instrText xml:space="preserve"> TC "</w:instrText>
      </w:r>
      <w:bookmarkStart w:id="117" w:name="_Toc213301683"/>
      <w:r w:rsidR="0081377F" w:rsidRPr="00586FBF">
        <w:rPr>
          <w:rFonts w:cs="Times New Roman"/>
          <w:szCs w:val="24"/>
        </w:rPr>
        <w:instrText>2.5 Registration of Unit Plans</w:instrText>
      </w:r>
      <w:bookmarkEnd w:id="117"/>
      <w:r w:rsidR="0081377F">
        <w:instrText xml:space="preserve">" \f C \l "1" </w:instrText>
      </w:r>
      <w:r w:rsidR="0081377F">
        <w:rPr>
          <w:rFonts w:cs="Times New Roman"/>
          <w:szCs w:val="24"/>
        </w:rPr>
        <w:fldChar w:fldCharType="end"/>
      </w:r>
    </w:p>
    <w:p w:rsidR="005E1317" w:rsidRPr="009A2157" w:rsidRDefault="005E1317" w:rsidP="009A2157">
      <w:pPr>
        <w:pStyle w:val="NormalWeb"/>
        <w:spacing w:before="0" w:after="0"/>
        <w:rPr>
          <w:color w:val="000000" w:themeColor="text1"/>
        </w:rPr>
      </w:pPr>
      <w:r w:rsidRPr="009A2157">
        <w:rPr>
          <w:color w:val="000000" w:themeColor="text1"/>
        </w:rPr>
        <w:t>The process of registering a unit plan is governed by specific legal requirements to ensure accuracy and uniformity.</w:t>
      </w:r>
      <w:r w:rsidR="00CF4FD0" w:rsidRPr="009A2157">
        <w:rPr>
          <w:rStyle w:val="FootnoteReference"/>
          <w:color w:val="000000" w:themeColor="text1"/>
        </w:rPr>
        <w:footnoteReference w:id="46"/>
      </w:r>
      <w:r w:rsidRPr="009A2157">
        <w:rPr>
          <w:color w:val="000000" w:themeColor="text1"/>
        </w:rPr>
        <w:t xml:space="preserve"> According to the applicable regulations, an application for registration must be submitted to the Registrar using Form No. 3 (UTF No. 3), as outlined in the Third Schedule of the Regulations. This standardized form ensures consistency in the submission process. A unit plan presented for registration may involve various purposes, including subdivisions, amalgamations, or other modifications. To qualify for registration, the plan must adhere to prescribed standards, such as being drawn in ink, using appropriate materials, and conforming to specified dimensions.</w:t>
      </w:r>
    </w:p>
    <w:p w:rsidR="00373E41" w:rsidRDefault="00373E41" w:rsidP="009A2157">
      <w:pPr>
        <w:pStyle w:val="NormalWeb"/>
        <w:spacing w:before="0" w:after="0"/>
        <w:rPr>
          <w:color w:val="000000" w:themeColor="text1"/>
        </w:rPr>
      </w:pPr>
    </w:p>
    <w:p w:rsidR="00CF4FD0" w:rsidRPr="009A2157" w:rsidRDefault="005E1317" w:rsidP="009A2157">
      <w:pPr>
        <w:pStyle w:val="NormalWeb"/>
        <w:spacing w:before="0" w:after="0"/>
        <w:rPr>
          <w:color w:val="000000" w:themeColor="text1"/>
        </w:rPr>
      </w:pPr>
      <w:r w:rsidRPr="009A2157">
        <w:rPr>
          <w:color w:val="000000" w:themeColor="text1"/>
        </w:rPr>
        <w:t>In addition to these technical specifications, the plan must be prepared in a format that includes all required information and conforms to the directions provided by the Registrar or other relevant authorities. This includes clear labeling, detailed drawings, and any additional signs or information that may be mandated. These stringent requirements ensure that unit plans are comprehensive and unambiguous, facilitating the legal recognition of property ownership and boundaries.</w:t>
      </w:r>
      <w:r w:rsidR="005E5DD5" w:rsidRPr="009A2157">
        <w:rPr>
          <w:rStyle w:val="FootnoteReference"/>
          <w:color w:val="000000" w:themeColor="text1"/>
        </w:rPr>
        <w:footnoteReference w:id="47"/>
      </w:r>
      <w:r w:rsidRPr="009A2157">
        <w:rPr>
          <w:color w:val="000000" w:themeColor="text1"/>
        </w:rPr>
        <w:t xml:space="preserve"> The detailed preparation and approval process underscore the importance of maintaining an organized and transparent system for managing unit titles.</w:t>
      </w:r>
    </w:p>
    <w:p w:rsidR="00373E41" w:rsidRDefault="00373E41" w:rsidP="009A2157">
      <w:pPr>
        <w:pStyle w:val="Heading2"/>
        <w:spacing w:before="0" w:after="0"/>
        <w:rPr>
          <w:rFonts w:cs="Times New Roman"/>
          <w:szCs w:val="24"/>
        </w:rPr>
      </w:pPr>
      <w:bookmarkStart w:id="118" w:name="_Toc194845402"/>
    </w:p>
    <w:p w:rsidR="005E1317" w:rsidRPr="009A2157" w:rsidRDefault="009F2A99" w:rsidP="009A2157">
      <w:pPr>
        <w:pStyle w:val="Heading2"/>
        <w:spacing w:before="0" w:after="0"/>
        <w:rPr>
          <w:rFonts w:cs="Times New Roman"/>
          <w:szCs w:val="24"/>
        </w:rPr>
      </w:pPr>
      <w:r w:rsidRPr="009A2157">
        <w:rPr>
          <w:rFonts w:cs="Times New Roman"/>
          <w:szCs w:val="24"/>
        </w:rPr>
        <w:t>2.</w:t>
      </w:r>
      <w:r w:rsidR="00184A44" w:rsidRPr="009A2157">
        <w:rPr>
          <w:rFonts w:cs="Times New Roman"/>
          <w:szCs w:val="24"/>
        </w:rPr>
        <w:t>6</w:t>
      </w:r>
      <w:r w:rsidR="0081377F">
        <w:rPr>
          <w:rFonts w:cs="Times New Roman"/>
          <w:szCs w:val="24"/>
        </w:rPr>
        <w:t xml:space="preserve"> </w:t>
      </w:r>
      <w:r w:rsidR="005E1317" w:rsidRPr="009A2157">
        <w:rPr>
          <w:rFonts w:cs="Times New Roman"/>
          <w:szCs w:val="24"/>
        </w:rPr>
        <w:t>Registration of a Unit</w:t>
      </w:r>
      <w:bookmarkEnd w:id="118"/>
      <w:r w:rsidR="0081377F">
        <w:rPr>
          <w:rFonts w:cs="Times New Roman"/>
          <w:szCs w:val="24"/>
        </w:rPr>
        <w:fldChar w:fldCharType="begin"/>
      </w:r>
      <w:r w:rsidR="0081377F">
        <w:instrText xml:space="preserve"> TC "</w:instrText>
      </w:r>
      <w:bookmarkStart w:id="119" w:name="_Toc213301684"/>
      <w:r w:rsidR="0081377F" w:rsidRPr="00DB0145">
        <w:rPr>
          <w:rFonts w:cs="Times New Roman"/>
          <w:szCs w:val="24"/>
        </w:rPr>
        <w:instrText>2.6 Registration of a Unit</w:instrText>
      </w:r>
      <w:bookmarkEnd w:id="119"/>
      <w:r w:rsidR="0081377F">
        <w:instrText xml:space="preserve">" \f C \l "1" </w:instrText>
      </w:r>
      <w:r w:rsidR="0081377F">
        <w:rPr>
          <w:rFonts w:cs="Times New Roman"/>
          <w:szCs w:val="24"/>
        </w:rPr>
        <w:fldChar w:fldCharType="end"/>
      </w:r>
    </w:p>
    <w:p w:rsidR="00373E41" w:rsidRDefault="005E1317" w:rsidP="009A2157">
      <w:pPr>
        <w:pStyle w:val="NormalWeb"/>
        <w:spacing w:before="0" w:after="0"/>
        <w:rPr>
          <w:color w:val="000000" w:themeColor="text1"/>
        </w:rPr>
      </w:pPr>
      <w:r w:rsidRPr="009A2157">
        <w:rPr>
          <w:color w:val="000000" w:themeColor="text1"/>
        </w:rPr>
        <w:t>The registration of a unit requires a formal application made using the prescribed form, specifically Form No. 4, as outlined in the Fourth Schedule to the Regulations. Applicants must comply with any conditions imposed by the Registrar, as provided under Regulation 5(1), (2), and (3). Once the Registrar verifies that all requirements under the Act and Regulations are met, and the prescribed fee is paid, the unit or unit plan will be registered as stipulated in Regulation 6(2). This ensures that the application process is orderly and adheres to legal requirements.</w:t>
      </w:r>
      <w:r w:rsidR="00373E41">
        <w:rPr>
          <w:color w:val="000000" w:themeColor="text1"/>
        </w:rPr>
        <w:t xml:space="preserve"> </w:t>
      </w:r>
      <w:r w:rsidRPr="009A2157">
        <w:rPr>
          <w:color w:val="000000" w:themeColor="text1"/>
        </w:rPr>
        <w:t xml:space="preserve">Upon successful registration, the Registrar issues a certificate of unit title to the applicant using Form No. 5, set out in the Fifth Schedule to the Regulations (Regulation 6(4)). </w:t>
      </w:r>
    </w:p>
    <w:p w:rsidR="00373E41" w:rsidRDefault="00373E41" w:rsidP="009A2157">
      <w:pPr>
        <w:pStyle w:val="NormalWeb"/>
        <w:spacing w:before="0" w:after="0"/>
        <w:rPr>
          <w:color w:val="000000" w:themeColor="text1"/>
        </w:rPr>
      </w:pPr>
    </w:p>
    <w:p w:rsidR="005E1317" w:rsidRDefault="005E1317" w:rsidP="009A2157">
      <w:pPr>
        <w:pStyle w:val="NormalWeb"/>
        <w:spacing w:before="0" w:after="0"/>
        <w:rPr>
          <w:color w:val="000000" w:themeColor="text1"/>
        </w:rPr>
      </w:pPr>
      <w:r w:rsidRPr="009A2157">
        <w:rPr>
          <w:color w:val="000000" w:themeColor="text1"/>
        </w:rPr>
        <w:t>However, if the Registrar refuses to register a unit plan or unit, the applicant is informed in writing, including detailed reasons for the refusal. This communication allows the applicant to address any deficiencies and resubmit their application. Once corrections are made or additional requirements are fulfilled as directed, the unit plan or unit will be registered, as provided under Section 9(1) of the Act. The process mirrors the registration procedures and practices outlined in the Land Registration Act, Cap 334, unless specifically stated otherwise.</w:t>
      </w:r>
      <w:r w:rsidR="00373E41">
        <w:rPr>
          <w:color w:val="000000" w:themeColor="text1"/>
        </w:rPr>
        <w:t xml:space="preserve"> </w:t>
      </w:r>
      <w:r w:rsidRPr="009A2157">
        <w:rPr>
          <w:color w:val="000000" w:themeColor="text1"/>
        </w:rPr>
        <w:t>In cases involving subdivisions or amalgamations, an applicant must apply to the Registrar using Form No. 6, as specified in the Sixth Schedule of the Regulations. The application must include a consent certificate from the relevant local government authority, issued in Form No. 7, as per the Seventh Schedule. This process allows for the restructuring of units while ensuring compliance with local regulatory requirements. The involvement of local authorities guarantees that such changes align with broader land use and planning frameworks.</w:t>
      </w:r>
    </w:p>
    <w:p w:rsidR="00373E41" w:rsidRPr="009A2157" w:rsidRDefault="00373E41" w:rsidP="009A2157">
      <w:pPr>
        <w:pStyle w:val="NormalWeb"/>
        <w:spacing w:before="0" w:after="0"/>
        <w:rPr>
          <w:color w:val="000000" w:themeColor="text1"/>
        </w:rPr>
      </w:pPr>
    </w:p>
    <w:p w:rsidR="00184A44" w:rsidRPr="009A2157" w:rsidRDefault="005E1317" w:rsidP="009A2157">
      <w:pPr>
        <w:pStyle w:val="NormalWeb"/>
        <w:spacing w:before="0" w:after="0"/>
        <w:rPr>
          <w:color w:val="000000" w:themeColor="text1"/>
        </w:rPr>
      </w:pPr>
      <w:r w:rsidRPr="009A2157">
        <w:rPr>
          <w:color w:val="000000" w:themeColor="text1"/>
        </w:rPr>
        <w:t>Moreover, every application for the registration of a unit plan must be accompanied by certificates from qualified professionals. For example, a registered Land Surveyor must certify, using Form No. 10A, that the structure depicted in the unit plan falls within the external boundaries of the common property. If there are any projections beyond these boundaries, the certificate must confirm the existence of an appropriate easement. Additionally, a certificate from the local government authority, using Form No. 10B, is required to confirm that the proposed division of the structure complies with applicable land us</w:t>
      </w:r>
      <w:r w:rsidR="00373E41">
        <w:rPr>
          <w:color w:val="000000" w:themeColor="text1"/>
        </w:rPr>
        <w:t xml:space="preserve">e and construction regulations. </w:t>
      </w:r>
      <w:r w:rsidRPr="009A2157">
        <w:rPr>
          <w:color w:val="000000" w:themeColor="text1"/>
        </w:rPr>
        <w:t>In instances where the unit plan involves existing structures, a certificate from a registered architect, using Form No. 10C, must accompany the application. This certificate ensures that the plan correlates with the existing structure before registration, as mandated under Regulation 10(2). All required certificates must adhere to the prescribed formats outlined in the Tenth Schedule to the Regulations.</w:t>
      </w:r>
    </w:p>
    <w:p w:rsidR="00B05479" w:rsidRPr="009A2157" w:rsidRDefault="00B05479" w:rsidP="009A2157">
      <w:pPr>
        <w:pStyle w:val="NormalWeb"/>
        <w:spacing w:before="0" w:after="0"/>
        <w:rPr>
          <w:color w:val="000000" w:themeColor="text1"/>
        </w:rPr>
      </w:pPr>
    </w:p>
    <w:p w:rsidR="006B7FC7" w:rsidRPr="009A2157" w:rsidRDefault="009F2A99" w:rsidP="009A2157">
      <w:pPr>
        <w:pStyle w:val="Heading2"/>
        <w:spacing w:before="0" w:after="0"/>
        <w:rPr>
          <w:rFonts w:cs="Times New Roman"/>
          <w:szCs w:val="24"/>
        </w:rPr>
      </w:pPr>
      <w:bookmarkStart w:id="120" w:name="_Toc194845403"/>
      <w:r w:rsidRPr="009A2157">
        <w:rPr>
          <w:rFonts w:cs="Times New Roman"/>
          <w:szCs w:val="24"/>
        </w:rPr>
        <w:t>2.</w:t>
      </w:r>
      <w:r w:rsidR="00184A44" w:rsidRPr="009A2157">
        <w:rPr>
          <w:rFonts w:cs="Times New Roman"/>
          <w:szCs w:val="24"/>
        </w:rPr>
        <w:t>7</w:t>
      </w:r>
      <w:r w:rsidR="0081377F">
        <w:rPr>
          <w:rFonts w:cs="Times New Roman"/>
          <w:szCs w:val="24"/>
        </w:rPr>
        <w:t xml:space="preserve"> </w:t>
      </w:r>
      <w:r w:rsidR="006B7FC7" w:rsidRPr="009A2157">
        <w:rPr>
          <w:rFonts w:cs="Times New Roman"/>
          <w:szCs w:val="24"/>
        </w:rPr>
        <w:t>Disposition of Unit Title</w:t>
      </w:r>
      <w:bookmarkEnd w:id="120"/>
      <w:r w:rsidR="0081377F">
        <w:rPr>
          <w:rFonts w:cs="Times New Roman"/>
          <w:szCs w:val="24"/>
        </w:rPr>
        <w:fldChar w:fldCharType="begin"/>
      </w:r>
      <w:r w:rsidR="0081377F">
        <w:instrText xml:space="preserve"> TC "</w:instrText>
      </w:r>
      <w:bookmarkStart w:id="121" w:name="_Toc213301685"/>
      <w:r w:rsidR="0081377F" w:rsidRPr="00FB00E4">
        <w:rPr>
          <w:rFonts w:cs="Times New Roman"/>
          <w:szCs w:val="24"/>
        </w:rPr>
        <w:instrText>2.7 Disposition of Unit Title</w:instrText>
      </w:r>
      <w:bookmarkEnd w:id="121"/>
      <w:r w:rsidR="0081377F">
        <w:instrText xml:space="preserve">" \f C \l "1" </w:instrText>
      </w:r>
      <w:r w:rsidR="0081377F">
        <w:rPr>
          <w:rFonts w:cs="Times New Roman"/>
          <w:szCs w:val="24"/>
        </w:rPr>
        <w:fldChar w:fldCharType="end"/>
      </w:r>
    </w:p>
    <w:p w:rsidR="006B7FC7" w:rsidRPr="009A2157" w:rsidRDefault="006B7FC7" w:rsidP="009A2157">
      <w:pPr>
        <w:pStyle w:val="NormalWeb"/>
        <w:spacing w:before="0" w:after="0"/>
        <w:rPr>
          <w:color w:val="000000" w:themeColor="text1"/>
        </w:rPr>
      </w:pPr>
      <w:r w:rsidRPr="009A2157">
        <w:rPr>
          <w:color w:val="000000" w:themeColor="text1"/>
        </w:rPr>
        <w:t>A unit title cannot be disposed of or become subject to any charge unless it is properly linked to the unit of an owner and follows the prescribed procedure under the Unit Titles Act, as per Section 9(6). In other words, any transfer or charge on a unit title will affect the share in the common property associated with the unit, but it must explicitly reference the share of common property being disposed of or charged, as indicated in Section 9(7). The key point here is that the share in the common property cannot be separately disposed of or encumbered unless it is appurtenant to the unit that belongs to an owner, as outlined in Section 11(4). This ensures that ownership and rights over the common property are maintained in tandem with the unit itself.</w:t>
      </w:r>
    </w:p>
    <w:p w:rsidR="00373E41" w:rsidRDefault="00373E41" w:rsidP="009A2157">
      <w:pPr>
        <w:pStyle w:val="Heading3"/>
        <w:spacing w:before="0" w:after="0"/>
        <w:rPr>
          <w:rFonts w:cs="Times New Roman"/>
        </w:rPr>
      </w:pPr>
      <w:bookmarkStart w:id="122" w:name="_Toc194845404"/>
    </w:p>
    <w:p w:rsidR="006B7FC7" w:rsidRPr="009A2157" w:rsidRDefault="009F2A99" w:rsidP="009A2157">
      <w:pPr>
        <w:pStyle w:val="Heading3"/>
        <w:spacing w:before="0" w:after="0"/>
        <w:rPr>
          <w:rFonts w:cs="Times New Roman"/>
        </w:rPr>
      </w:pPr>
      <w:r w:rsidRPr="009A2157">
        <w:rPr>
          <w:rFonts w:cs="Times New Roman"/>
        </w:rPr>
        <w:t>2.</w:t>
      </w:r>
      <w:r w:rsidR="00184A44" w:rsidRPr="009A2157">
        <w:rPr>
          <w:rFonts w:cs="Times New Roman"/>
        </w:rPr>
        <w:t>7</w:t>
      </w:r>
      <w:r w:rsidRPr="009A2157">
        <w:rPr>
          <w:rFonts w:cs="Times New Roman"/>
        </w:rPr>
        <w:t>.1</w:t>
      </w:r>
      <w:r w:rsidR="0081377F">
        <w:rPr>
          <w:rFonts w:cs="Times New Roman"/>
        </w:rPr>
        <w:t xml:space="preserve"> </w:t>
      </w:r>
      <w:r w:rsidR="006B7FC7" w:rsidRPr="009A2157">
        <w:rPr>
          <w:rFonts w:cs="Times New Roman"/>
        </w:rPr>
        <w:t>Sale by a Co-owner</w:t>
      </w:r>
      <w:bookmarkEnd w:id="122"/>
      <w:r w:rsidR="0081377F">
        <w:rPr>
          <w:rFonts w:cs="Times New Roman"/>
        </w:rPr>
        <w:fldChar w:fldCharType="begin"/>
      </w:r>
      <w:r w:rsidR="0081377F">
        <w:instrText xml:space="preserve"> TC "</w:instrText>
      </w:r>
      <w:bookmarkStart w:id="123" w:name="_Toc213301686"/>
      <w:r w:rsidR="0081377F" w:rsidRPr="00C42028">
        <w:rPr>
          <w:rFonts w:cs="Times New Roman"/>
        </w:rPr>
        <w:instrText>2.7.1 Sale by a Co-owner</w:instrText>
      </w:r>
      <w:bookmarkEnd w:id="123"/>
      <w:r w:rsidR="0081377F">
        <w:instrText xml:space="preserve">" \f C \l "1" </w:instrText>
      </w:r>
      <w:r w:rsidR="0081377F">
        <w:rPr>
          <w:rFonts w:cs="Times New Roman"/>
        </w:rPr>
        <w:fldChar w:fldCharType="end"/>
      </w:r>
    </w:p>
    <w:p w:rsidR="0046444B" w:rsidRPr="009A2157" w:rsidRDefault="006B7FC7" w:rsidP="009A2157">
      <w:pPr>
        <w:pStyle w:val="NormalWeb"/>
        <w:spacing w:before="0" w:after="0"/>
        <w:rPr>
          <w:color w:val="000000" w:themeColor="text1"/>
        </w:rPr>
      </w:pPr>
      <w:r w:rsidRPr="009A2157">
        <w:rPr>
          <w:color w:val="000000" w:themeColor="text1"/>
        </w:rPr>
        <w:t>When a co-owner or any person other than the developer wishes to sell their unit(s), they must comply with specific requirements to ensure transparency in the sale process. Prior to completing the sale, the seller must provide the purchaser with copies of essential documents, including the building's bylaws, the Association's current budget and financial statement, and a certificate detailing the number of assessments for common expenses that are attributable to the unit.</w:t>
      </w:r>
      <w:r w:rsidR="005E5DD5" w:rsidRPr="009A2157">
        <w:rPr>
          <w:rStyle w:val="FootnoteReference"/>
          <w:color w:val="000000" w:themeColor="text1"/>
        </w:rPr>
        <w:footnoteReference w:id="48"/>
      </w:r>
      <w:r w:rsidRPr="009A2157">
        <w:rPr>
          <w:color w:val="000000" w:themeColor="text1"/>
        </w:rPr>
        <w:t xml:space="preserve"> Additionally, the seller must disclose the amount of any unpaid common expenses and any other fees or charges currently due in relation to the unit. These requirements safeguard the purchaser by providing a clear understanding of the unit's financial obligations and legal status within the larger property framework.</w:t>
      </w:r>
    </w:p>
    <w:p w:rsidR="006B7FC7" w:rsidRPr="009A2157" w:rsidRDefault="009F2A99" w:rsidP="009A2157">
      <w:pPr>
        <w:pStyle w:val="Heading2"/>
        <w:spacing w:before="0" w:after="0"/>
        <w:rPr>
          <w:rFonts w:cs="Times New Roman"/>
          <w:szCs w:val="24"/>
        </w:rPr>
      </w:pPr>
      <w:bookmarkStart w:id="124" w:name="_Toc194845405"/>
      <w:r w:rsidRPr="009A2157">
        <w:rPr>
          <w:rFonts w:cs="Times New Roman"/>
          <w:szCs w:val="24"/>
        </w:rPr>
        <w:t>2.</w:t>
      </w:r>
      <w:r w:rsidR="00184A44" w:rsidRPr="009A2157">
        <w:rPr>
          <w:rFonts w:cs="Times New Roman"/>
          <w:szCs w:val="24"/>
        </w:rPr>
        <w:t>8</w:t>
      </w:r>
      <w:r w:rsidR="0081377F">
        <w:rPr>
          <w:rFonts w:cs="Times New Roman"/>
          <w:szCs w:val="24"/>
        </w:rPr>
        <w:t xml:space="preserve"> </w:t>
      </w:r>
      <w:r w:rsidR="006B7FC7" w:rsidRPr="009A2157">
        <w:rPr>
          <w:rFonts w:cs="Times New Roman"/>
          <w:szCs w:val="24"/>
        </w:rPr>
        <w:t>Termination of Unit Status</w:t>
      </w:r>
      <w:bookmarkEnd w:id="124"/>
      <w:r w:rsidR="0081377F">
        <w:rPr>
          <w:rFonts w:cs="Times New Roman"/>
          <w:szCs w:val="24"/>
        </w:rPr>
        <w:fldChar w:fldCharType="begin"/>
      </w:r>
      <w:r w:rsidR="0081377F">
        <w:instrText xml:space="preserve"> TC "</w:instrText>
      </w:r>
      <w:bookmarkStart w:id="125" w:name="_Toc213301687"/>
      <w:r w:rsidR="0081377F" w:rsidRPr="00640A2E">
        <w:rPr>
          <w:rFonts w:cs="Times New Roman"/>
          <w:szCs w:val="24"/>
        </w:rPr>
        <w:instrText>2.8 Termination of Unit Status</w:instrText>
      </w:r>
      <w:bookmarkEnd w:id="125"/>
      <w:r w:rsidR="0081377F">
        <w:instrText xml:space="preserve">" \f C \l "1" </w:instrText>
      </w:r>
      <w:r w:rsidR="0081377F">
        <w:rPr>
          <w:rFonts w:cs="Times New Roman"/>
          <w:szCs w:val="24"/>
        </w:rPr>
        <w:fldChar w:fldCharType="end"/>
      </w:r>
    </w:p>
    <w:p w:rsidR="00766166" w:rsidRPr="009A2157" w:rsidRDefault="006B7FC7" w:rsidP="00373E41">
      <w:pPr>
        <w:pStyle w:val="NormalWeb"/>
        <w:spacing w:before="0" w:after="0"/>
      </w:pPr>
      <w:r w:rsidRPr="009A2157">
        <w:rPr>
          <w:color w:val="000000" w:themeColor="text1"/>
        </w:rPr>
        <w:t>An association has the power to apply for the termination of the unit status of a building or land, but this application must be lodged with the High Court (Land Division). The court’s decision on whether to grant such an application will be based on considerations of fairness and justice, particularly in how it affects the rights and interests of the owners as a whole. The court evaluates whether it is just to terminate the unit status after carefully assessing the impact on the co-owners and the overall integrity of the property. This provision allows for the reconsideration of the unit title arrangement under exceptional circumstances, ensuring that owners’ rights are fully considered in any such decision.</w:t>
      </w:r>
      <w:r w:rsidR="00373E41">
        <w:rPr>
          <w:color w:val="000000" w:themeColor="text1"/>
        </w:rPr>
        <w:t xml:space="preserve"> </w:t>
      </w:r>
      <w:r w:rsidR="00766166" w:rsidRPr="009A2157">
        <w:rPr>
          <w:bCs/>
        </w:rPr>
        <w:t>From a conceptual standpoint</w:t>
      </w:r>
      <w:r w:rsidR="00766166" w:rsidRPr="009A2157">
        <w:t>, the termination of unit status can be examined through the lens of property rights theory, which emphasizes the dynamic and flexible nature of ownership interests.</w:t>
      </w:r>
      <w:r w:rsidR="00766166" w:rsidRPr="009A2157">
        <w:rPr>
          <w:rStyle w:val="FootnoteReference"/>
        </w:rPr>
        <w:footnoteReference w:id="49"/>
      </w:r>
      <w:r w:rsidR="00766166" w:rsidRPr="009A2157">
        <w:t xml:space="preserve"> Under this theory, ownership is not absolute but a “bundle of rights” that can be rearranged or even extinguished when legal or practical circumstances demand it. In the case of unit titles, termination reflects a conceptual shift from collective to individual or alternative forms of ownership, often triggered by structural obsolescence, redevelopment, or dispute among co-owners.</w:t>
      </w:r>
      <w:r w:rsidR="00766166" w:rsidRPr="009A2157">
        <w:rPr>
          <w:rStyle w:val="FootnoteReference"/>
        </w:rPr>
        <w:footnoteReference w:id="50"/>
      </w:r>
    </w:p>
    <w:p w:rsidR="00373E41" w:rsidRDefault="00373E41" w:rsidP="009A2157">
      <w:pPr>
        <w:pStyle w:val="Heading2"/>
        <w:spacing w:before="0" w:after="0"/>
        <w:rPr>
          <w:rFonts w:cs="Times New Roman"/>
          <w:szCs w:val="24"/>
        </w:rPr>
      </w:pPr>
      <w:bookmarkStart w:id="126" w:name="_Toc194845406"/>
    </w:p>
    <w:p w:rsidR="00163AF0" w:rsidRPr="009A2157" w:rsidRDefault="009F2A99" w:rsidP="009A2157">
      <w:pPr>
        <w:pStyle w:val="Heading2"/>
        <w:spacing w:before="0" w:after="0"/>
        <w:rPr>
          <w:rFonts w:cs="Times New Roman"/>
          <w:szCs w:val="24"/>
        </w:rPr>
      </w:pPr>
      <w:r w:rsidRPr="009A2157">
        <w:rPr>
          <w:rFonts w:cs="Times New Roman"/>
          <w:szCs w:val="24"/>
        </w:rPr>
        <w:t>2.</w:t>
      </w:r>
      <w:r w:rsidR="00184A44" w:rsidRPr="009A2157">
        <w:rPr>
          <w:rFonts w:cs="Times New Roman"/>
          <w:szCs w:val="24"/>
        </w:rPr>
        <w:t>9</w:t>
      </w:r>
      <w:r w:rsidR="0081377F">
        <w:rPr>
          <w:rFonts w:cs="Times New Roman"/>
          <w:szCs w:val="24"/>
        </w:rPr>
        <w:t xml:space="preserve"> </w:t>
      </w:r>
      <w:r w:rsidR="00163AF0" w:rsidRPr="009A2157">
        <w:rPr>
          <w:rFonts w:cs="Times New Roman"/>
          <w:szCs w:val="24"/>
        </w:rPr>
        <w:t>Establishment of Unit Titles Association</w:t>
      </w:r>
      <w:bookmarkEnd w:id="126"/>
      <w:r w:rsidR="0081377F">
        <w:rPr>
          <w:rFonts w:cs="Times New Roman"/>
          <w:szCs w:val="24"/>
        </w:rPr>
        <w:fldChar w:fldCharType="begin"/>
      </w:r>
      <w:r w:rsidR="0081377F">
        <w:instrText xml:space="preserve"> TC "</w:instrText>
      </w:r>
      <w:bookmarkStart w:id="127" w:name="_Toc213301688"/>
      <w:r w:rsidR="0081377F" w:rsidRPr="00E37C7A">
        <w:rPr>
          <w:rFonts w:cs="Times New Roman"/>
          <w:szCs w:val="24"/>
        </w:rPr>
        <w:instrText>2.9 Establishment of Unit Titles Association</w:instrText>
      </w:r>
      <w:bookmarkEnd w:id="127"/>
      <w:r w:rsidR="0081377F">
        <w:instrText xml:space="preserve">" \f C \l "1" </w:instrText>
      </w:r>
      <w:r w:rsidR="0081377F">
        <w:rPr>
          <w:rFonts w:cs="Times New Roman"/>
          <w:szCs w:val="24"/>
        </w:rPr>
        <w:fldChar w:fldCharType="end"/>
      </w:r>
    </w:p>
    <w:p w:rsidR="00163AF0" w:rsidRPr="009A2157" w:rsidRDefault="00163AF0" w:rsidP="009A2157">
      <w:pPr>
        <w:pStyle w:val="NormalWeb"/>
        <w:spacing w:before="0" w:after="0"/>
        <w:rPr>
          <w:color w:val="000000" w:themeColor="text1"/>
        </w:rPr>
      </w:pPr>
      <w:r w:rsidRPr="009A2157">
        <w:rPr>
          <w:color w:val="000000" w:themeColor="text1"/>
        </w:rPr>
        <w:t xml:space="preserve">Under the Unit Titles Act, it is mandatory to establish an Association whenever there are five or more co-owners of a unit property. This Association is to be incorporated as a body corporate, which means it will have perpetual succession, a common seal, and the capacity to sue and be sued in its own name. This legal structure ensures that the Association operates as a distinct legal entity, separate from the individual co-owners. The registration of the Association must be done with the Registrar </w:t>
      </w:r>
      <w:r w:rsidR="00D7147E" w:rsidRPr="009A2157">
        <w:rPr>
          <w:color w:val="000000" w:themeColor="text1"/>
        </w:rPr>
        <w:t xml:space="preserve">of Titles, and once </w:t>
      </w:r>
      <w:proofErr w:type="gramStart"/>
      <w:r w:rsidR="00CD2550" w:rsidRPr="009A2157">
        <w:rPr>
          <w:color w:val="000000" w:themeColor="text1"/>
        </w:rPr>
        <w:t>registered,</w:t>
      </w:r>
      <w:proofErr w:type="gramEnd"/>
      <w:r w:rsidR="00D7147E" w:rsidRPr="009A2157">
        <w:rPr>
          <w:color w:val="000000" w:themeColor="text1"/>
        </w:rPr>
        <w:t xml:space="preserve"> </w:t>
      </w:r>
      <w:r w:rsidR="00CD2550" w:rsidRPr="009A2157">
        <w:rPr>
          <w:color w:val="000000" w:themeColor="text1"/>
        </w:rPr>
        <w:t>the</w:t>
      </w:r>
      <w:r w:rsidRPr="009A2157">
        <w:rPr>
          <w:color w:val="000000" w:themeColor="text1"/>
        </w:rPr>
        <w:t xml:space="preserve"> Association will be assigned a plan number. This plan number is the same number that was originally assigned to the unit plan when it was first registered with the Registrar.</w:t>
      </w:r>
    </w:p>
    <w:p w:rsidR="00373E41" w:rsidRDefault="00373E41" w:rsidP="009A2157">
      <w:pPr>
        <w:pStyle w:val="NormalWeb"/>
        <w:spacing w:before="0" w:after="0"/>
        <w:rPr>
          <w:color w:val="000000" w:themeColor="text1"/>
        </w:rPr>
      </w:pPr>
    </w:p>
    <w:p w:rsidR="002A6F8E" w:rsidRPr="009A2157" w:rsidRDefault="00163AF0" w:rsidP="009A2157">
      <w:pPr>
        <w:pStyle w:val="NormalWeb"/>
        <w:spacing w:before="0" w:after="0"/>
        <w:rPr>
          <w:color w:val="000000" w:themeColor="text1"/>
        </w:rPr>
      </w:pPr>
      <w:r w:rsidRPr="009A2157">
        <w:rPr>
          <w:color w:val="000000" w:themeColor="text1"/>
        </w:rPr>
        <w:t>The primary responsibility of the Unit Titles Association is to manage the common property of the unit development.</w:t>
      </w:r>
      <w:r w:rsidR="005E5DD5" w:rsidRPr="009A2157">
        <w:rPr>
          <w:rStyle w:val="FootnoteReference"/>
          <w:color w:val="000000" w:themeColor="text1"/>
        </w:rPr>
        <w:footnoteReference w:id="51"/>
      </w:r>
      <w:r w:rsidRPr="009A2157">
        <w:rPr>
          <w:color w:val="000000" w:themeColor="text1"/>
        </w:rPr>
        <w:t xml:space="preserve"> This includes overseeing the maintenance and upkeep of shared areas and ensuring that all co-owners adhere to the rules and regulations governing the property. Additionally, the Association is tasked with receiving notices from government authorities and planning authorities regarding the unit property.</w:t>
      </w:r>
      <w:r w:rsidR="00C95A7E" w:rsidRPr="009A2157">
        <w:rPr>
          <w:rStyle w:val="FootnoteReference"/>
          <w:color w:val="000000" w:themeColor="text1"/>
        </w:rPr>
        <w:footnoteReference w:id="52"/>
      </w:r>
      <w:r w:rsidRPr="009A2157">
        <w:rPr>
          <w:color w:val="000000" w:themeColor="text1"/>
        </w:rPr>
        <w:t xml:space="preserve"> In cases where the unit property undergoes alterations, the Association is required to submit new plans to the Registrar to ensure that the official records reflect any changes to the property.</w:t>
      </w:r>
    </w:p>
    <w:p w:rsidR="00373E41" w:rsidRDefault="00373E41" w:rsidP="009A2157">
      <w:pPr>
        <w:pStyle w:val="Heading2"/>
        <w:spacing w:before="0" w:after="0"/>
        <w:rPr>
          <w:rFonts w:cs="Times New Roman"/>
          <w:szCs w:val="24"/>
        </w:rPr>
      </w:pPr>
      <w:bookmarkStart w:id="128" w:name="_Toc194845407"/>
    </w:p>
    <w:p w:rsidR="00163AF0" w:rsidRPr="009A2157" w:rsidRDefault="009F2A99" w:rsidP="009A2157">
      <w:pPr>
        <w:pStyle w:val="Heading2"/>
        <w:spacing w:before="0" w:after="0"/>
        <w:rPr>
          <w:rFonts w:cs="Times New Roman"/>
          <w:szCs w:val="24"/>
        </w:rPr>
      </w:pPr>
      <w:r w:rsidRPr="009A2157">
        <w:rPr>
          <w:rFonts w:cs="Times New Roman"/>
          <w:szCs w:val="24"/>
        </w:rPr>
        <w:t>2.1</w:t>
      </w:r>
      <w:r w:rsidR="00184A44" w:rsidRPr="009A2157">
        <w:rPr>
          <w:rFonts w:cs="Times New Roman"/>
          <w:szCs w:val="24"/>
        </w:rPr>
        <w:t>0</w:t>
      </w:r>
      <w:r w:rsidR="0081377F">
        <w:rPr>
          <w:rFonts w:cs="Times New Roman"/>
          <w:szCs w:val="24"/>
        </w:rPr>
        <w:t xml:space="preserve"> </w:t>
      </w:r>
      <w:r w:rsidR="00163AF0" w:rsidRPr="009A2157">
        <w:rPr>
          <w:rFonts w:cs="Times New Roman"/>
          <w:szCs w:val="24"/>
        </w:rPr>
        <w:t>Registration of By-laws of Unit Property</w:t>
      </w:r>
      <w:bookmarkEnd w:id="128"/>
      <w:r w:rsidR="0081377F">
        <w:rPr>
          <w:rFonts w:cs="Times New Roman"/>
          <w:szCs w:val="24"/>
        </w:rPr>
        <w:fldChar w:fldCharType="begin"/>
      </w:r>
      <w:r w:rsidR="0081377F">
        <w:instrText xml:space="preserve"> TC "</w:instrText>
      </w:r>
      <w:bookmarkStart w:id="129" w:name="_Toc213301689"/>
      <w:r w:rsidR="0081377F" w:rsidRPr="003333B5">
        <w:rPr>
          <w:rFonts w:cs="Times New Roman"/>
          <w:szCs w:val="24"/>
        </w:rPr>
        <w:instrText>2.10 Registration of By-laws of Unit Property</w:instrText>
      </w:r>
      <w:bookmarkEnd w:id="129"/>
      <w:r w:rsidR="0081377F">
        <w:instrText xml:space="preserve">" \f C \l "1" </w:instrText>
      </w:r>
      <w:r w:rsidR="0081377F">
        <w:rPr>
          <w:rFonts w:cs="Times New Roman"/>
          <w:szCs w:val="24"/>
        </w:rPr>
        <w:fldChar w:fldCharType="end"/>
      </w:r>
    </w:p>
    <w:p w:rsidR="00163AF0" w:rsidRPr="009A2157" w:rsidRDefault="00163AF0" w:rsidP="009A2157">
      <w:pPr>
        <w:pStyle w:val="NormalWeb"/>
        <w:spacing w:before="0" w:after="0"/>
        <w:rPr>
          <w:color w:val="000000" w:themeColor="text1"/>
        </w:rPr>
      </w:pPr>
      <w:r w:rsidRPr="009A2157">
        <w:rPr>
          <w:color w:val="000000" w:themeColor="text1"/>
        </w:rPr>
        <w:t>When the number of co-owners of a unit property is fewer than five, the Unit Titles Act mandates the registration of by-laws concerning the use of common areas and the overall management of the unit property. These by-laws are to be registered with the Registrar of Titles, ensuring that they are legally recognized and enforceable.</w:t>
      </w:r>
      <w:r w:rsidR="00C95A7E" w:rsidRPr="009A2157">
        <w:rPr>
          <w:rStyle w:val="FootnoteReference"/>
          <w:color w:val="000000" w:themeColor="text1"/>
        </w:rPr>
        <w:footnoteReference w:id="53"/>
      </w:r>
      <w:r w:rsidRPr="009A2157">
        <w:rPr>
          <w:color w:val="000000" w:themeColor="text1"/>
        </w:rPr>
        <w:t xml:space="preserve"> The by-laws govern the behavior of co-owners, tenants, and other occupants within the unit property, specifically regulating the use and maintenance of shared spaces and setting out the responsibilities of each party.</w:t>
      </w:r>
    </w:p>
    <w:p w:rsidR="00373E41" w:rsidRDefault="00373E41" w:rsidP="009A2157">
      <w:pPr>
        <w:pStyle w:val="NormalWeb"/>
        <w:spacing w:before="0" w:after="0"/>
        <w:rPr>
          <w:color w:val="000000" w:themeColor="text1"/>
        </w:rPr>
      </w:pPr>
    </w:p>
    <w:p w:rsidR="00163AF0" w:rsidRPr="009A2157" w:rsidRDefault="00163AF0" w:rsidP="009A2157">
      <w:pPr>
        <w:pStyle w:val="NormalWeb"/>
        <w:spacing w:before="0" w:after="0"/>
        <w:rPr>
          <w:color w:val="000000" w:themeColor="text1"/>
        </w:rPr>
      </w:pPr>
      <w:r w:rsidRPr="009A2157">
        <w:rPr>
          <w:color w:val="000000" w:themeColor="text1"/>
        </w:rPr>
        <w:t>In the event that a co-owner or tenant repeatedly violates the registered by-laws, the Unit Titles Association has the legal right to take action. The Association can open a case against the owner or tenant in question, seeking legal redress for non-compliance with the by-laws. This enforcement mechanism ensures that the rights and obligations of all parties are upheld, maintaining order and ensuring the proper management of the property.</w:t>
      </w:r>
      <w:r w:rsidR="00C95A7E" w:rsidRPr="009A2157">
        <w:rPr>
          <w:rStyle w:val="FootnoteReference"/>
          <w:color w:val="000000" w:themeColor="text1"/>
        </w:rPr>
        <w:footnoteReference w:id="54"/>
      </w:r>
    </w:p>
    <w:p w:rsidR="00373E41" w:rsidRDefault="00373E41" w:rsidP="00833CC5">
      <w:pPr>
        <w:pStyle w:val="Heading2"/>
        <w:spacing w:before="0" w:after="0"/>
        <w:jc w:val="both"/>
        <w:rPr>
          <w:rFonts w:cs="Times New Roman"/>
          <w:szCs w:val="24"/>
        </w:rPr>
      </w:pPr>
      <w:bookmarkStart w:id="130" w:name="_Toc194845408"/>
    </w:p>
    <w:p w:rsidR="000804CB" w:rsidRPr="009A2157" w:rsidRDefault="009F2A99" w:rsidP="00833CC5">
      <w:pPr>
        <w:pStyle w:val="Heading2"/>
        <w:spacing w:before="0" w:after="0"/>
        <w:jc w:val="both"/>
        <w:rPr>
          <w:rFonts w:cs="Times New Roman"/>
          <w:szCs w:val="24"/>
        </w:rPr>
      </w:pPr>
      <w:r w:rsidRPr="009A2157">
        <w:rPr>
          <w:rFonts w:cs="Times New Roman"/>
          <w:szCs w:val="24"/>
        </w:rPr>
        <w:t>2.1</w:t>
      </w:r>
      <w:r w:rsidR="00184A44" w:rsidRPr="009A2157">
        <w:rPr>
          <w:rFonts w:cs="Times New Roman"/>
          <w:szCs w:val="24"/>
        </w:rPr>
        <w:t>1</w:t>
      </w:r>
      <w:r w:rsidR="0081377F">
        <w:rPr>
          <w:rFonts w:cs="Times New Roman"/>
          <w:szCs w:val="24"/>
        </w:rPr>
        <w:t xml:space="preserve"> </w:t>
      </w:r>
      <w:r w:rsidR="000804CB" w:rsidRPr="009A2157">
        <w:rPr>
          <w:rFonts w:cs="Times New Roman"/>
          <w:szCs w:val="24"/>
        </w:rPr>
        <w:t xml:space="preserve">Differences </w:t>
      </w:r>
      <w:r w:rsidR="0081377F" w:rsidRPr="009A2157">
        <w:rPr>
          <w:rFonts w:cs="Times New Roman"/>
          <w:szCs w:val="24"/>
        </w:rPr>
        <w:t>between</w:t>
      </w:r>
      <w:r w:rsidR="000804CB" w:rsidRPr="009A2157">
        <w:rPr>
          <w:rFonts w:cs="Times New Roman"/>
          <w:szCs w:val="24"/>
        </w:rPr>
        <w:t xml:space="preserve"> Unit Titles and Subtitles</w:t>
      </w:r>
      <w:bookmarkEnd w:id="130"/>
      <w:r w:rsidR="0081377F">
        <w:rPr>
          <w:rFonts w:cs="Times New Roman"/>
          <w:szCs w:val="24"/>
        </w:rPr>
        <w:fldChar w:fldCharType="begin"/>
      </w:r>
      <w:r w:rsidR="0081377F">
        <w:instrText xml:space="preserve"> TC "</w:instrText>
      </w:r>
      <w:bookmarkStart w:id="131" w:name="_Toc213301690"/>
      <w:r w:rsidR="0081377F" w:rsidRPr="00F27930">
        <w:rPr>
          <w:rFonts w:cs="Times New Roman"/>
          <w:szCs w:val="24"/>
        </w:rPr>
        <w:instrText>2.11 Differences between Unit Titles and Subtitles</w:instrText>
      </w:r>
      <w:bookmarkEnd w:id="131"/>
      <w:r w:rsidR="0081377F">
        <w:instrText xml:space="preserve">" \f C \l "1" </w:instrText>
      </w:r>
      <w:r w:rsidR="0081377F">
        <w:rPr>
          <w:rFonts w:cs="Times New Roman"/>
          <w:szCs w:val="24"/>
        </w:rPr>
        <w:fldChar w:fldCharType="end"/>
      </w:r>
    </w:p>
    <w:p w:rsidR="000804CB" w:rsidRPr="009A2157" w:rsidRDefault="000804CB" w:rsidP="009A2157">
      <w:pPr>
        <w:pStyle w:val="NormalWeb"/>
        <w:spacing w:before="0" w:after="0"/>
        <w:rPr>
          <w:color w:val="000000" w:themeColor="text1"/>
        </w:rPr>
      </w:pPr>
      <w:r w:rsidRPr="009A2157">
        <w:rPr>
          <w:color w:val="000000" w:themeColor="text1"/>
        </w:rPr>
        <w:t xml:space="preserve">Unit Titles and Subtitles are often confused due to their similarities, but they have distinct features that set them apart in terms of establishment, management, and legal aspects. One of the key differences lies in the </w:t>
      </w:r>
      <w:r w:rsidRPr="009A2157">
        <w:rPr>
          <w:bCs/>
          <w:color w:val="000000" w:themeColor="text1"/>
        </w:rPr>
        <w:t>existence of the mother title</w:t>
      </w:r>
      <w:r w:rsidRPr="009A2157">
        <w:rPr>
          <w:color w:val="000000" w:themeColor="text1"/>
        </w:rPr>
        <w:t>. When Unit Titles are established from the mother title, the mother title becomes irrelevant. This means the original title ceases to have any legal authority and cannot be used for transactions such as sale, lease, or mortgage.</w:t>
      </w:r>
      <w:r w:rsidR="00C95A7E" w:rsidRPr="009A2157">
        <w:rPr>
          <w:rStyle w:val="FootnoteReference"/>
          <w:color w:val="000000" w:themeColor="text1"/>
        </w:rPr>
        <w:footnoteReference w:id="55"/>
      </w:r>
      <w:r w:rsidRPr="009A2157">
        <w:rPr>
          <w:color w:val="000000" w:themeColor="text1"/>
        </w:rPr>
        <w:t xml:space="preserve"> The Unit Titles derived from the mother title, however, can be dealt with independently. In contrast, Subtitles do not cause the mother title to lose its legal existence. Even after Subtitles are created, the original title remains valid, and transactions such as sale, lease, or mortgage can still occur on it.</w:t>
      </w:r>
    </w:p>
    <w:p w:rsidR="00373E41" w:rsidRDefault="00373E41" w:rsidP="009A2157">
      <w:pPr>
        <w:pStyle w:val="NormalWeb"/>
        <w:spacing w:before="0" w:after="0"/>
        <w:rPr>
          <w:color w:val="000000" w:themeColor="text1"/>
        </w:rPr>
      </w:pPr>
    </w:p>
    <w:p w:rsidR="000804CB" w:rsidRPr="009A2157" w:rsidRDefault="000804CB" w:rsidP="009A2157">
      <w:pPr>
        <w:pStyle w:val="NormalWeb"/>
        <w:spacing w:before="0" w:after="0"/>
        <w:rPr>
          <w:color w:val="000000" w:themeColor="text1"/>
        </w:rPr>
      </w:pPr>
      <w:r w:rsidRPr="009A2157">
        <w:rPr>
          <w:color w:val="000000" w:themeColor="text1"/>
        </w:rPr>
        <w:t xml:space="preserve">Another major distinction concerns </w:t>
      </w:r>
      <w:r w:rsidRPr="009A2157">
        <w:rPr>
          <w:bCs/>
          <w:color w:val="000000" w:themeColor="text1"/>
        </w:rPr>
        <w:t>titles' management</w:t>
      </w:r>
      <w:r w:rsidRPr="009A2157">
        <w:rPr>
          <w:color w:val="000000" w:themeColor="text1"/>
        </w:rPr>
        <w:t>. Unit Titles are systematically managed by an Association of Unit Titles, which is a mandatory requirement under the Unit Titles Act. This ensures structured oversight and maintenance of the property. On the other hand, Subtitles do not have a similar management framework mandated by law.</w:t>
      </w:r>
      <w:r w:rsidR="00C95A7E" w:rsidRPr="009A2157">
        <w:rPr>
          <w:rStyle w:val="FootnoteReference"/>
          <w:color w:val="000000" w:themeColor="text1"/>
        </w:rPr>
        <w:footnoteReference w:id="56"/>
      </w:r>
      <w:r w:rsidRPr="009A2157">
        <w:rPr>
          <w:color w:val="000000" w:themeColor="text1"/>
        </w:rPr>
        <w:t xml:space="preserve"> The management of Subtitles is not automatically provided for, and unless the owners form their own association under separate legislation, there is no formal structure to oversee the management of the subtitles.</w:t>
      </w:r>
    </w:p>
    <w:p w:rsidR="00373E41" w:rsidRDefault="00373E41" w:rsidP="009A2157">
      <w:pPr>
        <w:pStyle w:val="NormalWeb"/>
        <w:spacing w:before="0" w:after="0"/>
        <w:rPr>
          <w:color w:val="000000" w:themeColor="text1"/>
        </w:rPr>
      </w:pPr>
    </w:p>
    <w:p w:rsidR="00CF4FD0" w:rsidRPr="009A2157" w:rsidRDefault="000804CB" w:rsidP="009A2157">
      <w:pPr>
        <w:pStyle w:val="NormalWeb"/>
        <w:spacing w:before="0" w:after="0"/>
        <w:rPr>
          <w:color w:val="000000" w:themeColor="text1"/>
        </w:rPr>
      </w:pPr>
      <w:r w:rsidRPr="009A2157">
        <w:rPr>
          <w:color w:val="000000" w:themeColor="text1"/>
        </w:rPr>
        <w:t xml:space="preserve">Finally, the </w:t>
      </w:r>
      <w:r w:rsidRPr="009A2157">
        <w:rPr>
          <w:bCs/>
          <w:color w:val="000000" w:themeColor="text1"/>
        </w:rPr>
        <w:t>transfer process</w:t>
      </w:r>
      <w:r w:rsidRPr="009A2157">
        <w:rPr>
          <w:color w:val="000000" w:themeColor="text1"/>
        </w:rPr>
        <w:t xml:space="preserve"> for Unit Titles differs significantly from Subtitles. Under the Unit Titles Act, when transferring a Unit Title, it is required to present a certificate from the Association of Unit Titles to the Registrar of Titles. This certificate must confirm that the Board of the Association has passed a resolution for the transfer and that all necessary consents have been obtained.</w:t>
      </w:r>
      <w:r w:rsidR="00C95A7E" w:rsidRPr="009A2157">
        <w:rPr>
          <w:rStyle w:val="FootnoteReference"/>
          <w:color w:val="000000" w:themeColor="text1"/>
        </w:rPr>
        <w:footnoteReference w:id="57"/>
      </w:r>
      <w:r w:rsidRPr="009A2157">
        <w:rPr>
          <w:color w:val="000000" w:themeColor="text1"/>
        </w:rPr>
        <w:t xml:space="preserve"> This extra layer of approval ensures that transfers are managed and authorized by the governing body of the unit property. In contrast, the transfer process for Subtitles follows the same procedure as any other title transfer and does not require involvement from a governing association.</w:t>
      </w:r>
    </w:p>
    <w:p w:rsidR="00373E41" w:rsidRDefault="00373E41" w:rsidP="009A2157">
      <w:pPr>
        <w:pStyle w:val="Heading2"/>
        <w:spacing w:before="0" w:after="0"/>
        <w:rPr>
          <w:rFonts w:cs="Times New Roman"/>
          <w:szCs w:val="24"/>
        </w:rPr>
      </w:pPr>
      <w:bookmarkStart w:id="132" w:name="_Toc194845409"/>
    </w:p>
    <w:p w:rsidR="007A1031" w:rsidRPr="009A2157" w:rsidRDefault="009F2A99" w:rsidP="009A2157">
      <w:pPr>
        <w:pStyle w:val="Heading2"/>
        <w:spacing w:before="0" w:after="0"/>
        <w:rPr>
          <w:rFonts w:cs="Times New Roman"/>
          <w:szCs w:val="24"/>
        </w:rPr>
      </w:pPr>
      <w:r w:rsidRPr="009A2157">
        <w:rPr>
          <w:rFonts w:cs="Times New Roman"/>
          <w:szCs w:val="24"/>
        </w:rPr>
        <w:t>2.1</w:t>
      </w:r>
      <w:r w:rsidR="00184A44" w:rsidRPr="009A2157">
        <w:rPr>
          <w:rFonts w:cs="Times New Roman"/>
          <w:szCs w:val="24"/>
        </w:rPr>
        <w:t>2</w:t>
      </w:r>
      <w:r w:rsidR="00833CC5">
        <w:rPr>
          <w:rFonts w:cs="Times New Roman"/>
          <w:szCs w:val="24"/>
        </w:rPr>
        <w:t xml:space="preserve"> </w:t>
      </w:r>
      <w:r w:rsidR="007A1031" w:rsidRPr="009A2157">
        <w:rPr>
          <w:rFonts w:cs="Times New Roman"/>
          <w:szCs w:val="24"/>
        </w:rPr>
        <w:t>Rights and Obligations of Co- owners</w:t>
      </w:r>
      <w:bookmarkEnd w:id="132"/>
      <w:r w:rsidR="00833CC5">
        <w:rPr>
          <w:rFonts w:cs="Times New Roman"/>
          <w:szCs w:val="24"/>
        </w:rPr>
        <w:fldChar w:fldCharType="begin"/>
      </w:r>
      <w:r w:rsidR="00833CC5">
        <w:instrText xml:space="preserve"> TC "</w:instrText>
      </w:r>
      <w:bookmarkStart w:id="133" w:name="_Toc213301691"/>
      <w:r w:rsidR="00833CC5" w:rsidRPr="00681BBC">
        <w:rPr>
          <w:rFonts w:cs="Times New Roman"/>
          <w:szCs w:val="24"/>
        </w:rPr>
        <w:instrText>2.12 Rights and Obligations of Co- owners</w:instrText>
      </w:r>
      <w:bookmarkEnd w:id="133"/>
      <w:r w:rsidR="00833CC5">
        <w:instrText xml:space="preserve">" \f C \l "1" </w:instrText>
      </w:r>
      <w:r w:rsidR="00833CC5">
        <w:rPr>
          <w:rFonts w:cs="Times New Roman"/>
          <w:szCs w:val="24"/>
        </w:rPr>
        <w:fldChar w:fldCharType="end"/>
      </w:r>
    </w:p>
    <w:p w:rsidR="00500848" w:rsidRDefault="007A1031" w:rsidP="009A2157">
      <w:pPr>
        <w:spacing w:before="0" w:after="0"/>
      </w:pPr>
      <w:r w:rsidRPr="009A2157">
        <w:t>Co-owners in a unit title property enjoy a range of rights that ensure their autonomy and participation while fostering harmonious communal living. First, every co-owner has the right to peaceful enjoyment and use of their unit and the common areas for lawful purposes, as stipulated in Part VI of Schedule 14 to the Unit Titles Regulations (UTR). This provision guarantees their freedom to utilize the property without undue interference, thereby safeguarding their residential and personal needs. Secondly, co-owners hold the exclusive right to dispose of their unit without requiring approval from the association or other co-owners, as outlined in Part I</w:t>
      </w:r>
      <w:r w:rsidR="002544D7" w:rsidRPr="009A2157">
        <w:t xml:space="preserve">V of the Unit Titles Act (UTA), </w:t>
      </w:r>
      <w:r w:rsidRPr="009A2157">
        <w:t xml:space="preserve">Sections 28–34. This fundamental right underscores the principle of ownership autonomy, allowing co-owners to transfer or sell their property as they see fit. </w:t>
      </w:r>
    </w:p>
    <w:p w:rsidR="00500848" w:rsidRDefault="00500848" w:rsidP="009A2157">
      <w:pPr>
        <w:spacing w:before="0" w:after="0"/>
      </w:pPr>
    </w:p>
    <w:p w:rsidR="007A1031" w:rsidRDefault="007A1031" w:rsidP="009A2157">
      <w:pPr>
        <w:spacing w:before="0" w:after="0"/>
      </w:pPr>
      <w:r w:rsidRPr="009A2157">
        <w:t>Furthermore, co-owners are entitled to participate in the management of the association, enabling them to influence decisions that impact the governance of the property. This is reinforced by the association's constitution and its by-laws, as detailed in Schedules 15 and 16 of the UTR, which also provide co-owners with the right to elect and be elected to association positions.</w:t>
      </w:r>
      <w:r w:rsidR="00500848">
        <w:t xml:space="preserve"> </w:t>
      </w:r>
      <w:r w:rsidRPr="009A2157">
        <w:t>In addition to rights, co-owners have specific obligations that stem from the communal nature of unit title property ownership. The obligation to observe the by-laws of the association, as provided in Sections 19 and 50 of the UTA and Regulation 13(10) of the UTR, ensures compliance with agreed-upon rules for collective property management. Co-owners are also required to contribute to the maintenance and operational costs of the property, including payments into a contingency fund proportional to their fractional ownership share. This financial responsibility, outlined in By-Law 54 of the UTR (14th Schedule), ensures the sustainability of shared resources. Moreover, co-owners using designated common areas for restricted use must bear the costs associated with those portions, ensuring fairness in resource allocation. Section 3 of the UTA defines these restricted-use common areas, emphasizing accountability for their upkeep by those who benefit most.</w:t>
      </w:r>
    </w:p>
    <w:p w:rsidR="00500848" w:rsidRPr="009A2157" w:rsidRDefault="00500848" w:rsidP="009A2157">
      <w:pPr>
        <w:spacing w:before="0" w:after="0"/>
      </w:pPr>
    </w:p>
    <w:p w:rsidR="007A1031" w:rsidRDefault="007A1031" w:rsidP="009A2157">
      <w:pPr>
        <w:spacing w:before="0" w:after="0"/>
      </w:pPr>
      <w:r w:rsidRPr="009A2157">
        <w:t>Another critical obligation requires co-owners to refrain from interfering with approved works necessary for property conservation, as stated in Section 20(5) of the UTA. These works may include maintenance or upgrades initiated by the association or fellow co-owners. If such work results in damage or loss to a co-owner's unit, they are entitled to compensation, balancing communal interests with individual property rights. This framework of rights and obligations, clearly articulated in the UTA and UTR, fosters an environment of shared responsibility and respect among co-owners, ensuring both individual autonomy and collective harmony in managing unit title properties.</w:t>
      </w:r>
    </w:p>
    <w:p w:rsidR="00500848" w:rsidRPr="009A2157" w:rsidRDefault="00500848" w:rsidP="009A2157">
      <w:pPr>
        <w:spacing w:before="0" w:after="0"/>
      </w:pPr>
    </w:p>
    <w:p w:rsidR="006A64FB" w:rsidRPr="009A2157" w:rsidRDefault="009F2A99" w:rsidP="00833CC5">
      <w:pPr>
        <w:pStyle w:val="Heading2"/>
        <w:spacing w:before="0" w:after="0"/>
        <w:jc w:val="both"/>
        <w:rPr>
          <w:rFonts w:cs="Times New Roman"/>
          <w:szCs w:val="24"/>
        </w:rPr>
      </w:pPr>
      <w:bookmarkStart w:id="134" w:name="_Toc194845410"/>
      <w:r w:rsidRPr="009A2157">
        <w:rPr>
          <w:rFonts w:cs="Times New Roman"/>
          <w:szCs w:val="24"/>
        </w:rPr>
        <w:t>2.1</w:t>
      </w:r>
      <w:r w:rsidR="00184A44" w:rsidRPr="009A2157">
        <w:rPr>
          <w:rFonts w:cs="Times New Roman"/>
          <w:szCs w:val="24"/>
        </w:rPr>
        <w:t>3</w:t>
      </w:r>
      <w:r w:rsidR="00833CC5">
        <w:rPr>
          <w:rFonts w:cs="Times New Roman"/>
          <w:szCs w:val="24"/>
        </w:rPr>
        <w:t xml:space="preserve"> </w:t>
      </w:r>
      <w:r w:rsidR="006A64FB" w:rsidRPr="009A2157">
        <w:rPr>
          <w:rFonts w:cs="Times New Roman"/>
          <w:szCs w:val="24"/>
        </w:rPr>
        <w:t>Incidental Rights of owners of Common Property</w:t>
      </w:r>
      <w:bookmarkEnd w:id="134"/>
      <w:r w:rsidR="00833CC5">
        <w:rPr>
          <w:rFonts w:cs="Times New Roman"/>
          <w:szCs w:val="24"/>
        </w:rPr>
        <w:fldChar w:fldCharType="begin"/>
      </w:r>
      <w:r w:rsidR="00833CC5">
        <w:instrText xml:space="preserve"> TC "</w:instrText>
      </w:r>
      <w:bookmarkStart w:id="135" w:name="_Toc213301692"/>
      <w:r w:rsidR="00833CC5" w:rsidRPr="00F5086A">
        <w:rPr>
          <w:rFonts w:cs="Times New Roman"/>
          <w:szCs w:val="24"/>
        </w:rPr>
        <w:instrText>2.13 Incidental Rights of owners of Common Property</w:instrText>
      </w:r>
      <w:bookmarkEnd w:id="135"/>
      <w:r w:rsidR="00833CC5">
        <w:instrText xml:space="preserve">" \f C \l "1" </w:instrText>
      </w:r>
      <w:r w:rsidR="00833CC5">
        <w:rPr>
          <w:rFonts w:cs="Times New Roman"/>
          <w:szCs w:val="24"/>
        </w:rPr>
        <w:fldChar w:fldCharType="end"/>
      </w:r>
    </w:p>
    <w:p w:rsidR="006A64FB" w:rsidRPr="009A2157" w:rsidRDefault="006A64FB" w:rsidP="009A2157">
      <w:pPr>
        <w:spacing w:before="0" w:after="0"/>
      </w:pPr>
      <w:r w:rsidRPr="009A2157">
        <w:t>The regulation of incidental rights of owners of common property addresses the challenges inherent in managing shared spaces within a condominium or unit title model. The goal is to balance individual needs with the collective good, ensuring maintenance, accessibility, and equitable use of common property. As Tracht</w:t>
      </w:r>
      <w:r w:rsidR="00C95A7E" w:rsidRPr="009A2157">
        <w:rPr>
          <w:rStyle w:val="FootnoteReference"/>
        </w:rPr>
        <w:footnoteReference w:id="58"/>
      </w:r>
      <w:r w:rsidRPr="009A2157">
        <w:t xml:space="preserve"> aptly noted, the absence of coordination among co-owners can lead to overuse or neglect of shared resources, imposing costs on others or undermining collective benefits. To resolve such challenges, Section 21 of the Unit Titles Act (UTA) enumerates the incidental rights of unit owners, including the rights to support, shelter, and protection, as well as access to essential services such as water, electricity, sewage, and telecommunications. These rights are appurtenant to each unit, meaning they are inseparably tied to the ownership of the unit and ensure that every owner enjoys reasonable use and benefit from the property.</w:t>
      </w:r>
    </w:p>
    <w:p w:rsidR="00B05479" w:rsidRPr="009A2157" w:rsidRDefault="00B05479" w:rsidP="009A2157">
      <w:pPr>
        <w:spacing w:before="0" w:after="0"/>
      </w:pPr>
    </w:p>
    <w:p w:rsidR="006A64FB" w:rsidRPr="009A2157" w:rsidRDefault="006A64FB" w:rsidP="009A2157">
      <w:pPr>
        <w:spacing w:before="0" w:after="0"/>
      </w:pPr>
      <w:r w:rsidRPr="009A2157">
        <w:t>A cornerstone of these incidental rights is the doctrine of easements, as codified under Section 21(3) of the UTA. Easements provide the legal foundation for rights such as passage, drainage, and utility connections that are critical for the functioning of a shared property. While historically, easements in Tanzania were derived from common law principles, including grants, necessity, or long use (prescriptive rights), statutory provisions in the UTA and the Land Act have clarified and solidified these rights. For instance, Section 22(1</w:t>
      </w:r>
      <w:proofErr w:type="gramStart"/>
      <w:r w:rsidRPr="009A2157">
        <w:t>)(</w:t>
      </w:r>
      <w:proofErr w:type="gramEnd"/>
      <w:r w:rsidRPr="009A2157">
        <w:t>d) of the UTA incorporates easement rights established under the Land Act, providing a statutory framework that reduces ambiguities previously prevalent in common law. This is significant because, as legal scholars like McAuslan</w:t>
      </w:r>
      <w:r w:rsidR="00C95A7E" w:rsidRPr="009A2157">
        <w:rPr>
          <w:rStyle w:val="FootnoteReference"/>
        </w:rPr>
        <w:footnoteReference w:id="59"/>
      </w:r>
      <w:r w:rsidRPr="009A2157">
        <w:t xml:space="preserve"> have observed, the doctrine of easements was traditionally fraught with anomalies and inconsistencies. The statutory framework now ensures clarity and predictability, benefiting all parties involved.</w:t>
      </w:r>
    </w:p>
    <w:p w:rsidR="004A381E" w:rsidRPr="009A2157" w:rsidRDefault="006A64FB" w:rsidP="009A2157">
      <w:pPr>
        <w:spacing w:before="0" w:after="0"/>
      </w:pPr>
      <w:r w:rsidRPr="009A2157">
        <w:t>Additionally, the UTA introduces provisions for restrictive covenants, filling a gap left by the Land Act. These covenants, governed under Sections 25 and 26 of the UTA, allow associations to impose restrictions or positive obligations on unit owners, ensuring that individual actions do not undermine the collective interest. This legal structure not only enhances governance but also provides a mechanism for maintaining harmony in shared living arrangements. By embedding these principles into the UTA, Tanzania has laid a robust foundation for managing unit properties, ensuring both individual rights and communal responsibilities are upheld. This statutory clarity supports sustainable property management and enhances the enjoyment of shared spaces by all co-owners</w:t>
      </w:r>
      <w:r w:rsidR="00EA4315" w:rsidRPr="009A2157">
        <w:t>.</w:t>
      </w:r>
    </w:p>
    <w:p w:rsidR="00500848" w:rsidRDefault="00500848" w:rsidP="009A2157">
      <w:pPr>
        <w:pStyle w:val="Heading2"/>
        <w:spacing w:before="0" w:after="0"/>
        <w:rPr>
          <w:rFonts w:cs="Times New Roman"/>
          <w:szCs w:val="24"/>
        </w:rPr>
      </w:pPr>
      <w:bookmarkStart w:id="136" w:name="_Toc194845411"/>
    </w:p>
    <w:p w:rsidR="009F2A99" w:rsidRPr="009A2157" w:rsidRDefault="009F2A99" w:rsidP="009A2157">
      <w:pPr>
        <w:pStyle w:val="Heading2"/>
        <w:spacing w:before="0" w:after="0"/>
        <w:rPr>
          <w:rFonts w:cs="Times New Roman"/>
          <w:szCs w:val="24"/>
        </w:rPr>
      </w:pPr>
      <w:r w:rsidRPr="009A2157">
        <w:rPr>
          <w:rFonts w:cs="Times New Roman"/>
          <w:szCs w:val="24"/>
        </w:rPr>
        <w:t>2.1</w:t>
      </w:r>
      <w:r w:rsidR="00184A44" w:rsidRPr="009A2157">
        <w:rPr>
          <w:rFonts w:cs="Times New Roman"/>
          <w:szCs w:val="24"/>
        </w:rPr>
        <w:t>4</w:t>
      </w:r>
      <w:r w:rsidR="00833CC5">
        <w:rPr>
          <w:rFonts w:cs="Times New Roman"/>
          <w:szCs w:val="24"/>
        </w:rPr>
        <w:t xml:space="preserve"> </w:t>
      </w:r>
      <w:r w:rsidR="00AE7580" w:rsidRPr="009A2157">
        <w:rPr>
          <w:rFonts w:cs="Times New Roman"/>
          <w:szCs w:val="24"/>
        </w:rPr>
        <w:t>Theoretical Framework</w:t>
      </w:r>
      <w:bookmarkEnd w:id="136"/>
      <w:r w:rsidR="00833CC5">
        <w:rPr>
          <w:rFonts w:cs="Times New Roman"/>
          <w:szCs w:val="24"/>
        </w:rPr>
        <w:fldChar w:fldCharType="begin"/>
      </w:r>
      <w:r w:rsidR="00833CC5">
        <w:instrText xml:space="preserve"> TC "</w:instrText>
      </w:r>
      <w:bookmarkStart w:id="137" w:name="_Toc213301693"/>
      <w:r w:rsidR="00833CC5" w:rsidRPr="00E04FCB">
        <w:rPr>
          <w:rFonts w:cs="Times New Roman"/>
          <w:szCs w:val="24"/>
        </w:rPr>
        <w:instrText>2.14 Theoretical Framework</w:instrText>
      </w:r>
      <w:bookmarkEnd w:id="137"/>
      <w:r w:rsidR="00833CC5">
        <w:instrText xml:space="preserve">" \f C \l "1" </w:instrText>
      </w:r>
      <w:r w:rsidR="00833CC5">
        <w:rPr>
          <w:rFonts w:cs="Times New Roman"/>
          <w:szCs w:val="24"/>
        </w:rPr>
        <w:fldChar w:fldCharType="end"/>
      </w:r>
    </w:p>
    <w:p w:rsidR="00184A44" w:rsidRPr="009A2157" w:rsidRDefault="00AE7580" w:rsidP="009A2157">
      <w:pPr>
        <w:pStyle w:val="Heading3"/>
        <w:spacing w:before="0" w:after="0"/>
        <w:rPr>
          <w:rFonts w:cs="Times New Roman"/>
        </w:rPr>
      </w:pPr>
      <w:bookmarkStart w:id="138" w:name="_Toc194845412"/>
      <w:r w:rsidRPr="009A2157">
        <w:rPr>
          <w:rFonts w:cs="Times New Roman"/>
        </w:rPr>
        <w:t>2.14.1</w:t>
      </w:r>
      <w:r w:rsidR="00833CC5">
        <w:rPr>
          <w:rFonts w:cs="Times New Roman"/>
        </w:rPr>
        <w:t xml:space="preserve"> </w:t>
      </w:r>
      <w:r w:rsidRPr="009A2157">
        <w:rPr>
          <w:rFonts w:cs="Times New Roman"/>
        </w:rPr>
        <w:t>Ownership Theory</w:t>
      </w:r>
      <w:bookmarkEnd w:id="138"/>
      <w:r w:rsidR="00833CC5">
        <w:rPr>
          <w:rFonts w:cs="Times New Roman"/>
        </w:rPr>
        <w:fldChar w:fldCharType="begin"/>
      </w:r>
      <w:r w:rsidR="00833CC5">
        <w:instrText xml:space="preserve"> TC "</w:instrText>
      </w:r>
      <w:bookmarkStart w:id="139" w:name="_Toc213301694"/>
      <w:r w:rsidR="00833CC5" w:rsidRPr="00F2444B">
        <w:rPr>
          <w:rFonts w:cs="Times New Roman"/>
        </w:rPr>
        <w:instrText>2.14.1 Ownership Theory</w:instrText>
      </w:r>
      <w:bookmarkEnd w:id="139"/>
      <w:r w:rsidR="00833CC5">
        <w:instrText xml:space="preserve">" \f C \l "1" </w:instrText>
      </w:r>
      <w:r w:rsidR="00833CC5">
        <w:rPr>
          <w:rFonts w:cs="Times New Roman"/>
        </w:rPr>
        <w:fldChar w:fldCharType="end"/>
      </w:r>
    </w:p>
    <w:p w:rsidR="00F40754" w:rsidRPr="009A2157" w:rsidRDefault="00AE7580" w:rsidP="009A2157">
      <w:pPr>
        <w:spacing w:before="0" w:after="0"/>
      </w:pPr>
      <w:r w:rsidRPr="009A2157">
        <w:t xml:space="preserve">The </w:t>
      </w:r>
      <w:r w:rsidRPr="009A2157">
        <w:rPr>
          <w:rStyle w:val="Strong"/>
          <w:b w:val="0"/>
        </w:rPr>
        <w:t>Ownership Theory</w:t>
      </w:r>
      <w:r w:rsidRPr="009A2157">
        <w:t xml:space="preserve"> was postulated by </w:t>
      </w:r>
      <w:r w:rsidRPr="009A2157">
        <w:rPr>
          <w:rStyle w:val="Strong"/>
          <w:b w:val="0"/>
        </w:rPr>
        <w:t>John Locke in 1689</w:t>
      </w:r>
      <w:r w:rsidRPr="009A2157">
        <w:t xml:space="preserve"> and later expanded by </w:t>
      </w:r>
      <w:r w:rsidRPr="009A2157">
        <w:rPr>
          <w:rStyle w:val="Strong"/>
          <w:b w:val="0"/>
        </w:rPr>
        <w:t>William Blackstone in 1765</w:t>
      </w:r>
      <w:r w:rsidRPr="009A2157">
        <w:rPr>
          <w:b/>
        </w:rPr>
        <w:t>.</w:t>
      </w:r>
      <w:r w:rsidR="00CD2927" w:rsidRPr="009A2157">
        <w:rPr>
          <w:rStyle w:val="FootnoteReference"/>
          <w:b/>
        </w:rPr>
        <w:footnoteReference w:id="60"/>
      </w:r>
      <w:r w:rsidRPr="009A2157">
        <w:t xml:space="preserve"> The theory provides that ownership is an exclusive right granted to an individual over property, including land, with the power to use, transfer, and exclude others.</w:t>
      </w:r>
      <w:r w:rsidR="00CF4FD0" w:rsidRPr="009A2157">
        <w:rPr>
          <w:rStyle w:val="FootnoteReference"/>
        </w:rPr>
        <w:footnoteReference w:id="61"/>
      </w:r>
      <w:r w:rsidRPr="009A2157">
        <w:t xml:space="preserve"> Locke’s </w:t>
      </w:r>
      <w:r w:rsidRPr="009A2157">
        <w:rPr>
          <w:rStyle w:val="Strong"/>
          <w:b w:val="0"/>
        </w:rPr>
        <w:t>labor theory of property</w:t>
      </w:r>
      <w:r w:rsidRPr="009A2157">
        <w:t xml:space="preserve"> argues that property rights arise from an individual’s efforts to cultivate and develop land. Blackstone reinforced this idea by defining ownership as </w:t>
      </w:r>
      <w:r w:rsidR="00CF703E" w:rsidRPr="009A2157">
        <w:t>the</w:t>
      </w:r>
      <w:r w:rsidR="00CF703E" w:rsidRPr="009A2157">
        <w:rPr>
          <w:rStyle w:val="Strong"/>
          <w:b w:val="0"/>
        </w:rPr>
        <w:t xml:space="preserve"> “sole</w:t>
      </w:r>
      <w:r w:rsidRPr="009A2157">
        <w:rPr>
          <w:rStyle w:val="Strong"/>
          <w:b w:val="0"/>
        </w:rPr>
        <w:t xml:space="preserve"> and despotic </w:t>
      </w:r>
      <w:r w:rsidR="00CF703E" w:rsidRPr="009A2157">
        <w:rPr>
          <w:rStyle w:val="Strong"/>
          <w:b w:val="0"/>
        </w:rPr>
        <w:t>dominion”</w:t>
      </w:r>
      <w:r w:rsidR="00CF703E" w:rsidRPr="009A2157">
        <w:t xml:space="preserve"> over</w:t>
      </w:r>
      <w:r w:rsidRPr="009A2157">
        <w:t xml:space="preserve"> property, meaning an owner has absolute control unless restricted by law.</w:t>
      </w:r>
      <w:r w:rsidR="00CF4FD0" w:rsidRPr="009A2157">
        <w:rPr>
          <w:rStyle w:val="FootnoteReference"/>
        </w:rPr>
        <w:footnoteReference w:id="62"/>
      </w:r>
    </w:p>
    <w:p w:rsidR="00184A44" w:rsidRPr="009A2157" w:rsidRDefault="00AE7580" w:rsidP="009A2157">
      <w:pPr>
        <w:spacing w:before="0" w:after="0"/>
      </w:pPr>
      <w:r w:rsidRPr="009A2157">
        <w:t>In the context of unit titles, the Ownership Theory applies because it supports the idea that individual unit owners hold full ownership rights over their respective properties. Unlike leasehold systems where the state or another entity retains significant control, unit title holders have legally recognized ownership rights that can be transferred, inherited, or mortgaged.</w:t>
      </w:r>
      <w:r w:rsidR="00CD2927" w:rsidRPr="009A2157">
        <w:rPr>
          <w:rStyle w:val="FootnoteReference"/>
        </w:rPr>
        <w:footnoteReference w:id="63"/>
      </w:r>
      <w:r w:rsidRPr="009A2157">
        <w:t xml:space="preserve"> However, this ownership is subject to certain legal frameworks that regulate the use of shared spaces and common property, ensuring that individual rights do not infringe on the collective rights of other unit owners.</w:t>
      </w:r>
    </w:p>
    <w:p w:rsidR="00500848" w:rsidRDefault="00500848" w:rsidP="009A2157">
      <w:pPr>
        <w:spacing w:before="0" w:after="0"/>
      </w:pPr>
    </w:p>
    <w:p w:rsidR="00CD2927" w:rsidRDefault="00AE7580" w:rsidP="009A2157">
      <w:pPr>
        <w:spacing w:before="0" w:after="0"/>
      </w:pPr>
      <w:r w:rsidRPr="009A2157">
        <w:t>This theory is relevant to the study as it provides the foundational basis for understanding how unit titles grant ownership rights in Tanzania. It helps assess the extent to which unit title holders enjoy full property rights and whether there are legal gaps that limit their rights compared to traditional land ownership models. Furthermore, the study can evaluate how unit ownership is recognized within Tanzanian land laws and whether amendments are needed to enhance property security.</w:t>
      </w:r>
    </w:p>
    <w:p w:rsidR="00500848" w:rsidRPr="009A2157" w:rsidRDefault="00500848" w:rsidP="009A2157">
      <w:pPr>
        <w:spacing w:before="0" w:after="0"/>
      </w:pPr>
    </w:p>
    <w:p w:rsidR="00184A44" w:rsidRPr="009A2157" w:rsidRDefault="00AE7580" w:rsidP="009A2157">
      <w:pPr>
        <w:pStyle w:val="Heading3"/>
        <w:spacing w:before="0" w:after="0"/>
        <w:rPr>
          <w:rFonts w:cs="Times New Roman"/>
        </w:rPr>
      </w:pPr>
      <w:bookmarkStart w:id="140" w:name="_Toc194845413"/>
      <w:r w:rsidRPr="009A2157">
        <w:rPr>
          <w:rFonts w:cs="Times New Roman"/>
        </w:rPr>
        <w:t>2.14.2</w:t>
      </w:r>
      <w:r w:rsidR="00833CC5">
        <w:rPr>
          <w:rFonts w:cs="Times New Roman"/>
        </w:rPr>
        <w:t xml:space="preserve"> </w:t>
      </w:r>
      <w:r w:rsidRPr="009A2157">
        <w:rPr>
          <w:rFonts w:cs="Times New Roman"/>
        </w:rPr>
        <w:t>Dual Ownership Theory</w:t>
      </w:r>
      <w:bookmarkEnd w:id="140"/>
      <w:r w:rsidR="00833CC5">
        <w:rPr>
          <w:rFonts w:cs="Times New Roman"/>
        </w:rPr>
        <w:fldChar w:fldCharType="begin"/>
      </w:r>
      <w:r w:rsidR="00833CC5">
        <w:instrText xml:space="preserve"> TC "</w:instrText>
      </w:r>
      <w:bookmarkStart w:id="141" w:name="_Toc213301695"/>
      <w:r w:rsidR="00833CC5" w:rsidRPr="00EC7FEA">
        <w:rPr>
          <w:rFonts w:cs="Times New Roman"/>
        </w:rPr>
        <w:instrText>2.14.2 Dual Ownership Theory</w:instrText>
      </w:r>
      <w:bookmarkEnd w:id="141"/>
      <w:r w:rsidR="00833CC5">
        <w:instrText xml:space="preserve">" \f C \l "1" </w:instrText>
      </w:r>
      <w:r w:rsidR="00833CC5">
        <w:rPr>
          <w:rFonts w:cs="Times New Roman"/>
        </w:rPr>
        <w:fldChar w:fldCharType="end"/>
      </w:r>
    </w:p>
    <w:p w:rsidR="000825AA" w:rsidRPr="009A2157" w:rsidRDefault="00AE7580" w:rsidP="009A2157">
      <w:pPr>
        <w:pStyle w:val="NormalWeb"/>
        <w:spacing w:before="0" w:after="0"/>
      </w:pPr>
      <w:r w:rsidRPr="009A2157">
        <w:t>The Dual Ownership Theory was primarily developed in English land law and formalized by A.V. Dicey in 1885. The theory states that property ownership can be divided between two entities: the legal owner, who holds the title, and the beneficial owner, who enjoys the right to use and benefit from the property.</w:t>
      </w:r>
      <w:r w:rsidR="00CD2927" w:rsidRPr="009A2157">
        <w:rPr>
          <w:rStyle w:val="FootnoteReference"/>
        </w:rPr>
        <w:footnoteReference w:id="64"/>
      </w:r>
      <w:r w:rsidRPr="009A2157">
        <w:t xml:space="preserve"> This concept is widely applied in land tenure systems where ownership is split between the government and leaseholders or where trustees hold legal title for beneficiaries.</w:t>
      </w:r>
      <w:r w:rsidR="00CD2927" w:rsidRPr="009A2157">
        <w:rPr>
          <w:rStyle w:val="FootnoteReference"/>
        </w:rPr>
        <w:footnoteReference w:id="65"/>
      </w:r>
    </w:p>
    <w:p w:rsidR="00B05479" w:rsidRPr="009A2157" w:rsidRDefault="00B05479" w:rsidP="009A2157">
      <w:pPr>
        <w:spacing w:before="0" w:after="0"/>
      </w:pPr>
    </w:p>
    <w:p w:rsidR="00184A44" w:rsidRDefault="00AE7580" w:rsidP="009A2157">
      <w:pPr>
        <w:spacing w:before="0" w:after="0"/>
      </w:pPr>
      <w:r w:rsidRPr="009A2157">
        <w:t>This theory applies to unit titles as it recognizes a shared responsibility in property ownership.</w:t>
      </w:r>
      <w:r w:rsidR="00CD2927" w:rsidRPr="009A2157">
        <w:rPr>
          <w:rStyle w:val="FootnoteReference"/>
        </w:rPr>
        <w:footnoteReference w:id="66"/>
      </w:r>
      <w:r w:rsidRPr="009A2157">
        <w:t xml:space="preserve"> While individual unit owners possess titles to their units, they also hold an undivided share in the common property, which is jointly managed by a legally recognized entity such as a Body Corporate or Owners' Association. In some jurisdictions, unit titles function within a leasehold framework where the state retains ultimate ownership while individuals hold long-term </w:t>
      </w:r>
      <w:r w:rsidR="005A74F9" w:rsidRPr="009A2157">
        <w:t>leases. The</w:t>
      </w:r>
      <w:r w:rsidRPr="009A2157">
        <w:t xml:space="preserve"> relevance of this theory to the study lies in its application to the Tanzanian legal framework, particularly in determining whether unit title holders enjoy full ownership or if their rights are restricted under existing land laws. The research can assess whether the dual nature of unit titles creates legal ambiguities or ownership conflicts, thereby identifying areas for legal reform.</w:t>
      </w:r>
    </w:p>
    <w:p w:rsidR="00500848" w:rsidRPr="009A2157" w:rsidRDefault="00500848" w:rsidP="009A2157">
      <w:pPr>
        <w:spacing w:before="0" w:after="0"/>
      </w:pPr>
    </w:p>
    <w:p w:rsidR="00184A44" w:rsidRPr="009A2157" w:rsidRDefault="00AE7580" w:rsidP="009A2157">
      <w:pPr>
        <w:pStyle w:val="Heading3"/>
        <w:spacing w:before="0" w:after="0"/>
        <w:rPr>
          <w:rFonts w:cs="Times New Roman"/>
        </w:rPr>
      </w:pPr>
      <w:bookmarkStart w:id="142" w:name="_Toc194845414"/>
      <w:r w:rsidRPr="009A2157">
        <w:rPr>
          <w:rFonts w:cs="Times New Roman"/>
        </w:rPr>
        <w:t>2.14.3</w:t>
      </w:r>
      <w:r w:rsidR="00833CC5">
        <w:rPr>
          <w:rFonts w:cs="Times New Roman"/>
        </w:rPr>
        <w:t xml:space="preserve"> </w:t>
      </w:r>
      <w:r w:rsidRPr="009A2157">
        <w:rPr>
          <w:rFonts w:cs="Times New Roman"/>
        </w:rPr>
        <w:t>Theory of Horizontal Property</w:t>
      </w:r>
      <w:bookmarkEnd w:id="142"/>
      <w:r w:rsidR="00833CC5">
        <w:rPr>
          <w:rFonts w:cs="Times New Roman"/>
        </w:rPr>
        <w:fldChar w:fldCharType="begin"/>
      </w:r>
      <w:r w:rsidR="00833CC5">
        <w:instrText xml:space="preserve"> TC "</w:instrText>
      </w:r>
      <w:bookmarkStart w:id="143" w:name="_Toc213301696"/>
      <w:r w:rsidR="00833CC5" w:rsidRPr="00CA0560">
        <w:rPr>
          <w:rFonts w:cs="Times New Roman"/>
        </w:rPr>
        <w:instrText>2.14.3 Theory of Horizontal Property</w:instrText>
      </w:r>
      <w:bookmarkEnd w:id="143"/>
      <w:r w:rsidR="00833CC5">
        <w:instrText xml:space="preserve">" \f C \l "1" </w:instrText>
      </w:r>
      <w:r w:rsidR="00833CC5">
        <w:rPr>
          <w:rFonts w:cs="Times New Roman"/>
        </w:rPr>
        <w:fldChar w:fldCharType="end"/>
      </w:r>
    </w:p>
    <w:p w:rsidR="00CD2927" w:rsidRDefault="00AE7580" w:rsidP="009A2157">
      <w:pPr>
        <w:pStyle w:val="NormalWeb"/>
        <w:spacing w:before="0" w:after="0"/>
      </w:pPr>
      <w:r w:rsidRPr="009A2157">
        <w:t>The Theory of Horizontal Property, also known as the Horizontal Division of Ownership Theory, was formalized in France in 1804 under the Napoleonic Code and later developed in Spain in 1939, leading to the first Condominium Law.</w:t>
      </w:r>
      <w:r w:rsidR="00CD2927" w:rsidRPr="009A2157">
        <w:rPr>
          <w:rStyle w:val="FootnoteReference"/>
        </w:rPr>
        <w:footnoteReference w:id="67"/>
      </w:r>
      <w:r w:rsidRPr="009A2157">
        <w:t xml:space="preserve"> This theory allows for multiple individuals to own separate units within the same land parcel while collectively sharing ownership of common spaces.</w:t>
      </w:r>
      <w:r w:rsidR="00CD2927" w:rsidRPr="009A2157">
        <w:rPr>
          <w:rStyle w:val="FootnoteReference"/>
        </w:rPr>
        <w:footnoteReference w:id="68"/>
      </w:r>
      <w:r w:rsidRPr="009A2157">
        <w:t>This theory is highly applicable to unit titles since it directly addresses the legal structure of shared property ownership. Under this model, unit title owners have exclusive ownership rights over their specific units but must adhere to a governance structure that oversees common areas.</w:t>
      </w:r>
      <w:r w:rsidR="00CD2927" w:rsidRPr="009A2157">
        <w:rPr>
          <w:rStyle w:val="FootnoteReference"/>
        </w:rPr>
        <w:footnoteReference w:id="69"/>
      </w:r>
      <w:r w:rsidRPr="009A2157">
        <w:t xml:space="preserve"> Many condominium laws worldwide, including those in the United States, Europe, and parts of Africa, are based on this </w:t>
      </w:r>
      <w:r w:rsidR="005A74F9" w:rsidRPr="009A2157">
        <w:t>principle. The</w:t>
      </w:r>
      <w:r w:rsidRPr="009A2157">
        <w:t xml:space="preserve"> relevance of this theory to the study is crucial as it provides a legal basis for unit title ownership in Tanzania. By comparing Tanzanian laws with international best practices derived from this theory, the study can assess whether existing laws provide adequate protection for unit title owners and if reforms are needed to strengthen property rights in horizontal ownership structures.</w:t>
      </w:r>
    </w:p>
    <w:p w:rsidR="00500848" w:rsidRPr="009A2157" w:rsidRDefault="00500848" w:rsidP="009A2157">
      <w:pPr>
        <w:pStyle w:val="NormalWeb"/>
        <w:spacing w:before="0" w:after="0"/>
      </w:pPr>
    </w:p>
    <w:p w:rsidR="00184A44" w:rsidRPr="009A2157" w:rsidRDefault="00AE7580" w:rsidP="00833CC5">
      <w:pPr>
        <w:pStyle w:val="Heading3"/>
        <w:spacing w:before="0" w:after="0"/>
        <w:jc w:val="both"/>
        <w:rPr>
          <w:rFonts w:cs="Times New Roman"/>
        </w:rPr>
      </w:pPr>
      <w:bookmarkStart w:id="144" w:name="_Toc194845415"/>
      <w:r w:rsidRPr="009A2157">
        <w:rPr>
          <w:rFonts w:cs="Times New Roman"/>
        </w:rPr>
        <w:t>2.14.4</w:t>
      </w:r>
      <w:r w:rsidR="00833CC5">
        <w:rPr>
          <w:rFonts w:cs="Times New Roman"/>
        </w:rPr>
        <w:t xml:space="preserve"> </w:t>
      </w:r>
      <w:r w:rsidRPr="009A2157">
        <w:rPr>
          <w:rFonts w:cs="Times New Roman"/>
        </w:rPr>
        <w:t>Communal Ownership Theory</w:t>
      </w:r>
      <w:bookmarkEnd w:id="144"/>
      <w:r w:rsidR="00833CC5">
        <w:rPr>
          <w:rFonts w:cs="Times New Roman"/>
        </w:rPr>
        <w:fldChar w:fldCharType="begin"/>
      </w:r>
      <w:r w:rsidR="00833CC5">
        <w:instrText xml:space="preserve"> TC "</w:instrText>
      </w:r>
      <w:bookmarkStart w:id="145" w:name="_Toc213301697"/>
      <w:r w:rsidR="00833CC5" w:rsidRPr="00BB5077">
        <w:rPr>
          <w:rFonts w:cs="Times New Roman"/>
        </w:rPr>
        <w:instrText>2.14.4 Communal Ownership Theory</w:instrText>
      </w:r>
      <w:bookmarkEnd w:id="145"/>
      <w:r w:rsidR="00833CC5">
        <w:instrText xml:space="preserve">" \f C \l "1" </w:instrText>
      </w:r>
      <w:r w:rsidR="00833CC5">
        <w:rPr>
          <w:rFonts w:cs="Times New Roman"/>
        </w:rPr>
        <w:fldChar w:fldCharType="end"/>
      </w:r>
    </w:p>
    <w:p w:rsidR="00CD2927" w:rsidRDefault="00AE7580" w:rsidP="009A2157">
      <w:pPr>
        <w:pStyle w:val="NormalWeb"/>
        <w:spacing w:before="0" w:after="0"/>
      </w:pPr>
      <w:r w:rsidRPr="009A2157">
        <w:t>The Communal Ownership Theory was developed by Karl Marx in 1848 and has roots in socialist and indigenous land tenure systems. It argues that land and property should be owned collectively rather than individually, with resources managed for the benefit of the community rather than private individuals.</w:t>
      </w:r>
      <w:r w:rsidR="00CD2927" w:rsidRPr="009A2157">
        <w:rPr>
          <w:rStyle w:val="FootnoteReference"/>
        </w:rPr>
        <w:footnoteReference w:id="70"/>
      </w:r>
      <w:r w:rsidRPr="009A2157">
        <w:t xml:space="preserve"> This theory contrasts with Western legal traditions, which emphasize individual property rights.</w:t>
      </w:r>
      <w:r w:rsidR="00CD2927" w:rsidRPr="009A2157">
        <w:rPr>
          <w:rStyle w:val="FootnoteReference"/>
        </w:rPr>
        <w:footnoteReference w:id="71"/>
      </w:r>
      <w:r w:rsidRPr="009A2157">
        <w:t>In the context of unit titles, communal ownership applies to shared property management, where unit owners do not have exclusive rights over common areas but instead collectively manage them through a governing body such as a condominium association. It ensures that common spaces are maintained for the benefit of all owners rather than for profit-driven motives.</w:t>
      </w:r>
      <w:r w:rsidR="00CD2927" w:rsidRPr="009A2157">
        <w:rPr>
          <w:rStyle w:val="FootnoteReference"/>
        </w:rPr>
        <w:footnoteReference w:id="72"/>
      </w:r>
      <w:r w:rsidRPr="009A2157">
        <w:t>The study’s relevance to this theory lies in its examination of how unit title laws in Tanzania balance individual ownership with communal responsibilities. It helps determine whether legal gaps exist in managing common areas, resolving disputes, and ensuring fair contributions from all unit owners.</w:t>
      </w:r>
    </w:p>
    <w:p w:rsidR="00500848" w:rsidRPr="009A2157" w:rsidRDefault="00500848" w:rsidP="009A2157">
      <w:pPr>
        <w:pStyle w:val="NormalWeb"/>
        <w:spacing w:before="0" w:after="0"/>
      </w:pPr>
    </w:p>
    <w:p w:rsidR="00184A44" w:rsidRPr="009A2157" w:rsidRDefault="00AE7580" w:rsidP="009A2157">
      <w:pPr>
        <w:pStyle w:val="Heading3"/>
        <w:spacing w:before="0" w:after="0"/>
        <w:rPr>
          <w:rFonts w:cs="Times New Roman"/>
        </w:rPr>
      </w:pPr>
      <w:bookmarkStart w:id="146" w:name="_Toc194845416"/>
      <w:r w:rsidRPr="009A2157">
        <w:rPr>
          <w:rFonts w:cs="Times New Roman"/>
        </w:rPr>
        <w:t>2.14.5</w:t>
      </w:r>
      <w:r w:rsidR="00833CC5">
        <w:rPr>
          <w:rFonts w:cs="Times New Roman"/>
        </w:rPr>
        <w:t xml:space="preserve"> </w:t>
      </w:r>
      <w:r w:rsidRPr="009A2157">
        <w:rPr>
          <w:rFonts w:cs="Times New Roman"/>
        </w:rPr>
        <w:t>Servitude Theory</w:t>
      </w:r>
      <w:bookmarkEnd w:id="146"/>
      <w:r w:rsidR="00833CC5">
        <w:rPr>
          <w:rFonts w:cs="Times New Roman"/>
        </w:rPr>
        <w:fldChar w:fldCharType="begin"/>
      </w:r>
      <w:r w:rsidR="00833CC5">
        <w:instrText xml:space="preserve"> TC "</w:instrText>
      </w:r>
      <w:bookmarkStart w:id="147" w:name="_Toc213301698"/>
      <w:r w:rsidR="00833CC5" w:rsidRPr="008B088C">
        <w:rPr>
          <w:rFonts w:cs="Times New Roman"/>
        </w:rPr>
        <w:instrText>2.14.5 Servitude Theory</w:instrText>
      </w:r>
      <w:bookmarkEnd w:id="147"/>
      <w:r w:rsidR="00833CC5">
        <w:instrText xml:space="preserve">" \f C \l "1" </w:instrText>
      </w:r>
      <w:r w:rsidR="00833CC5">
        <w:rPr>
          <w:rFonts w:cs="Times New Roman"/>
        </w:rPr>
        <w:fldChar w:fldCharType="end"/>
      </w:r>
    </w:p>
    <w:p w:rsidR="00F40754" w:rsidRDefault="00AE7580" w:rsidP="009A2157">
      <w:pPr>
        <w:spacing w:before="0" w:after="0"/>
      </w:pPr>
      <w:r w:rsidRPr="009A2157">
        <w:t>The Servitude Theory originates from Roman law and was later refined in European civil law traditions.</w:t>
      </w:r>
      <w:r w:rsidR="00CD2927" w:rsidRPr="009A2157">
        <w:rPr>
          <w:rStyle w:val="FootnoteReference"/>
        </w:rPr>
        <w:footnoteReference w:id="73"/>
      </w:r>
      <w:r w:rsidRPr="009A2157">
        <w:t xml:space="preserve"> The theory provides that certain property rights can be granted to individuals who do not own the land but have legally enforceable privileges to use it. Servitudes include rights of way, easements, and obligations imposed on property for the benefit of another </w:t>
      </w:r>
      <w:r w:rsidR="00CD2927" w:rsidRPr="009A2157">
        <w:t>property. Unit</w:t>
      </w:r>
      <w:r w:rsidRPr="009A2157">
        <w:t xml:space="preserve"> titles incorporate servitude principles, particularly regarding access rights, shared facilities, and maintenance obligations.</w:t>
      </w:r>
      <w:r w:rsidR="00CD2927" w:rsidRPr="009A2157">
        <w:rPr>
          <w:rStyle w:val="FootnoteReference"/>
        </w:rPr>
        <w:footnoteReference w:id="74"/>
      </w:r>
      <w:r w:rsidRPr="009A2157">
        <w:t xml:space="preserve"> Owners must adhere to servitude agreements governing utilities, pathways, and essential services, ensuring that no single owner disrupts the collective rights of </w:t>
      </w:r>
      <w:r w:rsidR="009C24DF" w:rsidRPr="009A2157">
        <w:t>others. The</w:t>
      </w:r>
      <w:r w:rsidRPr="009A2157">
        <w:t xml:space="preserve"> study benefits from this theory by assessing whether Tanzanian laws adequately define servitudes within unit title ownership and whether legal conflicts arise due to unclear regulations on shared property use.</w:t>
      </w:r>
    </w:p>
    <w:p w:rsidR="00500848" w:rsidRPr="009A2157" w:rsidRDefault="00500848" w:rsidP="009A2157">
      <w:pPr>
        <w:spacing w:before="0" w:after="0"/>
      </w:pPr>
    </w:p>
    <w:p w:rsidR="00184A44" w:rsidRPr="009A2157" w:rsidRDefault="00833CC5" w:rsidP="009A2157">
      <w:pPr>
        <w:pStyle w:val="Heading3"/>
        <w:spacing w:before="0" w:after="0"/>
        <w:rPr>
          <w:rFonts w:cs="Times New Roman"/>
        </w:rPr>
      </w:pPr>
      <w:bookmarkStart w:id="148" w:name="_Toc194845417"/>
      <w:r>
        <w:rPr>
          <w:rFonts w:cs="Times New Roman"/>
        </w:rPr>
        <w:t xml:space="preserve">2.14.6 </w:t>
      </w:r>
      <w:r w:rsidR="00AE7580" w:rsidRPr="009A2157">
        <w:rPr>
          <w:rFonts w:cs="Times New Roman"/>
        </w:rPr>
        <w:t>Contractual Theory</w:t>
      </w:r>
      <w:bookmarkEnd w:id="148"/>
      <w:r>
        <w:rPr>
          <w:rFonts w:cs="Times New Roman"/>
        </w:rPr>
        <w:fldChar w:fldCharType="begin"/>
      </w:r>
      <w:r>
        <w:instrText xml:space="preserve"> TC "</w:instrText>
      </w:r>
      <w:bookmarkStart w:id="149" w:name="_Toc213301699"/>
      <w:r w:rsidRPr="00CB0296">
        <w:rPr>
          <w:rFonts w:cs="Times New Roman"/>
        </w:rPr>
        <w:instrText>2.14.6 Contractual Theory</w:instrText>
      </w:r>
      <w:bookmarkEnd w:id="149"/>
      <w:r>
        <w:instrText xml:space="preserve">" \f C \l "1" </w:instrText>
      </w:r>
      <w:r>
        <w:rPr>
          <w:rFonts w:cs="Times New Roman"/>
        </w:rPr>
        <w:fldChar w:fldCharType="end"/>
      </w:r>
    </w:p>
    <w:p w:rsidR="00184A44" w:rsidRDefault="00AE7580" w:rsidP="009A2157">
      <w:pPr>
        <w:spacing w:before="0" w:after="0"/>
      </w:pPr>
      <w:r w:rsidRPr="009A2157">
        <w:t>The Contractual Theory was developed by legal scholars such as Friedrich von Savigny (19th century) and later incorporated into modern property and business law.</w:t>
      </w:r>
      <w:r w:rsidR="00CD2927" w:rsidRPr="009A2157">
        <w:rPr>
          <w:rStyle w:val="FootnoteReference"/>
        </w:rPr>
        <w:footnoteReference w:id="75"/>
      </w:r>
      <w:r w:rsidRPr="009A2157">
        <w:t xml:space="preserve"> It argues that property relationships, including unit titles, function as contracts between parties, where rights and obligations are defined through agreements rather than absolute ownership </w:t>
      </w:r>
      <w:r w:rsidR="00CD2927" w:rsidRPr="009A2157">
        <w:t>laws. In</w:t>
      </w:r>
      <w:r w:rsidRPr="009A2157">
        <w:t xml:space="preserve"> unit titles, contractual theory applies to agreements between property developers, unit owners, and governing bodies. Buyers of unit titles agree to abide by specific regulations, including service charges, dispute resolution mechanisms, and usage restrictions. This theory underscores the role of bylaws and regulations in unit title </w:t>
      </w:r>
      <w:r w:rsidR="00CD2927" w:rsidRPr="009A2157">
        <w:t>schemes. The</w:t>
      </w:r>
      <w:r w:rsidRPr="009A2157">
        <w:t xml:space="preserve"> study’s relevance lies in assessing whether contractual frameworks governing unit titles in Tanzania are legally binding, enforceable, and fair to all stakeholders. It helps identify any gaps in consumer protection and contract enforcement that may impact unit owners.</w:t>
      </w:r>
    </w:p>
    <w:p w:rsidR="00500848" w:rsidRPr="009A2157" w:rsidRDefault="00500848" w:rsidP="009A2157">
      <w:pPr>
        <w:spacing w:before="0" w:after="0"/>
      </w:pPr>
    </w:p>
    <w:p w:rsidR="00184A44" w:rsidRPr="009A2157" w:rsidRDefault="00AE7580" w:rsidP="009A2157">
      <w:pPr>
        <w:pStyle w:val="Heading3"/>
        <w:spacing w:before="0" w:after="0"/>
        <w:rPr>
          <w:rFonts w:cs="Times New Roman"/>
        </w:rPr>
      </w:pPr>
      <w:bookmarkStart w:id="150" w:name="_Toc194845418"/>
      <w:r w:rsidRPr="009A2157">
        <w:rPr>
          <w:rFonts w:cs="Times New Roman"/>
        </w:rPr>
        <w:t>2.14.7</w:t>
      </w:r>
      <w:r w:rsidR="00833CC5">
        <w:rPr>
          <w:rFonts w:cs="Times New Roman"/>
        </w:rPr>
        <w:t xml:space="preserve"> </w:t>
      </w:r>
      <w:r w:rsidRPr="009A2157">
        <w:rPr>
          <w:rFonts w:cs="Times New Roman"/>
        </w:rPr>
        <w:t>Institutional Theory</w:t>
      </w:r>
      <w:bookmarkEnd w:id="150"/>
      <w:r w:rsidR="00833CC5">
        <w:rPr>
          <w:rFonts w:cs="Times New Roman"/>
        </w:rPr>
        <w:fldChar w:fldCharType="begin"/>
      </w:r>
      <w:r w:rsidR="00833CC5">
        <w:instrText xml:space="preserve"> TC "</w:instrText>
      </w:r>
      <w:bookmarkStart w:id="151" w:name="_Toc213301700"/>
      <w:r w:rsidR="00833CC5" w:rsidRPr="00457087">
        <w:rPr>
          <w:rFonts w:cs="Times New Roman"/>
        </w:rPr>
        <w:instrText>2.14.7 Institutional Theory</w:instrText>
      </w:r>
      <w:bookmarkEnd w:id="151"/>
      <w:r w:rsidR="00833CC5">
        <w:instrText xml:space="preserve">" \f C \l "1" </w:instrText>
      </w:r>
      <w:r w:rsidR="00833CC5">
        <w:rPr>
          <w:rFonts w:cs="Times New Roman"/>
        </w:rPr>
        <w:fldChar w:fldCharType="end"/>
      </w:r>
    </w:p>
    <w:p w:rsidR="0067653C" w:rsidRDefault="00AE7580" w:rsidP="009A2157">
      <w:pPr>
        <w:spacing w:before="0" w:after="0"/>
      </w:pPr>
      <w:r w:rsidRPr="009A2157">
        <w:t>The Institutional Theory was proposed by Thorstein Veblenand later refined by economists and legal scholars analyzing the role of institutions in shaping property rights.</w:t>
      </w:r>
      <w:r w:rsidR="00CD2927" w:rsidRPr="009A2157">
        <w:rPr>
          <w:rStyle w:val="FootnoteReference"/>
        </w:rPr>
        <w:footnoteReference w:id="76"/>
      </w:r>
      <w:r w:rsidRPr="009A2157">
        <w:t xml:space="preserve"> It states that legal and economic institutions influence how property is owned, transferred, and managed, with laws and regulations adapting to social and economic </w:t>
      </w:r>
      <w:r w:rsidR="00CD2927" w:rsidRPr="009A2157">
        <w:t>changes. For</w:t>
      </w:r>
      <w:r w:rsidRPr="009A2157">
        <w:t xml:space="preserve"> unit titles, institutional theory explains how government policies, real estate regulations, and economic conditions shape property ownership models. It highlights the role of laws in facilitating investment in unit developments, ensuring efficient dispute resolution, and protecting both individual and communal interests.</w:t>
      </w:r>
      <w:r w:rsidR="00513D80" w:rsidRPr="009A2157">
        <w:rPr>
          <w:rStyle w:val="FootnoteReference"/>
        </w:rPr>
        <w:footnoteReference w:id="77"/>
      </w:r>
      <w:r w:rsidRPr="009A2157">
        <w:t>The relevance of this theory to the study is significant in evaluating whether Tanzania’s legal and institutional framework supports unit title ownership effectively. It allows for an analysis of legal gaps, administrative inefficiencies, and policy recommendations to improve unit title regulations in Tanzania.</w:t>
      </w:r>
    </w:p>
    <w:p w:rsidR="00500848" w:rsidRPr="009A2157" w:rsidRDefault="00500848" w:rsidP="009A2157">
      <w:pPr>
        <w:spacing w:before="0" w:after="0"/>
      </w:pPr>
    </w:p>
    <w:p w:rsidR="00766166" w:rsidRPr="009A2157" w:rsidRDefault="00766166" w:rsidP="009A2157">
      <w:pPr>
        <w:spacing w:before="0" w:after="0"/>
        <w:rPr>
          <w:b/>
        </w:rPr>
      </w:pPr>
      <w:r w:rsidRPr="009A2157">
        <w:rPr>
          <w:b/>
        </w:rPr>
        <w:t>2.15</w:t>
      </w:r>
      <w:r w:rsidR="00833CC5">
        <w:rPr>
          <w:b/>
        </w:rPr>
        <w:t xml:space="preserve"> </w:t>
      </w:r>
      <w:r w:rsidRPr="009A2157">
        <w:rPr>
          <w:b/>
        </w:rPr>
        <w:t>Conclusion</w:t>
      </w:r>
      <w:r w:rsidR="00833CC5">
        <w:rPr>
          <w:b/>
        </w:rPr>
        <w:fldChar w:fldCharType="begin"/>
      </w:r>
      <w:r w:rsidR="00833CC5">
        <w:instrText xml:space="preserve"> TC "</w:instrText>
      </w:r>
      <w:bookmarkStart w:id="152" w:name="_Toc213301701"/>
      <w:r w:rsidR="00833CC5" w:rsidRPr="00CE11F6">
        <w:rPr>
          <w:b/>
        </w:rPr>
        <w:instrText>2.15 Conclusion</w:instrText>
      </w:r>
      <w:bookmarkEnd w:id="152"/>
      <w:r w:rsidR="00833CC5">
        <w:instrText xml:space="preserve">" \f C \l "1" </w:instrText>
      </w:r>
      <w:r w:rsidR="00833CC5">
        <w:rPr>
          <w:b/>
        </w:rPr>
        <w:fldChar w:fldCharType="end"/>
      </w:r>
      <w:r w:rsidRPr="009A2157">
        <w:rPr>
          <w:b/>
        </w:rPr>
        <w:t xml:space="preserve"> </w:t>
      </w:r>
    </w:p>
    <w:p w:rsidR="00E171EF" w:rsidRDefault="00766166" w:rsidP="009A2157">
      <w:pPr>
        <w:spacing w:before="0" w:after="0"/>
      </w:pPr>
      <w:r w:rsidRPr="009A2157">
        <w:t>The chapter covered the conceptual and theoretical framework underpinning the legal implications of unit titles on land rights in Tanzania, beginning with an introduction to the unit title system and its dual structure of ownership—exclusive rights to individual units and shared rights to common areas. It explained how unit titles are established, the legal process for their disposition, and safeguards during co-owner sales. The chapter further addressed the termination of unit status, the mandatory formation of Unit Titles Associations for co-management, and the registration and enforcement of by-laws. It also clarified distinctions between unit titles and subtitles in terms of legal authority and management frameworks. Finally, it detailed the rights and obligations of co-owners, highlighting both their autonomy in property use and disposal, and their responsibilities in upholding shared management, financial contributions, and maintenance duties—framing the discussion within relevant legal provisions and theoretical perspectives on property rights.</w:t>
      </w: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Default="00500848" w:rsidP="009A2157">
      <w:pPr>
        <w:spacing w:before="0" w:after="0"/>
      </w:pPr>
    </w:p>
    <w:p w:rsidR="00500848" w:rsidRPr="009A2157" w:rsidRDefault="00500848" w:rsidP="009A2157">
      <w:pPr>
        <w:spacing w:before="0" w:after="0"/>
      </w:pPr>
    </w:p>
    <w:p w:rsidR="00B05479" w:rsidRPr="009A2157" w:rsidRDefault="00B05479" w:rsidP="009A2157">
      <w:pPr>
        <w:spacing w:before="0" w:after="0"/>
      </w:pPr>
    </w:p>
    <w:p w:rsidR="0067653C" w:rsidRPr="009A2157" w:rsidRDefault="0067653C" w:rsidP="009A2157">
      <w:pPr>
        <w:pStyle w:val="Heading1"/>
        <w:spacing w:before="0" w:after="0"/>
        <w:rPr>
          <w:rFonts w:cs="Times New Roman"/>
          <w:szCs w:val="24"/>
        </w:rPr>
      </w:pPr>
      <w:bookmarkStart w:id="153" w:name="_Toc194845419"/>
      <w:r w:rsidRPr="009A2157">
        <w:rPr>
          <w:rFonts w:cs="Times New Roman"/>
          <w:szCs w:val="24"/>
        </w:rPr>
        <w:t>CHAPTER THREE</w:t>
      </w:r>
      <w:bookmarkEnd w:id="153"/>
      <w:r w:rsidR="00833CC5">
        <w:rPr>
          <w:rFonts w:cs="Times New Roman"/>
          <w:szCs w:val="24"/>
        </w:rPr>
        <w:fldChar w:fldCharType="begin"/>
      </w:r>
      <w:r w:rsidR="00833CC5">
        <w:instrText xml:space="preserve"> TC "</w:instrText>
      </w:r>
      <w:bookmarkStart w:id="154" w:name="_Toc213301702"/>
      <w:r w:rsidR="00833CC5" w:rsidRPr="005769A1">
        <w:rPr>
          <w:rFonts w:cs="Times New Roman"/>
          <w:szCs w:val="24"/>
        </w:rPr>
        <w:instrText>CHAPTER THREE</w:instrText>
      </w:r>
      <w:bookmarkEnd w:id="154"/>
      <w:r w:rsidR="00833CC5">
        <w:instrText xml:space="preserve">" \f C \l "1" </w:instrText>
      </w:r>
      <w:r w:rsidR="00833CC5">
        <w:rPr>
          <w:rFonts w:cs="Times New Roman"/>
          <w:szCs w:val="24"/>
        </w:rPr>
        <w:fldChar w:fldCharType="end"/>
      </w:r>
    </w:p>
    <w:p w:rsidR="004D0534" w:rsidRPr="009A2157" w:rsidRDefault="004D0534" w:rsidP="009A2157">
      <w:pPr>
        <w:spacing w:before="0" w:after="0"/>
        <w:jc w:val="center"/>
      </w:pPr>
      <w:r w:rsidRPr="009A2157">
        <w:rPr>
          <w:b/>
          <w:bCs/>
        </w:rPr>
        <w:t>INTERNATIONAL</w:t>
      </w:r>
      <w:r w:rsidR="00974039" w:rsidRPr="009A2157">
        <w:rPr>
          <w:b/>
          <w:bCs/>
        </w:rPr>
        <w:t xml:space="preserve"> LEGAL FRAMEWORK AND</w:t>
      </w:r>
      <w:r w:rsidRPr="009A2157">
        <w:rPr>
          <w:b/>
          <w:bCs/>
        </w:rPr>
        <w:t xml:space="preserve"> BEST PRACTICES ON UNIT TITLES</w:t>
      </w:r>
      <w:r w:rsidR="00833CC5">
        <w:rPr>
          <w:b/>
          <w:bCs/>
        </w:rPr>
        <w:fldChar w:fldCharType="begin"/>
      </w:r>
      <w:r w:rsidR="00833CC5">
        <w:instrText xml:space="preserve"> TC "</w:instrText>
      </w:r>
      <w:bookmarkStart w:id="155" w:name="_Toc213301703"/>
      <w:r w:rsidR="00833CC5" w:rsidRPr="0041104F">
        <w:rPr>
          <w:b/>
          <w:bCs/>
        </w:rPr>
        <w:instrText>INTERNATIONAL LEGAL FRAMEWORK AND BEST PRACTICES ON UNIT TITLES</w:instrText>
      </w:r>
      <w:bookmarkEnd w:id="155"/>
      <w:r w:rsidR="00833CC5">
        <w:instrText xml:space="preserve">" \f C \l "1" </w:instrText>
      </w:r>
      <w:r w:rsidR="00833CC5">
        <w:rPr>
          <w:b/>
          <w:bCs/>
        </w:rPr>
        <w:fldChar w:fldCharType="end"/>
      </w:r>
    </w:p>
    <w:p w:rsidR="0067653C" w:rsidRPr="009A2157" w:rsidRDefault="009F2A99" w:rsidP="009A2157">
      <w:pPr>
        <w:pStyle w:val="Heading2"/>
        <w:spacing w:before="0" w:after="0"/>
        <w:jc w:val="both"/>
        <w:rPr>
          <w:rFonts w:cs="Times New Roman"/>
          <w:szCs w:val="24"/>
        </w:rPr>
      </w:pPr>
      <w:bookmarkStart w:id="156" w:name="_Toc194845421"/>
      <w:r w:rsidRPr="009A2157">
        <w:rPr>
          <w:rFonts w:cs="Times New Roman"/>
          <w:szCs w:val="24"/>
        </w:rPr>
        <w:t>3.1</w:t>
      </w:r>
      <w:r w:rsidR="00833CC5">
        <w:rPr>
          <w:rFonts w:cs="Times New Roman"/>
          <w:szCs w:val="24"/>
        </w:rPr>
        <w:t xml:space="preserve"> </w:t>
      </w:r>
      <w:r w:rsidR="0067653C" w:rsidRPr="009A2157">
        <w:rPr>
          <w:rFonts w:cs="Times New Roman"/>
          <w:szCs w:val="24"/>
        </w:rPr>
        <w:t>Introduction</w:t>
      </w:r>
      <w:bookmarkEnd w:id="156"/>
      <w:r w:rsidR="00833CC5">
        <w:rPr>
          <w:rFonts w:cs="Times New Roman"/>
          <w:szCs w:val="24"/>
        </w:rPr>
        <w:fldChar w:fldCharType="begin"/>
      </w:r>
      <w:r w:rsidR="00833CC5">
        <w:instrText xml:space="preserve"> TC "</w:instrText>
      </w:r>
      <w:bookmarkStart w:id="157" w:name="_Toc213301704"/>
      <w:r w:rsidR="00833CC5" w:rsidRPr="001C5AF1">
        <w:rPr>
          <w:rFonts w:cs="Times New Roman"/>
          <w:szCs w:val="24"/>
        </w:rPr>
        <w:instrText>3.1 Introduction</w:instrText>
      </w:r>
      <w:bookmarkEnd w:id="157"/>
      <w:r w:rsidR="00833CC5">
        <w:instrText xml:space="preserve">" \f C \l "1" </w:instrText>
      </w:r>
      <w:r w:rsidR="00833CC5">
        <w:rPr>
          <w:rFonts w:cs="Times New Roman"/>
          <w:szCs w:val="24"/>
        </w:rPr>
        <w:fldChar w:fldCharType="end"/>
      </w:r>
    </w:p>
    <w:p w:rsidR="004D0534" w:rsidRPr="009A2157" w:rsidRDefault="004D0534" w:rsidP="009A2157">
      <w:pPr>
        <w:spacing w:before="0" w:after="0"/>
      </w:pPr>
      <w:bookmarkStart w:id="158" w:name="_Toc194845422"/>
      <w:r w:rsidRPr="009A2157">
        <w:t>This chapter covers international guidelines and best practices related to the regulation and management of unit titles. It highlights the limited presence of binding international legal instruments in this area, noting that most available frameworks—such as the United Nations (UN) Guidelines on Housing and Land Rights—are soft law instruments rather than formal treaties or conventions. Despite this gap, the chapter explores how various jurisdictions around the world have developed effective legal and institutional approaches to shared property ownership.</w:t>
      </w:r>
    </w:p>
    <w:p w:rsidR="00500848" w:rsidRDefault="00500848" w:rsidP="009A2157">
      <w:pPr>
        <w:pStyle w:val="Heading2"/>
        <w:spacing w:before="0" w:after="0"/>
        <w:rPr>
          <w:rFonts w:cs="Times New Roman"/>
          <w:szCs w:val="24"/>
        </w:rPr>
      </w:pPr>
    </w:p>
    <w:p w:rsidR="000159C8" w:rsidRPr="009A2157" w:rsidRDefault="009F2A99" w:rsidP="009A2157">
      <w:pPr>
        <w:pStyle w:val="Heading2"/>
        <w:spacing w:before="0" w:after="0"/>
        <w:rPr>
          <w:rFonts w:cs="Times New Roman"/>
          <w:szCs w:val="24"/>
        </w:rPr>
      </w:pPr>
      <w:r w:rsidRPr="009A2157">
        <w:rPr>
          <w:rFonts w:cs="Times New Roman"/>
          <w:szCs w:val="24"/>
        </w:rPr>
        <w:t>3.2</w:t>
      </w:r>
      <w:r w:rsidR="00833CC5">
        <w:rPr>
          <w:rFonts w:cs="Times New Roman"/>
          <w:szCs w:val="24"/>
        </w:rPr>
        <w:t xml:space="preserve"> </w:t>
      </w:r>
      <w:r w:rsidR="000159C8" w:rsidRPr="009A2157">
        <w:rPr>
          <w:rFonts w:cs="Times New Roman"/>
          <w:szCs w:val="24"/>
        </w:rPr>
        <w:t>United Nations (UN) Guidelines on Housing and Land Rights</w:t>
      </w:r>
      <w:bookmarkEnd w:id="158"/>
      <w:r w:rsidR="00833CC5">
        <w:rPr>
          <w:rFonts w:cs="Times New Roman"/>
          <w:szCs w:val="24"/>
        </w:rPr>
        <w:fldChar w:fldCharType="begin"/>
      </w:r>
      <w:r w:rsidR="00833CC5">
        <w:instrText xml:space="preserve"> TC "</w:instrText>
      </w:r>
      <w:bookmarkStart w:id="159" w:name="_Toc213301705"/>
      <w:r w:rsidR="00833CC5" w:rsidRPr="00DD07CC">
        <w:rPr>
          <w:rFonts w:cs="Times New Roman"/>
          <w:szCs w:val="24"/>
        </w:rPr>
        <w:instrText>3.2 United Nations (UN) Guidelines on Housing and Land Rights</w:instrText>
      </w:r>
      <w:bookmarkEnd w:id="159"/>
      <w:r w:rsidR="00833CC5">
        <w:instrText xml:space="preserve">" \f C \l "1" </w:instrText>
      </w:r>
      <w:r w:rsidR="00833CC5">
        <w:rPr>
          <w:rFonts w:cs="Times New Roman"/>
          <w:szCs w:val="24"/>
        </w:rPr>
        <w:fldChar w:fldCharType="end"/>
      </w:r>
    </w:p>
    <w:p w:rsidR="0084120A" w:rsidRPr="009A2157" w:rsidRDefault="0084120A" w:rsidP="009A2157">
      <w:pPr>
        <w:spacing w:before="0" w:after="0"/>
      </w:pPr>
      <w:r w:rsidRPr="009A2157">
        <w:t>The United Nations (UN) Guidelines on Housing and Land Rights emphasize the fundamental human right to adequate housing, which encompasses various forms of property ownership, including unit titles.</w:t>
      </w:r>
      <w:r w:rsidR="0053488E" w:rsidRPr="009A2157">
        <w:rPr>
          <w:rStyle w:val="FootnoteReference"/>
        </w:rPr>
        <w:footnoteReference w:id="78"/>
      </w:r>
      <w:r w:rsidRPr="009A2157">
        <w:t xml:space="preserve"> These guidelines are part of a broader commitment to ensuring that all individuals have access to safe and secure housing. The UN's Sustainable Development Goals (SDGs), particularly Goal 11, underscore the importance of sustainable cities and communities, promoting efficient land use and urban planning. This alignment with unit title ownership is crucial for addressing urban housing challenges, as it allows for the division of properties into manageable units while ensuring that common areas are shared equitably among owners.</w:t>
      </w:r>
      <w:r w:rsidR="0053488E" w:rsidRPr="009A2157">
        <w:rPr>
          <w:rStyle w:val="FootnoteReference"/>
        </w:rPr>
        <w:footnoteReference w:id="79"/>
      </w:r>
    </w:p>
    <w:p w:rsidR="00500848" w:rsidRDefault="00500848" w:rsidP="009A2157">
      <w:pPr>
        <w:spacing w:before="0" w:after="0"/>
      </w:pPr>
    </w:p>
    <w:p w:rsidR="0084120A" w:rsidRPr="009A2157" w:rsidRDefault="0084120A" w:rsidP="009A2157">
      <w:pPr>
        <w:spacing w:before="0" w:after="0"/>
      </w:pPr>
      <w:r w:rsidRPr="009A2157">
        <w:t>One of the key documents underpinning these guidelines is the Basic Principles and Guidelines on Development, which outlines the obligations of the international community to protect and promote housing rights. It specifically addresses issues related to forced evictions and displacement, emphasizing that states must implement legal frameworks to prevent such actions.</w:t>
      </w:r>
      <w:r w:rsidR="0053488E" w:rsidRPr="009A2157">
        <w:rPr>
          <w:rStyle w:val="FootnoteReference"/>
        </w:rPr>
        <w:footnoteReference w:id="80"/>
      </w:r>
      <w:r w:rsidRPr="009A2157">
        <w:t xml:space="preserve"> The guidelines mandate that evictions should only occur under strict legal conditions, ensuring that affected individuals receive adequate compensation and alternative housing options. This framework is essential for safeguarding the rights of those living in unit title developments, as it protects them from arbitrary displacement.</w:t>
      </w:r>
      <w:r w:rsidR="0053488E" w:rsidRPr="009A2157">
        <w:rPr>
          <w:rStyle w:val="FootnoteReference"/>
        </w:rPr>
        <w:footnoteReference w:id="81"/>
      </w:r>
    </w:p>
    <w:p w:rsidR="00500848" w:rsidRDefault="00500848" w:rsidP="009A2157">
      <w:pPr>
        <w:spacing w:before="0" w:after="0"/>
      </w:pPr>
    </w:p>
    <w:p w:rsidR="0084120A" w:rsidRPr="009A2157" w:rsidRDefault="0084120A" w:rsidP="009A2157">
      <w:pPr>
        <w:spacing w:before="0" w:after="0"/>
      </w:pPr>
      <w:r w:rsidRPr="009A2157">
        <w:t>Additionally, the Right to Adequate Housing document from the Office of the United Nations High Commissioner for Human Rights (OHCHR) provides further guidance on evictions and housing rights. It recommends that governments explore alternatives to evictions and establish procedural guarantees for those at risk. This document highlights the importance of ensuring that all individuals, regardless of their property status, have access to legal protections against forced evictions. Such measures are vital in contexts where unit titles are prevalent, as they help maintain stability and security for residents who may otherwise face displacement due to urban development pressures</w:t>
      </w:r>
      <w:r w:rsidR="000159C8" w:rsidRPr="009A2157">
        <w:t>.</w:t>
      </w:r>
      <w:r w:rsidR="0053488E" w:rsidRPr="009A2157">
        <w:rPr>
          <w:rStyle w:val="FootnoteReference"/>
        </w:rPr>
        <w:footnoteReference w:id="82"/>
      </w:r>
    </w:p>
    <w:p w:rsidR="00DF1FFE" w:rsidRDefault="00DF1FFE" w:rsidP="009A2157">
      <w:pPr>
        <w:spacing w:before="0" w:after="0"/>
        <w:rPr>
          <w:b/>
          <w:bCs/>
        </w:rPr>
      </w:pPr>
    </w:p>
    <w:p w:rsidR="00C37417" w:rsidRPr="009A2157" w:rsidRDefault="00C37417" w:rsidP="009A2157">
      <w:pPr>
        <w:spacing w:before="0" w:after="0"/>
        <w:rPr>
          <w:b/>
          <w:bCs/>
        </w:rPr>
      </w:pPr>
      <w:r w:rsidRPr="009A2157">
        <w:rPr>
          <w:b/>
          <w:bCs/>
        </w:rPr>
        <w:t>3.3</w:t>
      </w:r>
      <w:r w:rsidR="00833CC5">
        <w:rPr>
          <w:b/>
          <w:bCs/>
        </w:rPr>
        <w:t xml:space="preserve"> </w:t>
      </w:r>
      <w:r w:rsidRPr="009A2157">
        <w:rPr>
          <w:b/>
          <w:bCs/>
        </w:rPr>
        <w:t>United Nations – Habitat Agenda (1996)</w:t>
      </w:r>
      <w:r w:rsidR="00833CC5">
        <w:rPr>
          <w:b/>
          <w:bCs/>
        </w:rPr>
        <w:fldChar w:fldCharType="begin"/>
      </w:r>
      <w:r w:rsidR="00833CC5">
        <w:instrText xml:space="preserve"> TC "</w:instrText>
      </w:r>
      <w:bookmarkStart w:id="160" w:name="_Toc213301706"/>
      <w:r w:rsidR="00833CC5" w:rsidRPr="00513121">
        <w:rPr>
          <w:b/>
          <w:bCs/>
        </w:rPr>
        <w:instrText>3.3 United Nations – Habitat Agenda (1996)</w:instrText>
      </w:r>
      <w:bookmarkEnd w:id="160"/>
      <w:r w:rsidR="00833CC5">
        <w:instrText xml:space="preserve">" \f C \l "1" </w:instrText>
      </w:r>
      <w:r w:rsidR="00833CC5">
        <w:rPr>
          <w:b/>
          <w:bCs/>
        </w:rPr>
        <w:fldChar w:fldCharType="end"/>
      </w:r>
    </w:p>
    <w:p w:rsidR="00C37417" w:rsidRPr="009A2157" w:rsidRDefault="00C37417" w:rsidP="009A2157">
      <w:pPr>
        <w:spacing w:before="0" w:after="0"/>
      </w:pPr>
      <w:r w:rsidRPr="009A2157">
        <w:t xml:space="preserve">The </w:t>
      </w:r>
      <w:r w:rsidRPr="009A2157">
        <w:rPr>
          <w:bCs/>
        </w:rPr>
        <w:t>Habitat Agenda</w:t>
      </w:r>
      <w:r w:rsidRPr="009A2157">
        <w:t>, adopted at the Second United Nations Conference on Human Settlements</w:t>
      </w:r>
      <w:r w:rsidRPr="009A2157">
        <w:rPr>
          <w:rStyle w:val="FootnoteReference"/>
        </w:rPr>
        <w:footnoteReference w:id="83"/>
      </w:r>
      <w:r w:rsidRPr="009A2157">
        <w:t>, serves as a comprehensive global framework aimed at guiding the development of sustainable human settlements in an increasingly urbanized world. At its core, the Agenda focuses on two principal goals: ensuring adequate shelter for all and promoting sustainable urban development. It establishes a broad and inclusive approach to urban policy, integrating social, economic, environmental, and cultural dimensions of development. The Agenda recognizes the importance of legal tenure security, infrastructure provision, access to services, and the participatory roles of various stakeholders, thereby laying the groundwork for progressive and adaptable urban management systems.</w:t>
      </w:r>
    </w:p>
    <w:p w:rsidR="00DF1FFE" w:rsidRDefault="00DF1FFE" w:rsidP="009A2157">
      <w:pPr>
        <w:spacing w:before="0" w:after="0"/>
      </w:pPr>
    </w:p>
    <w:p w:rsidR="00C37417" w:rsidRPr="009A2157" w:rsidRDefault="00C37417" w:rsidP="009A2157">
      <w:pPr>
        <w:spacing w:before="0" w:after="0"/>
      </w:pPr>
      <w:r w:rsidRPr="009A2157">
        <w:t xml:space="preserve">The framework encourages </w:t>
      </w:r>
      <w:r w:rsidRPr="009A2157">
        <w:rPr>
          <w:bCs/>
        </w:rPr>
        <w:t>legal reforms and institutional innovations</w:t>
      </w:r>
      <w:r w:rsidRPr="009A2157">
        <w:t xml:space="preserve"> to accommodate diverse tenure arrangements, including collective and individual ownership models such as condominiums and unit titles. This inclusivity is essential in addressing the growing demand for housing, managing limited urban land, and fostering equitable land access. By acknowledging these various forms of tenure, the Habitat Agenda aims to reduce housing insecurity and promote urban stability. Legal mechanisms that support unit title ownership are, therefore, seen as vital tools in promoting compact, efficient land use and enabling the co-existence of multiple owners within shared structures, thereby maximizing urban space without compromising individual rights.</w:t>
      </w:r>
      <w:r w:rsidRPr="009A2157">
        <w:rPr>
          <w:rStyle w:val="FootnoteReference"/>
        </w:rPr>
        <w:footnoteReference w:id="84"/>
      </w:r>
    </w:p>
    <w:p w:rsidR="00DF1FFE" w:rsidRPr="00DF1FFE" w:rsidRDefault="00DF1FFE" w:rsidP="009A2157">
      <w:pPr>
        <w:spacing w:before="0" w:after="0"/>
        <w:rPr>
          <w:sz w:val="20"/>
        </w:rPr>
      </w:pPr>
    </w:p>
    <w:p w:rsidR="00C37417" w:rsidRPr="009A2157" w:rsidRDefault="00C37417" w:rsidP="009A2157">
      <w:pPr>
        <w:spacing w:before="0" w:after="0"/>
      </w:pPr>
      <w:r w:rsidRPr="009A2157">
        <w:t xml:space="preserve">In terms of </w:t>
      </w:r>
      <w:r w:rsidRPr="009A2157">
        <w:rPr>
          <w:bCs/>
        </w:rPr>
        <w:t>implementation strategies</w:t>
      </w:r>
      <w:r w:rsidRPr="009A2157">
        <w:t>, the Habitat Agenda advocates for the strengthening of local governance, capacity-building, and the formation of public-private partnerships to realize its objectives. It emphasizes a rights-based and participatory approach to urban planning and land administration. The framework also supports the harmonization of housing and land policies with broader development goals, including poverty alleviation, environmental protection, and economic growth. The focus on integrated planning and multi-level coordination offers a holistic pathway to improving the quality, accessibility, and security of human settlements globally. Thus, the Habitat Agenda continues to serve as a vital reference for policymakers, legal scholars, and urban planners in designing land tenure systems that are legally sound, socially inclusive, and development-oriented.</w:t>
      </w:r>
    </w:p>
    <w:p w:rsidR="00DF1FFE" w:rsidRPr="00DF1FFE" w:rsidRDefault="00DF1FFE" w:rsidP="009A2157">
      <w:pPr>
        <w:spacing w:before="0" w:after="0"/>
        <w:rPr>
          <w:b/>
          <w:sz w:val="20"/>
        </w:rPr>
      </w:pPr>
    </w:p>
    <w:p w:rsidR="00C37417" w:rsidRPr="009A2157" w:rsidRDefault="00C37417" w:rsidP="009A2157">
      <w:pPr>
        <w:spacing w:before="0" w:after="0"/>
      </w:pPr>
      <w:r w:rsidRPr="009A2157">
        <w:rPr>
          <w:b/>
        </w:rPr>
        <w:t xml:space="preserve">3.4 </w:t>
      </w:r>
      <w:r w:rsidRPr="009A2157">
        <w:rPr>
          <w:b/>
          <w:bCs/>
        </w:rPr>
        <w:t>World Bank – Urban Development and Housing Strategies</w:t>
      </w:r>
      <w:r w:rsidR="00833CC5">
        <w:rPr>
          <w:b/>
          <w:bCs/>
        </w:rPr>
        <w:fldChar w:fldCharType="begin"/>
      </w:r>
      <w:r w:rsidR="00833CC5">
        <w:instrText xml:space="preserve"> TC "</w:instrText>
      </w:r>
      <w:bookmarkStart w:id="161" w:name="_Toc213301707"/>
      <w:r w:rsidR="00833CC5" w:rsidRPr="00E659A1">
        <w:rPr>
          <w:b/>
        </w:rPr>
        <w:instrText xml:space="preserve">3.4 </w:instrText>
      </w:r>
      <w:r w:rsidR="00833CC5" w:rsidRPr="00E659A1">
        <w:rPr>
          <w:b/>
          <w:bCs/>
        </w:rPr>
        <w:instrText>World Bank – Urban Development and Housing Strategies</w:instrText>
      </w:r>
      <w:bookmarkEnd w:id="161"/>
      <w:r w:rsidR="00833CC5">
        <w:instrText xml:space="preserve">" \f C \l "1" </w:instrText>
      </w:r>
      <w:r w:rsidR="00833CC5">
        <w:rPr>
          <w:b/>
          <w:bCs/>
        </w:rPr>
        <w:fldChar w:fldCharType="end"/>
      </w:r>
    </w:p>
    <w:p w:rsidR="00C37417" w:rsidRPr="009A2157" w:rsidRDefault="00C37417" w:rsidP="009A2157">
      <w:pPr>
        <w:spacing w:before="0" w:after="0"/>
      </w:pPr>
      <w:r w:rsidRPr="009A2157">
        <w:t>The World Bank's urban development and housing strategies are designed to support the creation of sustainable, inclusive, and resilient cities that can adapt to the challenges posed by rapid urbanization.</w:t>
      </w:r>
      <w:r w:rsidRPr="009A2157">
        <w:rPr>
          <w:rStyle w:val="FootnoteReference"/>
        </w:rPr>
        <w:footnoteReference w:id="85"/>
      </w:r>
      <w:r w:rsidRPr="009A2157">
        <w:t xml:space="preserve"> The strategies focus on four key pillars: building resilient, low-carbon infrastructure and services; ensuring access to safe and adequate housing; promoting vibrant local economies; and empowering strong local governments. Investments are directed toward sustainable mobility systems, transit-oriented development, flood protection, and improved waste management, all aimed at enhancing urban infrastructure. Additionally, the World Bank addresses the global housing crisis by prioritizing initiatives that tackle informal settlements and improve access to affordable, safe housing for marginalized populations. These efforts align with broader objectives of reducing poverty, fostering economic inclusion, and contributing to Sustainable Development Goal 11 on sustainable cities and communities.</w:t>
      </w:r>
    </w:p>
    <w:p w:rsidR="00DF1FFE" w:rsidRDefault="00DF1FFE" w:rsidP="009A2157">
      <w:pPr>
        <w:spacing w:before="0" w:after="0"/>
      </w:pPr>
    </w:p>
    <w:p w:rsidR="00C37417" w:rsidRPr="009A2157" w:rsidRDefault="00C37417" w:rsidP="009A2157">
      <w:pPr>
        <w:spacing w:before="0" w:after="0"/>
      </w:pPr>
      <w:r w:rsidRPr="009A2157">
        <w:t>The World Bank's approach combines direct investment, policy support, and knowledge dissemination. It provides significant financial backing to urban development projects while also assisting national and municipal governments in strengthening fiscal and institutional frameworks. This includes developing systems to increase local revenues and leveraging private capital for sustainable urban investments. Furthermore, through platforms such as the Global Platform for Sustainable Cities, the Bank facilitates knowledge sharing and the exchange of best practices across countries. By fostering inclusive urbanization and supporting cities in becoming more climate-resilient and environmentally sustainable, the World Bank contributes to global efforts to create urban environments that are equitable, economically vibrant, and capable of withstanding future shocks.</w:t>
      </w:r>
    </w:p>
    <w:p w:rsidR="00974039" w:rsidRPr="009A2157" w:rsidRDefault="00974039" w:rsidP="009A2157">
      <w:pPr>
        <w:spacing w:before="0" w:after="0"/>
        <w:rPr>
          <w:b/>
        </w:rPr>
      </w:pPr>
      <w:r w:rsidRPr="009A2157">
        <w:rPr>
          <w:b/>
        </w:rPr>
        <w:t>3.5</w:t>
      </w:r>
      <w:r w:rsidR="00833CC5">
        <w:rPr>
          <w:b/>
        </w:rPr>
        <w:t xml:space="preserve"> </w:t>
      </w:r>
      <w:r w:rsidRPr="009A2157">
        <w:rPr>
          <w:b/>
          <w:bCs/>
        </w:rPr>
        <w:t>Habitat for Humanity – Global Housing Policy</w:t>
      </w:r>
      <w:r w:rsidR="00833CC5">
        <w:rPr>
          <w:b/>
          <w:bCs/>
        </w:rPr>
        <w:fldChar w:fldCharType="begin"/>
      </w:r>
      <w:r w:rsidR="00833CC5">
        <w:instrText xml:space="preserve"> TC "</w:instrText>
      </w:r>
      <w:bookmarkStart w:id="162" w:name="_Toc213301708"/>
      <w:r w:rsidR="00833CC5" w:rsidRPr="0066569C">
        <w:rPr>
          <w:b/>
        </w:rPr>
        <w:instrText xml:space="preserve">3.5 </w:instrText>
      </w:r>
      <w:r w:rsidR="00833CC5" w:rsidRPr="0066569C">
        <w:rPr>
          <w:b/>
          <w:bCs/>
        </w:rPr>
        <w:instrText>Habitat for Humanity – Global Housing Policy</w:instrText>
      </w:r>
      <w:bookmarkEnd w:id="162"/>
      <w:r w:rsidR="00833CC5">
        <w:instrText xml:space="preserve">" \f C \l "1" </w:instrText>
      </w:r>
      <w:r w:rsidR="00833CC5">
        <w:rPr>
          <w:b/>
          <w:bCs/>
        </w:rPr>
        <w:fldChar w:fldCharType="end"/>
      </w:r>
    </w:p>
    <w:p w:rsidR="00974039" w:rsidRPr="009A2157" w:rsidRDefault="00974039" w:rsidP="009A2157">
      <w:pPr>
        <w:spacing w:before="0" w:after="0"/>
      </w:pPr>
      <w:r w:rsidRPr="009A2157">
        <w:t>Habitat for Humanity’s Global Housing Policy centers on creating long-term, systemic change in the housing sector through advocacy at local, national, and international levels.</w:t>
      </w:r>
      <w:r w:rsidRPr="009A2157">
        <w:rPr>
          <w:rStyle w:val="FootnoteReference"/>
        </w:rPr>
        <w:footnoteReference w:id="86"/>
      </w:r>
      <w:r w:rsidRPr="009A2157">
        <w:t xml:space="preserve"> Rather than focusing solely on physical construction, the organization emphasizes shaping policies that foster affordable, adequate, and secure housing for all. It promotes interventions that lower the cost of housing</w:t>
      </w:r>
      <w:r w:rsidR="00833CC5">
        <w:t xml:space="preserve"> </w:t>
      </w:r>
      <w:r w:rsidRPr="009A2157">
        <w:t>such as reducing taxes on construction materials and streamlining approval processes</w:t>
      </w:r>
      <w:r w:rsidR="00833CC5">
        <w:t xml:space="preserve"> </w:t>
      </w:r>
      <w:r w:rsidRPr="009A2157">
        <w:t>and pushes for the protection of land and property rights for vulnerable communities to prevent forced evictions and promote tenure security.</w:t>
      </w:r>
    </w:p>
    <w:p w:rsidR="00DF1FFE" w:rsidRDefault="00DF1FFE" w:rsidP="009A2157">
      <w:pPr>
        <w:spacing w:before="0" w:after="0"/>
      </w:pPr>
    </w:p>
    <w:p w:rsidR="00DF1FFE" w:rsidRDefault="00974039" w:rsidP="00DF1FFE">
      <w:pPr>
        <w:spacing w:before="0" w:after="0"/>
      </w:pPr>
      <w:r w:rsidRPr="009A2157">
        <w:t>Additionally, Habitat for Humanity integrates broader concerns like climate change and financial access into its housing agenda. It advocates for climate-resilient housing solutions and the incorporation of environmental concerns into urban planning. The organization also focuses on expanding access to affordable housing finance by supporting inclusive financial systems and innovative funding models.</w:t>
      </w:r>
      <w:r w:rsidRPr="009A2157">
        <w:rPr>
          <w:rStyle w:val="FootnoteReference"/>
        </w:rPr>
        <w:footnoteReference w:id="87"/>
      </w:r>
      <w:r w:rsidRPr="009A2157">
        <w:t xml:space="preserve"> Through partnerships with governments, civil society, and the private sector, Habitat for Humanity works to reform land use policies, building codes, and regulatory frameworks, all aimed at ending extreme housing poverty and ensuring that everyone has a safe and decent place to call home.</w:t>
      </w:r>
      <w:bookmarkStart w:id="163" w:name="_Toc194845423"/>
    </w:p>
    <w:p w:rsidR="00DF1FFE" w:rsidRDefault="00DF1FFE" w:rsidP="00DF1FFE">
      <w:pPr>
        <w:spacing w:before="0" w:after="0"/>
      </w:pPr>
    </w:p>
    <w:p w:rsidR="003B6013" w:rsidRPr="009A2157" w:rsidRDefault="009F2A99" w:rsidP="00C93493">
      <w:pPr>
        <w:pStyle w:val="Heading2"/>
        <w:spacing w:before="0" w:after="0"/>
        <w:jc w:val="both"/>
        <w:rPr>
          <w:rFonts w:cs="Times New Roman"/>
          <w:szCs w:val="24"/>
        </w:rPr>
      </w:pPr>
      <w:r w:rsidRPr="009A2157">
        <w:rPr>
          <w:rFonts w:cs="Times New Roman"/>
          <w:szCs w:val="24"/>
        </w:rPr>
        <w:t>3.</w:t>
      </w:r>
      <w:r w:rsidR="00974039" w:rsidRPr="009A2157">
        <w:rPr>
          <w:rFonts w:cs="Times New Roman"/>
          <w:szCs w:val="24"/>
        </w:rPr>
        <w:t>6</w:t>
      </w:r>
      <w:r w:rsidR="00833CC5">
        <w:rPr>
          <w:rFonts w:cs="Times New Roman"/>
          <w:szCs w:val="24"/>
        </w:rPr>
        <w:t xml:space="preserve"> </w:t>
      </w:r>
      <w:r w:rsidR="003B6013" w:rsidRPr="009A2157">
        <w:rPr>
          <w:rFonts w:cs="Times New Roman"/>
          <w:szCs w:val="24"/>
        </w:rPr>
        <w:t>African Union (AU) Agenda 2063</w:t>
      </w:r>
      <w:bookmarkEnd w:id="163"/>
      <w:r w:rsidR="00833CC5">
        <w:rPr>
          <w:rFonts w:cs="Times New Roman"/>
          <w:szCs w:val="24"/>
        </w:rPr>
        <w:fldChar w:fldCharType="begin"/>
      </w:r>
      <w:r w:rsidR="00833CC5">
        <w:instrText xml:space="preserve"> TC "</w:instrText>
      </w:r>
      <w:bookmarkStart w:id="164" w:name="_Toc213301709"/>
      <w:r w:rsidR="00833CC5" w:rsidRPr="006F1D2A">
        <w:rPr>
          <w:rFonts w:cs="Times New Roman"/>
          <w:szCs w:val="24"/>
        </w:rPr>
        <w:instrText>3.6 African Union (AU) Agenda 2063</w:instrText>
      </w:r>
      <w:bookmarkEnd w:id="164"/>
      <w:r w:rsidR="00833CC5">
        <w:instrText xml:space="preserve">" \f C \l "1" </w:instrText>
      </w:r>
      <w:r w:rsidR="00833CC5">
        <w:rPr>
          <w:rFonts w:cs="Times New Roman"/>
          <w:szCs w:val="24"/>
        </w:rPr>
        <w:fldChar w:fldCharType="end"/>
      </w:r>
    </w:p>
    <w:p w:rsidR="003B6013" w:rsidRPr="009A2157" w:rsidRDefault="003B6013" w:rsidP="009A2157">
      <w:pPr>
        <w:spacing w:before="0" w:after="0"/>
      </w:pPr>
      <w:r w:rsidRPr="009A2157">
        <w:t>The African Union (AU) Agenda 2063 is a strategic framework designed to promote sustainable development across Africa, with a strong focus on urbanization and efficient land use. Adopted in January 2015, this agenda aims to transform Africa into a global powerhouse by addressing various socio-economic challenges. It encourages member states to develop policies that facilitate diverse forms of property ownership, including unit titles, thereby promoting inclusive housing solutions.</w:t>
      </w:r>
      <w:r w:rsidR="0053488E" w:rsidRPr="009A2157">
        <w:rPr>
          <w:rStyle w:val="FootnoteReference"/>
        </w:rPr>
        <w:footnoteReference w:id="88"/>
      </w:r>
      <w:r w:rsidRPr="009A2157">
        <w:t xml:space="preserve"> By emphasizing sustainable urban development, Agenda 2063 aligns with the United Nations Sustainable Development Goals (SDGs), particularly Goal 11, which advocates for making cities and human settlements inclusive, safe, resilient, and sustainable.</w:t>
      </w:r>
    </w:p>
    <w:p w:rsidR="00DF1FFE" w:rsidRDefault="00DF1FFE" w:rsidP="009A2157">
      <w:pPr>
        <w:spacing w:before="0" w:after="0"/>
      </w:pPr>
    </w:p>
    <w:p w:rsidR="00DF1FFE" w:rsidRDefault="003B6013" w:rsidP="009A2157">
      <w:pPr>
        <w:spacing w:before="0" w:after="0"/>
      </w:pPr>
      <w:r w:rsidRPr="009A2157">
        <w:t>A key aspect of Agenda 2063 is its participatory approach to policy formulation and implementation. The agenda was developed through extensive consultations with a wide range of stakeholders, ensuring that it reflects the aspirations of the African people. This inclusive process fosters a sense of ownership and commitment among member states and civil society, which is crucial for successful implementation. The agenda's First Ten-Year Implementation Plan (FTYIP) was adopted to operationalize its goals and set the stage for subsequent phases, emphasizing the importance of collaboration between public and private sectors.</w:t>
      </w:r>
      <w:r w:rsidR="00D91853" w:rsidRPr="009A2157">
        <w:rPr>
          <w:rStyle w:val="FootnoteReference"/>
        </w:rPr>
        <w:footnoteReference w:id="89"/>
      </w:r>
      <w:r w:rsidR="00DF1FFE">
        <w:t xml:space="preserve"> </w:t>
      </w:r>
    </w:p>
    <w:p w:rsidR="000A116C" w:rsidRDefault="003B6013" w:rsidP="009A2157">
      <w:pPr>
        <w:spacing w:before="0" w:after="0"/>
      </w:pPr>
      <w:r w:rsidRPr="009A2157">
        <w:t>The AU recognizes that effective land management is essential for achieving the objectives outlined in Agenda 2063. By promoting unit titles as a viable form of property ownership, the agenda seeks to enhance land tenure security and facilitate access to housing. This approach not only addresses urban housing shortages but also encourages investment in real estate development.</w:t>
      </w:r>
      <w:r w:rsidR="00D91853" w:rsidRPr="009A2157">
        <w:rPr>
          <w:rStyle w:val="FootnoteReference"/>
        </w:rPr>
        <w:footnoteReference w:id="90"/>
      </w:r>
      <w:r w:rsidRPr="009A2157">
        <w:t xml:space="preserve"> Furthermore, by integrating land use planning with sustainable development principles, member states can create resilient urban environments that support economic growth and social cohesion.</w:t>
      </w:r>
    </w:p>
    <w:p w:rsidR="00DF1FFE" w:rsidRPr="00DF1FFE" w:rsidRDefault="00DF1FFE" w:rsidP="009A2157">
      <w:pPr>
        <w:spacing w:before="0" w:after="0"/>
        <w:rPr>
          <w:sz w:val="18"/>
        </w:rPr>
      </w:pPr>
    </w:p>
    <w:p w:rsidR="00C80BD6" w:rsidRPr="009A2157" w:rsidRDefault="009F2A99" w:rsidP="009A2157">
      <w:pPr>
        <w:pStyle w:val="Heading2"/>
        <w:spacing w:before="0" w:after="0"/>
        <w:rPr>
          <w:rFonts w:cs="Times New Roman"/>
          <w:szCs w:val="24"/>
        </w:rPr>
      </w:pPr>
      <w:bookmarkStart w:id="165" w:name="_Toc194845424"/>
      <w:r w:rsidRPr="009A2157">
        <w:rPr>
          <w:rFonts w:cs="Times New Roman"/>
          <w:szCs w:val="24"/>
        </w:rPr>
        <w:t>3.</w:t>
      </w:r>
      <w:r w:rsidR="00974039" w:rsidRPr="009A2157">
        <w:rPr>
          <w:rFonts w:cs="Times New Roman"/>
          <w:szCs w:val="24"/>
        </w:rPr>
        <w:t>7</w:t>
      </w:r>
      <w:r w:rsidR="00C93493">
        <w:rPr>
          <w:rFonts w:cs="Times New Roman"/>
          <w:szCs w:val="24"/>
        </w:rPr>
        <w:t xml:space="preserve"> </w:t>
      </w:r>
      <w:r w:rsidR="00C80BD6" w:rsidRPr="009A2157">
        <w:rPr>
          <w:rFonts w:cs="Times New Roman"/>
          <w:szCs w:val="24"/>
        </w:rPr>
        <w:t>Best Practice</w:t>
      </w:r>
      <w:bookmarkEnd w:id="165"/>
      <w:r w:rsidR="00C93493">
        <w:rPr>
          <w:rFonts w:cs="Times New Roman"/>
          <w:szCs w:val="24"/>
        </w:rPr>
        <w:fldChar w:fldCharType="begin"/>
      </w:r>
      <w:r w:rsidR="00C93493">
        <w:instrText xml:space="preserve"> TC "</w:instrText>
      </w:r>
      <w:bookmarkStart w:id="166" w:name="_Toc213301710"/>
      <w:r w:rsidR="00C93493" w:rsidRPr="006263FC">
        <w:rPr>
          <w:rFonts w:cs="Times New Roman"/>
          <w:szCs w:val="24"/>
        </w:rPr>
        <w:instrText>3.7 Best Practice</w:instrText>
      </w:r>
      <w:bookmarkEnd w:id="166"/>
      <w:r w:rsidR="00C93493">
        <w:instrText xml:space="preserve">" \f C \l "1" </w:instrText>
      </w:r>
      <w:r w:rsidR="00C93493">
        <w:rPr>
          <w:rFonts w:cs="Times New Roman"/>
          <w:szCs w:val="24"/>
        </w:rPr>
        <w:fldChar w:fldCharType="end"/>
      </w:r>
    </w:p>
    <w:p w:rsidR="008802EC" w:rsidRPr="009A2157" w:rsidRDefault="008802EC" w:rsidP="009A2157">
      <w:pPr>
        <w:spacing w:before="0" w:after="0"/>
      </w:pPr>
      <w:r w:rsidRPr="009A2157">
        <w:t>To effectively manage unit titles, several best practices have emerged globally, with various countries exemplifying these practices. </w:t>
      </w:r>
    </w:p>
    <w:p w:rsidR="00B05479" w:rsidRPr="00DF1FFE" w:rsidRDefault="00B05479" w:rsidP="009A2157">
      <w:pPr>
        <w:spacing w:before="0" w:after="0"/>
        <w:rPr>
          <w:sz w:val="16"/>
        </w:rPr>
      </w:pPr>
    </w:p>
    <w:p w:rsidR="008802EC" w:rsidRPr="009A2157" w:rsidRDefault="009F2A99" w:rsidP="009A2157">
      <w:pPr>
        <w:pStyle w:val="Heading3"/>
        <w:spacing w:before="0" w:after="0"/>
        <w:rPr>
          <w:rFonts w:cs="Times New Roman"/>
        </w:rPr>
      </w:pPr>
      <w:bookmarkStart w:id="167" w:name="_Toc194845425"/>
      <w:r w:rsidRPr="009A2157">
        <w:rPr>
          <w:rFonts w:cs="Times New Roman"/>
        </w:rPr>
        <w:t>3.</w:t>
      </w:r>
      <w:r w:rsidR="00974039" w:rsidRPr="009A2157">
        <w:rPr>
          <w:rFonts w:cs="Times New Roman"/>
        </w:rPr>
        <w:t>7</w:t>
      </w:r>
      <w:r w:rsidRPr="009A2157">
        <w:rPr>
          <w:rFonts w:cs="Times New Roman"/>
        </w:rPr>
        <w:t>.1</w:t>
      </w:r>
      <w:r w:rsidR="00C93493">
        <w:rPr>
          <w:rFonts w:cs="Times New Roman"/>
        </w:rPr>
        <w:t xml:space="preserve"> </w:t>
      </w:r>
      <w:r w:rsidR="008802EC" w:rsidRPr="009A2157">
        <w:rPr>
          <w:rFonts w:cs="Times New Roman"/>
        </w:rPr>
        <w:t>Comprehensive Legislation</w:t>
      </w:r>
      <w:bookmarkEnd w:id="167"/>
      <w:r w:rsidR="00C93493">
        <w:rPr>
          <w:rFonts w:cs="Times New Roman"/>
        </w:rPr>
        <w:fldChar w:fldCharType="begin"/>
      </w:r>
      <w:r w:rsidR="00C93493">
        <w:instrText xml:space="preserve"> TC "</w:instrText>
      </w:r>
      <w:bookmarkStart w:id="168" w:name="_Toc213301711"/>
      <w:r w:rsidR="00C93493" w:rsidRPr="00054F56">
        <w:rPr>
          <w:rFonts w:cs="Times New Roman"/>
        </w:rPr>
        <w:instrText>3.7.1 Comprehensive Legislation</w:instrText>
      </w:r>
      <w:bookmarkEnd w:id="168"/>
      <w:r w:rsidR="00C93493">
        <w:instrText xml:space="preserve">" \f C \l "1" </w:instrText>
      </w:r>
      <w:r w:rsidR="00C93493">
        <w:rPr>
          <w:rFonts w:cs="Times New Roman"/>
        </w:rPr>
        <w:fldChar w:fldCharType="end"/>
      </w:r>
    </w:p>
    <w:p w:rsidR="00D91853" w:rsidRPr="009A2157" w:rsidRDefault="00C80BD6" w:rsidP="009A2157">
      <w:pPr>
        <w:spacing w:before="0" w:after="0"/>
      </w:pPr>
      <w:r w:rsidRPr="009A2157">
        <w:t>Comprehensive legislation plays a pivotal role in effectively managing unit titles by providing clear rules and frameworks that govern shared property ownership. Such legislation ensures that the rights and responsibilities of individual owners and collective management bodies are well-defined, promoting harmony and efficiency.</w:t>
      </w:r>
      <w:r w:rsidR="00D91853" w:rsidRPr="009A2157">
        <w:rPr>
          <w:rStyle w:val="FootnoteReference"/>
        </w:rPr>
        <w:footnoteReference w:id="91"/>
      </w:r>
      <w:r w:rsidRPr="009A2157">
        <w:t xml:space="preserve"> For instance, New Zealand’s </w:t>
      </w:r>
      <w:r w:rsidRPr="009A2157">
        <w:rPr>
          <w:bCs/>
        </w:rPr>
        <w:t>Unit Titles Act 2010</w:t>
      </w:r>
      <w:r w:rsidRPr="009A2157">
        <w:t xml:space="preserve"> serves as a benchmark for comprehensive legislation. It outlines the duties of bodies corporate, mandates long-term maintenance plans, and ensures transparent dispute resolution processes.</w:t>
      </w:r>
      <w:r w:rsidR="00D91853" w:rsidRPr="009A2157">
        <w:rPr>
          <w:rStyle w:val="FootnoteReference"/>
        </w:rPr>
        <w:footnoteReference w:id="92"/>
      </w:r>
      <w:r w:rsidRPr="009A2157">
        <w:t xml:space="preserve"> This clarity allows unit title developments to maintain their value while minimizing conflicts among stakeholders, showcasing the critical role of robust legal frameworks in property management.</w:t>
      </w:r>
    </w:p>
    <w:p w:rsidR="00DF1FFE" w:rsidRPr="00DF1FFE" w:rsidRDefault="00DF1FFE" w:rsidP="009A2157">
      <w:pPr>
        <w:spacing w:before="0" w:after="0"/>
        <w:rPr>
          <w:sz w:val="18"/>
        </w:rPr>
      </w:pPr>
    </w:p>
    <w:p w:rsidR="00C80BD6" w:rsidRPr="009A2157" w:rsidRDefault="00C80BD6" w:rsidP="009A2157">
      <w:pPr>
        <w:spacing w:before="0" w:after="0"/>
      </w:pPr>
      <w:r w:rsidRPr="009A2157">
        <w:t xml:space="preserve">Similarly, Australia’s </w:t>
      </w:r>
      <w:r w:rsidRPr="009A2157">
        <w:rPr>
          <w:bCs/>
        </w:rPr>
        <w:t>Strata Titles Act</w:t>
      </w:r>
      <w:r w:rsidRPr="009A2157">
        <w:t xml:space="preserve"> and </w:t>
      </w:r>
      <w:r w:rsidRPr="009A2157">
        <w:rPr>
          <w:bCs/>
        </w:rPr>
        <w:t>Strata Schemes Management Act 2015</w:t>
      </w:r>
      <w:r w:rsidRPr="009A2157">
        <w:t xml:space="preserve"> highlight the importance of tailored legislation for strata properties.</w:t>
      </w:r>
      <w:r w:rsidR="00D91853" w:rsidRPr="009A2157">
        <w:rPr>
          <w:rStyle w:val="FootnoteReference"/>
        </w:rPr>
        <w:footnoteReference w:id="93"/>
      </w:r>
      <w:r w:rsidRPr="009A2157">
        <w:t xml:space="preserve"> These laws emphasize financial accountability by requiring owners’ corporations to maintain accurate financial records and establish sinking funds for future maintenance. By fostering transparency and equity among property owners, these legislative measures prevent disputes and encourage collective responsibility for shared properties. The Australian model underscores the significance of legal clarity and accountability in managing the complexities of unit title arrangements.</w:t>
      </w:r>
      <w:r w:rsidR="00D91853" w:rsidRPr="009A2157">
        <w:rPr>
          <w:rStyle w:val="FootnoteReference"/>
        </w:rPr>
        <w:footnoteReference w:id="94"/>
      </w:r>
    </w:p>
    <w:p w:rsidR="00DF1FFE" w:rsidRPr="00DF1FFE" w:rsidRDefault="00DF1FFE" w:rsidP="009A2157">
      <w:pPr>
        <w:spacing w:before="0" w:after="0"/>
        <w:rPr>
          <w:sz w:val="16"/>
        </w:rPr>
      </w:pPr>
    </w:p>
    <w:p w:rsidR="00C80BD6" w:rsidRPr="009A2157" w:rsidRDefault="00C80BD6" w:rsidP="009A2157">
      <w:pPr>
        <w:spacing w:before="0" w:after="0"/>
      </w:pPr>
      <w:r w:rsidRPr="009A2157">
        <w:t xml:space="preserve">Singapore’s </w:t>
      </w:r>
      <w:r w:rsidRPr="009A2157">
        <w:rPr>
          <w:bCs/>
        </w:rPr>
        <w:t>Building Maintenance and Strata Management Act (BMSMA</w:t>
      </w:r>
      <w:proofErr w:type="gramStart"/>
      <w:r w:rsidRPr="009A2157">
        <w:rPr>
          <w:bCs/>
        </w:rPr>
        <w:t>)</w:t>
      </w:r>
      <w:r w:rsidR="009C24DF" w:rsidRPr="009A2157">
        <w:t>provide</w:t>
      </w:r>
      <w:proofErr w:type="gramEnd"/>
      <w:r w:rsidRPr="009A2157">
        <w:t xml:space="preserve"> another strong example of the importance of comprehensive legislation. This law not only establishes Management Corporations to oversee shared properties but also includes mechanisms for efficient conflict resolution through the Strata Titles Board. The BMSMA is particularly notable for addressing the unique challenges of high-density urban developments, ensuring that shared facilities are maintained effectively while protecting the rights of individual owners.</w:t>
      </w:r>
      <w:r w:rsidR="00D91853" w:rsidRPr="009A2157">
        <w:rPr>
          <w:rStyle w:val="FootnoteReference"/>
        </w:rPr>
        <w:footnoteReference w:id="95"/>
      </w:r>
      <w:r w:rsidRPr="009A2157">
        <w:t xml:space="preserve"> Singapore’s experience demonstrates how well-crafted legislation can adapt to local contexts and support sustainable property management in densely populated areas.</w:t>
      </w:r>
    </w:p>
    <w:p w:rsidR="00DF1FFE" w:rsidRPr="00DF1FFE" w:rsidRDefault="00DF1FFE" w:rsidP="009A2157">
      <w:pPr>
        <w:spacing w:before="0" w:after="0"/>
        <w:rPr>
          <w:sz w:val="20"/>
        </w:rPr>
      </w:pPr>
    </w:p>
    <w:p w:rsidR="00E171EF" w:rsidRPr="009A2157" w:rsidRDefault="00C80BD6" w:rsidP="009A2157">
      <w:pPr>
        <w:spacing w:before="0" w:after="0"/>
      </w:pPr>
      <w:r w:rsidRPr="009A2157">
        <w:t xml:space="preserve">In South Africa, the </w:t>
      </w:r>
      <w:r w:rsidRPr="009A2157">
        <w:rPr>
          <w:bCs/>
        </w:rPr>
        <w:t>Sectional Titles Act 1986</w:t>
      </w:r>
      <w:r w:rsidRPr="009A2157">
        <w:t xml:space="preserve"> showcases the necessity of comprehensive laws for regulating sectional ownership. This legislation defines the boundaries between individual ownership and shared property, ensuring that maintenance costs and responsibilities are equitably distributed among owners. By requiring the establishment of Body </w:t>
      </w:r>
      <w:r w:rsidR="009C24DF" w:rsidRPr="009A2157">
        <w:t>Corporate</w:t>
      </w:r>
      <w:r w:rsidRPr="009A2157">
        <w:t xml:space="preserve"> and mandating the registration of sectional title plans, South Africa’s framework reduces disputes and enhances the overall efficiency of property management.</w:t>
      </w:r>
      <w:r w:rsidR="00D91853" w:rsidRPr="009A2157">
        <w:rPr>
          <w:rStyle w:val="FootnoteReference"/>
        </w:rPr>
        <w:footnoteReference w:id="96"/>
      </w:r>
      <w:r w:rsidRPr="009A2157">
        <w:t xml:space="preserve"> These examples collectively demonstrate that comprehensive legislation is essential for managing unit titles, as it fosters transparency, equity, and sustainability, ultimately benefiting property owners and the broader community.</w:t>
      </w:r>
    </w:p>
    <w:p w:rsidR="00DF1FFE" w:rsidRPr="00DF1FFE" w:rsidRDefault="00DF1FFE" w:rsidP="00C93493">
      <w:pPr>
        <w:pStyle w:val="Heading3"/>
        <w:spacing w:before="0" w:after="0"/>
        <w:jc w:val="both"/>
        <w:rPr>
          <w:rFonts w:cs="Times New Roman"/>
          <w:sz w:val="20"/>
        </w:rPr>
      </w:pPr>
      <w:bookmarkStart w:id="169" w:name="_Toc194845426"/>
    </w:p>
    <w:p w:rsidR="008802EC" w:rsidRPr="009A2157" w:rsidRDefault="009F2A99" w:rsidP="00C93493">
      <w:pPr>
        <w:pStyle w:val="Heading3"/>
        <w:spacing w:before="0" w:after="0"/>
        <w:jc w:val="both"/>
        <w:rPr>
          <w:rFonts w:cs="Times New Roman"/>
        </w:rPr>
      </w:pPr>
      <w:r w:rsidRPr="009A2157">
        <w:rPr>
          <w:rFonts w:cs="Times New Roman"/>
        </w:rPr>
        <w:t>3.</w:t>
      </w:r>
      <w:r w:rsidR="00974039" w:rsidRPr="009A2157">
        <w:rPr>
          <w:rFonts w:cs="Times New Roman"/>
        </w:rPr>
        <w:t>7</w:t>
      </w:r>
      <w:r w:rsidRPr="009A2157">
        <w:rPr>
          <w:rFonts w:cs="Times New Roman"/>
        </w:rPr>
        <w:t>.2</w:t>
      </w:r>
      <w:r w:rsidR="00C93493">
        <w:rPr>
          <w:rFonts w:cs="Times New Roman"/>
        </w:rPr>
        <w:t xml:space="preserve"> </w:t>
      </w:r>
      <w:r w:rsidR="008802EC" w:rsidRPr="009A2157">
        <w:rPr>
          <w:rFonts w:cs="Times New Roman"/>
        </w:rPr>
        <w:t>Effective Governance Structures</w:t>
      </w:r>
      <w:bookmarkEnd w:id="169"/>
      <w:r w:rsidR="00C93493">
        <w:rPr>
          <w:rFonts w:cs="Times New Roman"/>
        </w:rPr>
        <w:fldChar w:fldCharType="begin"/>
      </w:r>
      <w:r w:rsidR="00C93493">
        <w:instrText xml:space="preserve"> TC "</w:instrText>
      </w:r>
      <w:bookmarkStart w:id="170" w:name="_Toc213301712"/>
      <w:r w:rsidR="00C93493" w:rsidRPr="0023600B">
        <w:rPr>
          <w:rFonts w:cs="Times New Roman"/>
        </w:rPr>
        <w:instrText>3.7.2 Effective Governance Structures</w:instrText>
      </w:r>
      <w:bookmarkEnd w:id="170"/>
      <w:r w:rsidR="00C93493">
        <w:instrText xml:space="preserve">" \f C \l "1" </w:instrText>
      </w:r>
      <w:r w:rsidR="00C93493">
        <w:rPr>
          <w:rFonts w:cs="Times New Roman"/>
        </w:rPr>
        <w:fldChar w:fldCharType="end"/>
      </w:r>
    </w:p>
    <w:p w:rsidR="008802EC" w:rsidRPr="009A2157" w:rsidRDefault="008802EC" w:rsidP="009A2157">
      <w:pPr>
        <w:spacing w:before="0" w:after="0"/>
      </w:pPr>
      <w:r w:rsidRPr="009A2157">
        <w:t xml:space="preserve">Effective governance structures are a cornerstone of efficient unit title management, as they ensure the transparent and accountable administration of shared properties. In Canada, particularly in provinces like Ontario, the </w:t>
      </w:r>
      <w:r w:rsidRPr="009A2157">
        <w:rPr>
          <w:bCs/>
        </w:rPr>
        <w:t>Condominium Act, 1998</w:t>
      </w:r>
      <w:r w:rsidRPr="009A2157">
        <w:t>, requires the establishment of condominium boards to manage shared spaces. These boards are tasked with overseeing financial matters, maintaining common areas, and ensuring compliance with regulations.</w:t>
      </w:r>
      <w:r w:rsidR="00D500B8" w:rsidRPr="009A2157">
        <w:rPr>
          <w:rStyle w:val="FootnoteReference"/>
        </w:rPr>
        <w:footnoteReference w:id="97"/>
      </w:r>
      <w:r w:rsidRPr="009A2157">
        <w:t xml:space="preserve"> By mandating annual general meetings and transparent reporting, Canadian governance structures encourage active participation by property owners, fostering a sense of collective responsibility and trust.</w:t>
      </w:r>
    </w:p>
    <w:p w:rsidR="00DF1FFE" w:rsidRDefault="00DF1FFE" w:rsidP="009A2157">
      <w:pPr>
        <w:spacing w:before="0" w:after="0"/>
      </w:pPr>
    </w:p>
    <w:p w:rsidR="008802EC" w:rsidRPr="009A2157" w:rsidRDefault="008802EC" w:rsidP="009A2157">
      <w:pPr>
        <w:spacing w:before="0" w:after="0"/>
      </w:pPr>
      <w:r w:rsidRPr="009A2157">
        <w:t xml:space="preserve">In the United Kingdom, the </w:t>
      </w:r>
      <w:r w:rsidR="00A91C36" w:rsidRPr="009A2157">
        <w:rPr>
          <w:bCs/>
        </w:rPr>
        <w:t>Common hold</w:t>
      </w:r>
      <w:r w:rsidRPr="009A2157">
        <w:rPr>
          <w:bCs/>
        </w:rPr>
        <w:t xml:space="preserve"> and Leasehold Reform Act 2002</w:t>
      </w:r>
      <w:r w:rsidRPr="009A2157">
        <w:t xml:space="preserve"> provides a framework for the management of shared properties under the </w:t>
      </w:r>
      <w:r w:rsidR="009C24DF" w:rsidRPr="009A2157">
        <w:t>common hold</w:t>
      </w:r>
      <w:r w:rsidRPr="009A2157">
        <w:t xml:space="preserve"> system. Under this arrangement, a </w:t>
      </w:r>
      <w:r w:rsidR="00A91C36" w:rsidRPr="009A2157">
        <w:t>Common hold</w:t>
      </w:r>
      <w:r w:rsidRPr="009A2157">
        <w:t xml:space="preserve"> Association is formed to manage shared spaces and services. This governance structure eliminates some of the complexities associated with traditional leasehold systems, ensuring that decision-making is streamlined and that owners have greater control over their property.</w:t>
      </w:r>
      <w:r w:rsidR="00D500B8" w:rsidRPr="009A2157">
        <w:rPr>
          <w:rStyle w:val="FootnoteReference"/>
        </w:rPr>
        <w:footnoteReference w:id="98"/>
      </w:r>
      <w:r w:rsidRPr="009A2157">
        <w:t xml:space="preserve"> The UK model highlights how effective governance structures can simplify property management while promoting fairness and accountability.</w:t>
      </w:r>
    </w:p>
    <w:p w:rsidR="00DF1FFE" w:rsidRDefault="00DF1FFE" w:rsidP="009A2157">
      <w:pPr>
        <w:spacing w:before="0" w:after="0"/>
      </w:pPr>
    </w:p>
    <w:p w:rsidR="008802EC" w:rsidRPr="009A2157" w:rsidRDefault="008802EC" w:rsidP="009A2157">
      <w:pPr>
        <w:spacing w:before="0" w:after="0"/>
      </w:pPr>
      <w:r w:rsidRPr="009A2157">
        <w:t xml:space="preserve">Japan also demonstrates the importance of governance in its </w:t>
      </w:r>
      <w:r w:rsidRPr="009A2157">
        <w:rPr>
          <w:bCs/>
        </w:rPr>
        <w:t>Condominium Act</w:t>
      </w:r>
      <w:r w:rsidRPr="009A2157">
        <w:t>, which requires the formation of Management Associations for all multi-unit properties. These associations are responsible for maintaining shared facilities, collecting fees, and creating long-term repair plans.</w:t>
      </w:r>
      <w:r w:rsidR="00D500B8" w:rsidRPr="009A2157">
        <w:rPr>
          <w:rStyle w:val="FootnoteReference"/>
        </w:rPr>
        <w:footnoteReference w:id="99"/>
      </w:r>
      <w:r w:rsidRPr="009A2157">
        <w:t xml:space="preserve"> By implementing strict rules for decision-making and financial management, Japan ensures that shared properties are maintained efficiently. This approach is particularly relevant in densely populated urban areas, where clear governance structures are essential for mitigating conflicts and ensuring smooth operations.</w:t>
      </w:r>
    </w:p>
    <w:p w:rsidR="008802EC" w:rsidRPr="009A2157" w:rsidRDefault="008802EC" w:rsidP="009A2157">
      <w:pPr>
        <w:spacing w:before="0" w:after="0"/>
      </w:pPr>
      <w:r w:rsidRPr="009A2157">
        <w:t xml:space="preserve">In India, the </w:t>
      </w:r>
      <w:r w:rsidRPr="009A2157">
        <w:rPr>
          <w:bCs/>
        </w:rPr>
        <w:t>Apartment Ownership Acts</w:t>
      </w:r>
      <w:r w:rsidRPr="009A2157">
        <w:t>, which vary by state, mandate the establishment of housing societies or associations to manage shared property. These governance bodies are responsible for maintaining common areas, resolving disputes, and ensuring compliance with local laws.</w:t>
      </w:r>
      <w:r w:rsidR="00D500B8" w:rsidRPr="009A2157">
        <w:rPr>
          <w:rStyle w:val="FootnoteReference"/>
        </w:rPr>
        <w:footnoteReference w:id="100"/>
      </w:r>
      <w:r w:rsidRPr="009A2157">
        <w:t xml:space="preserve"> For example, in Maharashtra, the </w:t>
      </w:r>
      <w:r w:rsidRPr="009A2157">
        <w:rPr>
          <w:bCs/>
        </w:rPr>
        <w:t>Maharashtra Cooperative Societies Act</w:t>
      </w:r>
      <w:r w:rsidRPr="009A2157">
        <w:t xml:space="preserve"> empowers these societies to act as legal entities, facilitating effective property management. India’s experience highlights how governance structures adapted to local contexts can address the unique challenges of managing shared properties in diverse and densely populated regions.</w:t>
      </w:r>
      <w:r w:rsidR="00D500B8" w:rsidRPr="009A2157">
        <w:rPr>
          <w:rStyle w:val="FootnoteReference"/>
        </w:rPr>
        <w:footnoteReference w:id="101"/>
      </w:r>
    </w:p>
    <w:p w:rsidR="0094045E" w:rsidRDefault="0094045E" w:rsidP="00C93493">
      <w:pPr>
        <w:pStyle w:val="Heading3"/>
        <w:spacing w:before="0" w:after="0"/>
        <w:jc w:val="both"/>
        <w:rPr>
          <w:rFonts w:cs="Times New Roman"/>
        </w:rPr>
      </w:pPr>
      <w:bookmarkStart w:id="171" w:name="_Toc194845427"/>
    </w:p>
    <w:p w:rsidR="00620EDB" w:rsidRPr="009A2157" w:rsidRDefault="009F2A99" w:rsidP="00C93493">
      <w:pPr>
        <w:pStyle w:val="Heading3"/>
        <w:spacing w:before="0" w:after="0"/>
        <w:jc w:val="both"/>
        <w:rPr>
          <w:rFonts w:cs="Times New Roman"/>
        </w:rPr>
      </w:pPr>
      <w:r w:rsidRPr="009A2157">
        <w:rPr>
          <w:rFonts w:cs="Times New Roman"/>
        </w:rPr>
        <w:t>3.</w:t>
      </w:r>
      <w:r w:rsidR="00974039" w:rsidRPr="009A2157">
        <w:rPr>
          <w:rFonts w:cs="Times New Roman"/>
        </w:rPr>
        <w:t>7</w:t>
      </w:r>
      <w:r w:rsidRPr="009A2157">
        <w:rPr>
          <w:rFonts w:cs="Times New Roman"/>
        </w:rPr>
        <w:t>.3</w:t>
      </w:r>
      <w:r w:rsidR="00C93493">
        <w:rPr>
          <w:rFonts w:cs="Times New Roman"/>
        </w:rPr>
        <w:t xml:space="preserve"> </w:t>
      </w:r>
      <w:r w:rsidR="00620EDB" w:rsidRPr="009A2157">
        <w:rPr>
          <w:rFonts w:cs="Times New Roman"/>
        </w:rPr>
        <w:t xml:space="preserve">Financial </w:t>
      </w:r>
      <w:r w:rsidR="00766166" w:rsidRPr="009A2157">
        <w:rPr>
          <w:rFonts w:cs="Times New Roman"/>
        </w:rPr>
        <w:t>T</w:t>
      </w:r>
      <w:r w:rsidR="00620EDB" w:rsidRPr="009A2157">
        <w:rPr>
          <w:rFonts w:cs="Times New Roman"/>
        </w:rPr>
        <w:t xml:space="preserve">ransparency and </w:t>
      </w:r>
      <w:r w:rsidR="00C93493" w:rsidRPr="009A2157">
        <w:rPr>
          <w:rFonts w:cs="Times New Roman"/>
        </w:rPr>
        <w:t>Acco</w:t>
      </w:r>
      <w:r w:rsidR="00620EDB" w:rsidRPr="009A2157">
        <w:rPr>
          <w:rFonts w:cs="Times New Roman"/>
        </w:rPr>
        <w:t>untability</w:t>
      </w:r>
      <w:bookmarkEnd w:id="171"/>
      <w:r w:rsidR="00C93493">
        <w:rPr>
          <w:rFonts w:cs="Times New Roman"/>
        </w:rPr>
        <w:fldChar w:fldCharType="begin"/>
      </w:r>
      <w:r w:rsidR="00C93493">
        <w:instrText xml:space="preserve"> TC "</w:instrText>
      </w:r>
      <w:bookmarkStart w:id="172" w:name="_Toc213301713"/>
      <w:r w:rsidR="00C93493" w:rsidRPr="00B540F3">
        <w:rPr>
          <w:rFonts w:cs="Times New Roman"/>
        </w:rPr>
        <w:instrText>3.7.3 Financial Transparency and Accountability</w:instrText>
      </w:r>
      <w:bookmarkEnd w:id="172"/>
      <w:r w:rsidR="00C93493">
        <w:instrText xml:space="preserve">" \f C \l "1" </w:instrText>
      </w:r>
      <w:r w:rsidR="00C93493">
        <w:rPr>
          <w:rFonts w:cs="Times New Roman"/>
        </w:rPr>
        <w:fldChar w:fldCharType="end"/>
      </w:r>
    </w:p>
    <w:p w:rsidR="00620EDB" w:rsidRPr="009A2157" w:rsidRDefault="00620EDB" w:rsidP="009A2157">
      <w:pPr>
        <w:spacing w:before="0" w:after="0"/>
      </w:pPr>
      <w:r w:rsidRPr="009A2157">
        <w:t xml:space="preserve">Financial transparency and accountability are essential for the effective management of unit titles, as they ensure that funds are allocated appropriately for maintenance, operations, and long-term planning. In British Columbia, Canada, the </w:t>
      </w:r>
      <w:r w:rsidRPr="009A2157">
        <w:rPr>
          <w:bCs/>
        </w:rPr>
        <w:t>Strata Property Act</w:t>
      </w:r>
      <w:r w:rsidRPr="009A2157">
        <w:t xml:space="preserve"> mandates that strata corporations prepare detailed annual budgets and provide financial statements to all unit owners.</w:t>
      </w:r>
      <w:r w:rsidR="00D500B8" w:rsidRPr="009A2157">
        <w:rPr>
          <w:rStyle w:val="FootnoteReference"/>
        </w:rPr>
        <w:footnoteReference w:id="102"/>
      </w:r>
      <w:r w:rsidRPr="009A2157">
        <w:t xml:space="preserve"> This practice promotes transparency by allowing owners to understand how their contributions are being used and ensures accountability in the management of shared property. By requiring approval of the budget at annual general meetings, the law fosters collective decision-making and trust among property owners.</w:t>
      </w:r>
    </w:p>
    <w:p w:rsidR="00620EDB" w:rsidRPr="009A2157" w:rsidRDefault="00620EDB" w:rsidP="009A2157">
      <w:pPr>
        <w:spacing w:before="0" w:after="0"/>
      </w:pPr>
      <w:r w:rsidRPr="009A2157">
        <w:t xml:space="preserve">South Korea’s </w:t>
      </w:r>
      <w:r w:rsidRPr="009A2157">
        <w:rPr>
          <w:bCs/>
        </w:rPr>
        <w:t>Apartment Housing Management Act</w:t>
      </w:r>
      <w:r w:rsidRPr="009A2157">
        <w:t xml:space="preserve"> also emphasizes financial transparency by requiring housing management bodies to disclose detailed financial reports to unit owners. These reports include income, expenditures, and plans for major repairs or renovations.</w:t>
      </w:r>
      <w:r w:rsidR="00D500B8" w:rsidRPr="009A2157">
        <w:rPr>
          <w:rStyle w:val="FootnoteReference"/>
        </w:rPr>
        <w:footnoteReference w:id="103"/>
      </w:r>
      <w:r w:rsidRPr="009A2157">
        <w:t xml:space="preserve"> Regular audits are conducted to ensure compliance with financial regulations. South Korea’s approach highlights the importance of clear and regular financial communication in preventing mismanagement and fostering trust in shared property administration.</w:t>
      </w:r>
      <w:r w:rsidR="00D500B8" w:rsidRPr="009A2157">
        <w:rPr>
          <w:rStyle w:val="FootnoteReference"/>
        </w:rPr>
        <w:footnoteReference w:id="104"/>
      </w:r>
    </w:p>
    <w:p w:rsidR="0094045E" w:rsidRDefault="0094045E" w:rsidP="009A2157">
      <w:pPr>
        <w:spacing w:before="0" w:after="0"/>
      </w:pPr>
    </w:p>
    <w:p w:rsidR="00D500B8" w:rsidRPr="009A2157" w:rsidRDefault="00620EDB" w:rsidP="009A2157">
      <w:pPr>
        <w:spacing w:before="0" w:after="0"/>
      </w:pPr>
      <w:r w:rsidRPr="009A2157">
        <w:t xml:space="preserve">In Kenya, the </w:t>
      </w:r>
      <w:r w:rsidRPr="009A2157">
        <w:rPr>
          <w:bCs/>
        </w:rPr>
        <w:t>Sectional Properties Act 2020</w:t>
      </w:r>
      <w:r w:rsidRPr="009A2157">
        <w:t xml:space="preserve"> requires the formation of management companies for sectional properties, with clear provisions for financial reporting. These management companies are tasked with preparing budgets, maintaining financial records, and presenting them to owners during annual meetings.</w:t>
      </w:r>
      <w:r w:rsidR="00D500B8" w:rsidRPr="009A2157">
        <w:rPr>
          <w:rStyle w:val="FootnoteReference"/>
        </w:rPr>
        <w:footnoteReference w:id="105"/>
      </w:r>
      <w:r w:rsidRPr="009A2157">
        <w:t xml:space="preserve"> The Kenyan framework ensures that funds collected from owners are used efficiently for property upkeep, showcasing how financial transparency can address potential conflicts in shared property ownership.</w:t>
      </w:r>
    </w:p>
    <w:p w:rsidR="0094045E" w:rsidRDefault="0094045E" w:rsidP="009A2157">
      <w:pPr>
        <w:pStyle w:val="Heading3"/>
        <w:spacing w:before="0" w:after="0"/>
        <w:rPr>
          <w:rFonts w:cs="Times New Roman"/>
        </w:rPr>
      </w:pPr>
      <w:bookmarkStart w:id="173" w:name="_Toc194845428"/>
    </w:p>
    <w:p w:rsidR="007716E1" w:rsidRPr="009A2157" w:rsidRDefault="009F2A99" w:rsidP="009A2157">
      <w:pPr>
        <w:pStyle w:val="Heading3"/>
        <w:spacing w:before="0" w:after="0"/>
        <w:rPr>
          <w:rFonts w:cs="Times New Roman"/>
        </w:rPr>
      </w:pPr>
      <w:r w:rsidRPr="009A2157">
        <w:rPr>
          <w:rFonts w:cs="Times New Roman"/>
        </w:rPr>
        <w:t>3.</w:t>
      </w:r>
      <w:r w:rsidR="00974039" w:rsidRPr="009A2157">
        <w:rPr>
          <w:rFonts w:cs="Times New Roman"/>
        </w:rPr>
        <w:t>7</w:t>
      </w:r>
      <w:r w:rsidRPr="009A2157">
        <w:rPr>
          <w:rFonts w:cs="Times New Roman"/>
        </w:rPr>
        <w:t>.4</w:t>
      </w:r>
      <w:r w:rsidR="00C93493">
        <w:rPr>
          <w:rFonts w:cs="Times New Roman"/>
        </w:rPr>
        <w:t xml:space="preserve"> </w:t>
      </w:r>
      <w:r w:rsidR="007716E1" w:rsidRPr="009A2157">
        <w:rPr>
          <w:rFonts w:cs="Times New Roman"/>
        </w:rPr>
        <w:t>Maintenance Planning</w:t>
      </w:r>
      <w:bookmarkEnd w:id="173"/>
      <w:r w:rsidR="00C93493">
        <w:rPr>
          <w:rFonts w:cs="Times New Roman"/>
        </w:rPr>
        <w:fldChar w:fldCharType="begin"/>
      </w:r>
      <w:r w:rsidR="00C93493">
        <w:instrText xml:space="preserve"> TC "</w:instrText>
      </w:r>
      <w:bookmarkStart w:id="174" w:name="_Toc213301714"/>
      <w:r w:rsidR="00C93493" w:rsidRPr="00E2316F">
        <w:rPr>
          <w:rFonts w:cs="Times New Roman"/>
        </w:rPr>
        <w:instrText>3.7.4 Maintenance Planning</w:instrText>
      </w:r>
      <w:bookmarkEnd w:id="174"/>
      <w:r w:rsidR="00C93493">
        <w:instrText xml:space="preserve">" \f C \l "1" </w:instrText>
      </w:r>
      <w:r w:rsidR="00C93493">
        <w:rPr>
          <w:rFonts w:cs="Times New Roman"/>
        </w:rPr>
        <w:fldChar w:fldCharType="end"/>
      </w:r>
    </w:p>
    <w:p w:rsidR="007716E1" w:rsidRPr="009A2157" w:rsidRDefault="007716E1" w:rsidP="009A2157">
      <w:pPr>
        <w:spacing w:before="0" w:after="0"/>
      </w:pPr>
      <w:r w:rsidRPr="009A2157">
        <w:t xml:space="preserve">Maintenance planning is a fundamental best practice in managing unit titles, as it ensures the longevity and functionality of shared properties. In Singapore, the </w:t>
      </w:r>
      <w:r w:rsidRPr="009A2157">
        <w:rPr>
          <w:bCs/>
        </w:rPr>
        <w:t>Building Maintenance and Strata Management Act (BMSMA</w:t>
      </w:r>
      <w:proofErr w:type="gramStart"/>
      <w:r w:rsidRPr="009A2157">
        <w:rPr>
          <w:bCs/>
        </w:rPr>
        <w:t>)</w:t>
      </w:r>
      <w:r w:rsidR="009C24DF" w:rsidRPr="009A2157">
        <w:t>mandate</w:t>
      </w:r>
      <w:proofErr w:type="gramEnd"/>
      <w:r w:rsidRPr="009A2157">
        <w:t xml:space="preserve"> that management corporations prepare comprehensive maintenance plans for common areas. These plans include regular inspections, scheduled upkeep, and reserve funds for future repairs.</w:t>
      </w:r>
      <w:r w:rsidR="00D500B8" w:rsidRPr="009A2157">
        <w:rPr>
          <w:rStyle w:val="FootnoteReference"/>
        </w:rPr>
        <w:footnoteReference w:id="106"/>
      </w:r>
      <w:r w:rsidRPr="009A2157">
        <w:t xml:space="preserve"> By implementing this proactive approach, Singapore prevents the premature deterioration of shared facilities, thereby preserving property values and fostering a high standard of living for residents.</w:t>
      </w:r>
    </w:p>
    <w:p w:rsidR="0094045E" w:rsidRDefault="0094045E" w:rsidP="009A2157">
      <w:pPr>
        <w:spacing w:before="0" w:after="0"/>
      </w:pPr>
    </w:p>
    <w:p w:rsidR="00D500B8" w:rsidRPr="009A2157" w:rsidRDefault="007716E1" w:rsidP="009A2157">
      <w:pPr>
        <w:spacing w:before="0" w:after="0"/>
      </w:pPr>
      <w:r w:rsidRPr="009A2157">
        <w:t xml:space="preserve">In Australia, particularly under the </w:t>
      </w:r>
      <w:r w:rsidRPr="009A2157">
        <w:rPr>
          <w:bCs/>
        </w:rPr>
        <w:t>Strata Schemes Management Act 2015</w:t>
      </w:r>
      <w:r w:rsidRPr="009A2157">
        <w:t xml:space="preserve"> in New South Wales, owners' corporations are required to prepare and maintain a 10-year capital works fund plan. This plan outlines expected maintenance and repair costs for common property over the next decade, ensuring financial preparedness and reducing the risk of unexpected expenses. Australia’s model demonstrates how structured long-term maintenance planning can mitigate disputes among property owners by promoting financial transparency and proactive property care.</w:t>
      </w:r>
      <w:r w:rsidR="00D500B8" w:rsidRPr="009A2157">
        <w:rPr>
          <w:rStyle w:val="FootnoteReference"/>
        </w:rPr>
        <w:footnoteReference w:id="107"/>
      </w:r>
    </w:p>
    <w:p w:rsidR="0094045E" w:rsidRDefault="0094045E" w:rsidP="009A2157">
      <w:pPr>
        <w:spacing w:before="0" w:after="0"/>
      </w:pPr>
    </w:p>
    <w:p w:rsidR="007716E1" w:rsidRPr="009A2157" w:rsidRDefault="007716E1" w:rsidP="009A2157">
      <w:pPr>
        <w:spacing w:before="0" w:after="0"/>
      </w:pPr>
      <w:r w:rsidRPr="009A2157">
        <w:t xml:space="preserve">In Japan, the </w:t>
      </w:r>
      <w:r w:rsidRPr="009A2157">
        <w:rPr>
          <w:bCs/>
        </w:rPr>
        <w:t>Condominium Act</w:t>
      </w:r>
      <w:r w:rsidRPr="009A2157">
        <w:t xml:space="preserve"> emphasizes the importance of long-term maintenance planning through the creation of reserve funds managed by condominium associations. These funds are used for major repairs, such as roof replacements or elevator maintenance, which are anticipated years in advance. Regular contributions to the reserve fund by unit owners ensure that sufficient resources are available when needed, preventing financial strain and maintaining the quality of shared facilities. Japan’s approach exemplifies how meticulous planning can balance short-term operational needs with long-term property sustainability.</w:t>
      </w:r>
    </w:p>
    <w:p w:rsidR="004A6090" w:rsidRPr="009A2157" w:rsidRDefault="007716E1" w:rsidP="009A2157">
      <w:pPr>
        <w:spacing w:before="0" w:after="0"/>
      </w:pPr>
      <w:r w:rsidRPr="009A2157">
        <w:t xml:space="preserve">In South Africa, the </w:t>
      </w:r>
      <w:r w:rsidRPr="009A2157">
        <w:rPr>
          <w:bCs/>
        </w:rPr>
        <w:t>Sectional Titles Schemes Management Act 2011</w:t>
      </w:r>
      <w:r w:rsidRPr="009A2157">
        <w:t xml:space="preserve"> requires bodies corporate to establish reserve funds and prepare a maintenance, repair, and replacement plan spanning at least 10 years. This legislative framework ensures that property maintenance is not only well-funded but also strategically planned, avoiding ad-hoc and costly emergency repairs.</w:t>
      </w:r>
      <w:r w:rsidR="00D500B8" w:rsidRPr="009A2157">
        <w:rPr>
          <w:rStyle w:val="FootnoteReference"/>
        </w:rPr>
        <w:footnoteReference w:id="108"/>
      </w:r>
      <w:r w:rsidRPr="009A2157">
        <w:t xml:space="preserve"> South Africa’s emphasis on structured maintenance planning highlights the importance of forward-thinking governance in managing shared property assets.</w:t>
      </w:r>
    </w:p>
    <w:p w:rsidR="0094045E" w:rsidRDefault="0094045E" w:rsidP="00C93493">
      <w:pPr>
        <w:pStyle w:val="Heading3"/>
        <w:spacing w:before="0" w:after="0"/>
        <w:jc w:val="both"/>
        <w:rPr>
          <w:rFonts w:cs="Times New Roman"/>
        </w:rPr>
      </w:pPr>
      <w:bookmarkStart w:id="175" w:name="_Toc194845429"/>
    </w:p>
    <w:p w:rsidR="007716E1" w:rsidRPr="009A2157" w:rsidRDefault="009F2A99" w:rsidP="00C93493">
      <w:pPr>
        <w:pStyle w:val="Heading3"/>
        <w:spacing w:before="0" w:after="0"/>
        <w:jc w:val="both"/>
        <w:rPr>
          <w:rFonts w:cs="Times New Roman"/>
        </w:rPr>
      </w:pPr>
      <w:r w:rsidRPr="009A2157">
        <w:rPr>
          <w:rFonts w:cs="Times New Roman"/>
        </w:rPr>
        <w:t>3.</w:t>
      </w:r>
      <w:r w:rsidR="00974039" w:rsidRPr="009A2157">
        <w:rPr>
          <w:rFonts w:cs="Times New Roman"/>
        </w:rPr>
        <w:t>7</w:t>
      </w:r>
      <w:r w:rsidRPr="009A2157">
        <w:rPr>
          <w:rFonts w:cs="Times New Roman"/>
        </w:rPr>
        <w:t>.5</w:t>
      </w:r>
      <w:r w:rsidR="00C93493">
        <w:rPr>
          <w:rFonts w:cs="Times New Roman"/>
        </w:rPr>
        <w:t xml:space="preserve"> </w:t>
      </w:r>
      <w:r w:rsidR="007716E1" w:rsidRPr="009A2157">
        <w:rPr>
          <w:rFonts w:cs="Times New Roman"/>
        </w:rPr>
        <w:t>Dispute Resolution Mechanisms</w:t>
      </w:r>
      <w:bookmarkEnd w:id="175"/>
      <w:r w:rsidR="00C93493">
        <w:rPr>
          <w:rFonts w:cs="Times New Roman"/>
        </w:rPr>
        <w:fldChar w:fldCharType="begin"/>
      </w:r>
      <w:r w:rsidR="00C93493">
        <w:instrText xml:space="preserve"> TC "</w:instrText>
      </w:r>
      <w:bookmarkStart w:id="176" w:name="_Toc213301715"/>
      <w:r w:rsidR="00C93493" w:rsidRPr="00525BCC">
        <w:rPr>
          <w:rFonts w:cs="Times New Roman"/>
        </w:rPr>
        <w:instrText>3.7.5 Dispute Resolution Mechanisms</w:instrText>
      </w:r>
      <w:bookmarkEnd w:id="176"/>
      <w:r w:rsidR="00C93493">
        <w:instrText xml:space="preserve">" \f C \l "1" </w:instrText>
      </w:r>
      <w:r w:rsidR="00C93493">
        <w:rPr>
          <w:rFonts w:cs="Times New Roman"/>
        </w:rPr>
        <w:fldChar w:fldCharType="end"/>
      </w:r>
    </w:p>
    <w:p w:rsidR="007716E1" w:rsidRPr="009A2157" w:rsidRDefault="007716E1" w:rsidP="009A2157">
      <w:pPr>
        <w:spacing w:before="0" w:after="0"/>
      </w:pPr>
      <w:r w:rsidRPr="009A2157">
        <w:t>Dispute resolution mechanisms are especially crucial for managing unit titles, where multiple owners share ownership of common areas and responsibilities. In the context of unit titles, disputes can arise over a variety of issues, such as maintenance obligations, financial contributions, and enforcement of building rules.</w:t>
      </w:r>
      <w:r w:rsidR="00212AD6" w:rsidRPr="009A2157">
        <w:rPr>
          <w:rStyle w:val="FootnoteReference"/>
        </w:rPr>
        <w:footnoteReference w:id="109"/>
      </w:r>
      <w:r w:rsidRPr="009A2157">
        <w:t xml:space="preserve"> Having structured and transparent processes in place for resolving these disputes ensures that all parties involved</w:t>
      </w:r>
      <w:r w:rsidR="0094045E">
        <w:t xml:space="preserve"> </w:t>
      </w:r>
      <w:r w:rsidRPr="009A2157">
        <w:t>whether individual unit owners or the body corporate</w:t>
      </w:r>
      <w:r w:rsidR="0094045E">
        <w:t xml:space="preserve"> </w:t>
      </w:r>
      <w:r w:rsidRPr="009A2157">
        <w:t>can address issues fairly without escalating them into costly legal battles. Effective dispute resolution mechanisms play a vital role in maintaining harmony within a community of owners, fostering cooperation and reducing conflicts that could disrupt the collective management of the property.</w:t>
      </w:r>
      <w:r w:rsidR="00212AD6" w:rsidRPr="009A2157">
        <w:rPr>
          <w:rStyle w:val="FootnoteReference"/>
        </w:rPr>
        <w:footnoteReference w:id="110"/>
      </w:r>
      <w:r w:rsidR="0094045E">
        <w:t xml:space="preserve"> </w:t>
      </w:r>
      <w:r w:rsidRPr="009A2157">
        <w:t>Mediation services are one effective tool for resolving disputes within unit title communities. By providing a neutral, non-adversarial forum, mediation helps parties work together to find mutually agreeable solutions. This is particularly important in unit title settings, where owners must regularly collaborate to manage shared spaces and ensure the smooth operation of common property.</w:t>
      </w:r>
      <w:r w:rsidR="00212AD6" w:rsidRPr="009A2157">
        <w:rPr>
          <w:rStyle w:val="FootnoteReference"/>
        </w:rPr>
        <w:footnoteReference w:id="111"/>
      </w:r>
      <w:r w:rsidRPr="009A2157">
        <w:t xml:space="preserve"> Mediation encourages open dialogue between owners and the body corporate, reducing the likelihood of misunderstandings and helping to maintain the long-term health of the property.</w:t>
      </w:r>
    </w:p>
    <w:p w:rsidR="0094045E" w:rsidRDefault="0094045E" w:rsidP="009A2157">
      <w:pPr>
        <w:spacing w:before="0" w:after="0"/>
      </w:pPr>
    </w:p>
    <w:p w:rsidR="007716E1" w:rsidRPr="009A2157" w:rsidRDefault="007716E1" w:rsidP="009A2157">
      <w:pPr>
        <w:spacing w:before="0" w:after="0"/>
      </w:pPr>
      <w:r w:rsidRPr="009A2157">
        <w:t>Formalized grievance procedures also play a critical role in the unit title context. These procedures ensure that when conflicts arise, there is a clear process for owners to voice their concerns and seek resolution. For example, if one owner fails to contribute to the maintenance fund or disputes the management of shared spaces, having a structured complaint system allows the issue to be addressed quickly and fairly. It also ensures that all owners understand their rights and responsibilities, promoting a sense of fairness and transparency within the community.</w:t>
      </w:r>
      <w:r w:rsidR="00212AD6" w:rsidRPr="009A2157">
        <w:rPr>
          <w:rStyle w:val="FootnoteReference"/>
        </w:rPr>
        <w:footnoteReference w:id="112"/>
      </w:r>
    </w:p>
    <w:p w:rsidR="0094045E" w:rsidRDefault="0094045E" w:rsidP="009A2157">
      <w:pPr>
        <w:spacing w:before="0" w:after="0"/>
      </w:pPr>
    </w:p>
    <w:p w:rsidR="00620EDB" w:rsidRPr="009A2157" w:rsidRDefault="007716E1" w:rsidP="009A2157">
      <w:pPr>
        <w:spacing w:before="0" w:after="0"/>
      </w:pPr>
      <w:r w:rsidRPr="009A2157">
        <w:t>Finally, having access to independent dispute resolution bodies or tribunals is especially beneficial in the unit title context. When internal mechanisms fail to resolve a dispute, an impartial third-party can step in to make a decision that is binding on both the body corporate and the owners. This ensures that disputes, particularly those concerning financial matters or the maintenance of common areas, are resolved in a manner that respects both the rights of individual owners and the collective needs of the property. These external bodies help prevent the breakdown of relationships between owners and the body corporate, ensuring that the unit title management process remains effective and equitable.</w:t>
      </w:r>
      <w:r w:rsidR="00212AD6" w:rsidRPr="009A2157">
        <w:rPr>
          <w:rStyle w:val="FootnoteReference"/>
        </w:rPr>
        <w:footnoteReference w:id="113"/>
      </w:r>
    </w:p>
    <w:p w:rsidR="00974039" w:rsidRPr="009A2157" w:rsidRDefault="00974039" w:rsidP="009A2157">
      <w:pPr>
        <w:spacing w:before="0" w:after="0"/>
      </w:pPr>
    </w:p>
    <w:p w:rsidR="00766166" w:rsidRPr="009A2157" w:rsidRDefault="00766166" w:rsidP="009A2157">
      <w:pPr>
        <w:spacing w:before="0" w:after="0"/>
        <w:rPr>
          <w:b/>
        </w:rPr>
      </w:pPr>
      <w:r w:rsidRPr="009A2157">
        <w:rPr>
          <w:b/>
        </w:rPr>
        <w:t>3.</w:t>
      </w:r>
      <w:r w:rsidR="00974039" w:rsidRPr="009A2157">
        <w:rPr>
          <w:b/>
        </w:rPr>
        <w:t>8</w:t>
      </w:r>
      <w:r w:rsidR="00C93493">
        <w:rPr>
          <w:b/>
        </w:rPr>
        <w:t xml:space="preserve"> </w:t>
      </w:r>
      <w:r w:rsidRPr="009A2157">
        <w:rPr>
          <w:b/>
        </w:rPr>
        <w:t>Conclusion</w:t>
      </w:r>
      <w:r w:rsidR="00C93493">
        <w:rPr>
          <w:b/>
        </w:rPr>
        <w:fldChar w:fldCharType="begin"/>
      </w:r>
      <w:r w:rsidR="00C93493">
        <w:instrText xml:space="preserve"> TC "</w:instrText>
      </w:r>
      <w:bookmarkStart w:id="177" w:name="_Toc213301716"/>
      <w:r w:rsidR="00C93493" w:rsidRPr="00D02A04">
        <w:rPr>
          <w:b/>
        </w:rPr>
        <w:instrText>3.8 Conclusion</w:instrText>
      </w:r>
      <w:bookmarkEnd w:id="177"/>
      <w:r w:rsidR="00C93493">
        <w:instrText xml:space="preserve">" \f C \l "1" </w:instrText>
      </w:r>
      <w:r w:rsidR="00C93493">
        <w:rPr>
          <w:b/>
        </w:rPr>
        <w:fldChar w:fldCharType="end"/>
      </w:r>
      <w:r w:rsidRPr="009A2157">
        <w:rPr>
          <w:b/>
        </w:rPr>
        <w:t xml:space="preserve"> </w:t>
      </w:r>
    </w:p>
    <w:p w:rsidR="00766166" w:rsidRPr="009A2157" w:rsidRDefault="00766166" w:rsidP="009A2157">
      <w:pPr>
        <w:spacing w:before="0" w:after="0"/>
      </w:pPr>
      <w:r w:rsidRPr="009A2157">
        <w:t>In conclusion, this chapter has examined international and regional best practices related to unit titles, highlighting the significance of robust legal frameworks, effective governance structures, financial transparency, and proactive maintenance planning in ensuring the sustainable management of shared property. Drawing from global experiences</w:t>
      </w:r>
      <w:r w:rsidR="0094045E">
        <w:t xml:space="preserve"> </w:t>
      </w:r>
      <w:r w:rsidRPr="009A2157">
        <w:t>including the UN guidelines on housing rights, the African Union’s Agenda 2063, and comprehensive legislative models from countries such as New Zealand, Australia, Singapore, South Africa, Canada, and Japan</w:t>
      </w:r>
      <w:r w:rsidR="0094045E">
        <w:t xml:space="preserve"> </w:t>
      </w:r>
      <w:r w:rsidRPr="009A2157">
        <w:t>it is evident that successful unit title systems rely on clearly defined legal responsibilities, inclusive and accountable management bodies, and transparent financial practices. These best practices provide valuable insights for Tanzania as it seeks to enhance its legal and institutional frameworks for unit title ownership and management, ensuring equitable, efficient, and sustainable urban land use.</w:t>
      </w:r>
    </w:p>
    <w:p w:rsidR="00766166" w:rsidRPr="009A2157" w:rsidRDefault="00766166" w:rsidP="009A2157">
      <w:pPr>
        <w:spacing w:before="0" w:after="0"/>
      </w:pPr>
    </w:p>
    <w:p w:rsidR="00280D32" w:rsidRPr="009A2157" w:rsidRDefault="00280D32" w:rsidP="009A2157">
      <w:pPr>
        <w:spacing w:before="0" w:after="0"/>
      </w:pPr>
    </w:p>
    <w:p w:rsidR="00CE1A5A" w:rsidRPr="009A2157" w:rsidRDefault="00770B4C" w:rsidP="009A2157">
      <w:pPr>
        <w:pStyle w:val="Heading1"/>
        <w:spacing w:before="0" w:after="0"/>
        <w:rPr>
          <w:rFonts w:cs="Times New Roman"/>
          <w:szCs w:val="24"/>
        </w:rPr>
      </w:pPr>
      <w:bookmarkStart w:id="178" w:name="_Toc194845430"/>
      <w:r w:rsidRPr="009A2157">
        <w:rPr>
          <w:rFonts w:cs="Times New Roman"/>
          <w:szCs w:val="24"/>
        </w:rPr>
        <w:t>CHAPTER FOUR</w:t>
      </w:r>
      <w:bookmarkEnd w:id="178"/>
      <w:r w:rsidR="00C93493">
        <w:rPr>
          <w:rFonts w:cs="Times New Roman"/>
          <w:szCs w:val="24"/>
        </w:rPr>
        <w:fldChar w:fldCharType="begin"/>
      </w:r>
      <w:r w:rsidR="00C93493">
        <w:instrText xml:space="preserve"> TC "</w:instrText>
      </w:r>
      <w:bookmarkStart w:id="179" w:name="_Toc213301717"/>
      <w:r w:rsidR="00C93493" w:rsidRPr="00D8394E">
        <w:rPr>
          <w:rFonts w:cs="Times New Roman"/>
          <w:szCs w:val="24"/>
        </w:rPr>
        <w:instrText>CHAPTER FOUR</w:instrText>
      </w:r>
      <w:bookmarkEnd w:id="179"/>
      <w:r w:rsidR="00C93493">
        <w:instrText xml:space="preserve">" \f C \l "1" </w:instrText>
      </w:r>
      <w:r w:rsidR="00C93493">
        <w:rPr>
          <w:rFonts w:cs="Times New Roman"/>
          <w:szCs w:val="24"/>
        </w:rPr>
        <w:fldChar w:fldCharType="end"/>
      </w:r>
    </w:p>
    <w:p w:rsidR="00CE1A5A" w:rsidRPr="009A2157" w:rsidRDefault="00770B4C" w:rsidP="009A2157">
      <w:pPr>
        <w:pStyle w:val="Heading1"/>
        <w:spacing w:before="0" w:after="0"/>
        <w:rPr>
          <w:rFonts w:cs="Times New Roman"/>
          <w:szCs w:val="24"/>
        </w:rPr>
      </w:pPr>
      <w:bookmarkStart w:id="180" w:name="_Toc194845431"/>
      <w:r w:rsidRPr="009A2157">
        <w:rPr>
          <w:rFonts w:cs="Times New Roman"/>
          <w:szCs w:val="24"/>
        </w:rPr>
        <w:t>TANZANIA LEGAL FRAMEWORK</w:t>
      </w:r>
      <w:r w:rsidR="009F2A99" w:rsidRPr="009A2157">
        <w:rPr>
          <w:rFonts w:cs="Times New Roman"/>
          <w:szCs w:val="24"/>
        </w:rPr>
        <w:t xml:space="preserve"> ON UNIT TITLE</w:t>
      </w:r>
      <w:bookmarkEnd w:id="180"/>
      <w:r w:rsidR="00AC7429">
        <w:rPr>
          <w:rFonts w:cs="Times New Roman"/>
          <w:szCs w:val="24"/>
        </w:rPr>
        <w:fldChar w:fldCharType="begin"/>
      </w:r>
      <w:r w:rsidR="00AC7429">
        <w:instrText xml:space="preserve"> TC "</w:instrText>
      </w:r>
      <w:bookmarkStart w:id="181" w:name="_Toc213301718"/>
      <w:r w:rsidR="00AC7429" w:rsidRPr="00F35271">
        <w:rPr>
          <w:rFonts w:cs="Times New Roman"/>
          <w:szCs w:val="24"/>
        </w:rPr>
        <w:instrText>TANZANIA LEGAL FRAMEWORK ON UNIT TITLE</w:instrText>
      </w:r>
      <w:bookmarkEnd w:id="181"/>
      <w:r w:rsidR="00AC7429">
        <w:instrText xml:space="preserve">" \f C \l "1" </w:instrText>
      </w:r>
      <w:r w:rsidR="00AC7429">
        <w:rPr>
          <w:rFonts w:cs="Times New Roman"/>
          <w:szCs w:val="24"/>
        </w:rPr>
        <w:fldChar w:fldCharType="end"/>
      </w:r>
    </w:p>
    <w:p w:rsidR="00770B4C" w:rsidRPr="009A2157" w:rsidRDefault="009F2A99" w:rsidP="009A2157">
      <w:pPr>
        <w:pStyle w:val="Heading2"/>
        <w:spacing w:before="0" w:after="0"/>
        <w:rPr>
          <w:rFonts w:cs="Times New Roman"/>
          <w:szCs w:val="24"/>
        </w:rPr>
      </w:pPr>
      <w:bookmarkStart w:id="182" w:name="_Toc194845432"/>
      <w:r w:rsidRPr="009A2157">
        <w:rPr>
          <w:rFonts w:cs="Times New Roman"/>
          <w:szCs w:val="24"/>
        </w:rPr>
        <w:t>4.1</w:t>
      </w:r>
      <w:r w:rsidR="00AC7429">
        <w:rPr>
          <w:rFonts w:cs="Times New Roman"/>
          <w:szCs w:val="24"/>
        </w:rPr>
        <w:t xml:space="preserve"> </w:t>
      </w:r>
      <w:r w:rsidR="00770B4C" w:rsidRPr="009A2157">
        <w:rPr>
          <w:rFonts w:cs="Times New Roman"/>
          <w:szCs w:val="24"/>
        </w:rPr>
        <w:t>Introduction</w:t>
      </w:r>
      <w:bookmarkEnd w:id="182"/>
      <w:r w:rsidR="00AC7429">
        <w:rPr>
          <w:rFonts w:cs="Times New Roman"/>
          <w:szCs w:val="24"/>
        </w:rPr>
        <w:fldChar w:fldCharType="begin"/>
      </w:r>
      <w:r w:rsidR="00AC7429">
        <w:instrText xml:space="preserve"> TC "</w:instrText>
      </w:r>
      <w:bookmarkStart w:id="183" w:name="_Toc213301719"/>
      <w:r w:rsidR="00AC7429" w:rsidRPr="007C7ECF">
        <w:rPr>
          <w:rFonts w:cs="Times New Roman"/>
          <w:szCs w:val="24"/>
        </w:rPr>
        <w:instrText>4.1 Introduction</w:instrText>
      </w:r>
      <w:bookmarkEnd w:id="183"/>
      <w:r w:rsidR="00AC7429">
        <w:instrText xml:space="preserve">" \f C \l "1" </w:instrText>
      </w:r>
      <w:r w:rsidR="00AC7429">
        <w:rPr>
          <w:rFonts w:cs="Times New Roman"/>
          <w:szCs w:val="24"/>
        </w:rPr>
        <w:fldChar w:fldCharType="end"/>
      </w:r>
    </w:p>
    <w:p w:rsidR="009F2A99" w:rsidRPr="009A2157" w:rsidRDefault="00880DEA" w:rsidP="009A2157">
      <w:pPr>
        <w:spacing w:before="0" w:after="0"/>
      </w:pPr>
      <w:r w:rsidRPr="009A2157">
        <w:t xml:space="preserve">In Tanzania, </w:t>
      </w:r>
      <w:r w:rsidRPr="009A2157">
        <w:rPr>
          <w:bCs/>
        </w:rPr>
        <w:t>unit titles (condominiums)</w:t>
      </w:r>
      <w:r w:rsidRPr="009A2157">
        <w:t xml:space="preserve"> are primarily governed by </w:t>
      </w:r>
      <w:r w:rsidRPr="009A2157">
        <w:rPr>
          <w:bCs/>
        </w:rPr>
        <w:t>statutory laws</w:t>
      </w:r>
      <w:r w:rsidRPr="009A2157">
        <w:t xml:space="preserve"> that regulate land tenure, property ownership, and real estate development. The key legislations addressing </w:t>
      </w:r>
      <w:r w:rsidRPr="009A2157">
        <w:rPr>
          <w:bCs/>
        </w:rPr>
        <w:t>unit titles or condominiums</w:t>
      </w:r>
      <w:r w:rsidRPr="009A2157">
        <w:t xml:space="preserve"> include:</w:t>
      </w:r>
    </w:p>
    <w:p w:rsidR="00676277" w:rsidRDefault="00676277" w:rsidP="00AC7429">
      <w:pPr>
        <w:pStyle w:val="Heading2"/>
        <w:spacing w:before="0" w:after="0"/>
        <w:jc w:val="both"/>
        <w:rPr>
          <w:rFonts w:cs="Times New Roman"/>
          <w:szCs w:val="24"/>
        </w:rPr>
      </w:pPr>
      <w:bookmarkStart w:id="184" w:name="_Toc194845433"/>
    </w:p>
    <w:p w:rsidR="00CE5104" w:rsidRPr="009A2157" w:rsidRDefault="009F2A99" w:rsidP="00AC7429">
      <w:pPr>
        <w:pStyle w:val="Heading2"/>
        <w:spacing w:before="0" w:after="0"/>
        <w:jc w:val="both"/>
        <w:rPr>
          <w:rFonts w:cs="Times New Roman"/>
          <w:szCs w:val="24"/>
        </w:rPr>
      </w:pPr>
      <w:r w:rsidRPr="009A2157">
        <w:rPr>
          <w:rFonts w:cs="Times New Roman"/>
          <w:szCs w:val="24"/>
        </w:rPr>
        <w:t>4.2</w:t>
      </w:r>
      <w:r w:rsidR="00AC7429">
        <w:rPr>
          <w:rFonts w:cs="Times New Roman"/>
          <w:szCs w:val="24"/>
        </w:rPr>
        <w:t xml:space="preserve"> </w:t>
      </w:r>
      <w:r w:rsidR="00CE5104" w:rsidRPr="009A2157">
        <w:rPr>
          <w:rFonts w:cs="Times New Roman"/>
          <w:szCs w:val="24"/>
        </w:rPr>
        <w:t>Constitution of the United Republic of Tanzania</w:t>
      </w:r>
      <w:bookmarkEnd w:id="184"/>
      <w:r w:rsidR="00AC7429">
        <w:rPr>
          <w:rFonts w:cs="Times New Roman"/>
          <w:szCs w:val="24"/>
        </w:rPr>
        <w:fldChar w:fldCharType="begin"/>
      </w:r>
      <w:r w:rsidR="00AC7429">
        <w:instrText xml:space="preserve"> TC "</w:instrText>
      </w:r>
      <w:bookmarkStart w:id="185" w:name="_Toc213301720"/>
      <w:r w:rsidR="00AC7429" w:rsidRPr="00BE06AD">
        <w:rPr>
          <w:rFonts w:cs="Times New Roman"/>
          <w:szCs w:val="24"/>
        </w:rPr>
        <w:instrText>4.2 Constitution of the United Republic of Tanzania</w:instrText>
      </w:r>
      <w:bookmarkEnd w:id="185"/>
      <w:r w:rsidR="00AC7429">
        <w:instrText xml:space="preserve">" \f C \l "1" </w:instrText>
      </w:r>
      <w:r w:rsidR="00AC7429">
        <w:rPr>
          <w:rFonts w:cs="Times New Roman"/>
          <w:szCs w:val="24"/>
        </w:rPr>
        <w:fldChar w:fldCharType="end"/>
      </w:r>
    </w:p>
    <w:p w:rsidR="00CE5104" w:rsidRPr="009A2157" w:rsidRDefault="00CE5104" w:rsidP="009A2157">
      <w:pPr>
        <w:spacing w:before="0" w:after="0"/>
      </w:pPr>
      <w:r w:rsidRPr="009A2157">
        <w:t>The Constitution of the United Republic of Tanzania of 1977, as the mother law, establishes the fundamental rights and freedoms that govern all laws and actions within the country. Under Article 24, it guarantees the right to own property and ensures its protection. Specifically, Article 24(1) grants every individual the entitlement to own and enjoy property, emphasizing its significance as a cornerstone of personal liberty and economic development. Moreover, Article 24(2) prohibits deprivation of property except under legal authority and mandates fair and adequate compensation in cases such as nationalization, ensuring justice and equity.</w:t>
      </w:r>
    </w:p>
    <w:p w:rsidR="00676277" w:rsidRDefault="00676277" w:rsidP="009A2157">
      <w:pPr>
        <w:spacing w:before="0" w:after="0"/>
      </w:pPr>
    </w:p>
    <w:p w:rsidR="00CE5104" w:rsidRPr="009A2157" w:rsidRDefault="00CE5104" w:rsidP="009A2157">
      <w:pPr>
        <w:spacing w:before="0" w:after="0"/>
      </w:pPr>
      <w:r w:rsidRPr="009A2157">
        <w:t>This constitutional provision sets a foundational framework that supports property ownership systems, including the concept of a "unit title." A unit title, as provided for under Tanzanian property laws, enables individuals to own specific portions of a subdivided building, typically in apartment complexes or commercial premises, while holding shared ownership of common areas. The link between Article 24 and unit title lies in the recognition and protection of these ownership rights. The law governing unit titles ensures that owners enjoy their property freely, provided they comply with established legal frameworks, thus reflecting the constitutional mandate.</w:t>
      </w:r>
    </w:p>
    <w:p w:rsidR="00CE5104" w:rsidRPr="009A2157" w:rsidRDefault="00CE5104" w:rsidP="009A2157">
      <w:pPr>
        <w:spacing w:before="0" w:after="0"/>
      </w:pPr>
      <w:r w:rsidRPr="009A2157">
        <w:t xml:space="preserve">Furthermore, the right to property under Article 24 aligns with the unit title system by promoting fair acquisition, usage, and protection of property rights. Legal safeguards against unlawful deprivation of property, coupled with provisions for compensation, are crucial in disputes or when public interests necessitate property acquisition. </w:t>
      </w:r>
    </w:p>
    <w:p w:rsidR="00676277" w:rsidRDefault="00676277" w:rsidP="009A2157">
      <w:pPr>
        <w:pStyle w:val="Heading2"/>
        <w:spacing w:before="0" w:after="0"/>
        <w:rPr>
          <w:rFonts w:cs="Times New Roman"/>
          <w:szCs w:val="24"/>
        </w:rPr>
      </w:pPr>
      <w:bookmarkStart w:id="186" w:name="_Toc194845434"/>
    </w:p>
    <w:p w:rsidR="00770B4C" w:rsidRPr="009A2157" w:rsidRDefault="009F2A99" w:rsidP="009A2157">
      <w:pPr>
        <w:pStyle w:val="Heading2"/>
        <w:spacing w:before="0" w:after="0"/>
        <w:rPr>
          <w:rFonts w:cs="Times New Roman"/>
          <w:szCs w:val="24"/>
        </w:rPr>
      </w:pPr>
      <w:r w:rsidRPr="009A2157">
        <w:rPr>
          <w:rFonts w:cs="Times New Roman"/>
          <w:szCs w:val="24"/>
        </w:rPr>
        <w:t>4.3</w:t>
      </w:r>
      <w:r w:rsidR="00AC7429">
        <w:rPr>
          <w:rFonts w:cs="Times New Roman"/>
          <w:szCs w:val="24"/>
        </w:rPr>
        <w:t xml:space="preserve"> </w:t>
      </w:r>
      <w:r w:rsidR="00770B4C" w:rsidRPr="009A2157">
        <w:rPr>
          <w:rFonts w:cs="Times New Roman"/>
          <w:szCs w:val="24"/>
        </w:rPr>
        <w:t>The Unit Titles Act 2008</w:t>
      </w:r>
      <w:bookmarkEnd w:id="186"/>
      <w:r w:rsidR="00AC7429">
        <w:rPr>
          <w:rFonts w:cs="Times New Roman"/>
          <w:szCs w:val="24"/>
        </w:rPr>
        <w:fldChar w:fldCharType="begin"/>
      </w:r>
      <w:r w:rsidR="00AC7429">
        <w:instrText xml:space="preserve"> TC "</w:instrText>
      </w:r>
      <w:bookmarkStart w:id="187" w:name="_Toc213301721"/>
      <w:r w:rsidR="00AC7429" w:rsidRPr="007B30A5">
        <w:rPr>
          <w:rFonts w:cs="Times New Roman"/>
          <w:szCs w:val="24"/>
        </w:rPr>
        <w:instrText>4.3 The Unit Titles Act 2008</w:instrText>
      </w:r>
      <w:bookmarkEnd w:id="187"/>
      <w:r w:rsidR="00AC7429">
        <w:instrText xml:space="preserve">" \f C \l "1" </w:instrText>
      </w:r>
      <w:r w:rsidR="00AC7429">
        <w:rPr>
          <w:rFonts w:cs="Times New Roman"/>
          <w:szCs w:val="24"/>
        </w:rPr>
        <w:fldChar w:fldCharType="end"/>
      </w:r>
    </w:p>
    <w:p w:rsidR="00770B4C" w:rsidRPr="009A2157" w:rsidRDefault="00770B4C" w:rsidP="009A2157">
      <w:pPr>
        <w:spacing w:before="0" w:after="0"/>
      </w:pPr>
      <w:r w:rsidRPr="009A2157">
        <w:t xml:space="preserve">The </w:t>
      </w:r>
      <w:r w:rsidRPr="009A2157">
        <w:rPr>
          <w:bCs/>
        </w:rPr>
        <w:t>Unit Titles Act 2008</w:t>
      </w:r>
      <w:r w:rsidRPr="009A2157">
        <w:t xml:space="preserve"> provides a comprehensive framework for the ownership, management, and governance of unit titles and the associated common property. The Act introduces the concept of "common property," which refers to areas or facilities jointly owned and utilized by all unit owners. According to Section 6(3), common property includes various shared spaces and facilities such as land, parks, passageways, stairways, parking, and shared systems like central heating and air conditioning. Ownership of these areas is proportional to the size of each unit owner’s share. The inclusion of such common areas ensures collective responsibility for maintaining the property and its amenities, fostering a cooperative approach among unit owners.</w:t>
      </w:r>
    </w:p>
    <w:p w:rsidR="009F2A99" w:rsidRPr="009A2157" w:rsidRDefault="009F2A99" w:rsidP="009A2157">
      <w:pPr>
        <w:spacing w:before="0" w:after="0"/>
      </w:pPr>
    </w:p>
    <w:p w:rsidR="00770B4C" w:rsidRPr="009A2157" w:rsidRDefault="00770B4C" w:rsidP="009A2157">
      <w:pPr>
        <w:spacing w:before="0" w:after="0"/>
      </w:pPr>
      <w:r w:rsidRPr="009A2157">
        <w:t>Unit owners enjoy significant rights under the Act. These include the right to use their unit and common property for personal and family needs, transfer ownership through sale, lease, gift, or mortgage without requiring the association’s approval, and participate in the management of the association. These provisions ensure that unit owners retain autonomy over their properties while being integral to the collective decision-making process. By granting these rights, the Act balances individual property rights with the responsibilities associated with shared ownership, thereby promoting harmonious living in multi-unit developments.</w:t>
      </w:r>
    </w:p>
    <w:p w:rsidR="00676277" w:rsidRDefault="00676277" w:rsidP="009A2157">
      <w:pPr>
        <w:spacing w:before="0" w:after="0"/>
      </w:pPr>
    </w:p>
    <w:p w:rsidR="00770B4C" w:rsidRPr="009A2157" w:rsidRDefault="00770B4C" w:rsidP="009A2157">
      <w:pPr>
        <w:spacing w:before="0" w:after="0"/>
      </w:pPr>
      <w:r w:rsidRPr="009A2157">
        <w:t xml:space="preserve">The Act mandates the formation of an </w:t>
      </w:r>
      <w:r w:rsidRPr="009A2157">
        <w:rPr>
          <w:bCs/>
        </w:rPr>
        <w:t>association</w:t>
      </w:r>
      <w:r w:rsidRPr="009A2157">
        <w:t>, which serves as a corporate body responsible for managing unit titles.</w:t>
      </w:r>
      <w:r w:rsidR="00212AD6" w:rsidRPr="009A2157">
        <w:rPr>
          <w:rStyle w:val="FootnoteReference"/>
        </w:rPr>
        <w:footnoteReference w:id="114"/>
      </w:r>
      <w:r w:rsidRPr="009A2157">
        <w:t xml:space="preserve"> Comprising at least five-unit owners, the association is tasked with maintaining the common property, establishing administrative funds, and ensuring that buildings and improvements are insured. This association is granted perpetual succession and legal standing to sue or be sued. Additionally, it is responsible for raising funds, managing administrative expenses, and overseeing the maintenance and repair of common property. By centralizing these functions, the Act provides a structured approach to property management, ensuring accountability and sustainability.</w:t>
      </w:r>
      <w:r w:rsidR="00212AD6" w:rsidRPr="009A2157">
        <w:rPr>
          <w:rStyle w:val="FootnoteReference"/>
        </w:rPr>
        <w:footnoteReference w:id="115"/>
      </w:r>
    </w:p>
    <w:p w:rsidR="00676277" w:rsidRDefault="00676277" w:rsidP="009A2157">
      <w:pPr>
        <w:spacing w:before="0" w:after="0"/>
      </w:pPr>
    </w:p>
    <w:p w:rsidR="00770B4C" w:rsidRPr="009A2157" w:rsidRDefault="00770B4C" w:rsidP="009A2157">
      <w:pPr>
        <w:spacing w:before="0" w:after="0"/>
      </w:pPr>
      <w:r w:rsidRPr="009A2157">
        <w:t xml:space="preserve">A key component of the association’s governance is the appointment of a </w:t>
      </w:r>
      <w:r w:rsidRPr="009A2157">
        <w:rPr>
          <w:bCs/>
        </w:rPr>
        <w:t>Managing Agent</w:t>
      </w:r>
      <w:r w:rsidRPr="009A2157">
        <w:t xml:space="preserve">. Within 28 days of the committee's election, a managing agent must be appointed to oversee the day-to-day management of movable and immovable properties, as well as the common areas. Furthermore, the Act requires associations to establish a </w:t>
      </w:r>
      <w:r w:rsidRPr="009A2157">
        <w:rPr>
          <w:bCs/>
        </w:rPr>
        <w:t>General Fund</w:t>
      </w:r>
      <w:r w:rsidRPr="009A2157">
        <w:t xml:space="preserve"> for administrative purposes and a </w:t>
      </w:r>
      <w:r w:rsidRPr="009A2157">
        <w:rPr>
          <w:bCs/>
        </w:rPr>
        <w:t>Sinking Fund</w:t>
      </w:r>
      <w:r w:rsidRPr="009A2157">
        <w:t xml:space="preserve"> for long-term maintenance and repairs.</w:t>
      </w:r>
      <w:r w:rsidR="00212AD6" w:rsidRPr="009A2157">
        <w:rPr>
          <w:rStyle w:val="FootnoteReference"/>
        </w:rPr>
        <w:footnoteReference w:id="116"/>
      </w:r>
      <w:r w:rsidRPr="009A2157">
        <w:t xml:space="preserve"> The sinking fund is mandatory unless the units plan comprises two or three units and the association resolves not to maintain such a fund. These financial provisions ensure that associations have the necessary resources to meet both immediate and future obligations, contributing to the efficient operation of the unit title system.</w:t>
      </w:r>
    </w:p>
    <w:p w:rsidR="00676277" w:rsidRDefault="00676277" w:rsidP="00D3582B">
      <w:pPr>
        <w:pStyle w:val="Heading2"/>
        <w:spacing w:before="0" w:after="0"/>
        <w:jc w:val="both"/>
        <w:rPr>
          <w:rFonts w:cs="Times New Roman"/>
          <w:szCs w:val="24"/>
        </w:rPr>
      </w:pPr>
      <w:bookmarkStart w:id="188" w:name="_Toc194845435"/>
    </w:p>
    <w:p w:rsidR="00D9456B" w:rsidRPr="009A2157" w:rsidRDefault="009F2A99" w:rsidP="00D3582B">
      <w:pPr>
        <w:pStyle w:val="Heading2"/>
        <w:spacing w:before="0" w:after="0"/>
        <w:jc w:val="both"/>
        <w:rPr>
          <w:rFonts w:cs="Times New Roman"/>
          <w:szCs w:val="24"/>
        </w:rPr>
      </w:pPr>
      <w:r w:rsidRPr="009A2157">
        <w:rPr>
          <w:rFonts w:cs="Times New Roman"/>
          <w:szCs w:val="24"/>
        </w:rPr>
        <w:t>4.4</w:t>
      </w:r>
      <w:r w:rsidR="00AC7429">
        <w:rPr>
          <w:rFonts w:cs="Times New Roman"/>
          <w:szCs w:val="24"/>
        </w:rPr>
        <w:t xml:space="preserve"> </w:t>
      </w:r>
      <w:r w:rsidR="00D9456B" w:rsidRPr="009A2157">
        <w:rPr>
          <w:rFonts w:cs="Times New Roman"/>
          <w:szCs w:val="24"/>
        </w:rPr>
        <w:t>Unit Titles Regulation GN No 357 of 2009</w:t>
      </w:r>
      <w:bookmarkEnd w:id="188"/>
      <w:r w:rsidR="00172679">
        <w:rPr>
          <w:rFonts w:cs="Times New Roman"/>
          <w:szCs w:val="24"/>
        </w:rPr>
        <w:fldChar w:fldCharType="begin"/>
      </w:r>
      <w:r w:rsidR="00172679">
        <w:instrText xml:space="preserve"> TC "</w:instrText>
      </w:r>
      <w:bookmarkStart w:id="189" w:name="_Toc213301722"/>
      <w:r w:rsidR="00172679" w:rsidRPr="004472F1">
        <w:rPr>
          <w:rFonts w:cs="Times New Roman"/>
          <w:szCs w:val="24"/>
        </w:rPr>
        <w:instrText>4.4 Unit Titles Regulation GN No 357 of 2009</w:instrText>
      </w:r>
      <w:bookmarkEnd w:id="189"/>
      <w:r w:rsidR="00172679">
        <w:instrText xml:space="preserve">" \f C \l "1" </w:instrText>
      </w:r>
      <w:r w:rsidR="00172679">
        <w:rPr>
          <w:rFonts w:cs="Times New Roman"/>
          <w:szCs w:val="24"/>
        </w:rPr>
        <w:fldChar w:fldCharType="end"/>
      </w:r>
    </w:p>
    <w:p w:rsidR="00676277" w:rsidRDefault="00D9456B" w:rsidP="009A2157">
      <w:pPr>
        <w:spacing w:before="0" w:after="0"/>
      </w:pPr>
      <w:r w:rsidRPr="009A2157">
        <w:t xml:space="preserve">The Unit Titles Regulation GN No 357 of 2009 in Tanzania establishes the framework for the ownership and management of properties divided into units, such as apartments or offices. This regulation operates under the broader Unit Titles Act, No. 16 of 2008, which allows for separate ownership of individual units while sharing ownership of common </w:t>
      </w:r>
      <w:r w:rsidR="00880DEA" w:rsidRPr="009A2157">
        <w:t>areas. The</w:t>
      </w:r>
      <w:r w:rsidR="007F41C8" w:rsidRPr="009A2157">
        <w:t> </w:t>
      </w:r>
      <w:r w:rsidR="007F41C8" w:rsidRPr="009A2157">
        <w:rPr>
          <w:bCs/>
        </w:rPr>
        <w:t xml:space="preserve">Unit Titles </w:t>
      </w:r>
      <w:r w:rsidR="00A91C36" w:rsidRPr="009A2157">
        <w:rPr>
          <w:bCs/>
        </w:rPr>
        <w:t>Regulation</w:t>
      </w:r>
      <w:r w:rsidR="00A91C36" w:rsidRPr="009A2157">
        <w:t xml:space="preserve"> establishes</w:t>
      </w:r>
      <w:r w:rsidR="007F41C8" w:rsidRPr="009A2157">
        <w:t xml:space="preserve"> a comprehensive legal framework for the registration and management of unit titles in Tanzania, as outlined in Regulation 3. This regulation mandates the </w:t>
      </w:r>
      <w:r w:rsidR="007F41C8" w:rsidRPr="009A2157">
        <w:rPr>
          <w:bCs/>
        </w:rPr>
        <w:t>Registrar</w:t>
      </w:r>
      <w:r w:rsidR="007F41C8" w:rsidRPr="009A2157">
        <w:t xml:space="preserve"> to maintain a register of units, ensuring that all particulars related to each unit are accurately recorded. </w:t>
      </w:r>
    </w:p>
    <w:p w:rsidR="00676277" w:rsidRDefault="00676277" w:rsidP="009A2157">
      <w:pPr>
        <w:spacing w:before="0" w:after="0"/>
      </w:pPr>
    </w:p>
    <w:p w:rsidR="00676277" w:rsidRDefault="007F41C8" w:rsidP="009A2157">
      <w:pPr>
        <w:spacing w:before="0" w:after="0"/>
      </w:pPr>
      <w:r w:rsidRPr="009A2157">
        <w:t>Specifically, Regulation 3(1) emphasizes the importance of this register, which serves as the official record for ownership and rights associated with each unit, aligning with Section 8 of the Unit Titles Act. The requirement for maintaining such a register is crucial for promoting transparency and security in property transactions within the unit titles system.</w:t>
      </w:r>
      <w:r w:rsidR="00676277">
        <w:t xml:space="preserve"> </w:t>
      </w:r>
    </w:p>
    <w:p w:rsidR="007F41C8" w:rsidRPr="009A2157" w:rsidRDefault="007F41C8" w:rsidP="009A2157">
      <w:pPr>
        <w:spacing w:before="0" w:after="0"/>
      </w:pPr>
      <w:r w:rsidRPr="009A2157">
        <w:t>Furthermore, Regulation 3(2) specifies that the format and content of the register must adhere to </w:t>
      </w:r>
      <w:r w:rsidRPr="009A2157">
        <w:rPr>
          <w:bCs/>
        </w:rPr>
        <w:t>Form No. 1</w:t>
      </w:r>
      <w:r w:rsidRPr="009A2157">
        <w:t>, which is appended in the first schedule of the regulations. This standardization is essential as it provides consistency in how unit titles are documented across different properties, facilitating easier reference and verification by stakeholders involved in real estate transactions. By delineating clear requirements for documentation, the regulation helps mitigate disputes regarding ownership and enhances the reliability of the property records maintained by the Registrar.</w:t>
      </w:r>
      <w:r w:rsidR="00212AD6" w:rsidRPr="009A2157">
        <w:rPr>
          <w:rStyle w:val="FootnoteReference"/>
        </w:rPr>
        <w:footnoteReference w:id="117"/>
      </w:r>
    </w:p>
    <w:p w:rsidR="00676277" w:rsidRDefault="00676277" w:rsidP="009A2157">
      <w:pPr>
        <w:spacing w:before="0" w:after="0"/>
      </w:pPr>
    </w:p>
    <w:p w:rsidR="007F41C8" w:rsidRPr="009A2157" w:rsidRDefault="007F41C8" w:rsidP="009A2157">
      <w:pPr>
        <w:spacing w:before="0" w:after="0"/>
      </w:pPr>
      <w:r w:rsidRPr="009A2157">
        <w:t>In addition, Regulation 3(3) states that a unit title registered under the Act is considered valid and enforceable. This provision underscores the legal recognition of unit titles as distinct forms of property ownership, separate from traditional land tenure systems. The ability to register unit titles effectively transforms previously indivisible properties into manageable units, allowing owners to exercise their rights over individual units while sharing responsibilities for common areas. This separation is particularly significant in urban settings where space is limited and demands for housing are high.</w:t>
      </w:r>
    </w:p>
    <w:p w:rsidR="00676277" w:rsidRDefault="00676277" w:rsidP="009A2157">
      <w:pPr>
        <w:spacing w:before="0" w:after="0"/>
      </w:pPr>
    </w:p>
    <w:p w:rsidR="007F41C8" w:rsidRPr="009A2157" w:rsidRDefault="007F41C8" w:rsidP="009A2157">
      <w:pPr>
        <w:spacing w:before="0" w:after="0"/>
      </w:pPr>
      <w:r w:rsidRPr="009A2157">
        <w:t>Regulation 5 outlines the procedural requirements for registering a unit, mandating that applicants utilize the prescribed </w:t>
      </w:r>
      <w:r w:rsidRPr="009A2157">
        <w:rPr>
          <w:bCs/>
        </w:rPr>
        <w:t>Form No. 4</w:t>
      </w:r>
      <w:r w:rsidRPr="009A2157">
        <w:t xml:space="preserve">, as specified in the fourth schedule of the regulations. This formality not only standardizes the application process but also allows the Registrar to impose conditions that applicants must fulfill, thus ensuring compliance with legal requirements and promoting accountability in property registration. Once an application is submitted, Regulation 6(2) stipulates that the Registrar must verify that all requirements under the Act and accompanying regulations have been met before proceeding with registration. </w:t>
      </w:r>
    </w:p>
    <w:p w:rsidR="00676277" w:rsidRDefault="00676277" w:rsidP="009A2157">
      <w:pPr>
        <w:spacing w:before="0" w:after="0"/>
      </w:pPr>
    </w:p>
    <w:p w:rsidR="000A116C" w:rsidRPr="009A2157" w:rsidRDefault="007F41C8" w:rsidP="009A2157">
      <w:pPr>
        <w:spacing w:before="0" w:after="0"/>
      </w:pPr>
      <w:r w:rsidRPr="009A2157">
        <w:t>This includes the payment of a prescribed fee, which is essential for covering administrative costs associated with processing applications.</w:t>
      </w:r>
      <w:r w:rsidR="00212AD6" w:rsidRPr="009A2157">
        <w:rPr>
          <w:rStyle w:val="FootnoteReference"/>
        </w:rPr>
        <w:footnoteReference w:id="118"/>
      </w:r>
      <w:r w:rsidRPr="009A2157">
        <w:t xml:space="preserve"> The requirement for fee payment emphasizes the importance of financial responsibility on the part of applicants and serves as a deterrent against frivolous applications. Upon satisfaction of these conditions, the Registrar is obligated to register the unit plan or unit, thereby formalizing ownership rights and facilitating subsequent transactions involving the unit. Following successful registration, Regulation 6(4) mandates that the Registrar issue a </w:t>
      </w:r>
      <w:r w:rsidRPr="009A2157">
        <w:rPr>
          <w:bCs/>
        </w:rPr>
        <w:t>Certificate of Unit Title</w:t>
      </w:r>
      <w:r w:rsidRPr="009A2157">
        <w:t> using </w:t>
      </w:r>
      <w:r w:rsidRPr="009A2157">
        <w:rPr>
          <w:bCs/>
        </w:rPr>
        <w:t>Form No. 5</w:t>
      </w:r>
      <w:r w:rsidRPr="009A2157">
        <w:t> from the fifth schedule. This certificate serves as a formal acknowledgment of ownership and provides legal proof of title to the unit, enabling owners to exercise their rights fully.</w:t>
      </w:r>
    </w:p>
    <w:p w:rsidR="00676277" w:rsidRDefault="00676277" w:rsidP="009A2157">
      <w:pPr>
        <w:pStyle w:val="Heading2"/>
        <w:spacing w:before="0" w:after="0"/>
        <w:rPr>
          <w:rFonts w:cs="Times New Roman"/>
          <w:szCs w:val="24"/>
        </w:rPr>
      </w:pPr>
      <w:bookmarkStart w:id="190" w:name="_Toc194845436"/>
    </w:p>
    <w:p w:rsidR="000F65B1" w:rsidRPr="009A2157" w:rsidRDefault="009F2A99" w:rsidP="009A2157">
      <w:pPr>
        <w:pStyle w:val="Heading2"/>
        <w:spacing w:before="0" w:after="0"/>
        <w:rPr>
          <w:rFonts w:cs="Times New Roman"/>
          <w:szCs w:val="24"/>
        </w:rPr>
      </w:pPr>
      <w:r w:rsidRPr="009A2157">
        <w:rPr>
          <w:rFonts w:cs="Times New Roman"/>
          <w:szCs w:val="24"/>
        </w:rPr>
        <w:t>4.5</w:t>
      </w:r>
      <w:r w:rsidR="00D3582B">
        <w:rPr>
          <w:rFonts w:cs="Times New Roman"/>
          <w:szCs w:val="24"/>
        </w:rPr>
        <w:t xml:space="preserve"> </w:t>
      </w:r>
      <w:r w:rsidR="000F65B1" w:rsidRPr="009A2157">
        <w:rPr>
          <w:rFonts w:cs="Times New Roman"/>
          <w:szCs w:val="24"/>
        </w:rPr>
        <w:t>Land Act</w:t>
      </w:r>
      <w:r w:rsidRPr="009A2157">
        <w:rPr>
          <w:rFonts w:cs="Times New Roman"/>
          <w:szCs w:val="24"/>
        </w:rPr>
        <w:t xml:space="preserve"> of 1999</w:t>
      </w:r>
      <w:bookmarkEnd w:id="190"/>
      <w:r w:rsidR="00D3582B">
        <w:rPr>
          <w:rFonts w:cs="Times New Roman"/>
          <w:szCs w:val="24"/>
        </w:rPr>
        <w:fldChar w:fldCharType="begin"/>
      </w:r>
      <w:r w:rsidR="00D3582B">
        <w:instrText xml:space="preserve"> TC "</w:instrText>
      </w:r>
      <w:bookmarkStart w:id="191" w:name="_Toc213301723"/>
      <w:r w:rsidR="00D3582B" w:rsidRPr="0011625D">
        <w:rPr>
          <w:rFonts w:cs="Times New Roman"/>
          <w:szCs w:val="24"/>
        </w:rPr>
        <w:instrText>4.5 Land Act of 1999</w:instrText>
      </w:r>
      <w:bookmarkEnd w:id="191"/>
      <w:r w:rsidR="00D3582B">
        <w:instrText xml:space="preserve">" \f C \l "1" </w:instrText>
      </w:r>
      <w:r w:rsidR="00D3582B">
        <w:rPr>
          <w:rFonts w:cs="Times New Roman"/>
          <w:szCs w:val="24"/>
        </w:rPr>
        <w:fldChar w:fldCharType="end"/>
      </w:r>
    </w:p>
    <w:p w:rsidR="000F65B1" w:rsidRPr="009A2157" w:rsidRDefault="000F65B1" w:rsidP="009A2157">
      <w:pPr>
        <w:spacing w:before="0" w:after="0"/>
      </w:pPr>
      <w:r w:rsidRPr="009A2157">
        <w:t>The </w:t>
      </w:r>
      <w:r w:rsidRPr="009A2157">
        <w:rPr>
          <w:bCs/>
        </w:rPr>
        <w:t>Land Act</w:t>
      </w:r>
      <w:r w:rsidRPr="009A2157">
        <w:t>, particularly </w:t>
      </w:r>
      <w:r w:rsidRPr="009A2157">
        <w:rPr>
          <w:bCs/>
        </w:rPr>
        <w:t>Section 159</w:t>
      </w:r>
      <w:r w:rsidRPr="009A2157">
        <w:t>, provides a comprehensive framework for understanding co-occupancy, which is defined as the occupation of land held under a right of occupancy or lease by two or more parties sharing undivided interests. This section distinguishes between two forms of co-occupancy: </w:t>
      </w:r>
      <w:r w:rsidRPr="009A2157">
        <w:rPr>
          <w:bCs/>
        </w:rPr>
        <w:t>joint occupancy</w:t>
      </w:r>
      <w:r w:rsidRPr="009A2157">
        <w:t> and </w:t>
      </w:r>
      <w:r w:rsidRPr="009A2157">
        <w:rPr>
          <w:bCs/>
        </w:rPr>
        <w:t>occupancy in common</w:t>
      </w:r>
      <w:r w:rsidRPr="009A2157">
        <w:t>. Joint occupancy implies that all occupiers share equal rights and responsibilities regarding the land, and no individual can claim a separate share. Conversely, occupancy in common allows each occupier to hold an undivided share, which may differ in size, and upon the death of an occupier, their share is treated as part of their estate rather than transferring automatically to the surviving co-occupiers.</w:t>
      </w:r>
      <w:r w:rsidR="00347AEF" w:rsidRPr="009A2157">
        <w:rPr>
          <w:rStyle w:val="FootnoteReference"/>
        </w:rPr>
        <w:footnoteReference w:id="119"/>
      </w:r>
    </w:p>
    <w:p w:rsidR="00676277" w:rsidRDefault="00676277" w:rsidP="009A2157">
      <w:pPr>
        <w:spacing w:before="0" w:after="0"/>
      </w:pPr>
    </w:p>
    <w:p w:rsidR="000F65B1" w:rsidRPr="009A2157" w:rsidRDefault="000F65B1" w:rsidP="009A2157">
      <w:pPr>
        <w:spacing w:before="0" w:after="0"/>
      </w:pPr>
      <w:r w:rsidRPr="009A2157">
        <w:t>The legal implications of co-occupancy are significant, particularly regarding the rights and obligations of the occupiers. Under joint occupancy, any disposition of the land must be agreed upon by all joint occupiers, and any attempt by one occupier to transfer their interest to an outsider is void. This provision protects the collective interests of all joint owners but can also lead to complications if disagreements arise over land use or management. In contrast, occupancy in common allows individual co-occupiers more autonomy; they can deal with their undivided share independently but require consent from other co-occupiers for transactions involving their interests. This distinction is crucial for understanding how land can be managed and transferred among multiple parties.</w:t>
      </w:r>
    </w:p>
    <w:p w:rsidR="00676277" w:rsidRDefault="00676277" w:rsidP="009A2157">
      <w:pPr>
        <w:spacing w:before="0" w:after="0"/>
      </w:pPr>
    </w:p>
    <w:p w:rsidR="000F65B1" w:rsidRPr="009A2157" w:rsidRDefault="000F65B1" w:rsidP="009A2157">
      <w:pPr>
        <w:spacing w:before="0" w:after="0"/>
      </w:pPr>
      <w:r w:rsidRPr="009A2157">
        <w:t>Furthermore, Section 160 establishes procedural guidelines for issuing certificates of occupancy to co-occupiers. Each co-occupier is entitled to receive a copy of the certificate, which serves as legal proof of their rights. The Registrar is responsible for issuing these certificates upon application and must note the issuance in the official register. This process enhances transparency and provides security for co-occupiers by formally recognizing their interests in the land. However, it also imposes responsibilities on co-occupiers to ensure that any dealings with their shares are conducted in accordance with the law.</w:t>
      </w:r>
    </w:p>
    <w:p w:rsidR="00676277" w:rsidRDefault="00676277" w:rsidP="009A2157">
      <w:pPr>
        <w:spacing w:before="0" w:after="0"/>
      </w:pPr>
    </w:p>
    <w:p w:rsidR="00676277" w:rsidRDefault="00F50240" w:rsidP="009A2157">
      <w:pPr>
        <w:spacing w:before="0" w:after="0"/>
      </w:pPr>
      <w:r w:rsidRPr="009A2157">
        <w:t xml:space="preserve">The Unit Titles Act introduces a unique dimension to the doctrine of a bundle of rights by fragmenting land ownership into individual units while maintaining shared interests in common property. Unlike the traditional co-occupancy framework under the Land Act of 1999, which primarily recognizes joint occupancy and occupancy in common, the Unit Titles Act creates a hybrid model where unit owners hold exclusive ownership of their respective units while simultaneously sharing collective rights over common areas such as corridors, parking spaces, and recreational facilities. </w:t>
      </w:r>
    </w:p>
    <w:p w:rsidR="00676277" w:rsidRDefault="00676277" w:rsidP="009A2157">
      <w:pPr>
        <w:spacing w:before="0" w:after="0"/>
      </w:pPr>
    </w:p>
    <w:p w:rsidR="00F50240" w:rsidRPr="009A2157" w:rsidRDefault="00F50240" w:rsidP="009A2157">
      <w:pPr>
        <w:spacing w:before="0" w:after="0"/>
      </w:pPr>
      <w:r w:rsidRPr="009A2157">
        <w:t>This arrangement modifies the classical bundle of rights by imposing statutory obligations on unit holders to contribute to the maintenance and management of common areas through a body corporate, thereby limiting their absolute autonomy over the land. The divergence from the Land Act is evident in how rights are exercised; while the Land Act allows co-occupiers under occupancy in common to deal with their undivided shares independently, the Unit Titles Act restricts an owner’s freedom to act unilaterally in matters concerning common property. This legislative shift underscores a move towards structured communal ownership, prioritizing collective governance over the unrestricted exercise of individual property rights.</w:t>
      </w:r>
    </w:p>
    <w:p w:rsidR="00676277" w:rsidRDefault="00676277" w:rsidP="009A2157">
      <w:pPr>
        <w:pStyle w:val="Heading2"/>
        <w:spacing w:before="0" w:after="0"/>
        <w:rPr>
          <w:rFonts w:cs="Times New Roman"/>
          <w:szCs w:val="24"/>
        </w:rPr>
      </w:pPr>
      <w:bookmarkStart w:id="192" w:name="_Toc194845437"/>
    </w:p>
    <w:p w:rsidR="00CC4DAE" w:rsidRPr="009A2157" w:rsidRDefault="009F2A99" w:rsidP="009A2157">
      <w:pPr>
        <w:pStyle w:val="Heading2"/>
        <w:spacing w:before="0" w:after="0"/>
        <w:rPr>
          <w:rFonts w:cs="Times New Roman"/>
          <w:szCs w:val="24"/>
        </w:rPr>
      </w:pPr>
      <w:r w:rsidRPr="009A2157">
        <w:rPr>
          <w:rFonts w:cs="Times New Roman"/>
          <w:szCs w:val="24"/>
        </w:rPr>
        <w:t>4.6</w:t>
      </w:r>
      <w:r w:rsidR="00D3582B">
        <w:rPr>
          <w:rFonts w:cs="Times New Roman"/>
          <w:szCs w:val="24"/>
        </w:rPr>
        <w:t xml:space="preserve"> </w:t>
      </w:r>
      <w:r w:rsidR="00DB6574" w:rsidRPr="009A2157">
        <w:rPr>
          <w:rFonts w:cs="Times New Roman"/>
          <w:szCs w:val="24"/>
        </w:rPr>
        <w:t>Land Registration Act</w:t>
      </w:r>
      <w:bookmarkEnd w:id="192"/>
      <w:r w:rsidR="00D3582B">
        <w:rPr>
          <w:rFonts w:cs="Times New Roman"/>
          <w:szCs w:val="24"/>
        </w:rPr>
        <w:fldChar w:fldCharType="begin"/>
      </w:r>
      <w:r w:rsidR="00D3582B">
        <w:instrText xml:space="preserve"> TC "</w:instrText>
      </w:r>
      <w:bookmarkStart w:id="193" w:name="_Toc213301724"/>
      <w:r w:rsidR="00D3582B" w:rsidRPr="00286DB2">
        <w:rPr>
          <w:rFonts w:cs="Times New Roman"/>
          <w:szCs w:val="24"/>
        </w:rPr>
        <w:instrText>4.6 Land Registration Act</w:instrText>
      </w:r>
      <w:bookmarkEnd w:id="193"/>
      <w:r w:rsidR="00D3582B">
        <w:instrText xml:space="preserve">" \f C \l "1" </w:instrText>
      </w:r>
      <w:r w:rsidR="00D3582B">
        <w:rPr>
          <w:rFonts w:cs="Times New Roman"/>
          <w:szCs w:val="24"/>
        </w:rPr>
        <w:fldChar w:fldCharType="end"/>
      </w:r>
    </w:p>
    <w:p w:rsidR="00DB6574" w:rsidRPr="009A2157" w:rsidRDefault="00D3582B" w:rsidP="009A2157">
      <w:pPr>
        <w:spacing w:before="0" w:after="0"/>
      </w:pPr>
      <w:r>
        <w:t xml:space="preserve">The </w:t>
      </w:r>
      <w:r w:rsidR="00DB6574" w:rsidRPr="009A2157">
        <w:rPr>
          <w:bCs/>
        </w:rPr>
        <w:t>Land Registration Act</w:t>
      </w:r>
      <w:r w:rsidR="00DB6574" w:rsidRPr="009A2157">
        <w:t xml:space="preserve"> plays a crucial role in the governance of land ownership and management in Tanzania. Its enactment was driven by the need to establish a formal system for recording land rights, ensuring security of tenure, and reducing land disputes. This </w:t>
      </w:r>
      <w:r w:rsidR="00347AEF" w:rsidRPr="009A2157">
        <w:t>A</w:t>
      </w:r>
      <w:r w:rsidR="00DB6574" w:rsidRPr="009A2157">
        <w:t>ct provides a framework for the registration of land titles, which is essential for protecting property rights and facilitating transactions in real estate.</w:t>
      </w:r>
    </w:p>
    <w:p w:rsidR="00DB6574" w:rsidRPr="009A2157" w:rsidRDefault="00DB6574" w:rsidP="009A2157">
      <w:pPr>
        <w:spacing w:before="0" w:after="0"/>
      </w:pPr>
      <w:r w:rsidRPr="009A2157">
        <w:t>Section 53 of the Land Registration Act is a significant provision that governs the registration of land transfers. It stipulates that "no transfer of the freehold estate in, or of a right of occupancy in respect of which a certificate of occupancy has been issued over, part of a parcel shall be registered unless the division thereof is made vertically." This requirement is particularly important in urban areas, where land use often involves multi-unit developments, and ensures proper delineation of property boundaries during registration.</w:t>
      </w:r>
    </w:p>
    <w:p w:rsidR="00676277" w:rsidRDefault="00676277" w:rsidP="009A2157">
      <w:pPr>
        <w:spacing w:before="0" w:after="0"/>
      </w:pPr>
    </w:p>
    <w:p w:rsidR="00CE5104" w:rsidRPr="009A2157" w:rsidRDefault="00DB6574" w:rsidP="009A2157">
      <w:pPr>
        <w:spacing w:before="0" w:after="0"/>
      </w:pPr>
      <w:r w:rsidRPr="009A2157">
        <w:t>A key implication of Section 53 is its mandate for vertical division of land parcels for transfer purposes. This means that subdivisions must result in distinct vertical sections rather than horizontal ones. This provision aligns with the needs of urban settings, where high-rise buildings and other vertically structured developments are increasingly common. It provides a framework for managing ownership in such contexts.</w:t>
      </w:r>
      <w:r w:rsidR="00676277">
        <w:t xml:space="preserve"> </w:t>
      </w:r>
      <w:r w:rsidRPr="009A2157">
        <w:t xml:space="preserve">The Unit Titles Act, 2008 complements Section 53 by permitting both vertical and horizontal divisions within multi-unit developments. While Section 53 emphasizes vertical divisions for registration purposes under the Land Registration Act, the Unit Titles Act allows developers to create individual units with shared common areas. This synergy ensures that multi-unit properties can be appropriately structured, registered, and managed, catering to diverse urban property </w:t>
      </w:r>
      <w:r w:rsidR="003B3A8B" w:rsidRPr="009A2157">
        <w:t>needs. However</w:t>
      </w:r>
      <w:r w:rsidRPr="009A2157">
        <w:t>, the vertical division requirement under Section 53 may present challenges, particularly for developers aiming to create horizontally divided units like apartments. These challenges necessitate careful navigation of the legislative frameworks to ensure compliance with both the Land Registration Act and the Unit Titles Act.</w:t>
      </w:r>
    </w:p>
    <w:p w:rsidR="00676277" w:rsidRDefault="00676277" w:rsidP="009A2157">
      <w:pPr>
        <w:spacing w:before="0" w:after="0"/>
      </w:pPr>
    </w:p>
    <w:p w:rsidR="00676277" w:rsidRDefault="003B3A8B" w:rsidP="009A2157">
      <w:pPr>
        <w:spacing w:before="0" w:after="0"/>
      </w:pPr>
      <w:r w:rsidRPr="009A2157">
        <w:t xml:space="preserve">The relationship between the Land Registration Act and the Unit Titles Act critically affects the doctrine of a bundle of rights in the context of land ownership and registration in Tanzania. The doctrine of a bundle of rights refers to the idea that land ownership is not a single, indivisible right but a collection of rights that can be separated and transferred independently, such as the right to use, lease, sell, or transfer land. The Unit Titles Act, in particular, introduces an essential variation by allowing for the subdivision of land into distinct units within a larger development, each with its own set of rights, while still being subject to shared common areas. </w:t>
      </w:r>
    </w:p>
    <w:p w:rsidR="00676277" w:rsidRDefault="00676277" w:rsidP="009A2157">
      <w:pPr>
        <w:spacing w:before="0" w:after="0"/>
      </w:pPr>
    </w:p>
    <w:p w:rsidR="00347AEF" w:rsidRPr="009A2157" w:rsidRDefault="003B3A8B" w:rsidP="009A2157">
      <w:pPr>
        <w:spacing w:before="0" w:after="0"/>
      </w:pPr>
      <w:r w:rsidRPr="009A2157">
        <w:t>This approach directly diverges from the Land Registration Act's emphasis on vertical land divisions for registration purposes, which primarily addresses the creation of multi-unit developments in urban areas. The requirement for vertical divisions in Section 53 of the Land Registration Act contrasts with the flexibility of the Unit Titles Act, which accommodates both horizontal and vertical subdivisions. While the Land Registration Act seeks to streamline land registration for urban developments, the Unit Titles Act provides the legal framework necessary for recognizing individual ownership within these developments, often creating a scenario where the rights to the land are fragmented. This divergence challenges traditional views of land as a cohesive bundle of rights by introducing a more complex structure of ownership in urban developments, where individual units can be bought, sold, and managed separately, but still function within a shared environment.</w:t>
      </w:r>
    </w:p>
    <w:p w:rsidR="00676277" w:rsidRDefault="00676277" w:rsidP="00D3582B">
      <w:pPr>
        <w:pStyle w:val="Heading2"/>
        <w:spacing w:before="0" w:after="0"/>
        <w:jc w:val="both"/>
        <w:rPr>
          <w:rFonts w:cs="Times New Roman"/>
          <w:szCs w:val="24"/>
        </w:rPr>
      </w:pPr>
      <w:bookmarkStart w:id="194" w:name="_Toc194845438"/>
    </w:p>
    <w:p w:rsidR="00156EEA" w:rsidRPr="009A2157" w:rsidRDefault="009F2A99" w:rsidP="00D3582B">
      <w:pPr>
        <w:pStyle w:val="Heading2"/>
        <w:spacing w:before="0" w:after="0"/>
        <w:jc w:val="both"/>
        <w:rPr>
          <w:rFonts w:cs="Times New Roman"/>
          <w:szCs w:val="24"/>
        </w:rPr>
      </w:pPr>
      <w:r w:rsidRPr="009A2157">
        <w:rPr>
          <w:rFonts w:cs="Times New Roman"/>
          <w:szCs w:val="24"/>
        </w:rPr>
        <w:t>4.7</w:t>
      </w:r>
      <w:r w:rsidR="00D3582B">
        <w:rPr>
          <w:rFonts w:cs="Times New Roman"/>
          <w:szCs w:val="24"/>
        </w:rPr>
        <w:t xml:space="preserve"> </w:t>
      </w:r>
      <w:r w:rsidR="00156EEA" w:rsidRPr="009A2157">
        <w:rPr>
          <w:rFonts w:cs="Times New Roman"/>
          <w:szCs w:val="24"/>
        </w:rPr>
        <w:t>Mortgage Financing (Special Provisions) Act</w:t>
      </w:r>
      <w:bookmarkEnd w:id="194"/>
      <w:r w:rsidR="00D3582B">
        <w:rPr>
          <w:rFonts w:cs="Times New Roman"/>
          <w:szCs w:val="24"/>
        </w:rPr>
        <w:fldChar w:fldCharType="begin"/>
      </w:r>
      <w:r w:rsidR="00D3582B">
        <w:instrText xml:space="preserve"> TC "</w:instrText>
      </w:r>
      <w:bookmarkStart w:id="195" w:name="_Toc213301725"/>
      <w:r w:rsidR="00D3582B" w:rsidRPr="009B4D97">
        <w:rPr>
          <w:rFonts w:cs="Times New Roman"/>
          <w:szCs w:val="24"/>
        </w:rPr>
        <w:instrText>4.7 Mortgage Financing (Special Provisions) Act</w:instrText>
      </w:r>
      <w:bookmarkEnd w:id="195"/>
      <w:r w:rsidR="00D3582B">
        <w:instrText xml:space="preserve">" \f C \l "1" </w:instrText>
      </w:r>
      <w:r w:rsidR="00D3582B">
        <w:rPr>
          <w:rFonts w:cs="Times New Roman"/>
          <w:szCs w:val="24"/>
        </w:rPr>
        <w:fldChar w:fldCharType="end"/>
      </w:r>
    </w:p>
    <w:p w:rsidR="00EB6F86" w:rsidRPr="009A2157" w:rsidRDefault="00EB6F86" w:rsidP="009A2157">
      <w:pPr>
        <w:spacing w:before="0" w:after="0"/>
      </w:pPr>
      <w:r w:rsidRPr="009A2157">
        <w:t>The enactment of the Unit Titles Act (UTA) in 2008 significantly influenced the legal framework governing property ownership and financing in Tanzania. One notable outcome was the introduction of the Mortgage Financing (Special Provisions) Act, 2008, which brought critical amendments to several key laws, including the Land Act, Civil Procedure Code, Magistrates’ Courts Act, and the Land Registration Act. These amendments were designed to harmonize the legal landscape, facilitating efficient mortgage financing and fostering growth in the real estate sector.</w:t>
      </w:r>
    </w:p>
    <w:p w:rsidR="00676277" w:rsidRDefault="00676277" w:rsidP="009A2157">
      <w:pPr>
        <w:spacing w:before="0" w:after="0"/>
      </w:pPr>
    </w:p>
    <w:p w:rsidR="00EB6F86" w:rsidRPr="009A2157" w:rsidRDefault="00EB6F86" w:rsidP="009A2157">
      <w:pPr>
        <w:spacing w:before="0" w:after="0"/>
      </w:pPr>
      <w:r w:rsidRPr="009A2157">
        <w:t>The primary objective of the Mortgage Financing (Special Provisions) Act was to create an enabling environment for the financial sector to support urban housing development, particularly through unit titles. By aligning legal provisions with the needs of property developers and buyers, the Act ensured that mortgage arrangements were secure and accessible. This was a crucial step in promoting investment in multi-unit developments, addressing the increasing demand for urban housing.</w:t>
      </w:r>
      <w:r w:rsidR="00347AEF" w:rsidRPr="009A2157">
        <w:rPr>
          <w:rStyle w:val="FootnoteReference"/>
        </w:rPr>
        <w:footnoteReference w:id="120"/>
      </w:r>
    </w:p>
    <w:p w:rsidR="00676277" w:rsidRDefault="00676277" w:rsidP="009A2157">
      <w:pPr>
        <w:spacing w:before="0" w:after="0"/>
      </w:pPr>
    </w:p>
    <w:p w:rsidR="003269DD" w:rsidRDefault="003B3A8B" w:rsidP="009A2157">
      <w:pPr>
        <w:spacing w:before="0" w:after="0"/>
      </w:pPr>
      <w:r w:rsidRPr="009A2157">
        <w:t xml:space="preserve">The introduction of the Unit Titles Act (UTA) in 2008 and its subsequent influence on the Mortgage Financing (Special Provisions) Act has a profound impact on the doctrine of a bundle of rights, particularly in relation to how property rights are structured and transferred. Traditionally, land ownership has been understood as a unified bundle of rights, where the owner holds comprehensive control over the property. However, the Unit Titles Act disrupts this traditional concept by enabling the subdivision of land into individual units within a multi-unit development, each </w:t>
      </w:r>
      <w:r w:rsidR="009C24DF" w:rsidRPr="009A2157">
        <w:t xml:space="preserve">with separate ownership </w:t>
      </w:r>
      <w:r w:rsidR="004D0534" w:rsidRPr="009A2157">
        <w:t xml:space="preserve">rights. </w:t>
      </w:r>
      <w:proofErr w:type="gramStart"/>
      <w:r w:rsidR="004D0534" w:rsidRPr="009A2157">
        <w:t>These</w:t>
      </w:r>
      <w:r w:rsidRPr="009A2157">
        <w:t xml:space="preserve"> units, while distinct in ownership, share common areas such as lobbies and elevators, creating a layered approach to property rights.</w:t>
      </w:r>
      <w:proofErr w:type="gramEnd"/>
      <w:r w:rsidRPr="009A2157">
        <w:t xml:space="preserve"> </w:t>
      </w:r>
    </w:p>
    <w:p w:rsidR="003269DD" w:rsidRDefault="003269DD" w:rsidP="009A2157">
      <w:pPr>
        <w:spacing w:before="0" w:after="0"/>
      </w:pPr>
    </w:p>
    <w:p w:rsidR="009F2A99" w:rsidRPr="009A2157" w:rsidRDefault="003B3A8B" w:rsidP="009A2157">
      <w:pPr>
        <w:spacing w:before="0" w:after="0"/>
      </w:pPr>
      <w:r w:rsidRPr="009A2157">
        <w:t>This fragmentation of ownership in the context of a single property complex diverges from the traditional bundle of rights by introducing new legal distinctions in the nature of property rights. In this regard, the Mortgage Financing (Special Provisions) Act further complicates the landscape by facilitating secure mortgage financing for these subdivided units. The Act aligns legal provisions to ensure that mortgage financing is both feasible and secure in multi-unit developments, recognizing the differentiated ownership structures created by the Unit Titles Act. This divergence from traditional property law underscores the growing complexity of property rights in urban environments, where individual units may have separate financial and legal statuses while still being part of a larger shared property framework.</w:t>
      </w:r>
    </w:p>
    <w:p w:rsidR="003269DD" w:rsidRDefault="003269DD" w:rsidP="009A2157">
      <w:pPr>
        <w:spacing w:before="0" w:after="0"/>
        <w:rPr>
          <w:b/>
          <w:bCs/>
        </w:rPr>
      </w:pPr>
    </w:p>
    <w:p w:rsidR="0048527F" w:rsidRPr="009A2157" w:rsidRDefault="00D3582B" w:rsidP="009A2157">
      <w:pPr>
        <w:spacing w:before="0" w:after="0"/>
      </w:pPr>
      <w:r>
        <w:rPr>
          <w:b/>
          <w:bCs/>
        </w:rPr>
        <w:t xml:space="preserve">4.8 </w:t>
      </w:r>
      <w:r w:rsidR="0048527F" w:rsidRPr="009A2157">
        <w:rPr>
          <w:b/>
          <w:bCs/>
        </w:rPr>
        <w:t>Land Acquisition Act of 1967</w:t>
      </w:r>
      <w:r>
        <w:rPr>
          <w:b/>
          <w:bCs/>
        </w:rPr>
        <w:fldChar w:fldCharType="begin"/>
      </w:r>
      <w:r>
        <w:instrText xml:space="preserve"> TC "</w:instrText>
      </w:r>
      <w:bookmarkStart w:id="196" w:name="_Toc213301726"/>
      <w:r w:rsidRPr="00123895">
        <w:rPr>
          <w:b/>
          <w:bCs/>
        </w:rPr>
        <w:instrText>4.8 Land Acquisition Act of 1967</w:instrText>
      </w:r>
      <w:bookmarkEnd w:id="196"/>
      <w:r>
        <w:instrText xml:space="preserve">" \f C \l "1" </w:instrText>
      </w:r>
      <w:r>
        <w:rPr>
          <w:b/>
          <w:bCs/>
        </w:rPr>
        <w:fldChar w:fldCharType="end"/>
      </w:r>
    </w:p>
    <w:p w:rsidR="0048527F" w:rsidRPr="009A2157" w:rsidRDefault="0048527F" w:rsidP="009A2157">
      <w:pPr>
        <w:spacing w:before="0" w:after="0"/>
      </w:pPr>
      <w:r w:rsidRPr="009A2157">
        <w:t>The Land Acquisition Act of 1967 was established as the principal legal framework governing the compulsory acquisition of land for public purposes in Tanzania. Its main objective is to provide an organized procedure for land acquisition, granting the government the authority to acquire land needed for national development, infrastructure, or other public projects. The Act plays a critical role in supporting the implementation of national and local development initiatives by ensuring that land is available for essential public uses, such as roads, schools, hospitals, and other infrastructural projects. Importantly, the Act seeks to balance public interest with the rights of private landowners by specifying clear procedures and guidelines for acquiring land from individuals or entities while guaranteeing compensation to those affected.</w:t>
      </w:r>
    </w:p>
    <w:p w:rsidR="003269DD" w:rsidRDefault="003269DD" w:rsidP="009A2157">
      <w:pPr>
        <w:spacing w:before="0" w:after="0"/>
      </w:pPr>
    </w:p>
    <w:p w:rsidR="0048527F" w:rsidRPr="009A2157" w:rsidRDefault="0048527F" w:rsidP="009A2157">
      <w:pPr>
        <w:spacing w:before="0" w:after="0"/>
      </w:pPr>
      <w:r w:rsidRPr="009A2157">
        <w:t>Regarding compensation, Sections 11 and 12 of the Act detail the mechanisms for reimbursing individuals or entities with a legal interest in the land. Compensation is required to be paid to rightful owners based on the land’s market value, including any improvements such as buildings, crops, or other developments. The government is mandated to ensure that affected parties are fairly compensated, and the Act includes provisions for conducting due inquiries to identify all parties with legal claims to the land.</w:t>
      </w:r>
    </w:p>
    <w:p w:rsidR="0048527F" w:rsidRPr="009A2157" w:rsidRDefault="0048527F" w:rsidP="009A2157">
      <w:pPr>
        <w:spacing w:before="0" w:after="0"/>
      </w:pPr>
      <w:r w:rsidRPr="009A2157">
        <w:t>The introduction of unit titles in Tanzania presents a new dimension in land rights, particularly in how ownership and interests in subdivided properties are recognized. Unit titles allow multiple owners to hold individual units within a single property, often accompanied by shared ownership of common areas. While the Land Acquisition Act of 1967 primarily addresses the acquisition of entire plots, the emergence of unit titles raises questions about how compensation and legal rights are applied when only a portion of a property is acquired. The Act does not provide specific guidance on the treatment of individual unit owners or their proportional interests in shared spaces, which could complicate the acquisition process and potentially impact the equitable distribution of compensation. This highlights the need to reassess existing legal frameworks in light of evolving property ownership structures under unit titles.</w:t>
      </w:r>
    </w:p>
    <w:p w:rsidR="003269DD" w:rsidRDefault="003269DD" w:rsidP="009A2157">
      <w:pPr>
        <w:spacing w:before="0" w:after="0"/>
        <w:rPr>
          <w:b/>
          <w:bCs/>
        </w:rPr>
      </w:pPr>
    </w:p>
    <w:p w:rsidR="0048527F" w:rsidRPr="009A2157" w:rsidRDefault="0048527F" w:rsidP="009A2157">
      <w:pPr>
        <w:spacing w:before="0" w:after="0"/>
      </w:pPr>
      <w:r w:rsidRPr="009A2157">
        <w:rPr>
          <w:b/>
          <w:bCs/>
        </w:rPr>
        <w:t>4.9</w:t>
      </w:r>
      <w:r w:rsidR="00D3582B">
        <w:rPr>
          <w:b/>
          <w:bCs/>
        </w:rPr>
        <w:t xml:space="preserve"> </w:t>
      </w:r>
      <w:r w:rsidRPr="009A2157">
        <w:rPr>
          <w:b/>
          <w:bCs/>
        </w:rPr>
        <w:t>Registration of Documents Act, Cap 117</w:t>
      </w:r>
      <w:r w:rsidR="00D3582B">
        <w:rPr>
          <w:b/>
          <w:bCs/>
        </w:rPr>
        <w:fldChar w:fldCharType="begin"/>
      </w:r>
      <w:r w:rsidR="00D3582B">
        <w:instrText xml:space="preserve"> TC "</w:instrText>
      </w:r>
      <w:bookmarkStart w:id="197" w:name="_Toc213301727"/>
      <w:r w:rsidR="00D3582B" w:rsidRPr="00410FC8">
        <w:rPr>
          <w:b/>
          <w:bCs/>
        </w:rPr>
        <w:instrText>4.9 Registration of Documents Act, Cap 117</w:instrText>
      </w:r>
      <w:bookmarkEnd w:id="197"/>
      <w:r w:rsidR="00D3582B">
        <w:instrText xml:space="preserve">" \f C \l "1" </w:instrText>
      </w:r>
      <w:r w:rsidR="00D3582B">
        <w:rPr>
          <w:b/>
          <w:bCs/>
        </w:rPr>
        <w:fldChar w:fldCharType="end"/>
      </w:r>
    </w:p>
    <w:p w:rsidR="0048527F" w:rsidRPr="009A2157" w:rsidRDefault="0048527F" w:rsidP="009A2157">
      <w:pPr>
        <w:spacing w:before="0" w:after="0"/>
      </w:pPr>
      <w:r w:rsidRPr="009A2157">
        <w:t>The Registration of Documents Act, Cap 117, provides the legal framework for the recording and formal registration of documents related to land and property in Tanzania. The Act establishes procedures for registering various types of legal instruments, including deeds, mortgages, leases, transfers, and other documents that affect land ownership and interests. The primary objective of the Act is to ensure the authenticity, legality, and public availability of documents, thereby protecting the rights of landowners and facilitating secure land transactions. By mandating the registration of documents, the Act helps prevent fraudulent claims, establishes priority of interests, and creates a reliable public record of legal ownership and encumbrances on land.</w:t>
      </w:r>
    </w:p>
    <w:p w:rsidR="0048527F" w:rsidRPr="009A2157" w:rsidRDefault="0048527F" w:rsidP="009A2157">
      <w:pPr>
        <w:spacing w:before="0" w:after="0"/>
      </w:pPr>
      <w:r w:rsidRPr="009A2157">
        <w:t xml:space="preserve">Under the Act, any transaction or transfer affecting land must be properly documented and registered with the relevant land registry to be legally enforceable against third parties. Registration not only provides legal recognition of ownership but also ensures that rights and interests in land are transparent and can be easily verified by potential buyers, lenders, or other stakeholders. Failure to register documents can result in legal disputes, including challenges to ownership or claims by subsequent purchasers who rely on registered </w:t>
      </w:r>
      <w:r w:rsidR="003E77EE" w:rsidRPr="009A2157">
        <w:t>records. The</w:t>
      </w:r>
      <w:r w:rsidRPr="009A2157">
        <w:t xml:space="preserve"> relevance of the Registration of Documents Act to unit titles lies in its role in formalizing the legal recognition of individual units within a subdivided property. Unit title ownership involves multiple stakeholders holding distinct interests in individual units while sharing ownership of common areas. </w:t>
      </w:r>
    </w:p>
    <w:p w:rsidR="003269DD" w:rsidRDefault="003269DD" w:rsidP="009A2157">
      <w:pPr>
        <w:pStyle w:val="Heading2"/>
        <w:spacing w:before="0" w:after="0"/>
        <w:rPr>
          <w:rFonts w:cs="Times New Roman"/>
          <w:szCs w:val="24"/>
        </w:rPr>
      </w:pPr>
      <w:bookmarkStart w:id="198" w:name="_Toc194845439"/>
    </w:p>
    <w:p w:rsidR="00E17A1E" w:rsidRPr="009A2157" w:rsidRDefault="009F2A99" w:rsidP="009A2157">
      <w:pPr>
        <w:pStyle w:val="Heading2"/>
        <w:spacing w:before="0" w:after="0"/>
        <w:rPr>
          <w:rFonts w:cs="Times New Roman"/>
          <w:szCs w:val="24"/>
        </w:rPr>
      </w:pPr>
      <w:r w:rsidRPr="009A2157">
        <w:rPr>
          <w:rFonts w:cs="Times New Roman"/>
          <w:szCs w:val="24"/>
        </w:rPr>
        <w:t>4.</w:t>
      </w:r>
      <w:r w:rsidR="0048527F" w:rsidRPr="009A2157">
        <w:rPr>
          <w:rFonts w:cs="Times New Roman"/>
          <w:szCs w:val="24"/>
        </w:rPr>
        <w:t>10</w:t>
      </w:r>
      <w:r w:rsidR="00D3582B">
        <w:rPr>
          <w:rFonts w:cs="Times New Roman"/>
          <w:szCs w:val="24"/>
        </w:rPr>
        <w:t xml:space="preserve"> </w:t>
      </w:r>
      <w:r w:rsidR="00E17A1E" w:rsidRPr="009A2157">
        <w:rPr>
          <w:rFonts w:cs="Times New Roman"/>
          <w:szCs w:val="24"/>
        </w:rPr>
        <w:t>Legal Challenges</w:t>
      </w:r>
      <w:bookmarkEnd w:id="198"/>
      <w:r w:rsidR="00D3582B">
        <w:rPr>
          <w:rFonts w:cs="Times New Roman"/>
          <w:szCs w:val="24"/>
        </w:rPr>
        <w:fldChar w:fldCharType="begin"/>
      </w:r>
      <w:r w:rsidR="00D3582B">
        <w:instrText xml:space="preserve"> TC "</w:instrText>
      </w:r>
      <w:bookmarkStart w:id="199" w:name="_Toc213301728"/>
      <w:r w:rsidR="00D3582B" w:rsidRPr="00D67925">
        <w:rPr>
          <w:rFonts w:cs="Times New Roman"/>
          <w:szCs w:val="24"/>
        </w:rPr>
        <w:instrText>4.10 Legal Challenges</w:instrText>
      </w:r>
      <w:bookmarkEnd w:id="199"/>
      <w:r w:rsidR="00D3582B">
        <w:instrText xml:space="preserve">" \f C \l "1" </w:instrText>
      </w:r>
      <w:r w:rsidR="00D3582B">
        <w:rPr>
          <w:rFonts w:cs="Times New Roman"/>
          <w:szCs w:val="24"/>
        </w:rPr>
        <w:fldChar w:fldCharType="end"/>
      </w:r>
    </w:p>
    <w:p w:rsidR="00E17A1E" w:rsidRPr="009A2157" w:rsidRDefault="009F2A99" w:rsidP="00D3582B">
      <w:pPr>
        <w:pStyle w:val="Heading3"/>
        <w:spacing w:before="0" w:after="0"/>
        <w:jc w:val="both"/>
        <w:rPr>
          <w:rFonts w:cs="Times New Roman"/>
        </w:rPr>
      </w:pPr>
      <w:bookmarkStart w:id="200" w:name="_Toc194845440"/>
      <w:r w:rsidRPr="009A2157">
        <w:rPr>
          <w:rFonts w:cs="Times New Roman"/>
        </w:rPr>
        <w:t>4.</w:t>
      </w:r>
      <w:r w:rsidR="0048527F" w:rsidRPr="009A2157">
        <w:rPr>
          <w:rFonts w:cs="Times New Roman"/>
        </w:rPr>
        <w:t>10</w:t>
      </w:r>
      <w:r w:rsidRPr="009A2157">
        <w:rPr>
          <w:rFonts w:cs="Times New Roman"/>
        </w:rPr>
        <w:t>.1</w:t>
      </w:r>
      <w:r w:rsidR="00D3582B">
        <w:rPr>
          <w:rFonts w:cs="Times New Roman"/>
        </w:rPr>
        <w:t xml:space="preserve"> </w:t>
      </w:r>
      <w:r w:rsidR="00E17A1E" w:rsidRPr="009A2157">
        <w:rPr>
          <w:rFonts w:cs="Times New Roman"/>
        </w:rPr>
        <w:t>Ambiguity in Co-Ownership Rights and Obligations</w:t>
      </w:r>
      <w:bookmarkEnd w:id="200"/>
      <w:r w:rsidR="00D3582B">
        <w:rPr>
          <w:rFonts w:cs="Times New Roman"/>
        </w:rPr>
        <w:fldChar w:fldCharType="begin"/>
      </w:r>
      <w:r w:rsidR="00D3582B">
        <w:instrText xml:space="preserve"> TC "</w:instrText>
      </w:r>
      <w:bookmarkStart w:id="201" w:name="_Toc213301729"/>
      <w:r w:rsidR="00D3582B" w:rsidRPr="003525D6">
        <w:rPr>
          <w:rFonts w:cs="Times New Roman"/>
        </w:rPr>
        <w:instrText>4.10.1 Ambiguity in Co-Ownership Rights and Obligations</w:instrText>
      </w:r>
      <w:bookmarkEnd w:id="201"/>
      <w:r w:rsidR="00D3582B">
        <w:instrText xml:space="preserve">" \f C \l "1" </w:instrText>
      </w:r>
      <w:r w:rsidR="00D3582B">
        <w:rPr>
          <w:rFonts w:cs="Times New Roman"/>
        </w:rPr>
        <w:fldChar w:fldCharType="end"/>
      </w:r>
    </w:p>
    <w:p w:rsidR="00E17A1E" w:rsidRPr="009A2157" w:rsidRDefault="00E17A1E" w:rsidP="009A2157">
      <w:pPr>
        <w:spacing w:before="0" w:after="0"/>
      </w:pPr>
      <w:r w:rsidRPr="009A2157">
        <w:t>The Unit Titles Act (UTA) of 2008 grants co-</w:t>
      </w:r>
      <w:r w:rsidR="0048527F" w:rsidRPr="009A2157">
        <w:t>owners’</w:t>
      </w:r>
      <w:r w:rsidRPr="009A2157">
        <w:t xml:space="preserve"> significant rights over their individual units, as highlighted in Section 28(1), which classifies each unit as a distinct object of real property. This section allows unit owners to transfer, lease, or otherwise dispose of their units without requiring consent from other co-owners. While this provision promotes individual ownership autonomy, it introduces ambiguity in its practical application, particularly regarding the collective responsibilities that inherently accompany co-ownership arrangements. The lack of explicit guidelines on reconciling individual rights with communal obligations has been a source of contention, often resulting in disputes among co-owners.</w:t>
      </w:r>
    </w:p>
    <w:p w:rsidR="00E17A1E" w:rsidRPr="009A2157" w:rsidRDefault="00E17A1E" w:rsidP="009A2157">
      <w:pPr>
        <w:spacing w:before="0" w:after="0"/>
      </w:pPr>
      <w:r w:rsidRPr="009A2157">
        <w:t>A significant challenge arises from Section 38(2), which mandates co-owners to designate an agent to represent them for the purposes of the Act. While this provision establishes a mechanism for collective representation, it does not clarify how the collective financial responsibilities, such as maintenance costs, should be shared or enforced. This gap often leads to non-compliance, where some co-owners neglect their financial obligations, leaving others to bear an unequal burden. For example, disputes frequently occur when essential maintenance of shared areas is delayed or halted due to the failure of certain co-owners to contribute their fair share, undermining the overall management of the property.</w:t>
      </w:r>
    </w:p>
    <w:p w:rsidR="003269DD" w:rsidRDefault="003269DD" w:rsidP="009A2157">
      <w:pPr>
        <w:spacing w:before="0" w:after="0"/>
      </w:pPr>
    </w:p>
    <w:p w:rsidR="00513D80" w:rsidRPr="009A2157" w:rsidRDefault="00E17A1E" w:rsidP="009A2157">
      <w:pPr>
        <w:spacing w:before="0" w:after="0"/>
      </w:pPr>
      <w:r w:rsidRPr="009A2157">
        <w:t>The ambiguity is further compounded by By-Law 54 of the Unit Titles Regulations (UTR), which imposes specific financial obligations on co-owners for the upkeep of shared property areas. While the by-law aims to ensure consistent maintenance of common spaces, its enforcement remains inconsistent due to the lack of detailed procedural mechanisms. Co-owners often challenge these obligations, citing unclear guidelines on how such costs are calculated or distributed. This creates tension between co-owners who comply with the financial requirements and those who dispute or neglect them, thereby impacting the sustainability of the property management system.</w:t>
      </w:r>
      <w:r w:rsidR="003269DD">
        <w:t xml:space="preserve"> </w:t>
      </w:r>
      <w:r w:rsidRPr="009A2157">
        <w:t>Moreover, the interplay between individual rights and collective responsibilities remains inadequately addressed, creating significant governance challenges for unit title developments.</w:t>
      </w:r>
      <w:r w:rsidR="00347AEF" w:rsidRPr="009A2157">
        <w:rPr>
          <w:rStyle w:val="FootnoteReference"/>
        </w:rPr>
        <w:footnoteReference w:id="121"/>
      </w:r>
      <w:r w:rsidRPr="009A2157">
        <w:t xml:space="preserve"> Without clear legal provisions to align individual autonomy with collective duties, the enforcement of financial obligations often leads to strained relationships among co-owners and hampers the effective governance of unit title properties. This situation underscores the need for comprehensive legal reforms to clarify the rights and obligations of co-owners, ensuring both individual ownership rights and collective property responsibilities are balanced to promote harmony and effective management.</w:t>
      </w:r>
    </w:p>
    <w:p w:rsidR="003269DD" w:rsidRDefault="003269DD" w:rsidP="00D3582B">
      <w:pPr>
        <w:pStyle w:val="Heading3"/>
        <w:spacing w:before="0" w:after="0"/>
        <w:jc w:val="both"/>
        <w:rPr>
          <w:rFonts w:cs="Times New Roman"/>
        </w:rPr>
      </w:pPr>
      <w:bookmarkStart w:id="202" w:name="_Toc194845441"/>
    </w:p>
    <w:p w:rsidR="00B221C2" w:rsidRPr="009A2157" w:rsidRDefault="009F2A99" w:rsidP="00D3582B">
      <w:pPr>
        <w:pStyle w:val="Heading3"/>
        <w:spacing w:before="0" w:after="0"/>
        <w:jc w:val="both"/>
        <w:rPr>
          <w:rFonts w:cs="Times New Roman"/>
        </w:rPr>
      </w:pPr>
      <w:r w:rsidRPr="009A2157">
        <w:rPr>
          <w:rFonts w:cs="Times New Roman"/>
        </w:rPr>
        <w:t>4.</w:t>
      </w:r>
      <w:r w:rsidR="0048527F" w:rsidRPr="009A2157">
        <w:rPr>
          <w:rFonts w:cs="Times New Roman"/>
        </w:rPr>
        <w:t>10</w:t>
      </w:r>
      <w:r w:rsidRPr="009A2157">
        <w:rPr>
          <w:rFonts w:cs="Times New Roman"/>
        </w:rPr>
        <w:t>.2</w:t>
      </w:r>
      <w:r w:rsidR="00D3582B">
        <w:rPr>
          <w:rFonts w:cs="Times New Roman"/>
        </w:rPr>
        <w:t xml:space="preserve"> </w:t>
      </w:r>
      <w:r w:rsidR="00B221C2" w:rsidRPr="009A2157">
        <w:rPr>
          <w:rFonts w:cs="Times New Roman"/>
        </w:rPr>
        <w:t>Governance Structure and Decision-Making Conflicts</w:t>
      </w:r>
      <w:bookmarkEnd w:id="202"/>
      <w:r w:rsidR="00D3582B">
        <w:rPr>
          <w:rFonts w:cs="Times New Roman"/>
        </w:rPr>
        <w:fldChar w:fldCharType="begin"/>
      </w:r>
      <w:r w:rsidR="00D3582B">
        <w:instrText xml:space="preserve"> TC "</w:instrText>
      </w:r>
      <w:bookmarkStart w:id="203" w:name="_Toc213301730"/>
      <w:r w:rsidR="00D3582B" w:rsidRPr="000344FB">
        <w:rPr>
          <w:rFonts w:cs="Times New Roman"/>
        </w:rPr>
        <w:instrText>4.10.2 Governance Structure and Decision-Making Conflicts</w:instrText>
      </w:r>
      <w:bookmarkEnd w:id="203"/>
      <w:r w:rsidR="00D3582B">
        <w:instrText xml:space="preserve">" \f C \l "1" </w:instrText>
      </w:r>
      <w:r w:rsidR="00D3582B">
        <w:rPr>
          <w:rFonts w:cs="Times New Roman"/>
        </w:rPr>
        <w:fldChar w:fldCharType="end"/>
      </w:r>
    </w:p>
    <w:p w:rsidR="00B221C2" w:rsidRPr="009A2157" w:rsidRDefault="00B221C2" w:rsidP="009A2157">
      <w:pPr>
        <w:spacing w:before="0" w:after="0"/>
      </w:pPr>
      <w:r w:rsidRPr="009A2157">
        <w:t>The governance structures under the Unit Titles Act (UTA) of 2008, particularly Section 19, designate the body corporate as the central entity for managing common property and enforcing by-laws. These by-laws address critical aspects such as the enjoyment, use, and upkeep of private and common areas, as well as procedures for resolving disputes and collecting contributions for common expenses. Despite the clarity of this mandate, conflicts often arise during collective decision-making processes, especially when decisions by the body corporate appear to infringe on the individual rights of co-owners, such as the right to quiet enjoyment guaranteed under Section 20(1</w:t>
      </w:r>
      <w:proofErr w:type="gramStart"/>
      <w:r w:rsidRPr="009A2157">
        <w:t>)(</w:t>
      </w:r>
      <w:proofErr w:type="gramEnd"/>
      <w:r w:rsidRPr="009A2157">
        <w:t>e).</w:t>
      </w:r>
    </w:p>
    <w:p w:rsidR="003269DD" w:rsidRDefault="003269DD" w:rsidP="009A2157">
      <w:pPr>
        <w:spacing w:before="0" w:after="0"/>
      </w:pPr>
    </w:p>
    <w:p w:rsidR="00B221C2" w:rsidRPr="009A2157" w:rsidRDefault="00B221C2" w:rsidP="009A2157">
      <w:pPr>
        <w:spacing w:before="0" w:after="0"/>
      </w:pPr>
      <w:r w:rsidRPr="009A2157">
        <w:t>Section 19(2) emphasizes the necessity of clear procedures for assessing and collecting contributions to common expenses. However, disputes frequently occur when some co-owners perceive the decisions or assessments made by the body corporate as unfair or improperly enforced. For example, disagreements often arise when financial contributions are unequally distributed, or when co-owners are dissatisfied with the allocation of funds for maintenance or development projects. These governance challenges not only create friction among co-owners but also weaken the overall effectiveness of the body corporate in managing the property.</w:t>
      </w:r>
      <w:r w:rsidR="00347AEF" w:rsidRPr="009A2157">
        <w:rPr>
          <w:rStyle w:val="FootnoteReference"/>
        </w:rPr>
        <w:footnoteReference w:id="122"/>
      </w:r>
    </w:p>
    <w:p w:rsidR="00B221C2" w:rsidRDefault="00B221C2" w:rsidP="009A2157">
      <w:pPr>
        <w:spacing w:before="0" w:after="0"/>
      </w:pPr>
      <w:r w:rsidRPr="009A2157">
        <w:t>The right to quiet enjoyment, protected under Section 20(1</w:t>
      </w:r>
      <w:proofErr w:type="gramStart"/>
      <w:r w:rsidRPr="009A2157">
        <w:t>)(</w:t>
      </w:r>
      <w:proofErr w:type="gramEnd"/>
      <w:r w:rsidRPr="009A2157">
        <w:t>e), is another area where conflicts emerge. Co-owners often invoke this right when decisions made by the body corporate</w:t>
      </w:r>
      <w:r w:rsidR="003269DD">
        <w:t xml:space="preserve"> </w:t>
      </w:r>
      <w:r w:rsidRPr="009A2157">
        <w:t>such as those permitting construction or noisy activities in common areas</w:t>
      </w:r>
      <w:r w:rsidR="003269DD">
        <w:t xml:space="preserve"> </w:t>
      </w:r>
      <w:r w:rsidRPr="009A2157">
        <w:t>interfere with their peaceful enjoyment of their units. These conflicts highlight the tension between the collective authority of the body corporate and the individual rights of co-owners. The UTA lacks detailed provisions to mediate such conflicts effectively, leaving room for disputes that can escalate into legal challenges.</w:t>
      </w:r>
    </w:p>
    <w:p w:rsidR="003269DD" w:rsidRPr="009A2157" w:rsidRDefault="003269DD" w:rsidP="009A2157">
      <w:pPr>
        <w:spacing w:before="0" w:after="0"/>
      </w:pPr>
    </w:p>
    <w:p w:rsidR="00B221C2" w:rsidRPr="009A2157" w:rsidRDefault="00B221C2" w:rsidP="009A2157">
      <w:pPr>
        <w:spacing w:before="0" w:after="0"/>
      </w:pPr>
      <w:r w:rsidRPr="009A2157">
        <w:t xml:space="preserve">Moreover, the enforcement of by-laws under Section 19(1) is often inconsistent, further exacerbating decision-making conflicts. Some co-owners may disregard the by-laws, leading to uneven application and undermining the legitimacy of the body </w:t>
      </w:r>
      <w:r w:rsidR="00F65162" w:rsidRPr="009A2157">
        <w:t>corporate</w:t>
      </w:r>
      <w:r w:rsidRPr="009A2157">
        <w:t xml:space="preserve"> authority. This inconsistency not only fosters dissatisfaction but also diminishes trust among co-owners and in the governance system itself. These recurring conflicts underscore the urgent need for legislative reforms to enhance the clarity, fairness, and enforceability of governance procedures, ensuring that the body corporate can effectively balance collective decision-making with the protection of individual rights.</w:t>
      </w:r>
    </w:p>
    <w:p w:rsidR="00FA7F10" w:rsidRPr="009A2157" w:rsidRDefault="009F2A99" w:rsidP="00D3582B">
      <w:pPr>
        <w:pStyle w:val="Heading3"/>
        <w:spacing w:before="0" w:after="0"/>
        <w:jc w:val="both"/>
        <w:rPr>
          <w:rFonts w:cs="Times New Roman"/>
        </w:rPr>
      </w:pPr>
      <w:bookmarkStart w:id="204" w:name="_Toc194845442"/>
      <w:r w:rsidRPr="009A2157">
        <w:rPr>
          <w:rFonts w:cs="Times New Roman"/>
        </w:rPr>
        <w:t>4.</w:t>
      </w:r>
      <w:r w:rsidR="0048527F" w:rsidRPr="009A2157">
        <w:rPr>
          <w:rFonts w:cs="Times New Roman"/>
        </w:rPr>
        <w:t>10</w:t>
      </w:r>
      <w:r w:rsidR="00D3582B">
        <w:rPr>
          <w:rFonts w:cs="Times New Roman"/>
        </w:rPr>
        <w:t xml:space="preserve">.3 </w:t>
      </w:r>
      <w:r w:rsidR="00FA7F10" w:rsidRPr="009A2157">
        <w:rPr>
          <w:rFonts w:cs="Times New Roman"/>
        </w:rPr>
        <w:t>Challenges in Regulating Incidental Rights</w:t>
      </w:r>
      <w:bookmarkEnd w:id="204"/>
      <w:r w:rsidR="00D3582B">
        <w:rPr>
          <w:rFonts w:cs="Times New Roman"/>
        </w:rPr>
        <w:fldChar w:fldCharType="begin"/>
      </w:r>
      <w:r w:rsidR="00D3582B">
        <w:instrText xml:space="preserve"> TC "</w:instrText>
      </w:r>
      <w:bookmarkStart w:id="205" w:name="_Toc213301731"/>
      <w:r w:rsidR="00D3582B" w:rsidRPr="003833BE">
        <w:rPr>
          <w:rFonts w:cs="Times New Roman"/>
        </w:rPr>
        <w:instrText>4.10.3 Challenges in Regulating Incidental Rights</w:instrText>
      </w:r>
      <w:bookmarkEnd w:id="205"/>
      <w:r w:rsidR="00D3582B">
        <w:instrText xml:space="preserve">" \f C \l "1" </w:instrText>
      </w:r>
      <w:r w:rsidR="00D3582B">
        <w:rPr>
          <w:rFonts w:cs="Times New Roman"/>
        </w:rPr>
        <w:fldChar w:fldCharType="end"/>
      </w:r>
    </w:p>
    <w:p w:rsidR="00FA7F10" w:rsidRDefault="00FA7F10" w:rsidP="009A2157">
      <w:pPr>
        <w:spacing w:before="0" w:after="0"/>
      </w:pPr>
      <w:r w:rsidRPr="009A2157">
        <w:t>The regulation of incidental rights, including easements and restrictive covenants, as outlined in Sections 21(3), 25, and 26 of the Unit Titles Act (UTA), poses significant challenges in practical implementation. These provisions are intended to ensure the effective use of shared resources and promote harmony within unit title developments. However, their application, especially in densely populated urban areas, is hindered by ambiguities and practical limitations.</w:t>
      </w:r>
    </w:p>
    <w:p w:rsidR="004504BF" w:rsidRPr="009A2157" w:rsidRDefault="004504BF" w:rsidP="009A2157">
      <w:pPr>
        <w:spacing w:before="0" w:after="0"/>
      </w:pPr>
    </w:p>
    <w:p w:rsidR="00FA7F10" w:rsidRDefault="00FA7F10" w:rsidP="009A2157">
      <w:pPr>
        <w:spacing w:before="0" w:after="0"/>
      </w:pPr>
      <w:r w:rsidRPr="009A2157">
        <w:t>Section 21(3) establishes that each unit owner and the common property have appurtenant rights necessary to access essential services, effectively granting them the status of easements. While this legal framework theoretically ensures access to water, electricity, and sewage systems, its practical enforcement is problematic. In high-density urban developments, competition for these services often leads to disputes, as infrastructure may be insufficient to meet the needs of all co-owners. The lack of clear guidelines on prioritization or equitable allocation of resources exacerbates tensions among co-owners, undermining the intended benefits of these incidental rights.</w:t>
      </w:r>
    </w:p>
    <w:p w:rsidR="004504BF" w:rsidRPr="009A2157" w:rsidRDefault="004504BF" w:rsidP="009A2157">
      <w:pPr>
        <w:spacing w:before="0" w:after="0"/>
      </w:pPr>
    </w:p>
    <w:p w:rsidR="00FA7F10" w:rsidRDefault="00FA7F10" w:rsidP="009A2157">
      <w:pPr>
        <w:spacing w:before="0" w:after="0"/>
      </w:pPr>
      <w:r w:rsidRPr="009A2157">
        <w:t>Sections 25 and 26 address the ability of an association to grant or accept easements and restrictive covenants through special resolutions. These provisions are aimed at enabling collective decisions for the benefit of all co-owners. However, the requirement for unanimous or near-unanimous consent, as stipulated in Section 26(2), often delays decision-making and hampers the association's ability to respond promptly to emerging issues. In cases where consent is withheld or disputed, the process of executing and registering such grants becomes protracted, leaving critical issues unresolved for extended periods.</w:t>
      </w:r>
    </w:p>
    <w:p w:rsidR="004504BF" w:rsidRPr="009A2157" w:rsidRDefault="004504BF" w:rsidP="009A2157">
      <w:pPr>
        <w:spacing w:before="0" w:after="0"/>
      </w:pPr>
    </w:p>
    <w:p w:rsidR="00FA7F10" w:rsidRDefault="00FA7F10" w:rsidP="009A2157">
      <w:pPr>
        <w:spacing w:before="0" w:after="0"/>
      </w:pPr>
      <w:r w:rsidRPr="009A2157">
        <w:t>Restrictive covenants under these sections are intended to maintain harmony within unit title developments by regulating property use. However, they frequently create tensions between the association's collective governance and individual autonomy. For instance, restrictive covenants that limit structural modifications or the use of certain facilities may be perceived by individual unit owners as an infringement on their property rights. These conflicts highlight a gap in balancing collective interests with personal freedoms, a challenge that the UTA does not adequately address.</w:t>
      </w:r>
    </w:p>
    <w:p w:rsidR="004504BF" w:rsidRPr="009A2157" w:rsidRDefault="004504BF" w:rsidP="009A2157">
      <w:pPr>
        <w:spacing w:before="0" w:after="0"/>
      </w:pPr>
    </w:p>
    <w:p w:rsidR="00FA7F10" w:rsidRDefault="00FA7F10" w:rsidP="009A2157">
      <w:pPr>
        <w:spacing w:before="0" w:after="0"/>
      </w:pPr>
      <w:r w:rsidRPr="009A2157">
        <w:t>Moreover, the procedural requirements for registering easements and covenants, as outlined in Section 26(4), add another layer of complexity. The need for resolutions, written consents, and proper documentation, while ensuring transparency, also increases the administrative burden on associations. In many cases, associations lack the capacity or expertise to navigate these requirements efficiently, resulting in delays and non-compliance. Addressing these challenges calls for reforms to streamline processes, clarify responsibilities, and enhance the balance between individual and collective rights within unit title developments.</w:t>
      </w:r>
    </w:p>
    <w:p w:rsidR="004504BF" w:rsidRPr="009A2157" w:rsidRDefault="004504BF" w:rsidP="009A2157">
      <w:pPr>
        <w:spacing w:before="0" w:after="0"/>
      </w:pPr>
    </w:p>
    <w:p w:rsidR="0019207A" w:rsidRPr="009A2157" w:rsidRDefault="009F2A99" w:rsidP="00D3582B">
      <w:pPr>
        <w:pStyle w:val="Heading3"/>
        <w:spacing w:before="0" w:after="0"/>
        <w:jc w:val="both"/>
        <w:rPr>
          <w:rFonts w:cs="Times New Roman"/>
        </w:rPr>
      </w:pPr>
      <w:bookmarkStart w:id="206" w:name="_Toc194845443"/>
      <w:r w:rsidRPr="009A2157">
        <w:rPr>
          <w:rFonts w:cs="Times New Roman"/>
        </w:rPr>
        <w:t>4.</w:t>
      </w:r>
      <w:r w:rsidR="0048527F" w:rsidRPr="009A2157">
        <w:rPr>
          <w:rFonts w:cs="Times New Roman"/>
        </w:rPr>
        <w:t>10</w:t>
      </w:r>
      <w:r w:rsidRPr="009A2157">
        <w:rPr>
          <w:rFonts w:cs="Times New Roman"/>
        </w:rPr>
        <w:t>.4</w:t>
      </w:r>
      <w:r w:rsidR="00D3582B">
        <w:rPr>
          <w:rFonts w:cs="Times New Roman"/>
        </w:rPr>
        <w:t xml:space="preserve"> </w:t>
      </w:r>
      <w:r w:rsidR="0019207A" w:rsidRPr="009A2157">
        <w:rPr>
          <w:rFonts w:cs="Times New Roman"/>
        </w:rPr>
        <w:t>Ineffective Dispute Resolution Mechanisms</w:t>
      </w:r>
      <w:bookmarkEnd w:id="206"/>
      <w:r w:rsidR="00D3582B">
        <w:rPr>
          <w:rFonts w:cs="Times New Roman"/>
        </w:rPr>
        <w:fldChar w:fldCharType="begin"/>
      </w:r>
      <w:r w:rsidR="00D3582B">
        <w:instrText xml:space="preserve"> TC "</w:instrText>
      </w:r>
      <w:bookmarkStart w:id="207" w:name="_Toc213301732"/>
      <w:r w:rsidR="00D3582B" w:rsidRPr="0019333D">
        <w:rPr>
          <w:rFonts w:cs="Times New Roman"/>
        </w:rPr>
        <w:instrText>4.10.4 Ineffective Dispute Resolution Mechanisms</w:instrText>
      </w:r>
      <w:bookmarkEnd w:id="207"/>
      <w:r w:rsidR="00D3582B">
        <w:instrText xml:space="preserve">" \f C \l "1" </w:instrText>
      </w:r>
      <w:r w:rsidR="00D3582B">
        <w:rPr>
          <w:rFonts w:cs="Times New Roman"/>
        </w:rPr>
        <w:fldChar w:fldCharType="end"/>
      </w:r>
    </w:p>
    <w:p w:rsidR="0019207A" w:rsidRDefault="0019207A" w:rsidP="009A2157">
      <w:pPr>
        <w:spacing w:before="0" w:after="0"/>
      </w:pPr>
      <w:r w:rsidRPr="009A2157">
        <w:t>The dispute resolution mechanisms outlined in Section 47 of the Unit Titles Act (UTA) aim to address conflicts among co-owners and between co-owners and the body corporate. However, these mechanisms are often criticized for their lack of efficiency and specificity, leading to challenges in resolving disputes effectively and equitably within unit title developments.</w:t>
      </w:r>
    </w:p>
    <w:p w:rsidR="004504BF" w:rsidRPr="009A2157" w:rsidRDefault="004504BF" w:rsidP="009A2157">
      <w:pPr>
        <w:spacing w:before="0" w:after="0"/>
      </w:pPr>
    </w:p>
    <w:p w:rsidR="0019207A" w:rsidRDefault="0019207A" w:rsidP="009A2157">
      <w:pPr>
        <w:spacing w:before="0" w:after="0"/>
      </w:pPr>
      <w:r w:rsidRPr="009A2157">
        <w:t>Section 47(1) provides for the establishment of a management committee within each association, responsible for overseeing the administration of the property and handling disputes. While this structure is intended to decentralize governance and provide a localized resolution framework, it often fails to deliver timely and satisfactory outcomes. The lack of detailed procedures within the UTA for managing conflicts, especially complex financial or operational disputes, leaves committee members ill-equipped to address disputes comprehensively.</w:t>
      </w:r>
    </w:p>
    <w:p w:rsidR="004504BF" w:rsidRPr="009A2157" w:rsidRDefault="004504BF" w:rsidP="009A2157">
      <w:pPr>
        <w:spacing w:before="0" w:after="0"/>
      </w:pPr>
    </w:p>
    <w:p w:rsidR="0019207A" w:rsidRDefault="0019207A" w:rsidP="009A2157">
      <w:pPr>
        <w:spacing w:before="0" w:after="0"/>
      </w:pPr>
      <w:r w:rsidRPr="009A2157">
        <w:t>Additionally, the procedural requirements in Section 47(2), which mandate the filing of changes in committee membership with the Land Registry, create administrative burdens that may divert attention from substantive dispute resolution tasks. The focus on compliance with bureaucratic formalities often delays action on pressing issues, leaving disputes unresolved for extended periods. This inefficiency undermines the confidence of co-owners in the committee’s ability to manage conflicts effectively.</w:t>
      </w:r>
    </w:p>
    <w:p w:rsidR="004504BF" w:rsidRPr="009A2157" w:rsidRDefault="004504BF" w:rsidP="009A2157">
      <w:pPr>
        <w:spacing w:before="0" w:after="0"/>
      </w:pPr>
    </w:p>
    <w:p w:rsidR="0019207A" w:rsidRDefault="0019207A" w:rsidP="009A2157">
      <w:pPr>
        <w:spacing w:before="0" w:after="0"/>
      </w:pPr>
      <w:r w:rsidRPr="009A2157">
        <w:t>Another significant limitation is the reliance on the "good faith" clause in Section 47(3), which validates all acts performed by the committee, even when procedural defects exist in the election or appointment of members. While this provision is designed to protect decisions made in the best interest of the association, it can lead to disputes over the legitimacy of the committee and its decisions. In situations where members question the integrity or competence of the committee, the lack of detailed guidelines for challenging or rectifying such issues exacerbates tensions and prolongs disputes.</w:t>
      </w:r>
    </w:p>
    <w:p w:rsidR="004504BF" w:rsidRPr="004504BF" w:rsidRDefault="004504BF" w:rsidP="009A2157">
      <w:pPr>
        <w:spacing w:before="0" w:after="0"/>
        <w:rPr>
          <w:sz w:val="18"/>
        </w:rPr>
      </w:pPr>
    </w:p>
    <w:p w:rsidR="0019207A" w:rsidRDefault="0019207A" w:rsidP="009A2157">
      <w:pPr>
        <w:spacing w:before="0" w:after="0"/>
      </w:pPr>
      <w:r w:rsidRPr="009A2157">
        <w:t>Furthermore, the absence of alternative dispute resolution (ADR) mechanisms within the UTA framework limits the options available to co-owners for resolving conflicts efficiently. Formal litigation, often the default option in the absence of effective internal mechanisms, is time-consuming and costly, deterring co-owners from pursuing their grievances. This gap highlights the need for the UTA to incorporate ADR methods, such as mediation or arbitration, to provide faster and more cost-effective avenues for dispute resolution while reducing the burden on management committees and the judiciary.</w:t>
      </w:r>
    </w:p>
    <w:p w:rsidR="004504BF" w:rsidRPr="004504BF" w:rsidRDefault="004504BF" w:rsidP="009A2157">
      <w:pPr>
        <w:spacing w:before="0" w:after="0"/>
        <w:rPr>
          <w:sz w:val="18"/>
        </w:rPr>
      </w:pPr>
    </w:p>
    <w:p w:rsidR="00513D80" w:rsidRPr="009A2157" w:rsidRDefault="004769B2" w:rsidP="00D3582B">
      <w:pPr>
        <w:pStyle w:val="Heading2"/>
        <w:spacing w:before="0" w:after="0"/>
        <w:jc w:val="both"/>
        <w:rPr>
          <w:rFonts w:cs="Times New Roman"/>
          <w:szCs w:val="24"/>
        </w:rPr>
      </w:pPr>
      <w:bookmarkStart w:id="208" w:name="_Toc194845444"/>
      <w:r w:rsidRPr="009A2157">
        <w:rPr>
          <w:rFonts w:cs="Times New Roman"/>
          <w:szCs w:val="24"/>
        </w:rPr>
        <w:t>4.</w:t>
      </w:r>
      <w:r w:rsidR="0048527F" w:rsidRPr="009A2157">
        <w:rPr>
          <w:rFonts w:cs="Times New Roman"/>
          <w:szCs w:val="24"/>
        </w:rPr>
        <w:t>11</w:t>
      </w:r>
      <w:r w:rsidR="00D3582B">
        <w:rPr>
          <w:rFonts w:cs="Times New Roman"/>
          <w:szCs w:val="24"/>
        </w:rPr>
        <w:t xml:space="preserve"> </w:t>
      </w:r>
      <w:r w:rsidR="00513D80" w:rsidRPr="009A2157">
        <w:rPr>
          <w:rFonts w:cs="Times New Roman"/>
          <w:szCs w:val="24"/>
        </w:rPr>
        <w:t xml:space="preserve">Different between Domestic and International </w:t>
      </w:r>
      <w:bookmarkEnd w:id="208"/>
      <w:r w:rsidR="004D0534" w:rsidRPr="009A2157">
        <w:rPr>
          <w:rFonts w:cs="Times New Roman"/>
          <w:szCs w:val="24"/>
        </w:rPr>
        <w:t>Best Practice</w:t>
      </w:r>
      <w:r w:rsidR="00D3582B">
        <w:rPr>
          <w:rFonts w:cs="Times New Roman"/>
          <w:szCs w:val="24"/>
        </w:rPr>
        <w:fldChar w:fldCharType="begin"/>
      </w:r>
      <w:r w:rsidR="00D3582B">
        <w:instrText xml:space="preserve"> TC "</w:instrText>
      </w:r>
      <w:bookmarkStart w:id="209" w:name="_Toc213301733"/>
      <w:r w:rsidR="00D3582B" w:rsidRPr="00474B2E">
        <w:rPr>
          <w:rFonts w:cs="Times New Roman"/>
          <w:szCs w:val="24"/>
        </w:rPr>
        <w:instrText>4.11 Different between Domestic and International Best Practice</w:instrText>
      </w:r>
      <w:bookmarkEnd w:id="209"/>
      <w:r w:rsidR="00D3582B">
        <w:instrText xml:space="preserve">" \f C \l "1" </w:instrText>
      </w:r>
      <w:r w:rsidR="00D3582B">
        <w:rPr>
          <w:rFonts w:cs="Times New Roman"/>
          <w:szCs w:val="24"/>
        </w:rPr>
        <w:fldChar w:fldCharType="end"/>
      </w:r>
    </w:p>
    <w:p w:rsidR="004504BF" w:rsidRDefault="00513D80" w:rsidP="009A2157">
      <w:pPr>
        <w:spacing w:before="0" w:after="0"/>
      </w:pPr>
      <w:r w:rsidRPr="009A2157">
        <w:t>Tanzania's approach to unit titles represents a distinct legal framework aimed at accommodating modern property ownership structures, particularly in urban settings where multi-unit buildings are increasingly common. However, when examining how domestic legislation aligns or diverges from international best practices, several critical differences and similarities emerge. In particular, Tanzanian laws on unit titles reflect a mix of common law principles and local legal peculiarities that distinguish them from international frameworks, particularly in relation to land ownership and management in multi-unit developments.</w:t>
      </w:r>
    </w:p>
    <w:p w:rsidR="004504BF" w:rsidRPr="004504BF" w:rsidRDefault="004504BF" w:rsidP="009A2157">
      <w:pPr>
        <w:spacing w:before="0" w:after="0"/>
        <w:rPr>
          <w:sz w:val="18"/>
        </w:rPr>
      </w:pPr>
    </w:p>
    <w:p w:rsidR="004504BF" w:rsidRDefault="00513D80" w:rsidP="009A2157">
      <w:pPr>
        <w:spacing w:before="0" w:after="0"/>
      </w:pPr>
      <w:r w:rsidRPr="009A2157">
        <w:t xml:space="preserve">One key area where Tanzania’s domestic legal framework aligns with international best practices is the concept of shared ownership of common property in unit developments. International property law often recognizes the necessity of regulating shared spaces in condominium ownership, ensuring that individual unit owners have clear rights to their private units while maintaining collective responsibility for communal areas such as corridors, parking lots, and recreational spaces. </w:t>
      </w:r>
    </w:p>
    <w:p w:rsidR="004504BF" w:rsidRDefault="004504BF" w:rsidP="009A2157">
      <w:pPr>
        <w:spacing w:before="0" w:after="0"/>
      </w:pPr>
    </w:p>
    <w:p w:rsidR="00513D80" w:rsidRPr="009A2157" w:rsidRDefault="00513D80" w:rsidP="009A2157">
      <w:pPr>
        <w:spacing w:before="0" w:after="0"/>
      </w:pPr>
      <w:r w:rsidRPr="009A2157">
        <w:t>The Unit Titles Act 2008, for example, explicitly addresses this in its provisions on "common property," reflecting practices found in global property regimes. Similarly, the requirement for the formation of an owners' association aligns with international standards for property management, where a body corporate is responsible for ensuring the upkeep and management of the entire development.</w:t>
      </w:r>
    </w:p>
    <w:p w:rsidR="004504BF" w:rsidRDefault="004504BF" w:rsidP="009A2157">
      <w:pPr>
        <w:spacing w:before="0" w:after="0"/>
      </w:pPr>
    </w:p>
    <w:p w:rsidR="00513D80" w:rsidRPr="009A2157" w:rsidRDefault="00513D80" w:rsidP="009A2157">
      <w:pPr>
        <w:spacing w:before="0" w:after="0"/>
      </w:pPr>
      <w:r w:rsidRPr="009A2157">
        <w:t>However, Tanzania’s approach diverges from international norms in some areas, particularly with regard to land rights and the registration process for unit titles. Unlike international best practices, which often allow for more fluid and diverse methods of subdividing land, Tanzania’s Unit Titles Act and the Land Registration Act emphasize a rigid, vertical subdivision of land. The Land Registration Act’s Section 53 mandates vertical land division, while the Unit Titles Act accommodates both vertical and horizontal divisions. This distinction is particularly important when compared to international best practices, where flexibility in both vertical and horizontal subdivisions allows for greater adaptability in urban planning and development. The Tanzanian legislation, while efficient in some respects, limits developers' ability to explore other forms of land subdivision, which may hinder innovation in property development.</w:t>
      </w:r>
    </w:p>
    <w:p w:rsidR="004504BF" w:rsidRDefault="004504BF" w:rsidP="009A2157">
      <w:pPr>
        <w:spacing w:before="0" w:after="0"/>
      </w:pPr>
    </w:p>
    <w:p w:rsidR="00513D80" w:rsidRPr="009A2157" w:rsidRDefault="00513D80" w:rsidP="009A2157">
      <w:pPr>
        <w:spacing w:before="0" w:after="0"/>
      </w:pPr>
      <w:r w:rsidRPr="009A2157">
        <w:t xml:space="preserve">Additionally, while international property law often emphasizes the protection of individual ownership rights, Tanzania's legal framework adds layers of complexity with regard to shared responsibilities. The Unit Titles Act introduces significant obligations for unit owners, such as the requirement to contribute to the maintenance and repair of common areas. While such provisions are in line with global norms, the Tanzanian legal framework places a heavier burden on individual owners through the establishment of compulsory sinking funds and administrative fees. This collective financial responsibility is not always well-defined, leading to ambiguity in how the costs should be distributed among owners. In contrast, international frameworks may provide more clear-cut mechanisms for resolving disputes related to </w:t>
      </w:r>
      <w:r w:rsidR="00A91C36" w:rsidRPr="009A2157">
        <w:t>share</w:t>
      </w:r>
      <w:r w:rsidRPr="009A2157">
        <w:t xml:space="preserve"> expenses, offering more robust dispute resolution processes and enforcement measures.</w:t>
      </w:r>
    </w:p>
    <w:p w:rsidR="004504BF" w:rsidRDefault="004504BF" w:rsidP="009A2157">
      <w:pPr>
        <w:spacing w:before="0" w:after="0"/>
      </w:pPr>
    </w:p>
    <w:p w:rsidR="00513D80" w:rsidRPr="009A2157" w:rsidRDefault="00513D80" w:rsidP="009A2157">
      <w:pPr>
        <w:spacing w:before="0" w:after="0"/>
      </w:pPr>
      <w:r w:rsidRPr="009A2157">
        <w:t>In terms of regulatory consistency, Tanzania’s legal provisions on unit titles also show some divergence from international best practices when it comes to the treatment of ownership rights and the protection of those rights in a collective ownership system. International legal frameworks typically ensure that individual ownership rights are sacrosanct and not easily infringed upon by the actions of others within a shared ownership structure. However, in Tanzania, the intertwining of individual and collective rights in the unit title system can create conflicts, especially when legal provisions regarding the rights of co-owners in common areas remain ambiguous. While global property regimes often provide explicit mechanisms for balancing individual ownership with collective responsibility, Tanzanian law has yet to fully address potential disputes over co-ownership obligations and rights, particularly in cases where financial or maintenance contributions are contested.</w:t>
      </w:r>
    </w:p>
    <w:p w:rsidR="00766166" w:rsidRPr="009A2157" w:rsidRDefault="00766166" w:rsidP="009A2157">
      <w:pPr>
        <w:spacing w:before="0" w:after="0"/>
        <w:rPr>
          <w:b/>
        </w:rPr>
      </w:pPr>
      <w:r w:rsidRPr="009A2157">
        <w:rPr>
          <w:b/>
        </w:rPr>
        <w:t>4.1</w:t>
      </w:r>
      <w:r w:rsidR="0048527F" w:rsidRPr="009A2157">
        <w:rPr>
          <w:b/>
        </w:rPr>
        <w:t>2</w:t>
      </w:r>
      <w:r w:rsidR="00D3582B">
        <w:rPr>
          <w:b/>
        </w:rPr>
        <w:t xml:space="preserve"> </w:t>
      </w:r>
      <w:r w:rsidRPr="009A2157">
        <w:rPr>
          <w:b/>
        </w:rPr>
        <w:t>Conclusion</w:t>
      </w:r>
      <w:r w:rsidR="00D3582B">
        <w:rPr>
          <w:b/>
        </w:rPr>
        <w:fldChar w:fldCharType="begin"/>
      </w:r>
      <w:r w:rsidR="00D3582B">
        <w:instrText xml:space="preserve"> TC "</w:instrText>
      </w:r>
      <w:bookmarkStart w:id="210" w:name="_Toc213301734"/>
      <w:r w:rsidR="00D3582B" w:rsidRPr="00722259">
        <w:rPr>
          <w:b/>
        </w:rPr>
        <w:instrText>4.12 Conclusion</w:instrText>
      </w:r>
      <w:bookmarkEnd w:id="210"/>
      <w:r w:rsidR="00D3582B">
        <w:instrText xml:space="preserve">" \f C \l "1" </w:instrText>
      </w:r>
      <w:r w:rsidR="00D3582B">
        <w:rPr>
          <w:b/>
        </w:rPr>
        <w:fldChar w:fldCharType="end"/>
      </w:r>
    </w:p>
    <w:p w:rsidR="00766166" w:rsidRPr="009A2157" w:rsidRDefault="00766166" w:rsidP="009A2157">
      <w:pPr>
        <w:spacing w:before="0" w:after="0"/>
      </w:pPr>
      <w:r w:rsidRPr="009A2157">
        <w:t>In conclusion, the legal framework governing unit titles in Tanzania is built upon a combination of constitutional guarantees, statutory laws, and supporting regulations that collectively ensure secure, transparent, and equitable property ownership. The Constitution of the United Republic of Tanzania upholds the right to property, forming the basis for legislative instruments such as the Unit Titles Act, 2008, and its accompanying Regulations, which define and govern unit ownership and shared responsibilities in multi-unit developments. Complementary laws like the Land Act of 1999 and the Land Registration Act further reinforce principles of co-occupancy, registration, and the management of land rights, while addressing both individual and collective interests. Together, these legal provisions reflect a progressive shift toward structured communal ownership, balancing individual rights with obligations necessary for the sustainable management of urban real estate.</w:t>
      </w:r>
    </w:p>
    <w:p w:rsidR="00766166" w:rsidRPr="009A2157" w:rsidRDefault="00766166" w:rsidP="009A2157">
      <w:pPr>
        <w:spacing w:before="0" w:after="0"/>
      </w:pPr>
    </w:p>
    <w:p w:rsidR="00513D80" w:rsidRPr="009A2157" w:rsidRDefault="00513D80" w:rsidP="009A2157">
      <w:pPr>
        <w:spacing w:before="0" w:after="0"/>
      </w:pPr>
    </w:p>
    <w:p w:rsidR="00347AEF" w:rsidRPr="009A2157" w:rsidRDefault="00347AEF" w:rsidP="009A2157">
      <w:pPr>
        <w:spacing w:before="0" w:after="0"/>
      </w:pPr>
    </w:p>
    <w:p w:rsidR="00513D80" w:rsidRPr="009A2157" w:rsidRDefault="00513D80" w:rsidP="009A2157">
      <w:pPr>
        <w:spacing w:before="0" w:after="0"/>
      </w:pPr>
    </w:p>
    <w:p w:rsidR="00E171EF" w:rsidRPr="009A2157" w:rsidRDefault="00E171EF" w:rsidP="009A2157">
      <w:pPr>
        <w:spacing w:before="0" w:after="0"/>
      </w:pPr>
    </w:p>
    <w:p w:rsidR="00766166" w:rsidRPr="009A2157" w:rsidRDefault="00766166" w:rsidP="009A2157">
      <w:pPr>
        <w:spacing w:before="0" w:after="0"/>
      </w:pPr>
    </w:p>
    <w:p w:rsidR="009F2A99" w:rsidRPr="009A2157" w:rsidRDefault="009F2A99" w:rsidP="009A2157">
      <w:pPr>
        <w:pStyle w:val="NormalWeb"/>
        <w:spacing w:before="0" w:after="0"/>
        <w:rPr>
          <w:b/>
          <w:color w:val="000000" w:themeColor="text1"/>
        </w:rPr>
      </w:pPr>
    </w:p>
    <w:p w:rsidR="00C87A19" w:rsidRPr="009A2157" w:rsidRDefault="00037F09" w:rsidP="009A2157">
      <w:pPr>
        <w:pStyle w:val="Heading1"/>
        <w:spacing w:before="0" w:after="0"/>
        <w:rPr>
          <w:rFonts w:cs="Times New Roman"/>
          <w:szCs w:val="24"/>
        </w:rPr>
      </w:pPr>
      <w:bookmarkStart w:id="211" w:name="_Toc194845445"/>
      <w:r w:rsidRPr="009A2157">
        <w:rPr>
          <w:rFonts w:cs="Times New Roman"/>
          <w:szCs w:val="24"/>
        </w:rPr>
        <w:t>CHAPTER FIVE</w:t>
      </w:r>
      <w:bookmarkEnd w:id="211"/>
      <w:r w:rsidR="00D3582B">
        <w:rPr>
          <w:rFonts w:cs="Times New Roman"/>
          <w:szCs w:val="24"/>
        </w:rPr>
        <w:fldChar w:fldCharType="begin"/>
      </w:r>
      <w:r w:rsidR="00D3582B">
        <w:instrText xml:space="preserve"> TC "</w:instrText>
      </w:r>
      <w:bookmarkStart w:id="212" w:name="_Toc213301735"/>
      <w:r w:rsidR="00D3582B" w:rsidRPr="004A6480">
        <w:rPr>
          <w:rFonts w:cs="Times New Roman"/>
          <w:szCs w:val="24"/>
        </w:rPr>
        <w:instrText>CHAPTER FIVE</w:instrText>
      </w:r>
      <w:bookmarkEnd w:id="212"/>
      <w:r w:rsidR="00D3582B">
        <w:instrText xml:space="preserve">" \f C \l "1" </w:instrText>
      </w:r>
      <w:r w:rsidR="00D3582B">
        <w:rPr>
          <w:rFonts w:cs="Times New Roman"/>
          <w:szCs w:val="24"/>
        </w:rPr>
        <w:fldChar w:fldCharType="end"/>
      </w:r>
    </w:p>
    <w:p w:rsidR="00037F09" w:rsidRPr="009A2157" w:rsidRDefault="00516EA0" w:rsidP="009A2157">
      <w:pPr>
        <w:pStyle w:val="Heading1"/>
        <w:spacing w:before="0" w:after="0"/>
        <w:rPr>
          <w:rFonts w:cs="Times New Roman"/>
          <w:szCs w:val="24"/>
        </w:rPr>
      </w:pPr>
      <w:bookmarkStart w:id="213" w:name="_Toc194845446"/>
      <w:r w:rsidRPr="009A2157">
        <w:rPr>
          <w:rFonts w:cs="Times New Roman"/>
          <w:szCs w:val="24"/>
        </w:rPr>
        <w:t xml:space="preserve">SUMMARY, </w:t>
      </w:r>
      <w:r w:rsidR="00037F09" w:rsidRPr="009A2157">
        <w:rPr>
          <w:rFonts w:cs="Times New Roman"/>
          <w:szCs w:val="24"/>
        </w:rPr>
        <w:t>CONCLUSION AND RECOMMENDATIONS</w:t>
      </w:r>
      <w:bookmarkEnd w:id="213"/>
      <w:r w:rsidR="00D3582B">
        <w:rPr>
          <w:rFonts w:cs="Times New Roman"/>
          <w:szCs w:val="24"/>
        </w:rPr>
        <w:fldChar w:fldCharType="begin"/>
      </w:r>
      <w:r w:rsidR="00D3582B">
        <w:instrText xml:space="preserve"> TC "</w:instrText>
      </w:r>
      <w:bookmarkStart w:id="214" w:name="_Toc213301736"/>
      <w:r w:rsidR="00D3582B" w:rsidRPr="00D55139">
        <w:rPr>
          <w:rFonts w:cs="Times New Roman"/>
          <w:szCs w:val="24"/>
        </w:rPr>
        <w:instrText>SUMMARY, CONCLUSION AND RECOMMENDATIONS</w:instrText>
      </w:r>
      <w:bookmarkEnd w:id="214"/>
      <w:r w:rsidR="00D3582B">
        <w:instrText xml:space="preserve">" \f C \l "1" </w:instrText>
      </w:r>
      <w:r w:rsidR="00D3582B">
        <w:rPr>
          <w:rFonts w:cs="Times New Roman"/>
          <w:szCs w:val="24"/>
        </w:rPr>
        <w:fldChar w:fldCharType="end"/>
      </w:r>
    </w:p>
    <w:p w:rsidR="00C25800" w:rsidRPr="009A2157" w:rsidRDefault="009F2A99" w:rsidP="009A2157">
      <w:pPr>
        <w:pStyle w:val="Heading2"/>
        <w:spacing w:before="0" w:after="0"/>
        <w:rPr>
          <w:rFonts w:cs="Times New Roman"/>
          <w:szCs w:val="24"/>
        </w:rPr>
      </w:pPr>
      <w:bookmarkStart w:id="215" w:name="_Toc194845447"/>
      <w:r w:rsidRPr="009A2157">
        <w:rPr>
          <w:rFonts w:cs="Times New Roman"/>
          <w:szCs w:val="24"/>
        </w:rPr>
        <w:t>5.1</w:t>
      </w:r>
      <w:r w:rsidR="00D3582B">
        <w:rPr>
          <w:rFonts w:cs="Times New Roman"/>
          <w:szCs w:val="24"/>
        </w:rPr>
        <w:t xml:space="preserve"> </w:t>
      </w:r>
      <w:r w:rsidR="00C25800" w:rsidRPr="009A2157">
        <w:rPr>
          <w:rFonts w:cs="Times New Roman"/>
          <w:szCs w:val="24"/>
        </w:rPr>
        <w:t>Summary of the Study</w:t>
      </w:r>
      <w:bookmarkEnd w:id="215"/>
      <w:r w:rsidR="00D3582B">
        <w:rPr>
          <w:rFonts w:cs="Times New Roman"/>
          <w:szCs w:val="24"/>
        </w:rPr>
        <w:fldChar w:fldCharType="begin"/>
      </w:r>
      <w:r w:rsidR="00D3582B">
        <w:instrText xml:space="preserve"> TC "</w:instrText>
      </w:r>
      <w:bookmarkStart w:id="216" w:name="_Toc213301737"/>
      <w:r w:rsidR="00D3582B" w:rsidRPr="00982663">
        <w:rPr>
          <w:rFonts w:cs="Times New Roman"/>
          <w:szCs w:val="24"/>
        </w:rPr>
        <w:instrText>5.1 Summary of the Study</w:instrText>
      </w:r>
      <w:bookmarkEnd w:id="216"/>
      <w:r w:rsidR="00D3582B">
        <w:instrText xml:space="preserve">" \f C \l "1" </w:instrText>
      </w:r>
      <w:r w:rsidR="00D3582B">
        <w:rPr>
          <w:rFonts w:cs="Times New Roman"/>
          <w:szCs w:val="24"/>
        </w:rPr>
        <w:fldChar w:fldCharType="end"/>
      </w:r>
    </w:p>
    <w:p w:rsidR="00C25800" w:rsidRPr="009A2157" w:rsidRDefault="00C25800" w:rsidP="009A2157">
      <w:pPr>
        <w:spacing w:before="0" w:after="0"/>
      </w:pPr>
      <w:r w:rsidRPr="009A2157">
        <w:t xml:space="preserve">This study focuses on assessing the legal implications of unit titles on land rights in Tanzania. The general objective is to explore how unit title ownership influences individual and collective property rights, land use, and property management within the Tanzanian legal framework. The specific objectives are: to identify legal gaps governing unit titles and land rights in Tanzania, to evaluate the impact of unit titles on individual property rights, </w:t>
      </w:r>
      <w:r w:rsidR="009C24DF" w:rsidRPr="009A2157">
        <w:t>and to</w:t>
      </w:r>
      <w:r w:rsidRPr="009A2157">
        <w:t xml:space="preserve"> compare Tanzania’s legal framework on unit titles with international best practices. The study aims to provide insights into how existing legal structures shape the management of unit title developments and highlight areas for improvement.</w:t>
      </w:r>
    </w:p>
    <w:p w:rsidR="004504BF" w:rsidRDefault="004504BF" w:rsidP="009A2157">
      <w:pPr>
        <w:spacing w:before="0" w:after="0"/>
      </w:pPr>
    </w:p>
    <w:p w:rsidR="00C25800" w:rsidRPr="009A2157" w:rsidRDefault="00C25800" w:rsidP="009A2157">
      <w:pPr>
        <w:spacing w:before="0" w:after="0"/>
      </w:pPr>
      <w:r w:rsidRPr="009A2157">
        <w:t>The study identifies several legal challenges within the Tanzanian framework governing unit titles. Ambiguities in co-ownership rights and obligations are prevalent, primarily stemming from provisions in the Unit Titles Act (UTA) of 2008. For instance, Section 28(1) permits individual unit owners to transfer or lease their units independently, which fosters autonomy but creates uncertainty regarding collective responsibilities. Disputes over shared maintenance costs and unclear guidelines on financial obligations often undermine cooperative management. Additionally, Section 38(2), which mandates appointing a representative for collective decision-making, lacks clarity on enforcement mechanisms, leaving room for non-compliance and management inefficiencies.</w:t>
      </w:r>
    </w:p>
    <w:p w:rsidR="00C25800" w:rsidRPr="009A2157" w:rsidRDefault="00C25800" w:rsidP="009A2157">
      <w:pPr>
        <w:spacing w:before="0" w:after="0"/>
      </w:pPr>
      <w:r w:rsidRPr="009A2157">
        <w:t>Moreover, the governance structure under Section 19 of the UTA, which vests authority in the body corporate, has been ineffective in resolving conflicts between individual rights and collective responsibilities. While by-laws under this section aim to address maintenance and dispute resolution, inconsistent enforcement exacerbates tensions among co-owners. The study highlights a pressing need for legislative reforms to address these gaps, ensure accountability, and provide explicit guidelines on co-ownership dynamics.</w:t>
      </w:r>
    </w:p>
    <w:p w:rsidR="004504BF" w:rsidRDefault="004504BF" w:rsidP="009A2157">
      <w:pPr>
        <w:spacing w:before="0" w:after="0"/>
      </w:pPr>
    </w:p>
    <w:p w:rsidR="00C25800" w:rsidRPr="009A2157" w:rsidRDefault="00C25800" w:rsidP="009A2157">
      <w:pPr>
        <w:spacing w:before="0" w:after="0"/>
      </w:pPr>
      <w:r w:rsidRPr="009A2157">
        <w:t>Unit titles significantly influence individual property rights by balancing autonomy with collective governance requirements. The study finds that while the UTA emphasizes individual ownership rights, the lack of detailed provisions on co-ownership responsibilities often leads to conflicts. For example, disputes frequently arise over financial contributions to shared property maintenance and the right to quiet enjoyment under Section 20(1</w:t>
      </w:r>
      <w:proofErr w:type="gramStart"/>
      <w:r w:rsidRPr="009A2157">
        <w:t>)(</w:t>
      </w:r>
      <w:proofErr w:type="gramEnd"/>
      <w:r w:rsidRPr="009A2157">
        <w:t>e). These conflicts highlight the inadequacies in aligning individual rights with collective obligations.</w:t>
      </w:r>
    </w:p>
    <w:p w:rsidR="004504BF" w:rsidRDefault="004504BF" w:rsidP="009A2157">
      <w:pPr>
        <w:spacing w:before="0" w:after="0"/>
      </w:pPr>
    </w:p>
    <w:p w:rsidR="00C25800" w:rsidRPr="009A2157" w:rsidRDefault="00C25800" w:rsidP="009A2157">
      <w:pPr>
        <w:spacing w:before="0" w:after="0"/>
      </w:pPr>
      <w:r w:rsidRPr="009A2157">
        <w:t>Furthermore, governance conflicts within unit title developments often strain individual property rights. Decisions by the body corporate, particularly those related to shared resources or common area usage, sometimes infringe on owners’ rights to peaceful enjoyment. Inconsistent enforcement of by-laws aggravates these issues, weakening trust in the governance system. These findings suggest that strengthening the legal framework to address these tensions is essential to safeguarding individual property rights while maintaining effective collective governance.</w:t>
      </w:r>
    </w:p>
    <w:p w:rsidR="00C25800" w:rsidRPr="009A2157" w:rsidRDefault="00C25800" w:rsidP="009A2157">
      <w:pPr>
        <w:spacing w:before="0" w:after="0"/>
      </w:pPr>
      <w:r w:rsidRPr="009A2157">
        <w:t>Comparing Tanzania’s legal framework with international best practices reveals several areas for improvement. Comprehensive legislation in countries like New Zealand, Australia, and Singapore provides clearer guidelines on managing unit titles. For instance, New Zealand’s Unit Titles Act 2010 mandates long-term maintenance plans and transparent dispute resolution mechanisms, which reduce conflicts and promote sustainable property management. Similarly, Australia’s Strata Titles Act emphasizes financial accountability through mandatory sinking funds, fostering collective responsibility.</w:t>
      </w:r>
    </w:p>
    <w:p w:rsidR="004504BF" w:rsidRDefault="004504BF" w:rsidP="009A2157">
      <w:pPr>
        <w:spacing w:before="0" w:after="0"/>
      </w:pPr>
    </w:p>
    <w:p w:rsidR="00443C26" w:rsidRPr="009A2157" w:rsidRDefault="00C25800" w:rsidP="009A2157">
      <w:pPr>
        <w:spacing w:before="0" w:after="0"/>
      </w:pPr>
      <w:r w:rsidRPr="009A2157">
        <w:t xml:space="preserve">Singapore’s Building Maintenance and Strata Management Act (BMSMA) </w:t>
      </w:r>
      <w:r w:rsidR="00096341" w:rsidRPr="009A2157">
        <w:t>highlight</w:t>
      </w:r>
      <w:r w:rsidRPr="009A2157">
        <w:t xml:space="preserve"> the importance of integrating alternative dispute resolution (ADR) mechanisms, such as mediation, to efficiently address conflicts. These international examples underscore the need for Tanzania to adopt comprehensive reforms that clarify co-ownership responsibilities, enhance financial transparency, and incorporate ADR processes. Such measures would improve the governance of unit title developments and align Tanzania’s framework with global standards.</w:t>
      </w:r>
    </w:p>
    <w:p w:rsidR="004504BF" w:rsidRDefault="004504BF" w:rsidP="009A2157">
      <w:pPr>
        <w:pStyle w:val="Heading2"/>
        <w:spacing w:before="0" w:after="0"/>
        <w:rPr>
          <w:rFonts w:cs="Times New Roman"/>
          <w:szCs w:val="24"/>
        </w:rPr>
      </w:pPr>
      <w:bookmarkStart w:id="217" w:name="_Toc194845448"/>
    </w:p>
    <w:p w:rsidR="00037F09" w:rsidRPr="009A2157" w:rsidRDefault="009F2A99" w:rsidP="009A2157">
      <w:pPr>
        <w:pStyle w:val="Heading2"/>
        <w:spacing w:before="0" w:after="0"/>
        <w:rPr>
          <w:rFonts w:cs="Times New Roman"/>
          <w:szCs w:val="24"/>
        </w:rPr>
      </w:pPr>
      <w:r w:rsidRPr="009A2157">
        <w:rPr>
          <w:rFonts w:cs="Times New Roman"/>
          <w:szCs w:val="24"/>
        </w:rPr>
        <w:t>5.2</w:t>
      </w:r>
      <w:r w:rsidR="00D3582B">
        <w:rPr>
          <w:rFonts w:cs="Times New Roman"/>
          <w:szCs w:val="24"/>
        </w:rPr>
        <w:t xml:space="preserve"> </w:t>
      </w:r>
      <w:r w:rsidR="00037F09" w:rsidRPr="009A2157">
        <w:rPr>
          <w:rFonts w:cs="Times New Roman"/>
          <w:szCs w:val="24"/>
        </w:rPr>
        <w:t xml:space="preserve">Conclusion </w:t>
      </w:r>
      <w:r w:rsidR="00443C26" w:rsidRPr="009A2157">
        <w:rPr>
          <w:rFonts w:cs="Times New Roman"/>
          <w:szCs w:val="24"/>
        </w:rPr>
        <w:t>of the Study</w:t>
      </w:r>
      <w:bookmarkEnd w:id="217"/>
      <w:r w:rsidR="00D3582B">
        <w:rPr>
          <w:rFonts w:cs="Times New Roman"/>
          <w:szCs w:val="24"/>
        </w:rPr>
        <w:fldChar w:fldCharType="begin"/>
      </w:r>
      <w:r w:rsidR="00D3582B">
        <w:instrText xml:space="preserve"> TC "</w:instrText>
      </w:r>
      <w:bookmarkStart w:id="218" w:name="_Toc213301738"/>
      <w:r w:rsidR="00D3582B" w:rsidRPr="007972BB">
        <w:rPr>
          <w:rFonts w:cs="Times New Roman"/>
          <w:szCs w:val="24"/>
        </w:rPr>
        <w:instrText>5.2 Conclusion of the Study</w:instrText>
      </w:r>
      <w:bookmarkEnd w:id="218"/>
      <w:r w:rsidR="00D3582B">
        <w:instrText xml:space="preserve">" \f C \l "1" </w:instrText>
      </w:r>
      <w:r w:rsidR="00D3582B">
        <w:rPr>
          <w:rFonts w:cs="Times New Roman"/>
          <w:szCs w:val="24"/>
        </w:rPr>
        <w:fldChar w:fldCharType="end"/>
      </w:r>
    </w:p>
    <w:p w:rsidR="00443C26" w:rsidRPr="009A2157" w:rsidRDefault="00443C26" w:rsidP="009A2157">
      <w:pPr>
        <w:pStyle w:val="NormalWeb"/>
        <w:spacing w:before="0" w:after="0"/>
        <w:rPr>
          <w:color w:val="000000" w:themeColor="text1"/>
        </w:rPr>
      </w:pPr>
      <w:r w:rsidRPr="009A2157">
        <w:rPr>
          <w:color w:val="000000" w:themeColor="text1"/>
        </w:rPr>
        <w:t xml:space="preserve">The study concludes that </w:t>
      </w:r>
      <w:r w:rsidRPr="009A2157">
        <w:rPr>
          <w:bCs/>
          <w:color w:val="000000" w:themeColor="text1"/>
        </w:rPr>
        <w:t>existing legal gaps in the governance of unit titles and land rights in Tanzania significantly hinder effective management and equitable utilization of property under co-ownership arrangements</w:t>
      </w:r>
      <w:r w:rsidRPr="009A2157">
        <w:rPr>
          <w:color w:val="000000" w:themeColor="text1"/>
        </w:rPr>
        <w:t>. Ambiguities in the Unit Titles Act (UTA) of 2008, particularly concerning co-ownership rights, financial obligations, and governance structures, lead to frequent disputes and inefficiencies. Additionally, the lack of explicit mechanisms to reconcile individual rights with collective responsibilities undermines the sustainability of unit title developments. These findings highlight the urgent need for comprehensive legal reforms to address the identified gaps, ensuring clarity, consistency, and enforceability in regulating unit title arrangements in Tanzania.</w:t>
      </w:r>
    </w:p>
    <w:p w:rsidR="004504BF" w:rsidRDefault="004504BF" w:rsidP="009A2157">
      <w:pPr>
        <w:pStyle w:val="NormalWeb"/>
        <w:spacing w:before="0" w:after="0"/>
        <w:rPr>
          <w:color w:val="000000" w:themeColor="text1"/>
        </w:rPr>
      </w:pPr>
    </w:p>
    <w:p w:rsidR="00443C26" w:rsidRPr="009A2157" w:rsidRDefault="00443C26" w:rsidP="009A2157">
      <w:pPr>
        <w:pStyle w:val="NormalWeb"/>
        <w:spacing w:before="0" w:after="0"/>
        <w:rPr>
          <w:color w:val="000000" w:themeColor="text1"/>
        </w:rPr>
      </w:pPr>
      <w:r w:rsidRPr="009A2157">
        <w:rPr>
          <w:color w:val="000000" w:themeColor="text1"/>
        </w:rPr>
        <w:t xml:space="preserve">Regarding the second objective, the study concludes that </w:t>
      </w:r>
      <w:r w:rsidRPr="009A2157">
        <w:rPr>
          <w:bCs/>
          <w:color w:val="000000" w:themeColor="text1"/>
        </w:rPr>
        <w:t>unit titles have a profound impact on individual property rights</w:t>
      </w:r>
      <w:r w:rsidRPr="009A2157">
        <w:rPr>
          <w:color w:val="000000" w:themeColor="text1"/>
        </w:rPr>
        <w:t>, both positively and negatively. While the UTA promotes autonomy by allowing unit owners to freely lease, sell, or transfer their units, the practical application of these rights is often constrained by collective governance requirements. The study found that conflicts frequently arise between individual rights, such as quiet enjoyment, and the collective authority of the body corporate. The interplay between these rights requires a delicate balance, which is currently lacking due to insufficient legal provisions to mediate such conflicts effectively. This necessitates enhanced regulatory frameworks to protect individual property rights while ensuring collective harmony.</w:t>
      </w:r>
    </w:p>
    <w:p w:rsidR="004504BF" w:rsidRDefault="004504BF" w:rsidP="009A2157">
      <w:pPr>
        <w:pStyle w:val="NormalWeb"/>
        <w:spacing w:before="0" w:after="0"/>
        <w:rPr>
          <w:color w:val="000000" w:themeColor="text1"/>
        </w:rPr>
      </w:pPr>
    </w:p>
    <w:p w:rsidR="00443C26" w:rsidRPr="009A2157" w:rsidRDefault="00443C26" w:rsidP="009A2157">
      <w:pPr>
        <w:pStyle w:val="NormalWeb"/>
        <w:spacing w:before="0" w:after="0"/>
        <w:rPr>
          <w:color w:val="000000" w:themeColor="text1"/>
        </w:rPr>
      </w:pPr>
      <w:r w:rsidRPr="009A2157">
        <w:rPr>
          <w:color w:val="000000" w:themeColor="text1"/>
        </w:rPr>
        <w:t xml:space="preserve">Finally, the study concludes that </w:t>
      </w:r>
      <w:r w:rsidRPr="009A2157">
        <w:rPr>
          <w:bCs/>
          <w:color w:val="000000" w:themeColor="text1"/>
        </w:rPr>
        <w:t>the Tanzanian legal framework on unit titles falls short when compared with international best practices</w:t>
      </w:r>
      <w:r w:rsidRPr="009A2157">
        <w:rPr>
          <w:color w:val="000000" w:themeColor="text1"/>
        </w:rPr>
        <w:t>, such as those in New Zealand, Australia, and Singapore. These countries have implemented comprehensive legislation that prioritizes transparency, financial accountability, and efficient dispute resolution, enabling effective management of unit title developments. In contrast, Tanzania's reliance on outdated and ambiguous legal provisions limits the ability of the Unit Titles Act to address the dynamic challenges of property management in urban and rural settings. The study emphasizes the importance of adopting lessons from international frameworks to modernize Tanzania’s unit title governance system, fostering sustainable and equitable property management.</w:t>
      </w:r>
    </w:p>
    <w:p w:rsidR="004504BF" w:rsidRDefault="004504BF" w:rsidP="009A2157">
      <w:pPr>
        <w:pStyle w:val="Heading2"/>
        <w:spacing w:before="0" w:after="0"/>
        <w:rPr>
          <w:rFonts w:cs="Times New Roman"/>
          <w:szCs w:val="24"/>
        </w:rPr>
      </w:pPr>
      <w:bookmarkStart w:id="219" w:name="_Toc194845449"/>
    </w:p>
    <w:p w:rsidR="00443C26" w:rsidRPr="009A2157" w:rsidRDefault="009F2A99" w:rsidP="009A2157">
      <w:pPr>
        <w:pStyle w:val="Heading2"/>
        <w:spacing w:before="0" w:after="0"/>
        <w:rPr>
          <w:rFonts w:cs="Times New Roman"/>
          <w:szCs w:val="24"/>
        </w:rPr>
      </w:pPr>
      <w:r w:rsidRPr="009A2157">
        <w:rPr>
          <w:rFonts w:cs="Times New Roman"/>
          <w:szCs w:val="24"/>
        </w:rPr>
        <w:t>5.3</w:t>
      </w:r>
      <w:r w:rsidR="00D3582B">
        <w:rPr>
          <w:rFonts w:cs="Times New Roman"/>
          <w:szCs w:val="24"/>
        </w:rPr>
        <w:t xml:space="preserve"> </w:t>
      </w:r>
      <w:r w:rsidR="00443C26" w:rsidRPr="009A2157">
        <w:rPr>
          <w:rFonts w:cs="Times New Roman"/>
          <w:szCs w:val="24"/>
        </w:rPr>
        <w:t>Recommendations</w:t>
      </w:r>
      <w:bookmarkEnd w:id="219"/>
      <w:r w:rsidR="00D3582B">
        <w:rPr>
          <w:rFonts w:cs="Times New Roman"/>
          <w:szCs w:val="24"/>
        </w:rPr>
        <w:fldChar w:fldCharType="begin"/>
      </w:r>
      <w:r w:rsidR="00D3582B">
        <w:instrText xml:space="preserve"> TC "</w:instrText>
      </w:r>
      <w:bookmarkStart w:id="220" w:name="_Toc213301739"/>
      <w:r w:rsidR="00D3582B" w:rsidRPr="00ED321F">
        <w:rPr>
          <w:rFonts w:cs="Times New Roman"/>
          <w:szCs w:val="24"/>
        </w:rPr>
        <w:instrText>5.3 Recommendations</w:instrText>
      </w:r>
      <w:bookmarkEnd w:id="220"/>
      <w:r w:rsidR="00D3582B">
        <w:instrText xml:space="preserve">" \f C \l "1" </w:instrText>
      </w:r>
      <w:r w:rsidR="00D3582B">
        <w:rPr>
          <w:rFonts w:cs="Times New Roman"/>
          <w:szCs w:val="24"/>
        </w:rPr>
        <w:fldChar w:fldCharType="end"/>
      </w:r>
    </w:p>
    <w:p w:rsidR="00443C26" w:rsidRPr="009A2157" w:rsidRDefault="00443C26" w:rsidP="009A2157">
      <w:pPr>
        <w:pStyle w:val="NormalWeb"/>
        <w:spacing w:before="0" w:after="0"/>
        <w:rPr>
          <w:color w:val="000000" w:themeColor="text1"/>
        </w:rPr>
      </w:pPr>
      <w:r w:rsidRPr="009A2157">
        <w:rPr>
          <w:color w:val="000000" w:themeColor="text1"/>
        </w:rPr>
        <w:t>The study recommends the following measures to address the challenges identified and improve the governance and management of unit titles in Tanzania. These recommendations are based on the findings and aim to strengthen the legal framework, enhance compliance, and promote sustainable co-ownership arrangements.</w:t>
      </w:r>
    </w:p>
    <w:p w:rsidR="004504BF" w:rsidRDefault="004504BF" w:rsidP="009A2157">
      <w:pPr>
        <w:pStyle w:val="Heading3"/>
        <w:spacing w:before="0" w:after="0"/>
        <w:rPr>
          <w:rFonts w:cs="Times New Roman"/>
        </w:rPr>
      </w:pPr>
      <w:bookmarkStart w:id="221" w:name="_Toc194845450"/>
    </w:p>
    <w:p w:rsidR="00443C26" w:rsidRPr="009A2157" w:rsidRDefault="009F2A99" w:rsidP="009A2157">
      <w:pPr>
        <w:pStyle w:val="Heading3"/>
        <w:spacing w:before="0" w:after="0"/>
        <w:rPr>
          <w:rFonts w:cs="Times New Roman"/>
        </w:rPr>
      </w:pPr>
      <w:r w:rsidRPr="009A2157">
        <w:rPr>
          <w:rFonts w:cs="Times New Roman"/>
        </w:rPr>
        <w:t>5.3.1</w:t>
      </w:r>
      <w:r w:rsidR="00D3582B">
        <w:rPr>
          <w:rFonts w:cs="Times New Roman"/>
        </w:rPr>
        <w:t xml:space="preserve"> </w:t>
      </w:r>
      <w:r w:rsidR="00443C26" w:rsidRPr="009A2157">
        <w:rPr>
          <w:rFonts w:cs="Times New Roman"/>
        </w:rPr>
        <w:t>Strengthen the Unit Titles Act (UTA) with Comprehensive Reforms</w:t>
      </w:r>
      <w:bookmarkEnd w:id="221"/>
      <w:r w:rsidR="00D3582B">
        <w:rPr>
          <w:rFonts w:cs="Times New Roman"/>
        </w:rPr>
        <w:fldChar w:fldCharType="begin"/>
      </w:r>
      <w:r w:rsidR="00D3582B">
        <w:instrText xml:space="preserve"> TC "</w:instrText>
      </w:r>
      <w:bookmarkStart w:id="222" w:name="_Toc213301740"/>
      <w:r w:rsidR="00D3582B" w:rsidRPr="00274DA3">
        <w:rPr>
          <w:rFonts w:cs="Times New Roman"/>
        </w:rPr>
        <w:instrText>5.3.1 Strengthen the Unit Titles Act (UTA) with Comprehensive Reforms</w:instrText>
      </w:r>
      <w:bookmarkEnd w:id="222"/>
      <w:r w:rsidR="00D3582B">
        <w:instrText xml:space="preserve">" \f C \l "1" </w:instrText>
      </w:r>
      <w:r w:rsidR="00D3582B">
        <w:rPr>
          <w:rFonts w:cs="Times New Roman"/>
        </w:rPr>
        <w:fldChar w:fldCharType="end"/>
      </w:r>
    </w:p>
    <w:p w:rsidR="00443C26" w:rsidRPr="009A2157" w:rsidRDefault="00443C26" w:rsidP="009A2157">
      <w:pPr>
        <w:pStyle w:val="NormalWeb"/>
        <w:spacing w:before="0" w:after="0"/>
        <w:rPr>
          <w:color w:val="000000" w:themeColor="text1"/>
        </w:rPr>
      </w:pPr>
      <w:r w:rsidRPr="009A2157">
        <w:rPr>
          <w:color w:val="000000" w:themeColor="text1"/>
        </w:rPr>
        <w:t>The study recommends revising the Unit Titles Act (UTA) of 2008 to address identified legal gaps in its governance framework. This includes defining roles, rights, and obligations of co-owners and the body corporate to minimize conflicts. Introducing mechanisms for dispute resolution, particularly regarding financial contributions and governance matters, will ensure equitable management and enhance the effectiveness of the Act.</w:t>
      </w:r>
    </w:p>
    <w:p w:rsidR="004504BF" w:rsidRDefault="004504BF" w:rsidP="00D3582B">
      <w:pPr>
        <w:pStyle w:val="Heading3"/>
        <w:spacing w:before="0" w:after="0"/>
        <w:jc w:val="both"/>
        <w:rPr>
          <w:rFonts w:cs="Times New Roman"/>
        </w:rPr>
      </w:pPr>
      <w:bookmarkStart w:id="223" w:name="_Toc194845451"/>
    </w:p>
    <w:p w:rsidR="00443C26" w:rsidRPr="009A2157" w:rsidRDefault="009F2A99" w:rsidP="00D3582B">
      <w:pPr>
        <w:pStyle w:val="Heading3"/>
        <w:spacing w:before="0" w:after="0"/>
        <w:jc w:val="both"/>
        <w:rPr>
          <w:rFonts w:cs="Times New Roman"/>
        </w:rPr>
      </w:pPr>
      <w:r w:rsidRPr="009A2157">
        <w:rPr>
          <w:rFonts w:cs="Times New Roman"/>
        </w:rPr>
        <w:t>5.3.2</w:t>
      </w:r>
      <w:r w:rsidR="00D3582B">
        <w:rPr>
          <w:rFonts w:cs="Times New Roman"/>
        </w:rPr>
        <w:t xml:space="preserve"> </w:t>
      </w:r>
      <w:r w:rsidR="00443C26" w:rsidRPr="009A2157">
        <w:rPr>
          <w:rFonts w:cs="Times New Roman"/>
        </w:rPr>
        <w:t>Introduce Mechanisms to Balance Individual and Collective Property Rights</w:t>
      </w:r>
      <w:bookmarkEnd w:id="223"/>
      <w:r w:rsidR="00D3582B">
        <w:rPr>
          <w:rFonts w:cs="Times New Roman"/>
        </w:rPr>
        <w:fldChar w:fldCharType="begin"/>
      </w:r>
      <w:r w:rsidR="00D3582B">
        <w:instrText xml:space="preserve"> TC "</w:instrText>
      </w:r>
      <w:bookmarkStart w:id="224" w:name="_Toc213301741"/>
      <w:r w:rsidR="00D3582B" w:rsidRPr="005C3977">
        <w:rPr>
          <w:rFonts w:cs="Times New Roman"/>
        </w:rPr>
        <w:instrText>5.3.2 Introduce Mechanisms to Balance Individual and Collective Property Rights</w:instrText>
      </w:r>
      <w:bookmarkEnd w:id="224"/>
      <w:r w:rsidR="00D3582B">
        <w:instrText xml:space="preserve">" \f C \l "1" </w:instrText>
      </w:r>
      <w:r w:rsidR="00D3582B">
        <w:rPr>
          <w:rFonts w:cs="Times New Roman"/>
        </w:rPr>
        <w:fldChar w:fldCharType="end"/>
      </w:r>
    </w:p>
    <w:p w:rsidR="00443C26" w:rsidRPr="009A2157" w:rsidRDefault="00443C26" w:rsidP="009A2157">
      <w:pPr>
        <w:pStyle w:val="NormalWeb"/>
        <w:spacing w:before="0" w:after="0"/>
        <w:rPr>
          <w:color w:val="000000" w:themeColor="text1"/>
        </w:rPr>
      </w:pPr>
      <w:r w:rsidRPr="009A2157">
        <w:rPr>
          <w:color w:val="000000" w:themeColor="text1"/>
        </w:rPr>
        <w:t>To address the tension between individual autonomy and collective governance, the study recommends the implementation of legal and procedural frameworks to protect both individual property rights and collective responsibilities. Standardized by-laws, alongside training programs for co-owners and body corporate members, will improve understanding, compliance, and harmonious management of unit titles.</w:t>
      </w:r>
    </w:p>
    <w:p w:rsidR="004504BF" w:rsidRDefault="004504BF" w:rsidP="00D3582B">
      <w:pPr>
        <w:pStyle w:val="Heading3"/>
        <w:spacing w:before="0" w:after="0"/>
        <w:jc w:val="both"/>
        <w:rPr>
          <w:rFonts w:cs="Times New Roman"/>
        </w:rPr>
      </w:pPr>
      <w:bookmarkStart w:id="225" w:name="_Toc194845452"/>
    </w:p>
    <w:p w:rsidR="00443C26" w:rsidRPr="009A2157" w:rsidRDefault="009F2A99" w:rsidP="00D3582B">
      <w:pPr>
        <w:pStyle w:val="Heading3"/>
        <w:spacing w:before="0" w:after="0"/>
        <w:jc w:val="both"/>
        <w:rPr>
          <w:rFonts w:cs="Times New Roman"/>
        </w:rPr>
      </w:pPr>
      <w:r w:rsidRPr="009A2157">
        <w:rPr>
          <w:rFonts w:cs="Times New Roman"/>
        </w:rPr>
        <w:t>5.3.3</w:t>
      </w:r>
      <w:r w:rsidR="00D3582B">
        <w:rPr>
          <w:rFonts w:cs="Times New Roman"/>
        </w:rPr>
        <w:t xml:space="preserve"> </w:t>
      </w:r>
      <w:r w:rsidR="00443C26" w:rsidRPr="009A2157">
        <w:rPr>
          <w:rFonts w:cs="Times New Roman"/>
        </w:rPr>
        <w:t>Adopt Best Practices from International Frameworks</w:t>
      </w:r>
      <w:bookmarkEnd w:id="225"/>
      <w:r w:rsidR="00D3582B">
        <w:rPr>
          <w:rFonts w:cs="Times New Roman"/>
        </w:rPr>
        <w:fldChar w:fldCharType="begin"/>
      </w:r>
      <w:r w:rsidR="00D3582B">
        <w:instrText xml:space="preserve"> TC "</w:instrText>
      </w:r>
      <w:bookmarkStart w:id="226" w:name="_Toc213301742"/>
      <w:r w:rsidR="00D3582B" w:rsidRPr="00C04383">
        <w:rPr>
          <w:rFonts w:cs="Times New Roman"/>
        </w:rPr>
        <w:instrText>5.3.3 Adopt Best Practices from International Frameworks</w:instrText>
      </w:r>
      <w:bookmarkEnd w:id="226"/>
      <w:r w:rsidR="00D3582B">
        <w:instrText xml:space="preserve">" \f C \l "1" </w:instrText>
      </w:r>
      <w:r w:rsidR="00D3582B">
        <w:rPr>
          <w:rFonts w:cs="Times New Roman"/>
        </w:rPr>
        <w:fldChar w:fldCharType="end"/>
      </w:r>
    </w:p>
    <w:p w:rsidR="00443C26" w:rsidRPr="009A2157" w:rsidRDefault="00443C26" w:rsidP="009A2157">
      <w:pPr>
        <w:pStyle w:val="NormalWeb"/>
        <w:spacing w:before="0" w:after="0"/>
        <w:rPr>
          <w:color w:val="000000" w:themeColor="text1"/>
        </w:rPr>
      </w:pPr>
      <w:r w:rsidRPr="009A2157">
        <w:rPr>
          <w:color w:val="000000" w:themeColor="text1"/>
        </w:rPr>
        <w:t>Benchmarking Tanzania’s legal framework against international best practices from countries like Australia, New Zealand, and Singapore is recommended. This includes integrating efficient governance structures, clear financial accountability measures, and accessible dispute resolution systems. Learning from these practices will modernize the Unit Titles Act and ensure it meets the demands of evolving property management systems.</w:t>
      </w:r>
    </w:p>
    <w:p w:rsidR="004504BF" w:rsidRDefault="004504BF" w:rsidP="00CA4906">
      <w:pPr>
        <w:pStyle w:val="Heading3"/>
        <w:spacing w:before="0" w:after="0"/>
        <w:jc w:val="both"/>
        <w:rPr>
          <w:rFonts w:cs="Times New Roman"/>
        </w:rPr>
      </w:pPr>
      <w:bookmarkStart w:id="227" w:name="_Toc194845453"/>
    </w:p>
    <w:p w:rsidR="00C45B16" w:rsidRPr="009A2157" w:rsidRDefault="009F2A99" w:rsidP="00CA4906">
      <w:pPr>
        <w:pStyle w:val="Heading3"/>
        <w:spacing w:before="0" w:after="0"/>
        <w:jc w:val="both"/>
        <w:rPr>
          <w:rFonts w:cs="Times New Roman"/>
        </w:rPr>
      </w:pPr>
      <w:r w:rsidRPr="009A2157">
        <w:rPr>
          <w:rFonts w:cs="Times New Roman"/>
        </w:rPr>
        <w:t>5.3.4</w:t>
      </w:r>
      <w:r w:rsidR="00D3582B">
        <w:rPr>
          <w:rFonts w:cs="Times New Roman"/>
        </w:rPr>
        <w:t xml:space="preserve"> </w:t>
      </w:r>
      <w:r w:rsidR="00443C26" w:rsidRPr="009A2157">
        <w:rPr>
          <w:rFonts w:cs="Times New Roman"/>
        </w:rPr>
        <w:t>Strengthen Capacity Building and Public Awareness Initiatives</w:t>
      </w:r>
      <w:bookmarkEnd w:id="227"/>
      <w:r w:rsidR="00D3582B">
        <w:rPr>
          <w:rFonts w:cs="Times New Roman"/>
        </w:rPr>
        <w:fldChar w:fldCharType="begin"/>
      </w:r>
      <w:r w:rsidR="00D3582B">
        <w:instrText xml:space="preserve"> TC "</w:instrText>
      </w:r>
      <w:bookmarkStart w:id="228" w:name="_Toc213301743"/>
      <w:r w:rsidR="00D3582B" w:rsidRPr="00320E20">
        <w:rPr>
          <w:rFonts w:cs="Times New Roman"/>
        </w:rPr>
        <w:instrText>5.3.4 Strengthen Capacity Building and Public Awareness Initiatives</w:instrText>
      </w:r>
      <w:bookmarkEnd w:id="228"/>
      <w:r w:rsidR="00D3582B">
        <w:instrText xml:space="preserve">" \f C \l "1" </w:instrText>
      </w:r>
      <w:r w:rsidR="00D3582B">
        <w:rPr>
          <w:rFonts w:cs="Times New Roman"/>
        </w:rPr>
        <w:fldChar w:fldCharType="end"/>
      </w:r>
    </w:p>
    <w:p w:rsidR="00443C26" w:rsidRPr="009A2157" w:rsidRDefault="00443C26" w:rsidP="009A2157">
      <w:pPr>
        <w:pStyle w:val="NormalWeb"/>
        <w:spacing w:before="0" w:after="0"/>
        <w:rPr>
          <w:color w:val="000000" w:themeColor="text1"/>
        </w:rPr>
      </w:pPr>
      <w:r w:rsidRPr="009A2157">
        <w:rPr>
          <w:color w:val="000000" w:themeColor="text1"/>
        </w:rPr>
        <w:t>The study recommends implementing capacity-building programs for legal practitioners, property developers, and unit owners to enhance their understanding of the UTA and its application. Public awareness campaigns should also be launched to educate citizens on their rights and responsibilities in co-ownership, fostering compliance and a culture of cooperation.</w:t>
      </w:r>
    </w:p>
    <w:p w:rsidR="004504BF" w:rsidRDefault="004504BF" w:rsidP="00CA4906">
      <w:pPr>
        <w:pStyle w:val="Heading3"/>
        <w:spacing w:before="0" w:after="0"/>
        <w:jc w:val="both"/>
        <w:rPr>
          <w:rFonts w:cs="Times New Roman"/>
        </w:rPr>
      </w:pPr>
      <w:bookmarkStart w:id="229" w:name="_Toc194845454"/>
    </w:p>
    <w:p w:rsidR="00C45B16" w:rsidRPr="009A2157" w:rsidRDefault="009F2A99" w:rsidP="00CA4906">
      <w:pPr>
        <w:pStyle w:val="Heading3"/>
        <w:spacing w:before="0" w:after="0"/>
        <w:jc w:val="both"/>
        <w:rPr>
          <w:rFonts w:cs="Times New Roman"/>
        </w:rPr>
      </w:pPr>
      <w:r w:rsidRPr="009A2157">
        <w:rPr>
          <w:rFonts w:cs="Times New Roman"/>
        </w:rPr>
        <w:t>5.3.5</w:t>
      </w:r>
      <w:r w:rsidR="00CA4906">
        <w:rPr>
          <w:rFonts w:cs="Times New Roman"/>
        </w:rPr>
        <w:t xml:space="preserve"> </w:t>
      </w:r>
      <w:r w:rsidR="00443C26" w:rsidRPr="009A2157">
        <w:rPr>
          <w:rFonts w:cs="Times New Roman"/>
        </w:rPr>
        <w:t>Enhance Regulatory Oversight and Enforcement</w:t>
      </w:r>
      <w:bookmarkEnd w:id="229"/>
      <w:r w:rsidR="00CA4906">
        <w:rPr>
          <w:rFonts w:cs="Times New Roman"/>
        </w:rPr>
        <w:fldChar w:fldCharType="begin"/>
      </w:r>
      <w:r w:rsidR="00CA4906">
        <w:instrText xml:space="preserve"> TC "</w:instrText>
      </w:r>
      <w:bookmarkStart w:id="230" w:name="_Toc213301744"/>
      <w:r w:rsidR="00CA4906" w:rsidRPr="00AD0B0A">
        <w:rPr>
          <w:rFonts w:cs="Times New Roman"/>
        </w:rPr>
        <w:instrText>5.3.5 Enhance Regulatory Oversight and Enforcement</w:instrText>
      </w:r>
      <w:bookmarkEnd w:id="230"/>
      <w:r w:rsidR="00CA4906">
        <w:instrText xml:space="preserve">" \f C \l "1" </w:instrText>
      </w:r>
      <w:r w:rsidR="00CA4906">
        <w:rPr>
          <w:rFonts w:cs="Times New Roman"/>
        </w:rPr>
        <w:fldChar w:fldCharType="end"/>
      </w:r>
    </w:p>
    <w:p w:rsidR="00B96FC7" w:rsidRPr="009A2157" w:rsidRDefault="00443C26" w:rsidP="009A2157">
      <w:pPr>
        <w:pStyle w:val="NormalWeb"/>
        <w:spacing w:before="0" w:after="0"/>
        <w:rPr>
          <w:color w:val="000000" w:themeColor="text1"/>
        </w:rPr>
      </w:pPr>
      <w:r w:rsidRPr="009A2157">
        <w:rPr>
          <w:color w:val="000000" w:themeColor="text1"/>
        </w:rPr>
        <w:t>To ensure consistent application of the Unit Titles Act, the study recommends the establishment of a dedicated regulatory body or strengthening existing institutions. This body should monitor compliance, address violations, and provide support for unit title governance. Improved oversight will enhance transparency, accountability, and the overall efficiency of unit title management in Tanzania</w:t>
      </w:r>
      <w:r w:rsidR="009F2A99" w:rsidRPr="009A2157">
        <w:rPr>
          <w:color w:val="000000" w:themeColor="text1"/>
        </w:rPr>
        <w:t>.</w:t>
      </w:r>
      <w:r w:rsidR="00783D0A" w:rsidRPr="009A2157">
        <w:rPr>
          <w:vanish/>
        </w:rPr>
        <w:t>Top of Form</w:t>
      </w:r>
    </w:p>
    <w:p w:rsidR="00B96FC7" w:rsidRPr="009A2157" w:rsidRDefault="0020743E" w:rsidP="009A2157">
      <w:pPr>
        <w:pStyle w:val="Heading1"/>
        <w:spacing w:before="0" w:after="0"/>
        <w:rPr>
          <w:rFonts w:cs="Times New Roman"/>
          <w:bCs/>
          <w:szCs w:val="24"/>
        </w:rPr>
      </w:pPr>
      <w:bookmarkStart w:id="231" w:name="_Toc194845455"/>
      <w:r w:rsidRPr="009A2157">
        <w:rPr>
          <w:rFonts w:cs="Times New Roman"/>
          <w:bCs/>
          <w:szCs w:val="24"/>
        </w:rPr>
        <w:t>REFERENCES</w:t>
      </w:r>
      <w:bookmarkEnd w:id="231"/>
      <w:r w:rsidR="00CA4906">
        <w:rPr>
          <w:rFonts w:cs="Times New Roman"/>
          <w:bCs/>
          <w:szCs w:val="24"/>
        </w:rPr>
        <w:fldChar w:fldCharType="begin"/>
      </w:r>
      <w:r w:rsidR="00CA4906">
        <w:instrText xml:space="preserve"> TC "</w:instrText>
      </w:r>
      <w:bookmarkStart w:id="232" w:name="_Toc213301745"/>
      <w:r w:rsidR="00CA4906" w:rsidRPr="00252F15">
        <w:rPr>
          <w:rFonts w:cs="Times New Roman"/>
          <w:bCs/>
          <w:szCs w:val="24"/>
        </w:rPr>
        <w:instrText>REFERENCES</w:instrText>
      </w:r>
      <w:bookmarkEnd w:id="232"/>
      <w:r w:rsidR="00CA4906">
        <w:instrText xml:space="preserve">" \f C \l "1" </w:instrText>
      </w:r>
      <w:r w:rsidR="00CA4906">
        <w:rPr>
          <w:rFonts w:cs="Times New Roman"/>
          <w:bCs/>
          <w:szCs w:val="24"/>
        </w:rPr>
        <w:fldChar w:fldCharType="end"/>
      </w:r>
    </w:p>
    <w:p w:rsidR="00FA6B70" w:rsidRPr="009A2157" w:rsidRDefault="00FA6B70" w:rsidP="00AE0A82">
      <w:pPr>
        <w:spacing w:before="0" w:after="0"/>
        <w:ind w:left="1134" w:hanging="1134"/>
      </w:pPr>
      <w:bookmarkStart w:id="233" w:name="_Hlk156025912"/>
      <w:proofErr w:type="gramStart"/>
      <w:r w:rsidRPr="009A2157">
        <w:t>Aikaeli, J., &amp;Markussen, T. (2017).</w:t>
      </w:r>
      <w:proofErr w:type="gramEnd"/>
      <w:r w:rsidRPr="009A2157">
        <w:t> </w:t>
      </w:r>
      <w:proofErr w:type="gramStart"/>
      <w:r w:rsidRPr="009A2157">
        <w:rPr>
          <w:i/>
          <w:iCs/>
        </w:rPr>
        <w:t>The effects of land titling in Tanzania</w:t>
      </w:r>
      <w:r w:rsidRPr="009A2157">
        <w:t> (No. 2017/168).</w:t>
      </w:r>
      <w:proofErr w:type="gramEnd"/>
      <w:r w:rsidRPr="009A2157">
        <w:t xml:space="preserve"> </w:t>
      </w:r>
      <w:proofErr w:type="gramStart"/>
      <w:r w:rsidRPr="009A2157">
        <w:t>WIDER Working Paper.</w:t>
      </w:r>
      <w:proofErr w:type="gramEnd"/>
    </w:p>
    <w:p w:rsidR="00FA6B70" w:rsidRPr="009A2157" w:rsidRDefault="00FA6B70" w:rsidP="00AE0A82">
      <w:pPr>
        <w:spacing w:before="0" w:after="0"/>
        <w:ind w:left="1134" w:hanging="1134"/>
      </w:pPr>
      <w:r w:rsidRPr="009A2157">
        <w:t>Alananga Sanga, S. (2018). The value of formal titles to land in residential property transactions: Evidence from Kinondoni Municipality Tanzania. </w:t>
      </w:r>
      <w:r w:rsidRPr="009A2157">
        <w:rPr>
          <w:i/>
          <w:iCs/>
        </w:rPr>
        <w:t>International Journal of Housing Markets and Analysis</w:t>
      </w:r>
      <w:r w:rsidRPr="009A2157">
        <w:t>, </w:t>
      </w:r>
      <w:r w:rsidRPr="009A2157">
        <w:rPr>
          <w:i/>
          <w:iCs/>
        </w:rPr>
        <w:t>11</w:t>
      </w:r>
      <w:r w:rsidRPr="009A2157">
        <w:t>(1), 117-148.</w:t>
      </w:r>
    </w:p>
    <w:p w:rsidR="00FA6B70" w:rsidRPr="009A2157" w:rsidRDefault="00FA6B70" w:rsidP="00AE0A82">
      <w:pPr>
        <w:spacing w:before="0" w:after="0"/>
        <w:ind w:left="1134" w:hanging="1134"/>
      </w:pPr>
      <w:proofErr w:type="gramStart"/>
      <w:r w:rsidRPr="009A2157">
        <w:rPr>
          <w:color w:val="222222"/>
          <w:shd w:val="clear" w:color="auto" w:fill="FFFFFF"/>
        </w:rPr>
        <w:t>Andriamihaja, O. R., Metz, F., Zaehringer, J. G., Fischer, M., &amp; Messerli, P. (2021).</w:t>
      </w:r>
      <w:proofErr w:type="gramEnd"/>
      <w:r w:rsidRPr="009A2157">
        <w:rPr>
          <w:color w:val="222222"/>
          <w:shd w:val="clear" w:color="auto" w:fill="FFFFFF"/>
        </w:rPr>
        <w:t xml:space="preserve"> </w:t>
      </w:r>
      <w:proofErr w:type="gramStart"/>
      <w:r w:rsidRPr="009A2157">
        <w:rPr>
          <w:color w:val="222222"/>
          <w:shd w:val="clear" w:color="auto" w:fill="FFFFFF"/>
        </w:rPr>
        <w:t>Identifying agents of change for sustainable land governance.</w:t>
      </w:r>
      <w:proofErr w:type="gramEnd"/>
      <w:r w:rsidRPr="009A2157">
        <w:rPr>
          <w:color w:val="222222"/>
          <w:shd w:val="clear" w:color="auto" w:fill="FFFFFF"/>
        </w:rPr>
        <w:t> </w:t>
      </w:r>
      <w:r w:rsidRPr="009A2157">
        <w:rPr>
          <w:i/>
          <w:iCs/>
          <w:color w:val="222222"/>
          <w:shd w:val="clear" w:color="auto" w:fill="FFFFFF"/>
        </w:rPr>
        <w:t>Land Use Policy</w:t>
      </w:r>
      <w:r w:rsidRPr="009A2157">
        <w:rPr>
          <w:color w:val="222222"/>
          <w:shd w:val="clear" w:color="auto" w:fill="FFFFFF"/>
        </w:rPr>
        <w:t>, </w:t>
      </w:r>
      <w:r w:rsidRPr="009A2157">
        <w:rPr>
          <w:i/>
          <w:iCs/>
          <w:color w:val="222222"/>
          <w:shd w:val="clear" w:color="auto" w:fill="FFFFFF"/>
        </w:rPr>
        <w:t>100</w:t>
      </w:r>
      <w:r w:rsidRPr="009A2157">
        <w:rPr>
          <w:color w:val="222222"/>
          <w:shd w:val="clear" w:color="auto" w:fill="FFFFFF"/>
        </w:rPr>
        <w:t>, 104882.</w:t>
      </w:r>
    </w:p>
    <w:p w:rsidR="00FA6B70" w:rsidRPr="009A2157" w:rsidRDefault="00FA6B70" w:rsidP="00AE0A82">
      <w:pPr>
        <w:spacing w:before="0" w:after="0"/>
        <w:ind w:left="1134" w:hanging="1134"/>
      </w:pPr>
      <w:r w:rsidRPr="009A2157">
        <w:t xml:space="preserve">Bennett, O. (2020). </w:t>
      </w:r>
      <w:proofErr w:type="gramStart"/>
      <w:r w:rsidRPr="009A2157">
        <w:t>"Navigating Legal Labyrinths: Procedural Challenges in Obtaining Unit Titles."</w:t>
      </w:r>
      <w:proofErr w:type="gramEnd"/>
      <w:r w:rsidRPr="009A2157">
        <w:t xml:space="preserve"> Journal of Property Law, 45(2), 210-230.</w:t>
      </w:r>
    </w:p>
    <w:p w:rsidR="00FA6B70" w:rsidRPr="009A2157" w:rsidRDefault="00FA6B70" w:rsidP="00AE0A82">
      <w:pPr>
        <w:spacing w:before="0" w:after="0"/>
        <w:ind w:left="1134" w:hanging="1134"/>
      </w:pPr>
      <w:proofErr w:type="gramStart"/>
      <w:r w:rsidRPr="009A2157">
        <w:rPr>
          <w:color w:val="222222"/>
          <w:shd w:val="clear" w:color="auto" w:fill="FFFFFF"/>
        </w:rPr>
        <w:t>Chawla, N., &amp; Kumar, B. (2022).</w:t>
      </w:r>
      <w:proofErr w:type="gramEnd"/>
      <w:r w:rsidRPr="009A2157">
        <w:rPr>
          <w:color w:val="222222"/>
          <w:shd w:val="clear" w:color="auto" w:fill="FFFFFF"/>
        </w:rPr>
        <w:t xml:space="preserve"> Indian real estate regulations and urban homebuyers: Impact assessment.</w:t>
      </w:r>
    </w:p>
    <w:p w:rsidR="00FA6B70" w:rsidRPr="009A2157" w:rsidRDefault="00FA6B70" w:rsidP="00AE0A82">
      <w:pPr>
        <w:spacing w:before="0" w:after="0"/>
        <w:ind w:left="1134" w:hanging="1134"/>
      </w:pPr>
      <w:r w:rsidRPr="009A2157">
        <w:t>Chen, G. (2019). "Documentation Challenges in Obtaining Unit Titles: A Legal Perspective." Journal of Property Documentation, 22(3), 301-320.</w:t>
      </w:r>
    </w:p>
    <w:p w:rsidR="00FA6B70" w:rsidRPr="009A2157" w:rsidRDefault="00FA6B70" w:rsidP="00AE0A82">
      <w:pPr>
        <w:spacing w:before="0" w:after="0"/>
        <w:ind w:left="1134" w:hanging="1134"/>
      </w:pPr>
      <w:r w:rsidRPr="009A2157">
        <w:rPr>
          <w:color w:val="222222"/>
          <w:shd w:val="clear" w:color="auto" w:fill="FFFFFF"/>
        </w:rPr>
        <w:t>Ferreira, D. B., &amp;Severo, L. (2021). Multiparty Mediation as Solution for Urban Conﬂicts: A Case Analysis from Brazil. </w:t>
      </w:r>
      <w:r w:rsidRPr="009A2157">
        <w:rPr>
          <w:i/>
          <w:iCs/>
          <w:color w:val="222222"/>
          <w:shd w:val="clear" w:color="auto" w:fill="FFFFFF"/>
        </w:rPr>
        <w:t>BRICS Law Journal</w:t>
      </w:r>
      <w:r w:rsidRPr="009A2157">
        <w:rPr>
          <w:color w:val="222222"/>
          <w:shd w:val="clear" w:color="auto" w:fill="FFFFFF"/>
        </w:rPr>
        <w:t>, </w:t>
      </w:r>
      <w:r w:rsidRPr="009A2157">
        <w:rPr>
          <w:i/>
          <w:iCs/>
          <w:color w:val="222222"/>
          <w:shd w:val="clear" w:color="auto" w:fill="FFFFFF"/>
        </w:rPr>
        <w:t>8</w:t>
      </w:r>
      <w:r w:rsidRPr="009A2157">
        <w:rPr>
          <w:color w:val="222222"/>
          <w:shd w:val="clear" w:color="auto" w:fill="FFFFFF"/>
        </w:rPr>
        <w:t>(3), 5-29.</w:t>
      </w:r>
    </w:p>
    <w:p w:rsidR="00FA6B70" w:rsidRPr="009A2157" w:rsidRDefault="00FA6B70" w:rsidP="00AE0A82">
      <w:pPr>
        <w:spacing w:before="0" w:after="0"/>
        <w:ind w:left="1134" w:hanging="1134"/>
      </w:pPr>
      <w:r w:rsidRPr="009A2157">
        <w:rPr>
          <w:color w:val="222222"/>
          <w:shd w:val="clear" w:color="auto" w:fill="FFFFFF"/>
        </w:rPr>
        <w:t>Gandhi, S., Green, R. K., &amp;Patranabis, S. (2022). Insecure property rights and the housing market: Explaining India’s housing vacancy paradox. </w:t>
      </w:r>
      <w:proofErr w:type="gramStart"/>
      <w:r w:rsidRPr="009A2157">
        <w:rPr>
          <w:i/>
          <w:iCs/>
          <w:color w:val="222222"/>
          <w:shd w:val="clear" w:color="auto" w:fill="FFFFFF"/>
        </w:rPr>
        <w:t>Journal of Urban Economics</w:t>
      </w:r>
      <w:r w:rsidRPr="009A2157">
        <w:rPr>
          <w:color w:val="222222"/>
          <w:shd w:val="clear" w:color="auto" w:fill="FFFFFF"/>
        </w:rPr>
        <w:t>, </w:t>
      </w:r>
      <w:r w:rsidRPr="009A2157">
        <w:rPr>
          <w:i/>
          <w:iCs/>
          <w:color w:val="222222"/>
          <w:shd w:val="clear" w:color="auto" w:fill="FFFFFF"/>
        </w:rPr>
        <w:t>131</w:t>
      </w:r>
      <w:r w:rsidRPr="009A2157">
        <w:rPr>
          <w:color w:val="222222"/>
          <w:shd w:val="clear" w:color="auto" w:fill="FFFFFF"/>
        </w:rPr>
        <w:t>, 103490.</w:t>
      </w:r>
      <w:proofErr w:type="gramEnd"/>
    </w:p>
    <w:p w:rsidR="00FA6B70" w:rsidRPr="009A2157" w:rsidRDefault="00FA6B70" w:rsidP="00AE0A82">
      <w:pPr>
        <w:spacing w:before="0" w:after="0"/>
        <w:ind w:left="1134" w:hanging="1134"/>
      </w:pPr>
      <w:proofErr w:type="gramStart"/>
      <w:r w:rsidRPr="009A2157">
        <w:rPr>
          <w:color w:val="222222"/>
          <w:shd w:val="clear" w:color="auto" w:fill="FFFFFF"/>
        </w:rPr>
        <w:t>Goubran, S., Walker, T., Cucuzzella, C., &amp; Schwartz, T. (2023).</w:t>
      </w:r>
      <w:proofErr w:type="gramEnd"/>
      <w:r w:rsidRPr="009A2157">
        <w:rPr>
          <w:color w:val="222222"/>
          <w:shd w:val="clear" w:color="auto" w:fill="FFFFFF"/>
        </w:rPr>
        <w:t xml:space="preserve"> Green building standards and the </w:t>
      </w:r>
      <w:proofErr w:type="gramStart"/>
      <w:r w:rsidRPr="009A2157">
        <w:rPr>
          <w:color w:val="222222"/>
          <w:shd w:val="clear" w:color="auto" w:fill="FFFFFF"/>
        </w:rPr>
        <w:t>united nations</w:t>
      </w:r>
      <w:proofErr w:type="gramEnd"/>
      <w:r w:rsidRPr="009A2157">
        <w:rPr>
          <w:color w:val="222222"/>
          <w:shd w:val="clear" w:color="auto" w:fill="FFFFFF"/>
        </w:rPr>
        <w:t>’ sustainable development goals. </w:t>
      </w:r>
      <w:proofErr w:type="gramStart"/>
      <w:r w:rsidRPr="009A2157">
        <w:rPr>
          <w:i/>
          <w:iCs/>
          <w:color w:val="222222"/>
          <w:shd w:val="clear" w:color="auto" w:fill="FFFFFF"/>
        </w:rPr>
        <w:t>Journal of Environmental Management</w:t>
      </w:r>
      <w:r w:rsidRPr="009A2157">
        <w:rPr>
          <w:color w:val="222222"/>
          <w:shd w:val="clear" w:color="auto" w:fill="FFFFFF"/>
        </w:rPr>
        <w:t>, </w:t>
      </w:r>
      <w:r w:rsidRPr="009A2157">
        <w:rPr>
          <w:i/>
          <w:iCs/>
          <w:color w:val="222222"/>
          <w:shd w:val="clear" w:color="auto" w:fill="FFFFFF"/>
        </w:rPr>
        <w:t>326</w:t>
      </w:r>
      <w:r w:rsidRPr="009A2157">
        <w:rPr>
          <w:color w:val="222222"/>
          <w:shd w:val="clear" w:color="auto" w:fill="FFFFFF"/>
        </w:rPr>
        <w:t>, 116552.</w:t>
      </w:r>
      <w:proofErr w:type="gramEnd"/>
    </w:p>
    <w:p w:rsidR="00FA6B70" w:rsidRPr="009A2157" w:rsidRDefault="00FA6B70" w:rsidP="00AE0A82">
      <w:pPr>
        <w:spacing w:before="0" w:after="0"/>
        <w:ind w:left="1134" w:hanging="1134"/>
      </w:pPr>
      <w:r w:rsidRPr="009A2157">
        <w:rPr>
          <w:color w:val="222222"/>
          <w:shd w:val="clear" w:color="auto" w:fill="FFFFFF"/>
        </w:rPr>
        <w:t>Grisdale, S., &amp; Walks, A. (2022). Rise overrun: condoization, gentrification, and the changing political economy of renting in Toronto. </w:t>
      </w:r>
      <w:r w:rsidRPr="009A2157">
        <w:rPr>
          <w:i/>
          <w:iCs/>
          <w:color w:val="222222"/>
          <w:shd w:val="clear" w:color="auto" w:fill="FFFFFF"/>
        </w:rPr>
        <w:t>Urban Planning</w:t>
      </w:r>
      <w:r w:rsidRPr="009A2157">
        <w:rPr>
          <w:color w:val="222222"/>
          <w:shd w:val="clear" w:color="auto" w:fill="FFFFFF"/>
        </w:rPr>
        <w:t>, </w:t>
      </w:r>
      <w:r w:rsidRPr="009A2157">
        <w:rPr>
          <w:i/>
          <w:iCs/>
          <w:color w:val="222222"/>
          <w:shd w:val="clear" w:color="auto" w:fill="FFFFFF"/>
        </w:rPr>
        <w:t>7</w:t>
      </w:r>
      <w:r w:rsidRPr="009A2157">
        <w:rPr>
          <w:color w:val="222222"/>
          <w:shd w:val="clear" w:color="auto" w:fill="FFFFFF"/>
        </w:rPr>
        <w:t>(4), 229-244.</w:t>
      </w:r>
    </w:p>
    <w:p w:rsidR="00FA6B70" w:rsidRPr="009A2157" w:rsidRDefault="00FA6B70" w:rsidP="00AE0A82">
      <w:pPr>
        <w:spacing w:before="0" w:after="0"/>
        <w:ind w:left="1134" w:hanging="1134"/>
      </w:pPr>
      <w:r w:rsidRPr="009A2157">
        <w:rPr>
          <w:color w:val="222222"/>
          <w:shd w:val="clear" w:color="auto" w:fill="FFFFFF"/>
        </w:rPr>
        <w:t xml:space="preserve">Hadi, S. K. T. (2023). Latest Amendment </w:t>
      </w:r>
      <w:proofErr w:type="gramStart"/>
      <w:r w:rsidRPr="009A2157">
        <w:rPr>
          <w:color w:val="222222"/>
          <w:shd w:val="clear" w:color="auto" w:fill="FFFFFF"/>
        </w:rPr>
        <w:t>To</w:t>
      </w:r>
      <w:proofErr w:type="gramEnd"/>
      <w:r w:rsidRPr="009A2157">
        <w:rPr>
          <w:color w:val="222222"/>
          <w:shd w:val="clear" w:color="auto" w:fill="FFFFFF"/>
        </w:rPr>
        <w:t xml:space="preserve"> Strata Titles Act 1985: Delivery Of Vacant Possession With Strata Titles. </w:t>
      </w:r>
      <w:r w:rsidRPr="009A2157">
        <w:rPr>
          <w:i/>
          <w:iCs/>
          <w:color w:val="222222"/>
          <w:shd w:val="clear" w:color="auto" w:fill="FFFFFF"/>
        </w:rPr>
        <w:t>Jurnal LAND</w:t>
      </w:r>
      <w:r w:rsidRPr="009A2157">
        <w:rPr>
          <w:color w:val="222222"/>
          <w:shd w:val="clear" w:color="auto" w:fill="FFFFFF"/>
        </w:rPr>
        <w:t>, </w:t>
      </w:r>
      <w:r w:rsidRPr="009A2157">
        <w:rPr>
          <w:i/>
          <w:iCs/>
          <w:color w:val="222222"/>
          <w:shd w:val="clear" w:color="auto" w:fill="FFFFFF"/>
        </w:rPr>
        <w:t>5</w:t>
      </w:r>
      <w:r w:rsidRPr="009A2157">
        <w:rPr>
          <w:color w:val="222222"/>
          <w:shd w:val="clear" w:color="auto" w:fill="FFFFFF"/>
        </w:rPr>
        <w:t>(1), 41-60.</w:t>
      </w:r>
    </w:p>
    <w:p w:rsidR="00FA6B70" w:rsidRPr="009A2157" w:rsidRDefault="00FA6B70" w:rsidP="00AE0A82">
      <w:pPr>
        <w:spacing w:before="0" w:after="0"/>
        <w:ind w:left="1134" w:hanging="1134"/>
        <w:rPr>
          <w:color w:val="222222"/>
          <w:shd w:val="clear" w:color="auto" w:fill="FFFFFF"/>
        </w:rPr>
      </w:pPr>
      <w:r w:rsidRPr="009A2157">
        <w:rPr>
          <w:color w:val="222222"/>
          <w:shd w:val="clear" w:color="auto" w:fill="FFFFFF"/>
        </w:rPr>
        <w:t>Harris, D. C., &amp; Patterson, G. (2024). Condominium to the country: the sprawl of ownership within private local government in British Columbia. </w:t>
      </w:r>
      <w:r w:rsidRPr="009A2157">
        <w:rPr>
          <w:i/>
          <w:iCs/>
          <w:color w:val="222222"/>
          <w:shd w:val="clear" w:color="auto" w:fill="FFFFFF"/>
        </w:rPr>
        <w:t>Law &amp; Social Inquiry</w:t>
      </w:r>
      <w:r w:rsidRPr="009A2157">
        <w:rPr>
          <w:color w:val="222222"/>
          <w:shd w:val="clear" w:color="auto" w:fill="FFFFFF"/>
        </w:rPr>
        <w:t>, </w:t>
      </w:r>
      <w:r w:rsidRPr="009A2157">
        <w:rPr>
          <w:i/>
          <w:iCs/>
          <w:color w:val="222222"/>
          <w:shd w:val="clear" w:color="auto" w:fill="FFFFFF"/>
        </w:rPr>
        <w:t>49</w:t>
      </w:r>
      <w:r w:rsidRPr="009A2157">
        <w:rPr>
          <w:color w:val="222222"/>
          <w:shd w:val="clear" w:color="auto" w:fill="FFFFFF"/>
        </w:rPr>
        <w:t>(2), 877-915.</w:t>
      </w:r>
    </w:p>
    <w:p w:rsidR="00FA6B70" w:rsidRPr="009A2157" w:rsidRDefault="00FA6B70" w:rsidP="00AE0A82">
      <w:pPr>
        <w:spacing w:before="0" w:after="0"/>
        <w:ind w:left="1134" w:hanging="1134"/>
      </w:pPr>
      <w:r w:rsidRPr="009A2157">
        <w:t>Harrison, S. (2018). "Zoning Assessments in Unit Title Acquisition: Legal Complexities and Implications." Real Estate Law Journal, 30(1), 55-78.</w:t>
      </w:r>
    </w:p>
    <w:p w:rsidR="00FA6B70" w:rsidRPr="009A2157" w:rsidRDefault="00FA6B70" w:rsidP="00AE0A82">
      <w:pPr>
        <w:spacing w:before="0" w:after="0"/>
        <w:ind w:left="1134" w:hanging="1134"/>
      </w:pPr>
      <w:proofErr w:type="gramStart"/>
      <w:r w:rsidRPr="009A2157">
        <w:rPr>
          <w:color w:val="222222"/>
          <w:shd w:val="clear" w:color="auto" w:fill="FFFFFF"/>
        </w:rPr>
        <w:t>Hassan, M., &amp; Klaus, K. (2023).</w:t>
      </w:r>
      <w:proofErr w:type="gramEnd"/>
      <w:r w:rsidRPr="009A2157">
        <w:rPr>
          <w:color w:val="222222"/>
          <w:shd w:val="clear" w:color="auto" w:fill="FFFFFF"/>
        </w:rPr>
        <w:t xml:space="preserve"> </w:t>
      </w:r>
      <w:proofErr w:type="gramStart"/>
      <w:r w:rsidRPr="009A2157">
        <w:rPr>
          <w:color w:val="222222"/>
          <w:shd w:val="clear" w:color="auto" w:fill="FFFFFF"/>
        </w:rPr>
        <w:t>Closing the gap: the politics of property rights in Kenya.</w:t>
      </w:r>
      <w:proofErr w:type="gramEnd"/>
      <w:r w:rsidRPr="009A2157">
        <w:rPr>
          <w:color w:val="222222"/>
          <w:shd w:val="clear" w:color="auto" w:fill="FFFFFF"/>
        </w:rPr>
        <w:t> </w:t>
      </w:r>
      <w:r w:rsidRPr="009A2157">
        <w:rPr>
          <w:i/>
          <w:iCs/>
          <w:color w:val="222222"/>
          <w:shd w:val="clear" w:color="auto" w:fill="FFFFFF"/>
        </w:rPr>
        <w:t>World Politics</w:t>
      </w:r>
      <w:r w:rsidRPr="009A2157">
        <w:rPr>
          <w:color w:val="222222"/>
          <w:shd w:val="clear" w:color="auto" w:fill="FFFFFF"/>
        </w:rPr>
        <w:t>, </w:t>
      </w:r>
      <w:r w:rsidRPr="009A2157">
        <w:rPr>
          <w:i/>
          <w:iCs/>
          <w:color w:val="222222"/>
          <w:shd w:val="clear" w:color="auto" w:fill="FFFFFF"/>
        </w:rPr>
        <w:t>75</w:t>
      </w:r>
      <w:r w:rsidRPr="009A2157">
        <w:rPr>
          <w:color w:val="222222"/>
          <w:shd w:val="clear" w:color="auto" w:fill="FFFFFF"/>
        </w:rPr>
        <w:t>(2), 233-279.</w:t>
      </w:r>
    </w:p>
    <w:p w:rsidR="00FA6B70" w:rsidRPr="009A2157" w:rsidRDefault="00FA6B70" w:rsidP="00AE0A82">
      <w:pPr>
        <w:spacing w:before="0" w:after="0"/>
        <w:ind w:left="1134" w:hanging="1134"/>
      </w:pPr>
      <w:r w:rsidRPr="009A2157">
        <w:rPr>
          <w:color w:val="222222"/>
          <w:shd w:val="clear" w:color="auto" w:fill="FFFFFF"/>
        </w:rPr>
        <w:t>Johnston, N. (2021). Law reform challenges: An evaluation of Australia’s strata law trends and implications. In </w:t>
      </w:r>
      <w:r w:rsidRPr="009A2157">
        <w:rPr>
          <w:i/>
          <w:iCs/>
          <w:color w:val="222222"/>
          <w:shd w:val="clear" w:color="auto" w:fill="FFFFFF"/>
        </w:rPr>
        <w:t>Condominium Governance and Law in Global Urban Context</w:t>
      </w:r>
      <w:r w:rsidRPr="009A2157">
        <w:rPr>
          <w:color w:val="222222"/>
          <w:shd w:val="clear" w:color="auto" w:fill="FFFFFF"/>
        </w:rPr>
        <w:t xml:space="preserve"> (pp. 179-196). </w:t>
      </w:r>
      <w:proofErr w:type="gramStart"/>
      <w:r w:rsidRPr="009A2157">
        <w:rPr>
          <w:color w:val="222222"/>
          <w:shd w:val="clear" w:color="auto" w:fill="FFFFFF"/>
        </w:rPr>
        <w:t>Routledge.</w:t>
      </w:r>
      <w:proofErr w:type="gramEnd"/>
    </w:p>
    <w:p w:rsidR="00FA6B70" w:rsidRPr="009A2157" w:rsidRDefault="00FA6B70" w:rsidP="00AE0A82">
      <w:pPr>
        <w:spacing w:before="0" w:after="0"/>
        <w:ind w:left="1134" w:hanging="1134"/>
      </w:pPr>
      <w:proofErr w:type="gramStart"/>
      <w:r w:rsidRPr="009A2157">
        <w:rPr>
          <w:color w:val="222222"/>
          <w:shd w:val="clear" w:color="auto" w:fill="FFFFFF"/>
        </w:rPr>
        <w:t>Karjiker, S. (2021).</w:t>
      </w:r>
      <w:proofErr w:type="gramEnd"/>
      <w:r w:rsidRPr="009A2157">
        <w:rPr>
          <w:color w:val="222222"/>
          <w:shd w:val="clear" w:color="auto" w:fill="FFFFFF"/>
        </w:rPr>
        <w:t xml:space="preserve"> Should South Africa adopt fair use? </w:t>
      </w:r>
      <w:proofErr w:type="gramStart"/>
      <w:r w:rsidRPr="009A2157">
        <w:rPr>
          <w:color w:val="222222"/>
          <w:shd w:val="clear" w:color="auto" w:fill="FFFFFF"/>
        </w:rPr>
        <w:t>Cutting through the rhetoric.</w:t>
      </w:r>
      <w:proofErr w:type="gramEnd"/>
      <w:r w:rsidRPr="009A2157">
        <w:rPr>
          <w:color w:val="222222"/>
          <w:shd w:val="clear" w:color="auto" w:fill="FFFFFF"/>
        </w:rPr>
        <w:t> </w:t>
      </w:r>
      <w:r w:rsidRPr="009A2157">
        <w:rPr>
          <w:i/>
          <w:iCs/>
          <w:color w:val="222222"/>
          <w:shd w:val="clear" w:color="auto" w:fill="FFFFFF"/>
        </w:rPr>
        <w:t>Journal of South African Law/Tydskrifvir die Suid-Afrikaanse Reg</w:t>
      </w:r>
      <w:r w:rsidRPr="009A2157">
        <w:rPr>
          <w:color w:val="222222"/>
          <w:shd w:val="clear" w:color="auto" w:fill="FFFFFF"/>
        </w:rPr>
        <w:t>, </w:t>
      </w:r>
      <w:r w:rsidRPr="009A2157">
        <w:rPr>
          <w:i/>
          <w:iCs/>
          <w:color w:val="222222"/>
          <w:shd w:val="clear" w:color="auto" w:fill="FFFFFF"/>
        </w:rPr>
        <w:t>2021</w:t>
      </w:r>
      <w:r w:rsidRPr="009A2157">
        <w:rPr>
          <w:color w:val="222222"/>
          <w:shd w:val="clear" w:color="auto" w:fill="FFFFFF"/>
        </w:rPr>
        <w:t>(2), 240-255.</w:t>
      </w:r>
    </w:p>
    <w:p w:rsidR="00FA6B70" w:rsidRPr="009A2157" w:rsidRDefault="00FA6B70" w:rsidP="00AE0A82">
      <w:pPr>
        <w:spacing w:before="0" w:after="0"/>
        <w:ind w:left="1134" w:hanging="1134"/>
      </w:pPr>
      <w:proofErr w:type="gramStart"/>
      <w:r w:rsidRPr="009A2157">
        <w:t>Kassa, W. (2018).</w:t>
      </w:r>
      <w:proofErr w:type="gramEnd"/>
      <w:r w:rsidRPr="009A2157">
        <w:t xml:space="preserve"> Land titling, local governance and investment: an empirical investigation in Tanzania. </w:t>
      </w:r>
      <w:proofErr w:type="gramStart"/>
      <w:r w:rsidRPr="009A2157">
        <w:rPr>
          <w:i/>
          <w:iCs/>
        </w:rPr>
        <w:t>Journal of Sustainable Development</w:t>
      </w:r>
      <w:r w:rsidRPr="009A2157">
        <w:t>, </w:t>
      </w:r>
      <w:r w:rsidRPr="009A2157">
        <w:rPr>
          <w:i/>
          <w:iCs/>
        </w:rPr>
        <w:t>11</w:t>
      </w:r>
      <w:r w:rsidRPr="009A2157">
        <w:t>(1), 56.</w:t>
      </w:r>
      <w:proofErr w:type="gramEnd"/>
    </w:p>
    <w:p w:rsidR="00FA6B70" w:rsidRPr="009A2157" w:rsidRDefault="00FA6B70" w:rsidP="00AE0A82">
      <w:pPr>
        <w:spacing w:before="0" w:after="0"/>
        <w:ind w:left="1134" w:hanging="1134"/>
      </w:pPr>
      <w:proofErr w:type="gramStart"/>
      <w:r w:rsidRPr="009A2157">
        <w:rPr>
          <w:color w:val="222222"/>
          <w:shd w:val="clear" w:color="auto" w:fill="FFFFFF"/>
        </w:rPr>
        <w:t>KeangSood, T. (2023).</w:t>
      </w:r>
      <w:proofErr w:type="gramEnd"/>
      <w:r w:rsidRPr="009A2157">
        <w:rPr>
          <w:color w:val="222222"/>
          <w:shd w:val="clear" w:color="auto" w:fill="FFFFFF"/>
        </w:rPr>
        <w:t xml:space="preserve"> </w:t>
      </w:r>
      <w:proofErr w:type="gramStart"/>
      <w:r w:rsidRPr="009A2157">
        <w:rPr>
          <w:color w:val="222222"/>
          <w:shd w:val="clear" w:color="auto" w:fill="FFFFFF"/>
        </w:rPr>
        <w:t>Land law.</w:t>
      </w:r>
      <w:proofErr w:type="gramEnd"/>
      <w:r w:rsidRPr="009A2157">
        <w:rPr>
          <w:color w:val="222222"/>
          <w:shd w:val="clear" w:color="auto" w:fill="FFFFFF"/>
        </w:rPr>
        <w:t> </w:t>
      </w:r>
      <w:r w:rsidRPr="009A2157">
        <w:rPr>
          <w:i/>
          <w:iCs/>
          <w:color w:val="222222"/>
          <w:shd w:val="clear" w:color="auto" w:fill="FFFFFF"/>
        </w:rPr>
        <w:t>Singapore Academy of Law Annual Review of Singapore Cases</w:t>
      </w:r>
      <w:r w:rsidRPr="009A2157">
        <w:rPr>
          <w:color w:val="222222"/>
          <w:shd w:val="clear" w:color="auto" w:fill="FFFFFF"/>
        </w:rPr>
        <w:t>, </w:t>
      </w:r>
      <w:r w:rsidRPr="009A2157">
        <w:rPr>
          <w:i/>
          <w:iCs/>
          <w:color w:val="222222"/>
          <w:shd w:val="clear" w:color="auto" w:fill="FFFFFF"/>
        </w:rPr>
        <w:t>24</w:t>
      </w:r>
      <w:r w:rsidRPr="009A2157">
        <w:rPr>
          <w:color w:val="222222"/>
          <w:shd w:val="clear" w:color="auto" w:fill="FFFFFF"/>
        </w:rPr>
        <w:t>, 647-681.</w:t>
      </w:r>
    </w:p>
    <w:p w:rsidR="00FA6B70" w:rsidRPr="009A2157" w:rsidRDefault="00FA6B70" w:rsidP="00AE0A82">
      <w:pPr>
        <w:spacing w:before="0" w:after="0"/>
        <w:ind w:left="1134" w:hanging="1134"/>
      </w:pPr>
      <w:r w:rsidRPr="009A2157">
        <w:rPr>
          <w:color w:val="222222"/>
          <w:shd w:val="clear" w:color="auto" w:fill="FFFFFF"/>
        </w:rPr>
        <w:t xml:space="preserve">Kim, C. (2021). </w:t>
      </w:r>
      <w:proofErr w:type="gramStart"/>
      <w:r w:rsidRPr="009A2157">
        <w:rPr>
          <w:color w:val="222222"/>
          <w:shd w:val="clear" w:color="auto" w:fill="FFFFFF"/>
        </w:rPr>
        <w:t>A review of the deployment programs, impact, and barriers of renewable energy policies in Korea.</w:t>
      </w:r>
      <w:proofErr w:type="gramEnd"/>
      <w:r w:rsidRPr="009A2157">
        <w:rPr>
          <w:color w:val="222222"/>
          <w:shd w:val="clear" w:color="auto" w:fill="FFFFFF"/>
        </w:rPr>
        <w:t> </w:t>
      </w:r>
      <w:proofErr w:type="gramStart"/>
      <w:r w:rsidRPr="009A2157">
        <w:rPr>
          <w:i/>
          <w:iCs/>
          <w:color w:val="222222"/>
          <w:shd w:val="clear" w:color="auto" w:fill="FFFFFF"/>
        </w:rPr>
        <w:t>Renewable and Sustainable Energy Reviews</w:t>
      </w:r>
      <w:r w:rsidRPr="009A2157">
        <w:rPr>
          <w:color w:val="222222"/>
          <w:shd w:val="clear" w:color="auto" w:fill="FFFFFF"/>
        </w:rPr>
        <w:t>, </w:t>
      </w:r>
      <w:r w:rsidRPr="009A2157">
        <w:rPr>
          <w:i/>
          <w:iCs/>
          <w:color w:val="222222"/>
          <w:shd w:val="clear" w:color="auto" w:fill="FFFFFF"/>
        </w:rPr>
        <w:t>144</w:t>
      </w:r>
      <w:r w:rsidRPr="009A2157">
        <w:rPr>
          <w:color w:val="222222"/>
          <w:shd w:val="clear" w:color="auto" w:fill="FFFFFF"/>
        </w:rPr>
        <w:t>, 110870.</w:t>
      </w:r>
      <w:proofErr w:type="gramEnd"/>
    </w:p>
    <w:p w:rsidR="00FA6B70" w:rsidRPr="009A2157" w:rsidRDefault="00FA6B70" w:rsidP="00AE0A82">
      <w:pPr>
        <w:spacing w:before="0" w:after="0"/>
        <w:ind w:left="1134" w:hanging="1134"/>
      </w:pPr>
      <w:proofErr w:type="gramStart"/>
      <w:r w:rsidRPr="009A2157">
        <w:rPr>
          <w:color w:val="222222"/>
          <w:shd w:val="clear" w:color="auto" w:fill="FFFFFF"/>
        </w:rPr>
        <w:t>Kisira, S., &amp; Jack, B. (2024).</w:t>
      </w:r>
      <w:proofErr w:type="gramEnd"/>
      <w:r w:rsidRPr="009A2157">
        <w:rPr>
          <w:color w:val="222222"/>
          <w:shd w:val="clear" w:color="auto" w:fill="FFFFFF"/>
        </w:rPr>
        <w:t xml:space="preserve"> Achieving the Africa we want through the Second Ten-Year Implementation Plan of the African Union Agenda 2063. </w:t>
      </w:r>
      <w:r w:rsidRPr="009A2157">
        <w:rPr>
          <w:i/>
          <w:iCs/>
          <w:color w:val="222222"/>
          <w:shd w:val="clear" w:color="auto" w:fill="FFFFFF"/>
        </w:rPr>
        <w:t>Occupational Health Southern Africa</w:t>
      </w:r>
      <w:r w:rsidRPr="009A2157">
        <w:rPr>
          <w:color w:val="222222"/>
          <w:shd w:val="clear" w:color="auto" w:fill="FFFFFF"/>
        </w:rPr>
        <w:t>, </w:t>
      </w:r>
      <w:r w:rsidRPr="009A2157">
        <w:rPr>
          <w:i/>
          <w:iCs/>
          <w:color w:val="222222"/>
          <w:shd w:val="clear" w:color="auto" w:fill="FFFFFF"/>
        </w:rPr>
        <w:t>30</w:t>
      </w:r>
      <w:r w:rsidRPr="009A2157">
        <w:rPr>
          <w:color w:val="222222"/>
          <w:shd w:val="clear" w:color="auto" w:fill="FFFFFF"/>
        </w:rPr>
        <w:t>(si1), 54-56.</w:t>
      </w:r>
    </w:p>
    <w:p w:rsidR="00FA6B70" w:rsidRPr="009A2157" w:rsidRDefault="00FA6B70" w:rsidP="00AE0A82">
      <w:pPr>
        <w:spacing w:before="0" w:after="0"/>
        <w:ind w:left="1134" w:hanging="1134"/>
      </w:pPr>
      <w:r w:rsidRPr="009A2157">
        <w:rPr>
          <w:color w:val="222222"/>
          <w:shd w:val="clear" w:color="auto" w:fill="FFFFFF"/>
        </w:rPr>
        <w:t>Lavallee, J. (2023). Is It Time for Commonhold to Become Commonplace in England and Wales</w:t>
      </w:r>
      <w:proofErr w:type="gramStart"/>
      <w:r w:rsidRPr="009A2157">
        <w:rPr>
          <w:color w:val="222222"/>
          <w:shd w:val="clear" w:color="auto" w:fill="FFFFFF"/>
        </w:rPr>
        <w:t>?.</w:t>
      </w:r>
      <w:proofErr w:type="gramEnd"/>
      <w:r w:rsidRPr="009A2157">
        <w:rPr>
          <w:color w:val="222222"/>
          <w:shd w:val="clear" w:color="auto" w:fill="FFFFFF"/>
        </w:rPr>
        <w:t> </w:t>
      </w:r>
      <w:r w:rsidRPr="009A2157">
        <w:rPr>
          <w:i/>
          <w:iCs/>
          <w:color w:val="222222"/>
          <w:shd w:val="clear" w:color="auto" w:fill="FFFFFF"/>
        </w:rPr>
        <w:t>Aberdeen Student L. Rev.</w:t>
      </w:r>
      <w:r w:rsidRPr="009A2157">
        <w:rPr>
          <w:color w:val="222222"/>
          <w:shd w:val="clear" w:color="auto" w:fill="FFFFFF"/>
        </w:rPr>
        <w:t>, </w:t>
      </w:r>
      <w:r w:rsidRPr="009A2157">
        <w:rPr>
          <w:i/>
          <w:iCs/>
          <w:color w:val="222222"/>
          <w:shd w:val="clear" w:color="auto" w:fill="FFFFFF"/>
        </w:rPr>
        <w:t>12</w:t>
      </w:r>
      <w:r w:rsidRPr="009A2157">
        <w:rPr>
          <w:color w:val="222222"/>
          <w:shd w:val="clear" w:color="auto" w:fill="FFFFFF"/>
        </w:rPr>
        <w:t>, 34.</w:t>
      </w:r>
    </w:p>
    <w:p w:rsidR="00FA6B70" w:rsidRPr="009A2157" w:rsidRDefault="00FA6B70" w:rsidP="00AE0A82">
      <w:pPr>
        <w:spacing w:before="0" w:after="0"/>
        <w:ind w:left="1134" w:hanging="1134"/>
      </w:pPr>
      <w:proofErr w:type="gramStart"/>
      <w:r w:rsidRPr="009A2157">
        <w:rPr>
          <w:color w:val="222222"/>
          <w:shd w:val="clear" w:color="auto" w:fill="FFFFFF"/>
        </w:rPr>
        <w:t>Levy, A. (2023).</w:t>
      </w:r>
      <w:proofErr w:type="gramEnd"/>
      <w:r w:rsidRPr="009A2157">
        <w:rPr>
          <w:color w:val="222222"/>
          <w:shd w:val="clear" w:color="auto" w:fill="FFFFFF"/>
        </w:rPr>
        <w:t xml:space="preserve"> </w:t>
      </w:r>
      <w:proofErr w:type="gramStart"/>
      <w:r w:rsidRPr="009A2157">
        <w:rPr>
          <w:color w:val="222222"/>
          <w:shd w:val="clear" w:color="auto" w:fill="FFFFFF"/>
        </w:rPr>
        <w:t>The Potential of Systematic Land Registration as a Tool for Jamaica's Sustainable Development.</w:t>
      </w:r>
      <w:proofErr w:type="gramEnd"/>
      <w:r w:rsidRPr="009A2157">
        <w:rPr>
          <w:color w:val="222222"/>
          <w:shd w:val="clear" w:color="auto" w:fill="FFFFFF"/>
        </w:rPr>
        <w:t> </w:t>
      </w:r>
      <w:proofErr w:type="gramStart"/>
      <w:r w:rsidRPr="009A2157">
        <w:rPr>
          <w:i/>
          <w:iCs/>
          <w:color w:val="222222"/>
          <w:shd w:val="clear" w:color="auto" w:fill="FFFFFF"/>
        </w:rPr>
        <w:t>Journal of Arts Science &amp; Technology</w:t>
      </w:r>
      <w:r w:rsidRPr="009A2157">
        <w:rPr>
          <w:color w:val="222222"/>
          <w:shd w:val="clear" w:color="auto" w:fill="FFFFFF"/>
        </w:rPr>
        <w:t>, </w:t>
      </w:r>
      <w:r w:rsidRPr="009A2157">
        <w:rPr>
          <w:i/>
          <w:iCs/>
          <w:color w:val="222222"/>
          <w:shd w:val="clear" w:color="auto" w:fill="FFFFFF"/>
        </w:rPr>
        <w:t>14</w:t>
      </w:r>
      <w:r w:rsidRPr="009A2157">
        <w:rPr>
          <w:color w:val="222222"/>
          <w:shd w:val="clear" w:color="auto" w:fill="FFFFFF"/>
        </w:rPr>
        <w:t>(2).</w:t>
      </w:r>
      <w:proofErr w:type="gramEnd"/>
    </w:p>
    <w:p w:rsidR="00FA6B70" w:rsidRPr="009A2157" w:rsidRDefault="00FA6B70" w:rsidP="00AE0A82">
      <w:pPr>
        <w:spacing w:before="0" w:after="0"/>
        <w:ind w:left="1134" w:hanging="1134"/>
      </w:pPr>
      <w:r w:rsidRPr="009A2157">
        <w:rPr>
          <w:color w:val="222222"/>
          <w:shd w:val="clear" w:color="auto" w:fill="FFFFFF"/>
        </w:rPr>
        <w:t>Lippert, R. K., &amp;Treffers, S. (2021). Introduction: Condominium governance and law in global urban context. In </w:t>
      </w:r>
      <w:r w:rsidRPr="009A2157">
        <w:rPr>
          <w:i/>
          <w:iCs/>
          <w:color w:val="222222"/>
          <w:shd w:val="clear" w:color="auto" w:fill="FFFFFF"/>
        </w:rPr>
        <w:t>Condominium Governance and Law in Global Urban Context</w:t>
      </w:r>
      <w:r w:rsidRPr="009A2157">
        <w:rPr>
          <w:color w:val="222222"/>
          <w:shd w:val="clear" w:color="auto" w:fill="FFFFFF"/>
        </w:rPr>
        <w:t xml:space="preserve"> (pp. 1-9). </w:t>
      </w:r>
      <w:proofErr w:type="gramStart"/>
      <w:r w:rsidRPr="009A2157">
        <w:rPr>
          <w:color w:val="222222"/>
          <w:shd w:val="clear" w:color="auto" w:fill="FFFFFF"/>
        </w:rPr>
        <w:t>Routledge.</w:t>
      </w:r>
      <w:proofErr w:type="gramEnd"/>
    </w:p>
    <w:p w:rsidR="00FA6B70" w:rsidRPr="009A2157" w:rsidRDefault="00FA6B70" w:rsidP="00AE0A82">
      <w:pPr>
        <w:spacing w:before="0" w:after="0"/>
        <w:ind w:left="1134" w:hanging="1134"/>
      </w:pPr>
      <w:proofErr w:type="gramStart"/>
      <w:r w:rsidRPr="009A2157">
        <w:t>Makupa, E., &amp; Sanga, S. A. (2019).</w:t>
      </w:r>
      <w:proofErr w:type="gramEnd"/>
      <w:r w:rsidRPr="009A2157">
        <w:t xml:space="preserve"> </w:t>
      </w:r>
      <w:proofErr w:type="gramStart"/>
      <w:r w:rsidRPr="009A2157">
        <w:t>Deficiencies in Land Administration and its Implications on land Title Delivery in 8 Local Government Authorities of Dodoma Region in Tanzania.</w:t>
      </w:r>
      <w:proofErr w:type="gramEnd"/>
    </w:p>
    <w:p w:rsidR="00FA6B70" w:rsidRPr="009A2157" w:rsidRDefault="00FA6B70" w:rsidP="00AE0A82">
      <w:pPr>
        <w:pStyle w:val="FootnoteText"/>
        <w:spacing w:before="0" w:line="480" w:lineRule="auto"/>
        <w:ind w:left="1134" w:hanging="1134"/>
        <w:rPr>
          <w:sz w:val="24"/>
          <w:szCs w:val="24"/>
        </w:rPr>
      </w:pPr>
      <w:r w:rsidRPr="009A2157">
        <w:rPr>
          <w:sz w:val="24"/>
          <w:szCs w:val="24"/>
        </w:rPr>
        <w:t>Martinez, B. (2017). Financial Hurdles in Shared Ownership: An Institutional Analysis of Unit Title Implementation. Journal of Real Estate Finance and Economics, 10(4), 511-529.</w:t>
      </w:r>
    </w:p>
    <w:p w:rsidR="00FA6B70" w:rsidRPr="009A2157" w:rsidRDefault="00FA6B70" w:rsidP="00AE0A82">
      <w:pPr>
        <w:pStyle w:val="FootnoteText"/>
        <w:spacing w:before="0" w:line="480" w:lineRule="auto"/>
        <w:ind w:left="1134" w:hanging="1134"/>
        <w:rPr>
          <w:sz w:val="24"/>
          <w:szCs w:val="24"/>
        </w:rPr>
      </w:pPr>
      <w:proofErr w:type="gramStart"/>
      <w:r w:rsidRPr="009A2157">
        <w:rPr>
          <w:sz w:val="24"/>
          <w:szCs w:val="24"/>
        </w:rPr>
        <w:t>National Housing Corporation and Ministry of Land, Housing and Human Settlements Development, Manual for the Operationalization of the Unit Titles Act, 2011.</w:t>
      </w:r>
      <w:proofErr w:type="gramEnd"/>
    </w:p>
    <w:p w:rsidR="00FA6B70" w:rsidRPr="009A2157" w:rsidRDefault="00FA6B70" w:rsidP="00AE0A82">
      <w:pPr>
        <w:spacing w:before="0" w:after="0"/>
        <w:ind w:left="1134" w:hanging="1134"/>
      </w:pPr>
      <w:proofErr w:type="gramStart"/>
      <w:r w:rsidRPr="009A2157">
        <w:t>Nguyen, V. (2014).</w:t>
      </w:r>
      <w:proofErr w:type="gramEnd"/>
      <w:r w:rsidRPr="009A2157">
        <w:t xml:space="preserve"> "Technological Disruptions: Legal Challenges in Unit Title Acquisition." Technology and Real Estate Law Quarterly, 12(4), 480-498.</w:t>
      </w:r>
    </w:p>
    <w:p w:rsidR="00FA6B70" w:rsidRPr="009A2157" w:rsidRDefault="00FA6B70" w:rsidP="00AE0A82">
      <w:pPr>
        <w:spacing w:before="0" w:after="0"/>
        <w:ind w:left="1134" w:hanging="1134"/>
      </w:pPr>
      <w:proofErr w:type="gramStart"/>
      <w:r w:rsidRPr="009A2157">
        <w:rPr>
          <w:color w:val="222222"/>
          <w:shd w:val="clear" w:color="auto" w:fill="FFFFFF"/>
        </w:rPr>
        <w:t>Panman, A., &amp;Gracia, N. L. (2022).</w:t>
      </w:r>
      <w:proofErr w:type="gramEnd"/>
      <w:r w:rsidRPr="009A2157">
        <w:rPr>
          <w:color w:val="222222"/>
          <w:shd w:val="clear" w:color="auto" w:fill="FFFFFF"/>
        </w:rPr>
        <w:t xml:space="preserve"> Titling and beyond: Evidence from Dar es Salaam, Tanzania. </w:t>
      </w:r>
      <w:r w:rsidRPr="009A2157">
        <w:rPr>
          <w:i/>
          <w:iCs/>
          <w:color w:val="222222"/>
          <w:shd w:val="clear" w:color="auto" w:fill="FFFFFF"/>
        </w:rPr>
        <w:t>Land Use Policy</w:t>
      </w:r>
      <w:r w:rsidRPr="009A2157">
        <w:rPr>
          <w:color w:val="222222"/>
          <w:shd w:val="clear" w:color="auto" w:fill="FFFFFF"/>
        </w:rPr>
        <w:t>, </w:t>
      </w:r>
      <w:r w:rsidRPr="009A2157">
        <w:rPr>
          <w:i/>
          <w:iCs/>
          <w:color w:val="222222"/>
          <w:shd w:val="clear" w:color="auto" w:fill="FFFFFF"/>
        </w:rPr>
        <w:t>117</w:t>
      </w:r>
      <w:r w:rsidRPr="009A2157">
        <w:rPr>
          <w:color w:val="222222"/>
          <w:shd w:val="clear" w:color="auto" w:fill="FFFFFF"/>
        </w:rPr>
        <w:t>, 105905.</w:t>
      </w:r>
    </w:p>
    <w:p w:rsidR="00FA6B70" w:rsidRPr="009A2157" w:rsidRDefault="00FA6B70" w:rsidP="00AE0A82">
      <w:pPr>
        <w:spacing w:before="0" w:after="0"/>
        <w:ind w:left="1134" w:hanging="1134"/>
      </w:pPr>
      <w:r w:rsidRPr="009A2157">
        <w:rPr>
          <w:color w:val="222222"/>
          <w:shd w:val="clear" w:color="auto" w:fill="FFFFFF"/>
        </w:rPr>
        <w:t>Permadi, Iwan. "Electronic title certificate as legal evidence: The land registration system and the quest for legal certainty in Indonesia." </w:t>
      </w:r>
      <w:r w:rsidRPr="009A2157">
        <w:rPr>
          <w:i/>
          <w:iCs/>
          <w:color w:val="222222"/>
          <w:shd w:val="clear" w:color="auto" w:fill="FFFFFF"/>
        </w:rPr>
        <w:t>Digital Evidence &amp; Elec. Signature L. Rev.</w:t>
      </w:r>
      <w:r w:rsidRPr="009A2157">
        <w:rPr>
          <w:color w:val="222222"/>
          <w:shd w:val="clear" w:color="auto" w:fill="FFFFFF"/>
        </w:rPr>
        <w:t> 20 (2023): 47.</w:t>
      </w:r>
    </w:p>
    <w:p w:rsidR="00FA6B70" w:rsidRPr="009A2157" w:rsidRDefault="00FA6B70" w:rsidP="00AE0A82">
      <w:pPr>
        <w:spacing w:before="0" w:after="0"/>
        <w:ind w:left="1134" w:hanging="1134"/>
      </w:pPr>
      <w:r w:rsidRPr="009A2157">
        <w:rPr>
          <w:color w:val="222222"/>
          <w:shd w:val="clear" w:color="auto" w:fill="FFFFFF"/>
        </w:rPr>
        <w:t xml:space="preserve">Ramadhani, R. (2021). Legal Protection </w:t>
      </w:r>
      <w:proofErr w:type="gramStart"/>
      <w:r w:rsidRPr="009A2157">
        <w:rPr>
          <w:color w:val="222222"/>
          <w:shd w:val="clear" w:color="auto" w:fill="FFFFFF"/>
        </w:rPr>
        <w:t>For</w:t>
      </w:r>
      <w:proofErr w:type="gramEnd"/>
      <w:r w:rsidRPr="009A2157">
        <w:rPr>
          <w:color w:val="222222"/>
          <w:shd w:val="clear" w:color="auto" w:fill="FFFFFF"/>
        </w:rPr>
        <w:t xml:space="preserve"> Land Rights Holders Who Are Victims Of The Land Mafia. </w:t>
      </w:r>
      <w:r w:rsidRPr="009A2157">
        <w:rPr>
          <w:i/>
          <w:iCs/>
          <w:color w:val="222222"/>
          <w:shd w:val="clear" w:color="auto" w:fill="FFFFFF"/>
        </w:rPr>
        <w:t>International Journal Reglement&amp; Society (IJRS)</w:t>
      </w:r>
      <w:r w:rsidRPr="009A2157">
        <w:rPr>
          <w:color w:val="222222"/>
          <w:shd w:val="clear" w:color="auto" w:fill="FFFFFF"/>
        </w:rPr>
        <w:t>, </w:t>
      </w:r>
      <w:r w:rsidRPr="009A2157">
        <w:rPr>
          <w:i/>
          <w:iCs/>
          <w:color w:val="222222"/>
          <w:shd w:val="clear" w:color="auto" w:fill="FFFFFF"/>
        </w:rPr>
        <w:t>2</w:t>
      </w:r>
      <w:r w:rsidRPr="009A2157">
        <w:rPr>
          <w:color w:val="222222"/>
          <w:shd w:val="clear" w:color="auto" w:fill="FFFFFF"/>
        </w:rPr>
        <w:t>(2), 87-95.</w:t>
      </w:r>
    </w:p>
    <w:p w:rsidR="00FA6B70" w:rsidRPr="009A2157" w:rsidRDefault="00FA6B70" w:rsidP="00AE0A82">
      <w:pPr>
        <w:spacing w:before="0" w:after="0"/>
        <w:ind w:left="1134" w:hanging="1134"/>
      </w:pPr>
      <w:r w:rsidRPr="009A2157">
        <w:t>Reynolds, D. (2021). Community Governance Structures and Shared Property Ownership: An Institutional Perspective. Community Development Quarterly, 17(1), 45-63.</w:t>
      </w:r>
    </w:p>
    <w:p w:rsidR="00FA6B70" w:rsidRPr="009A2157" w:rsidRDefault="00FA6B70" w:rsidP="00AE0A82">
      <w:pPr>
        <w:spacing w:before="0" w:after="0"/>
        <w:ind w:left="1134" w:hanging="1134"/>
      </w:pPr>
      <w:proofErr w:type="gramStart"/>
      <w:r w:rsidRPr="009A2157">
        <w:t>Robinson, M. (2019).</w:t>
      </w:r>
      <w:proofErr w:type="gramEnd"/>
      <w:r w:rsidRPr="009A2157">
        <w:t xml:space="preserve"> </w:t>
      </w:r>
      <w:proofErr w:type="gramStart"/>
      <w:r w:rsidRPr="009A2157">
        <w:t>"Community Dynamics and Legal Implications in Unit Title Acquisition."</w:t>
      </w:r>
      <w:proofErr w:type="gramEnd"/>
      <w:r w:rsidRPr="009A2157">
        <w:t xml:space="preserve"> Property Management Review, 18(4), 401-420.</w:t>
      </w:r>
    </w:p>
    <w:p w:rsidR="00FA6B70" w:rsidRPr="009A2157" w:rsidRDefault="00FA6B70" w:rsidP="00AE0A82">
      <w:pPr>
        <w:spacing w:before="0" w:after="0"/>
        <w:ind w:left="1134" w:hanging="1134"/>
      </w:pPr>
      <w:proofErr w:type="gramStart"/>
      <w:r w:rsidRPr="009A2157">
        <w:rPr>
          <w:color w:val="222222"/>
          <w:shd w:val="clear" w:color="auto" w:fill="FFFFFF"/>
        </w:rPr>
        <w:t>Shahzad, W. M., Hassan, A., &amp; Rotimi, J. O. B. (2022).</w:t>
      </w:r>
      <w:proofErr w:type="gramEnd"/>
      <w:r w:rsidRPr="009A2157">
        <w:rPr>
          <w:color w:val="222222"/>
          <w:shd w:val="clear" w:color="auto" w:fill="FFFFFF"/>
        </w:rPr>
        <w:t xml:space="preserve"> </w:t>
      </w:r>
      <w:proofErr w:type="gramStart"/>
      <w:r w:rsidRPr="009A2157">
        <w:rPr>
          <w:color w:val="222222"/>
          <w:shd w:val="clear" w:color="auto" w:fill="FFFFFF"/>
        </w:rPr>
        <w:t>The challenges of land development for housing provision in New Zealand.</w:t>
      </w:r>
      <w:proofErr w:type="gramEnd"/>
      <w:r w:rsidRPr="009A2157">
        <w:rPr>
          <w:color w:val="222222"/>
          <w:shd w:val="clear" w:color="auto" w:fill="FFFFFF"/>
        </w:rPr>
        <w:t> </w:t>
      </w:r>
      <w:r w:rsidRPr="009A2157">
        <w:rPr>
          <w:i/>
          <w:iCs/>
          <w:color w:val="222222"/>
          <w:shd w:val="clear" w:color="auto" w:fill="FFFFFF"/>
        </w:rPr>
        <w:t>Journal of Housing and the Built Environment</w:t>
      </w:r>
      <w:r w:rsidRPr="009A2157">
        <w:rPr>
          <w:color w:val="222222"/>
          <w:shd w:val="clear" w:color="auto" w:fill="FFFFFF"/>
        </w:rPr>
        <w:t>, </w:t>
      </w:r>
      <w:r w:rsidRPr="009A2157">
        <w:rPr>
          <w:i/>
          <w:iCs/>
          <w:color w:val="222222"/>
          <w:shd w:val="clear" w:color="auto" w:fill="FFFFFF"/>
        </w:rPr>
        <w:t>37</w:t>
      </w:r>
      <w:r w:rsidRPr="009A2157">
        <w:rPr>
          <w:color w:val="222222"/>
          <w:shd w:val="clear" w:color="auto" w:fill="FFFFFF"/>
        </w:rPr>
        <w:t>(3), 1319-1337.</w:t>
      </w:r>
    </w:p>
    <w:p w:rsidR="00FA6B70" w:rsidRPr="009A2157" w:rsidRDefault="00FA6B70" w:rsidP="00AE0A82">
      <w:pPr>
        <w:spacing w:before="0" w:after="0"/>
        <w:ind w:left="1134" w:hanging="1134"/>
      </w:pPr>
      <w:proofErr w:type="gramStart"/>
      <w:r w:rsidRPr="009A2157">
        <w:rPr>
          <w:color w:val="222222"/>
          <w:shd w:val="clear" w:color="auto" w:fill="FFFFFF"/>
        </w:rPr>
        <w:t>Siregar, T., Lubis, I., &amp;Harahap, A. S. (2023).</w:t>
      </w:r>
      <w:proofErr w:type="gramEnd"/>
      <w:r w:rsidRPr="009A2157">
        <w:rPr>
          <w:color w:val="222222"/>
          <w:shd w:val="clear" w:color="auto" w:fill="FFFFFF"/>
        </w:rPr>
        <w:t xml:space="preserve"> The Role of Local Wisdom in Law: Alternative Dispute Resolution in the Land Sector in North Sumatra, Indonesia. </w:t>
      </w:r>
      <w:proofErr w:type="gramStart"/>
      <w:r w:rsidRPr="009A2157">
        <w:rPr>
          <w:i/>
          <w:iCs/>
          <w:color w:val="222222"/>
          <w:shd w:val="clear" w:color="auto" w:fill="FFFFFF"/>
        </w:rPr>
        <w:t>ISVS e-journal</w:t>
      </w:r>
      <w:r w:rsidRPr="009A2157">
        <w:rPr>
          <w:color w:val="222222"/>
          <w:shd w:val="clear" w:color="auto" w:fill="FFFFFF"/>
        </w:rPr>
        <w:t>, </w:t>
      </w:r>
      <w:r w:rsidRPr="009A2157">
        <w:rPr>
          <w:i/>
          <w:iCs/>
          <w:color w:val="222222"/>
          <w:shd w:val="clear" w:color="auto" w:fill="FFFFFF"/>
        </w:rPr>
        <w:t>10</w:t>
      </w:r>
      <w:r w:rsidRPr="009A2157">
        <w:rPr>
          <w:color w:val="222222"/>
          <w:shd w:val="clear" w:color="auto" w:fill="FFFFFF"/>
        </w:rPr>
        <w:t>(1).</w:t>
      </w:r>
      <w:proofErr w:type="gramEnd"/>
    </w:p>
    <w:p w:rsidR="00FA6B70" w:rsidRPr="009A2157" w:rsidRDefault="00FA6B70" w:rsidP="00AE0A82">
      <w:pPr>
        <w:spacing w:before="0" w:after="0"/>
        <w:ind w:left="1134" w:hanging="1134"/>
      </w:pPr>
      <w:r w:rsidRPr="009A2157">
        <w:t xml:space="preserve">Taylor, A. (2018). </w:t>
      </w:r>
      <w:proofErr w:type="gramStart"/>
      <w:r w:rsidRPr="009A2157">
        <w:t>Navigating Institutional Labyrinths: An Empirical Review of Challenges in Implementing Unit Titles.</w:t>
      </w:r>
      <w:proofErr w:type="gramEnd"/>
      <w:r w:rsidRPr="009A2157">
        <w:t xml:space="preserve"> Journal of Property Law, 38(2), 215-237.</w:t>
      </w:r>
    </w:p>
    <w:p w:rsidR="00FA6B70" w:rsidRPr="009A2157" w:rsidRDefault="00FA6B70" w:rsidP="00AE0A82">
      <w:pPr>
        <w:pStyle w:val="FootnoteText"/>
        <w:spacing w:before="0" w:line="480" w:lineRule="auto"/>
        <w:ind w:left="1134" w:hanging="1134"/>
        <w:rPr>
          <w:sz w:val="24"/>
          <w:szCs w:val="24"/>
        </w:rPr>
      </w:pPr>
      <w:r w:rsidRPr="009A2157">
        <w:rPr>
          <w:sz w:val="24"/>
          <w:szCs w:val="24"/>
        </w:rPr>
        <w:t xml:space="preserve">Tenga W. (2009) The Condominium Property Model in Tanzania: An Overview, presentation at the Tanganyika Law Society, CLE, Workshop Dar es Salaam. </w:t>
      </w:r>
    </w:p>
    <w:p w:rsidR="00FA6B70" w:rsidRPr="009A2157" w:rsidRDefault="00FA6B70" w:rsidP="00AE0A82">
      <w:pPr>
        <w:pStyle w:val="FootnoteText"/>
        <w:spacing w:before="0" w:line="480" w:lineRule="auto"/>
        <w:ind w:left="1134" w:hanging="1134"/>
        <w:rPr>
          <w:sz w:val="24"/>
          <w:szCs w:val="24"/>
        </w:rPr>
      </w:pPr>
      <w:r w:rsidRPr="009A2157">
        <w:rPr>
          <w:sz w:val="24"/>
          <w:szCs w:val="24"/>
        </w:rPr>
        <w:t>Tenga W. &amp;Mramba S. (2016) The Unit Titles Framework in Tanzania: An Introduction, presentation for TLS Law Lectures CLE, Arusha.</w:t>
      </w:r>
    </w:p>
    <w:p w:rsidR="00FA6B70" w:rsidRPr="009A2157" w:rsidRDefault="00FA6B70" w:rsidP="00AE0A82">
      <w:pPr>
        <w:spacing w:before="0" w:after="0"/>
        <w:ind w:left="1134" w:hanging="1134"/>
      </w:pPr>
      <w:r w:rsidRPr="009A2157">
        <w:t xml:space="preserve">Turner, P. (2020). </w:t>
      </w:r>
      <w:proofErr w:type="gramStart"/>
      <w:r w:rsidRPr="009A2157">
        <w:t>Shaping Perceptions: The Role of Institutio</w:t>
      </w:r>
      <w:r w:rsidR="00C1621A">
        <w:t>nal Support in Public Awareness</w:t>
      </w:r>
      <w:r w:rsidRPr="009A2157">
        <w:t xml:space="preserve"> of</w:t>
      </w:r>
      <w:r w:rsidR="00C1621A">
        <w:t xml:space="preserve"> </w:t>
      </w:r>
      <w:r w:rsidRPr="009A2157">
        <w:t>Unit Titles.</w:t>
      </w:r>
      <w:proofErr w:type="gramEnd"/>
      <w:r w:rsidRPr="009A2157">
        <w:t xml:space="preserve"> Journal of Community Psychology, 42(4), 489-506.</w:t>
      </w:r>
    </w:p>
    <w:p w:rsidR="00FA6B70" w:rsidRPr="009A2157" w:rsidRDefault="00FA6B70" w:rsidP="00AE0A82">
      <w:pPr>
        <w:spacing w:before="0" w:after="0"/>
        <w:ind w:left="1134" w:hanging="1134"/>
      </w:pPr>
      <w:r w:rsidRPr="009A2157">
        <w:t xml:space="preserve">Victory Attorneys (2022) </w:t>
      </w:r>
      <w:r w:rsidRPr="009A2157">
        <w:rPr>
          <w:bCs/>
        </w:rPr>
        <w:t>It Is Mandatory for a Unit Property to Be Managed by a Registered Association accessed on 10 April, 2024 available at</w:t>
      </w:r>
      <w:hyperlink r:id="rId16" w:history="1">
        <w:r w:rsidRPr="009A2157">
          <w:rPr>
            <w:rStyle w:val="Hyperlink"/>
            <w:bCs/>
            <w:color w:val="auto"/>
            <w:u w:val="none"/>
          </w:rPr>
          <w:t>https://victoryattorneys.co.tz/2024/03/28/it-is-mandatory-for-a-unit-property-to-be-managed-by-a-registered-association/</w:t>
        </w:r>
      </w:hyperlink>
    </w:p>
    <w:p w:rsidR="00FA6B70" w:rsidRPr="009A2157" w:rsidRDefault="00FA6B70" w:rsidP="00AE0A82">
      <w:pPr>
        <w:spacing w:before="0" w:after="0"/>
        <w:ind w:left="1134" w:hanging="1134"/>
      </w:pPr>
      <w:proofErr w:type="gramStart"/>
      <w:r w:rsidRPr="009A2157">
        <w:rPr>
          <w:color w:val="222222"/>
          <w:shd w:val="clear" w:color="auto" w:fill="FFFFFF"/>
        </w:rPr>
        <w:t>Wastuti, Asih, I. GustiKetutAyuRachmiHandayani, and Lego Karjoko.</w:t>
      </w:r>
      <w:proofErr w:type="gramEnd"/>
      <w:r w:rsidRPr="009A2157">
        <w:rPr>
          <w:color w:val="222222"/>
          <w:shd w:val="clear" w:color="auto" w:fill="FFFFFF"/>
        </w:rPr>
        <w:t xml:space="preserve"> </w:t>
      </w:r>
      <w:proofErr w:type="gramStart"/>
      <w:r w:rsidRPr="009A2157">
        <w:rPr>
          <w:color w:val="222222"/>
          <w:shd w:val="clear" w:color="auto" w:fill="FFFFFF"/>
        </w:rPr>
        <w:t xml:space="preserve">"Harmonization of Land Regulations and Notary Authority in the Issuance of Building Rights Title </w:t>
      </w:r>
      <w:r w:rsidR="00C1621A" w:rsidRPr="009A2157">
        <w:rPr>
          <w:color w:val="222222"/>
          <w:shd w:val="clear" w:color="auto" w:fill="FFFFFF"/>
        </w:rPr>
        <w:t>over</w:t>
      </w:r>
      <w:r w:rsidRPr="009A2157">
        <w:rPr>
          <w:color w:val="222222"/>
          <w:shd w:val="clear" w:color="auto" w:fill="FFFFFF"/>
        </w:rPr>
        <w:t xml:space="preserve"> Management."</w:t>
      </w:r>
      <w:proofErr w:type="gramEnd"/>
      <w:r w:rsidRPr="009A2157">
        <w:rPr>
          <w:color w:val="222222"/>
          <w:shd w:val="clear" w:color="auto" w:fill="FFFFFF"/>
        </w:rPr>
        <w:t> </w:t>
      </w:r>
      <w:r w:rsidRPr="009A2157">
        <w:rPr>
          <w:i/>
          <w:iCs/>
          <w:color w:val="222222"/>
          <w:shd w:val="clear" w:color="auto" w:fill="FFFFFF"/>
        </w:rPr>
        <w:t>Siber International Journal of Advanced Law (SIJAL)</w:t>
      </w:r>
      <w:r w:rsidRPr="009A2157">
        <w:rPr>
          <w:color w:val="222222"/>
          <w:shd w:val="clear" w:color="auto" w:fill="FFFFFF"/>
        </w:rPr>
        <w:t> 2, no. 3 (2025): 88-96.</w:t>
      </w:r>
    </w:p>
    <w:p w:rsidR="00FA6B70" w:rsidRPr="009A2157" w:rsidRDefault="00FA6B70" w:rsidP="00AE0A82">
      <w:pPr>
        <w:spacing w:before="0" w:after="0"/>
        <w:ind w:left="1134" w:hanging="1134"/>
      </w:pPr>
      <w:r w:rsidRPr="009A2157">
        <w:t xml:space="preserve">Wong, C. (2018). </w:t>
      </w:r>
      <w:proofErr w:type="gramStart"/>
      <w:r w:rsidRPr="009A2157">
        <w:t>Governing Property Management: An Empirical Examination of Institutional Challenges in Unit Title Implementation.</w:t>
      </w:r>
      <w:proofErr w:type="gramEnd"/>
      <w:r w:rsidRPr="009A2157">
        <w:t xml:space="preserve"> Property Management Journal, 22(3), 301-320.</w:t>
      </w:r>
    </w:p>
    <w:p w:rsidR="00FA6B70" w:rsidRPr="009A2157" w:rsidRDefault="00FA6B70" w:rsidP="009A2157">
      <w:pPr>
        <w:spacing w:before="0" w:after="0"/>
      </w:pPr>
    </w:p>
    <w:p w:rsidR="00B96FC7" w:rsidRPr="009A2157" w:rsidRDefault="00B96FC7" w:rsidP="009A2157">
      <w:pPr>
        <w:spacing w:before="0" w:after="0"/>
        <w:rPr>
          <w:vanish/>
        </w:rPr>
      </w:pPr>
    </w:p>
    <w:bookmarkEnd w:id="233"/>
    <w:p w:rsidR="00B96FC7" w:rsidRPr="009A2157" w:rsidRDefault="00B96FC7" w:rsidP="009A2157">
      <w:pPr>
        <w:spacing w:before="0" w:after="0"/>
      </w:pPr>
    </w:p>
    <w:sectPr w:rsidR="00B96FC7" w:rsidRPr="009A2157" w:rsidSect="00373E41">
      <w:pgSz w:w="11907" w:h="16839" w:code="9"/>
      <w:pgMar w:top="2268" w:right="1418" w:bottom="1418" w:left="2268" w:header="993"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9CB" w:rsidRDefault="00AF79CB">
      <w:pPr>
        <w:spacing w:line="240" w:lineRule="auto"/>
      </w:pPr>
      <w:r>
        <w:separator/>
      </w:r>
    </w:p>
  </w:endnote>
  <w:endnote w:type="continuationSeparator" w:id="0">
    <w:p w:rsidR="00AF79CB" w:rsidRDefault="00AF7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56058092"/>
      <w:docPartObj>
        <w:docPartGallery w:val="Page Numbers (Bottom of Page)"/>
        <w:docPartUnique/>
      </w:docPartObj>
    </w:sdtPr>
    <w:sdtEndPr>
      <w:rPr>
        <w:rStyle w:val="PageNumber"/>
      </w:rPr>
    </w:sdtEndPr>
    <w:sdtContent>
      <w:p w:rsidR="00373E41" w:rsidRDefault="00373E41" w:rsidP="00FB78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73E41" w:rsidRDefault="00373E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41" w:rsidRDefault="00373E41">
    <w:pPr>
      <w:pStyle w:val="Footer"/>
      <w:jc w:val="center"/>
    </w:pPr>
  </w:p>
  <w:p w:rsidR="00373E41" w:rsidRDefault="00373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9CB" w:rsidRDefault="00AF79CB">
      <w:pPr>
        <w:spacing w:before="0" w:after="0"/>
      </w:pPr>
      <w:r>
        <w:separator/>
      </w:r>
    </w:p>
  </w:footnote>
  <w:footnote w:type="continuationSeparator" w:id="0">
    <w:p w:rsidR="00AF79CB" w:rsidRDefault="00AF79CB">
      <w:pPr>
        <w:spacing w:before="0" w:after="0"/>
      </w:pPr>
      <w:r>
        <w:continuationSeparator/>
      </w:r>
    </w:p>
  </w:footnote>
  <w:footnote w:id="1">
    <w:p w:rsidR="00373E41" w:rsidRPr="0047764D" w:rsidRDefault="00373E41" w:rsidP="0047764D">
      <w:pPr>
        <w:pStyle w:val="FootnoteText"/>
        <w:spacing w:before="0"/>
      </w:pPr>
      <w:r w:rsidRPr="0047764D">
        <w:rPr>
          <w:rStyle w:val="FootnoteReference"/>
        </w:rPr>
        <w:footnoteRef/>
      </w:r>
      <w:r w:rsidRPr="0047764D">
        <w:t>Tenga W. (2009) The Condominium Property Model in Tanzania: An Overview, presentation at the Tanganyika Law Society, CLE, Workshop Dar es Salaam.</w:t>
      </w:r>
    </w:p>
  </w:footnote>
  <w:footnote w:id="2">
    <w:p w:rsidR="00373E41" w:rsidRPr="0047764D" w:rsidRDefault="00373E41" w:rsidP="0047764D">
      <w:pPr>
        <w:pStyle w:val="FootnoteText"/>
        <w:spacing w:before="0"/>
      </w:pPr>
      <w:r w:rsidRPr="0047764D">
        <w:rPr>
          <w:rStyle w:val="FootnoteReference"/>
        </w:rPr>
        <w:footnoteRef/>
      </w:r>
      <w:r w:rsidRPr="0047764D">
        <w:t xml:space="preserve"> Ibid.</w:t>
      </w:r>
    </w:p>
  </w:footnote>
  <w:footnote w:id="3">
    <w:p w:rsidR="00373E41" w:rsidRPr="0047764D" w:rsidRDefault="00373E41" w:rsidP="0047764D">
      <w:pPr>
        <w:pStyle w:val="FootnoteText"/>
        <w:spacing w:before="0"/>
      </w:pPr>
      <w:r w:rsidRPr="0047764D">
        <w:rPr>
          <w:rStyle w:val="FootnoteReference"/>
        </w:rPr>
        <w:footnoteRef/>
      </w:r>
      <w:r w:rsidRPr="0047764D">
        <w:t>Tenga W. &amp;Mramba S. (2016) The Unit Titles Framework in Tanzania: An Introduction, presentation for TLS Law Lectures CLE, Arusha.</w:t>
      </w:r>
    </w:p>
  </w:footnote>
  <w:footnote w:id="4">
    <w:p w:rsidR="00373E41" w:rsidRPr="0047764D" w:rsidRDefault="00373E41" w:rsidP="0047764D">
      <w:pPr>
        <w:pStyle w:val="FootnoteText"/>
        <w:spacing w:before="0"/>
      </w:pPr>
      <w:r w:rsidRPr="0047764D">
        <w:rPr>
          <w:rStyle w:val="FootnoteReference"/>
        </w:rPr>
        <w:footnoteRef/>
      </w:r>
      <w:proofErr w:type="gramStart"/>
      <w:r w:rsidRPr="0047764D">
        <w:t>Eckardt, M., &amp; Kerber, W. (2024).</w:t>
      </w:r>
      <w:proofErr w:type="gramEnd"/>
      <w:r w:rsidRPr="0047764D">
        <w:t xml:space="preserve"> Property rights theory, bundles of rights on IoT data, and the EU Data Act. </w:t>
      </w:r>
      <w:r w:rsidRPr="0047764D">
        <w:rPr>
          <w:i/>
          <w:iCs/>
        </w:rPr>
        <w:t>European Journal of Law and Economics</w:t>
      </w:r>
      <w:r w:rsidRPr="0047764D">
        <w:t>, 1-31.</w:t>
      </w:r>
    </w:p>
    <w:p w:rsidR="00373E41" w:rsidRPr="0047764D" w:rsidRDefault="00373E41" w:rsidP="0047764D">
      <w:pPr>
        <w:pStyle w:val="FootnoteText"/>
      </w:pPr>
    </w:p>
  </w:footnote>
  <w:footnote w:id="5">
    <w:p w:rsidR="00373E41" w:rsidRPr="0047764D" w:rsidRDefault="00373E41" w:rsidP="0047764D">
      <w:pPr>
        <w:pStyle w:val="FootnoteText"/>
      </w:pPr>
      <w:r w:rsidRPr="0047764D">
        <w:rPr>
          <w:rStyle w:val="FootnoteReference"/>
        </w:rPr>
        <w:footnoteRef/>
      </w:r>
      <w:r w:rsidRPr="0047764D">
        <w:t xml:space="preserve">Rwegasira, </w:t>
      </w:r>
      <w:proofErr w:type="gramStart"/>
      <w:r w:rsidRPr="0047764D">
        <w:t>A</w:t>
      </w:r>
      <w:proofErr w:type="gramEnd"/>
      <w:r w:rsidRPr="0047764D">
        <w:t xml:space="preserve"> (2012). </w:t>
      </w:r>
      <w:r w:rsidRPr="0047764D">
        <w:rPr>
          <w:bCs/>
          <w:i/>
        </w:rPr>
        <w:t>Land as a Human Right: A History of Land Law and Practice in Tanzania</w:t>
      </w:r>
      <w:r w:rsidRPr="0047764D">
        <w:t>; Publisher, African Books Collective, 2012; ISBN </w:t>
      </w:r>
    </w:p>
  </w:footnote>
  <w:footnote w:id="6">
    <w:p w:rsidR="00373E41" w:rsidRPr="0047764D" w:rsidRDefault="00373E41" w:rsidP="0047764D">
      <w:pPr>
        <w:pStyle w:val="FootnoteText"/>
        <w:spacing w:before="0"/>
      </w:pPr>
      <w:r w:rsidRPr="0047764D">
        <w:rPr>
          <w:rStyle w:val="FootnoteReference"/>
        </w:rPr>
        <w:footnoteRef/>
      </w:r>
      <w:r w:rsidRPr="0047764D">
        <w:t xml:space="preserve">Rwegasira, </w:t>
      </w:r>
      <w:proofErr w:type="gramStart"/>
      <w:r w:rsidRPr="0047764D">
        <w:t>A</w:t>
      </w:r>
      <w:proofErr w:type="gramEnd"/>
      <w:r w:rsidRPr="0047764D">
        <w:t xml:space="preserve"> (2012). </w:t>
      </w:r>
      <w:r w:rsidRPr="0047764D">
        <w:rPr>
          <w:bCs/>
          <w:i/>
        </w:rPr>
        <w:t>Land as a Human Right: A History of Land Law and Practice in Tanzania</w:t>
      </w:r>
      <w:r w:rsidRPr="0047764D">
        <w:t>; Publisher, African Books Collective, 2012; ISBN </w:t>
      </w:r>
    </w:p>
  </w:footnote>
  <w:footnote w:id="7">
    <w:p w:rsidR="00373E41" w:rsidRPr="0047764D" w:rsidRDefault="00373E41" w:rsidP="0047764D">
      <w:pPr>
        <w:pStyle w:val="FootnoteText"/>
        <w:spacing w:before="0"/>
      </w:pPr>
      <w:r w:rsidRPr="0047764D">
        <w:rPr>
          <w:rStyle w:val="FootnoteReference"/>
        </w:rPr>
        <w:footnoteRef/>
      </w:r>
      <w:proofErr w:type="gramStart"/>
      <w:r w:rsidRPr="0047764D">
        <w:t xml:space="preserve">Tenga, </w:t>
      </w:r>
      <w:r w:rsidRPr="0047764D">
        <w:tab/>
        <w:t>W, &amp;Mramba.</w:t>
      </w:r>
      <w:proofErr w:type="gramEnd"/>
      <w:r w:rsidRPr="0047764D">
        <w:t xml:space="preserve"> </w:t>
      </w:r>
      <w:proofErr w:type="gramStart"/>
      <w:r w:rsidRPr="0047764D">
        <w:t>S (2020).</w:t>
      </w:r>
      <w:proofErr w:type="gramEnd"/>
      <w:r w:rsidRPr="0047764D">
        <w:t xml:space="preserve">  Land Law in Tanzania: Theory and Practice. Juris Publishers Limited, 2020.</w:t>
      </w:r>
    </w:p>
  </w:footnote>
  <w:footnote w:id="8">
    <w:p w:rsidR="00373E41" w:rsidRPr="0047764D" w:rsidRDefault="00373E41" w:rsidP="0047764D">
      <w:pPr>
        <w:pStyle w:val="FootnoteText"/>
        <w:spacing w:before="0"/>
      </w:pPr>
      <w:r w:rsidRPr="0047764D">
        <w:rPr>
          <w:rStyle w:val="FootnoteReference"/>
        </w:rPr>
        <w:footnoteRef/>
      </w:r>
      <w:r w:rsidRPr="0047764D">
        <w:t xml:space="preserve">Rwegasira, </w:t>
      </w:r>
      <w:proofErr w:type="gramStart"/>
      <w:r w:rsidRPr="0047764D">
        <w:t>A</w:t>
      </w:r>
      <w:proofErr w:type="gramEnd"/>
      <w:r w:rsidRPr="0047764D">
        <w:t xml:space="preserve"> (2012). </w:t>
      </w:r>
      <w:r w:rsidRPr="0047764D">
        <w:rPr>
          <w:bCs/>
          <w:i/>
        </w:rPr>
        <w:t>Land as a Human Right: A History of Land Law and Practice in Tanzania</w:t>
      </w:r>
      <w:r w:rsidRPr="0047764D">
        <w:t>; Publisher, African Books Collective, 2012; ISBN </w:t>
      </w:r>
    </w:p>
    <w:p w:rsidR="00373E41" w:rsidRPr="0047764D" w:rsidRDefault="00373E41" w:rsidP="0047764D">
      <w:pPr>
        <w:pStyle w:val="FootnoteText"/>
      </w:pPr>
    </w:p>
  </w:footnote>
  <w:footnote w:id="9">
    <w:p w:rsidR="00373E41" w:rsidRPr="0047764D" w:rsidRDefault="00373E41" w:rsidP="0047764D">
      <w:pPr>
        <w:pStyle w:val="FootnoteText"/>
        <w:spacing w:before="0"/>
      </w:pPr>
      <w:r w:rsidRPr="0047764D">
        <w:rPr>
          <w:rStyle w:val="FootnoteReference"/>
        </w:rPr>
        <w:footnoteRef/>
      </w:r>
      <w:r w:rsidRPr="0047764D">
        <w:t>Tenga W. &amp;Mramba S. (2016) The Unit Titles Framework in Tanzania: An Introduction, presentation for TLS Law Lectures CLE, Arusha.</w:t>
      </w:r>
    </w:p>
  </w:footnote>
  <w:footnote w:id="10">
    <w:p w:rsidR="00373E41" w:rsidRPr="0047764D" w:rsidRDefault="00373E41" w:rsidP="0047764D">
      <w:pPr>
        <w:pStyle w:val="FootnoteText"/>
        <w:spacing w:before="0"/>
      </w:pPr>
      <w:r w:rsidRPr="0047764D">
        <w:rPr>
          <w:rStyle w:val="FootnoteReference"/>
        </w:rPr>
        <w:footnoteRef/>
      </w:r>
      <w:r w:rsidRPr="0047764D">
        <w:t xml:space="preserve"> </w:t>
      </w:r>
      <w:proofErr w:type="gramStart"/>
      <w:r w:rsidRPr="0047764D">
        <w:t>Ibid.</w:t>
      </w:r>
      <w:proofErr w:type="gramEnd"/>
      <w:r w:rsidRPr="0047764D">
        <w:t xml:space="preserve"> </w:t>
      </w:r>
    </w:p>
  </w:footnote>
  <w:footnote w:id="11">
    <w:p w:rsidR="00373E41" w:rsidRPr="0047764D" w:rsidRDefault="00373E41" w:rsidP="0047764D">
      <w:pPr>
        <w:pStyle w:val="FootnoteText"/>
        <w:spacing w:before="0"/>
        <w:rPr>
          <w:lang w:val="en-GB"/>
        </w:rPr>
      </w:pPr>
      <w:r w:rsidRPr="0047764D">
        <w:rPr>
          <w:rStyle w:val="FootnoteReference"/>
        </w:rPr>
        <w:footnoteRef/>
      </w:r>
      <w:proofErr w:type="gramStart"/>
      <w:r w:rsidRPr="0047764D">
        <w:rPr>
          <w:lang w:val="en-GB"/>
        </w:rPr>
        <w:t>Makupa, E., &amp; Sanga, S. A. (2019).</w:t>
      </w:r>
      <w:proofErr w:type="gramEnd"/>
      <w:r w:rsidRPr="0047764D">
        <w:rPr>
          <w:lang w:val="en-GB"/>
        </w:rPr>
        <w:t xml:space="preserve"> </w:t>
      </w:r>
      <w:proofErr w:type="gramStart"/>
      <w:r w:rsidRPr="0047764D">
        <w:rPr>
          <w:lang w:val="en-GB"/>
        </w:rPr>
        <w:t>Deficiencies in Land Administration and its Implications on land Title Delivery in 8 Local Government Authorities of Dodoma Region in Tanzania.</w:t>
      </w:r>
      <w:proofErr w:type="gramEnd"/>
    </w:p>
  </w:footnote>
  <w:footnote w:id="12">
    <w:p w:rsidR="00373E41" w:rsidRPr="0047764D" w:rsidRDefault="00373E41" w:rsidP="0047764D">
      <w:pPr>
        <w:pStyle w:val="FootnoteText"/>
        <w:spacing w:before="0"/>
      </w:pPr>
      <w:r w:rsidRPr="0047764D">
        <w:rPr>
          <w:rStyle w:val="FootnoteReference"/>
        </w:rPr>
        <w:footnoteRef/>
      </w:r>
      <w:r w:rsidRPr="0047764D">
        <w:t xml:space="preserve"> Ibid.</w:t>
      </w:r>
    </w:p>
  </w:footnote>
  <w:footnote w:id="13">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sz w:val="20"/>
          <w:szCs w:val="20"/>
        </w:rPr>
        <w:t>Aikaeli, J., &amp;Markussen, T. (2017).</w:t>
      </w:r>
      <w:proofErr w:type="gramEnd"/>
      <w:r w:rsidRPr="0047764D">
        <w:rPr>
          <w:sz w:val="20"/>
          <w:szCs w:val="20"/>
        </w:rPr>
        <w:t> </w:t>
      </w:r>
      <w:proofErr w:type="gramStart"/>
      <w:r w:rsidRPr="0047764D">
        <w:rPr>
          <w:i/>
          <w:iCs/>
          <w:sz w:val="20"/>
          <w:szCs w:val="20"/>
        </w:rPr>
        <w:t>The effects of land titling in Tanzania</w:t>
      </w:r>
      <w:r w:rsidRPr="0047764D">
        <w:rPr>
          <w:sz w:val="20"/>
          <w:szCs w:val="20"/>
        </w:rPr>
        <w:t> (No. 2017/168).</w:t>
      </w:r>
      <w:proofErr w:type="gramEnd"/>
      <w:r w:rsidRPr="0047764D">
        <w:rPr>
          <w:sz w:val="20"/>
          <w:szCs w:val="20"/>
        </w:rPr>
        <w:t xml:space="preserve"> </w:t>
      </w:r>
      <w:proofErr w:type="gramStart"/>
      <w:r w:rsidRPr="0047764D">
        <w:rPr>
          <w:sz w:val="20"/>
          <w:szCs w:val="20"/>
        </w:rPr>
        <w:t>WIDER Working Paper.</w:t>
      </w:r>
      <w:proofErr w:type="gramEnd"/>
    </w:p>
    <w:p w:rsidR="00373E41" w:rsidRPr="0047764D" w:rsidRDefault="00373E41" w:rsidP="0047764D">
      <w:pPr>
        <w:pStyle w:val="FootnoteText"/>
      </w:pPr>
    </w:p>
  </w:footnote>
  <w:footnote w:id="14">
    <w:p w:rsidR="00373E41" w:rsidRPr="0047764D" w:rsidRDefault="00373E41" w:rsidP="0047764D">
      <w:pPr>
        <w:pStyle w:val="FootnoteText"/>
      </w:pPr>
      <w:r w:rsidRPr="0047764D">
        <w:rPr>
          <w:rStyle w:val="FootnoteReference"/>
        </w:rPr>
        <w:footnoteRef/>
      </w:r>
      <w:r w:rsidRPr="0047764D">
        <w:t xml:space="preserve">Cohen-Rimer, Y., &amp; Stern, S. (2023). </w:t>
      </w:r>
      <w:proofErr w:type="gramStart"/>
      <w:r w:rsidRPr="0047764D">
        <w:t>Unbundling Property in Welfare.</w:t>
      </w:r>
      <w:proofErr w:type="gramEnd"/>
      <w:r w:rsidRPr="0047764D">
        <w:t> </w:t>
      </w:r>
      <w:r w:rsidRPr="0047764D">
        <w:rPr>
          <w:i/>
          <w:iCs/>
        </w:rPr>
        <w:t>Oxford Journal of Legal Studies</w:t>
      </w:r>
      <w:r w:rsidRPr="0047764D">
        <w:t>, </w:t>
      </w:r>
      <w:r w:rsidRPr="0047764D">
        <w:rPr>
          <w:i/>
          <w:iCs/>
        </w:rPr>
        <w:t>43</w:t>
      </w:r>
      <w:r w:rsidRPr="0047764D">
        <w:t>(3), 574-597.</w:t>
      </w:r>
    </w:p>
    <w:p w:rsidR="00373E41" w:rsidRPr="0047764D" w:rsidRDefault="00373E41" w:rsidP="0047764D">
      <w:pPr>
        <w:pStyle w:val="FootnoteText"/>
      </w:pPr>
    </w:p>
  </w:footnote>
  <w:footnote w:id="15">
    <w:p w:rsidR="00373E41" w:rsidRPr="0047764D" w:rsidRDefault="00373E41" w:rsidP="0047764D">
      <w:pPr>
        <w:pStyle w:val="FootnoteText"/>
        <w:spacing w:before="0"/>
      </w:pPr>
      <w:r w:rsidRPr="0047764D">
        <w:rPr>
          <w:rStyle w:val="FootnoteReference"/>
        </w:rPr>
        <w:footnoteRef/>
      </w:r>
      <w:r w:rsidRPr="0047764D">
        <w:t xml:space="preserve"> Harris, D. C., &amp; Patterson, G. (2023). Condominium to the country: the sprawl of ownership within private local government in British Columbia. </w:t>
      </w:r>
      <w:r w:rsidRPr="0047764D">
        <w:rPr>
          <w:i/>
          <w:iCs/>
        </w:rPr>
        <w:t>Law &amp; Social Inquiry</w:t>
      </w:r>
      <w:r w:rsidRPr="0047764D">
        <w:t>, 1-39.</w:t>
      </w:r>
    </w:p>
  </w:footnote>
  <w:footnote w:id="16">
    <w:p w:rsidR="00373E41" w:rsidRPr="0047764D" w:rsidRDefault="00373E41" w:rsidP="0047764D">
      <w:pPr>
        <w:pStyle w:val="FootnoteText"/>
        <w:spacing w:before="0"/>
      </w:pPr>
      <w:r w:rsidRPr="0047764D">
        <w:rPr>
          <w:rStyle w:val="FootnoteReference"/>
        </w:rPr>
        <w:footnoteRef/>
      </w:r>
      <w:r w:rsidRPr="0047764D">
        <w:t>Bonanno, A. V. (2023). </w:t>
      </w:r>
      <w:r w:rsidRPr="0047764D">
        <w:rPr>
          <w:i/>
          <w:iCs/>
        </w:rPr>
        <w:t>Here We Are Free to Farm: Land Tenure, the Bundle of Rights, and Well-Being in West Africa and Agrarian Sierra Leone</w:t>
      </w:r>
      <w:r w:rsidRPr="0047764D">
        <w:t> (Doctoral dissertation, University of Georgia).</w:t>
      </w:r>
    </w:p>
  </w:footnote>
  <w:footnote w:id="17">
    <w:p w:rsidR="00373E41" w:rsidRPr="0047764D" w:rsidRDefault="00373E41" w:rsidP="0047764D">
      <w:pPr>
        <w:pStyle w:val="FootnoteText"/>
        <w:spacing w:before="0"/>
      </w:pPr>
      <w:r w:rsidRPr="0047764D">
        <w:rPr>
          <w:rStyle w:val="FootnoteReference"/>
        </w:rPr>
        <w:footnoteRef/>
      </w:r>
      <w:proofErr w:type="gramStart"/>
      <w:r w:rsidRPr="0047764D">
        <w:t>Hassan, M., &amp; Klaus, K. (2023).</w:t>
      </w:r>
      <w:proofErr w:type="gramEnd"/>
      <w:r w:rsidRPr="0047764D">
        <w:t xml:space="preserve"> </w:t>
      </w:r>
      <w:proofErr w:type="gramStart"/>
      <w:r w:rsidRPr="0047764D">
        <w:t>Closing the gap: The politics of property rights in Kenya.</w:t>
      </w:r>
      <w:proofErr w:type="gramEnd"/>
      <w:r w:rsidRPr="0047764D">
        <w:t> </w:t>
      </w:r>
      <w:r w:rsidRPr="0047764D">
        <w:rPr>
          <w:i/>
          <w:iCs/>
        </w:rPr>
        <w:t>World Politics</w:t>
      </w:r>
      <w:r w:rsidRPr="0047764D">
        <w:t>, </w:t>
      </w:r>
      <w:r w:rsidRPr="0047764D">
        <w:rPr>
          <w:i/>
          <w:iCs/>
        </w:rPr>
        <w:t>75</w:t>
      </w:r>
      <w:r w:rsidRPr="0047764D">
        <w:t>(2), 233-279.</w:t>
      </w:r>
    </w:p>
  </w:footnote>
  <w:footnote w:id="18">
    <w:p w:rsidR="00373E41" w:rsidRPr="0047764D" w:rsidRDefault="00373E41" w:rsidP="0047764D">
      <w:pPr>
        <w:pStyle w:val="FootnoteText"/>
        <w:spacing w:before="0"/>
      </w:pPr>
      <w:r w:rsidRPr="0047764D">
        <w:rPr>
          <w:rStyle w:val="FootnoteReference"/>
        </w:rPr>
        <w:footnoteRef/>
      </w:r>
      <w:r w:rsidRPr="0047764D">
        <w:t>Azaki, K. (2022). Institutional determinants of large land-based investments’ performance in Zambia: Does title enhance productivity and structural transformation? </w:t>
      </w:r>
      <w:proofErr w:type="gramStart"/>
      <w:r w:rsidRPr="0047764D">
        <w:rPr>
          <w:i/>
          <w:iCs/>
        </w:rPr>
        <w:t>World Development</w:t>
      </w:r>
      <w:r w:rsidRPr="0047764D">
        <w:t>, </w:t>
      </w:r>
      <w:r w:rsidRPr="0047764D">
        <w:rPr>
          <w:i/>
          <w:iCs/>
        </w:rPr>
        <w:t>157</w:t>
      </w:r>
      <w:r w:rsidRPr="0047764D">
        <w:t>, 105932.</w:t>
      </w:r>
      <w:proofErr w:type="gramEnd"/>
    </w:p>
  </w:footnote>
  <w:footnote w:id="19">
    <w:p w:rsidR="00373E41" w:rsidRPr="0047764D" w:rsidRDefault="00373E41" w:rsidP="0047764D">
      <w:pPr>
        <w:pStyle w:val="FootnoteText"/>
      </w:pPr>
      <w:r w:rsidRPr="0047764D">
        <w:rPr>
          <w:rStyle w:val="FootnoteReference"/>
        </w:rPr>
        <w:footnoteRef/>
      </w:r>
      <w:proofErr w:type="gramStart"/>
      <w:r w:rsidRPr="0047764D">
        <w:t>Robinson, M. (2019).</w:t>
      </w:r>
      <w:proofErr w:type="gramEnd"/>
      <w:r w:rsidRPr="0047764D">
        <w:t xml:space="preserve"> </w:t>
      </w:r>
      <w:proofErr w:type="gramStart"/>
      <w:r w:rsidRPr="0047764D">
        <w:t>"Community Dynamics and Legal Implications in Unit Title Acquisition."</w:t>
      </w:r>
      <w:proofErr w:type="gramEnd"/>
      <w:r w:rsidRPr="0047764D">
        <w:t xml:space="preserve"> Property Management Review, 18(4), 401-420.</w:t>
      </w:r>
    </w:p>
  </w:footnote>
  <w:footnote w:id="20">
    <w:p w:rsidR="00373E41" w:rsidRPr="0047764D" w:rsidRDefault="00373E41" w:rsidP="0047764D">
      <w:pPr>
        <w:pStyle w:val="FootnoteText"/>
        <w:spacing w:before="0"/>
      </w:pPr>
      <w:r w:rsidRPr="0047764D">
        <w:rPr>
          <w:rStyle w:val="FootnoteReference"/>
        </w:rPr>
        <w:footnoteRef/>
      </w:r>
      <w:r w:rsidRPr="0047764D">
        <w:t xml:space="preserve">Taylor, A. (2018). </w:t>
      </w:r>
      <w:proofErr w:type="gramStart"/>
      <w:r w:rsidRPr="0047764D">
        <w:t>Navigating Institutional Labyrinths: An Empirical Review of Challenges in Implementing Unit Titles.</w:t>
      </w:r>
      <w:proofErr w:type="gramEnd"/>
      <w:r w:rsidRPr="0047764D">
        <w:t xml:space="preserve"> Journal of Property Law, 38(2), 215-237.</w:t>
      </w:r>
    </w:p>
  </w:footnote>
  <w:footnote w:id="21">
    <w:p w:rsidR="00373E41" w:rsidRPr="0047764D" w:rsidRDefault="00373E41" w:rsidP="0047764D">
      <w:pPr>
        <w:pStyle w:val="FootnoteText"/>
      </w:pPr>
      <w:r w:rsidRPr="0047764D">
        <w:rPr>
          <w:rStyle w:val="FootnoteReference"/>
        </w:rPr>
        <w:footnoteRef/>
      </w:r>
      <w:r w:rsidRPr="0047764D">
        <w:t>Tenga W. &amp;Mramba S. (2016) The Unit Titles Framework in Tanzania: An Introduction, presentation for TLS Law Lectures CLE, Arusha.</w:t>
      </w:r>
    </w:p>
  </w:footnote>
  <w:footnote w:id="22">
    <w:p w:rsidR="00373E41" w:rsidRPr="0047764D" w:rsidRDefault="00373E41" w:rsidP="0047764D">
      <w:pPr>
        <w:spacing w:after="0" w:line="240" w:lineRule="auto"/>
        <w:rPr>
          <w:b/>
          <w:bCs/>
          <w:sz w:val="20"/>
          <w:szCs w:val="20"/>
        </w:rPr>
      </w:pPr>
      <w:r w:rsidRPr="0047764D">
        <w:rPr>
          <w:rStyle w:val="FootnoteReference"/>
          <w:sz w:val="20"/>
          <w:szCs w:val="20"/>
        </w:rPr>
        <w:footnoteRef/>
      </w:r>
      <w:r w:rsidRPr="0047764D">
        <w:rPr>
          <w:sz w:val="20"/>
          <w:szCs w:val="20"/>
        </w:rPr>
        <w:t xml:space="preserve"> Victory Attorneys (2022) </w:t>
      </w:r>
      <w:r w:rsidRPr="0047764D">
        <w:rPr>
          <w:bCs/>
          <w:sz w:val="20"/>
          <w:szCs w:val="20"/>
        </w:rPr>
        <w:t>It Is Mandatory for a Unit Property to Be Managed by a Registered Association accessed on 10 April, 2024 available at</w:t>
      </w:r>
      <w:hyperlink r:id="rId1" w:history="1">
        <w:r w:rsidRPr="0047764D">
          <w:rPr>
            <w:rStyle w:val="Hyperlink"/>
            <w:b/>
            <w:bCs/>
            <w:sz w:val="20"/>
            <w:szCs w:val="20"/>
          </w:rPr>
          <w:t>https://victoryattorneys.co.tz/2024/03/28/it-is-mandatory-for-a-unit-property-to-be-managed-by-a-registered-association/</w:t>
        </w:r>
      </w:hyperlink>
    </w:p>
  </w:footnote>
  <w:footnote w:id="23">
    <w:p w:rsidR="00373E41" w:rsidRPr="0047764D" w:rsidRDefault="00373E41" w:rsidP="0047764D">
      <w:pPr>
        <w:pStyle w:val="FootnoteText"/>
      </w:pPr>
      <w:r w:rsidRPr="0047764D">
        <w:rPr>
          <w:rStyle w:val="FootnoteReference"/>
        </w:rPr>
        <w:footnoteRef/>
      </w:r>
      <w:r w:rsidRPr="0047764D">
        <w:t>Alananga Sanga, S. (2018). The value of formal titles to land in residential property transactions: Evidence from Kinondoni Municipality Tanzania. </w:t>
      </w:r>
      <w:r w:rsidRPr="0047764D">
        <w:rPr>
          <w:i/>
          <w:iCs/>
        </w:rPr>
        <w:t>International Journal of Housing Markets and Analysis</w:t>
      </w:r>
      <w:r w:rsidRPr="0047764D">
        <w:t>, </w:t>
      </w:r>
      <w:r w:rsidRPr="0047764D">
        <w:rPr>
          <w:i/>
          <w:iCs/>
        </w:rPr>
        <w:t>11</w:t>
      </w:r>
      <w:r w:rsidRPr="0047764D">
        <w:t>(1), 117-148.</w:t>
      </w:r>
    </w:p>
    <w:p w:rsidR="00373E41" w:rsidRPr="0047764D" w:rsidRDefault="00373E41" w:rsidP="0047764D">
      <w:pPr>
        <w:pStyle w:val="FootnoteText"/>
      </w:pPr>
    </w:p>
  </w:footnote>
  <w:footnote w:id="24">
    <w:p w:rsidR="00373E41" w:rsidRPr="0047764D" w:rsidRDefault="00373E41" w:rsidP="0047764D">
      <w:pPr>
        <w:pStyle w:val="FootnoteText"/>
      </w:pPr>
      <w:r w:rsidRPr="0047764D">
        <w:rPr>
          <w:rStyle w:val="FootnoteReference"/>
        </w:rPr>
        <w:footnoteRef/>
      </w:r>
      <w:proofErr w:type="gramStart"/>
      <w:r w:rsidRPr="0047764D">
        <w:t>Alananga, S. (2018).</w:t>
      </w:r>
      <w:proofErr w:type="gramEnd"/>
      <w:r w:rsidRPr="0047764D">
        <w:t xml:space="preserve"> The value of formal titles to land in residential property transactions: Evidence from Kinondoni Municipality Tanzania. </w:t>
      </w:r>
      <w:r w:rsidRPr="0047764D">
        <w:rPr>
          <w:i/>
          <w:iCs/>
        </w:rPr>
        <w:t>International Journal of Housing Markets and Analysis</w:t>
      </w:r>
      <w:r w:rsidRPr="0047764D">
        <w:t>, </w:t>
      </w:r>
      <w:r w:rsidRPr="0047764D">
        <w:rPr>
          <w:i/>
          <w:iCs/>
        </w:rPr>
        <w:t>11</w:t>
      </w:r>
      <w:r w:rsidRPr="0047764D">
        <w:t>(1), 117-148.</w:t>
      </w:r>
    </w:p>
    <w:p w:rsidR="00373E41" w:rsidRPr="0047764D" w:rsidRDefault="00373E41" w:rsidP="0047764D">
      <w:pPr>
        <w:pStyle w:val="FootnoteText"/>
      </w:pPr>
    </w:p>
  </w:footnote>
  <w:footnote w:id="25">
    <w:p w:rsidR="00373E41" w:rsidRPr="0047764D" w:rsidRDefault="00373E41" w:rsidP="0047764D">
      <w:pPr>
        <w:pStyle w:val="FootnoteText"/>
        <w:spacing w:before="0"/>
      </w:pPr>
      <w:r w:rsidRPr="0047764D">
        <w:rPr>
          <w:rStyle w:val="FootnoteReference"/>
        </w:rPr>
        <w:footnoteRef/>
      </w:r>
      <w:r w:rsidRPr="0047764D">
        <w:t xml:space="preserve">Bennett, O. (2020). </w:t>
      </w:r>
      <w:proofErr w:type="gramStart"/>
      <w:r w:rsidRPr="0047764D">
        <w:t>"Navigating Legal Labyrinths: Procedural Challenges in Obtaining Unit Titles."</w:t>
      </w:r>
      <w:proofErr w:type="gramEnd"/>
      <w:r w:rsidRPr="0047764D">
        <w:t xml:space="preserve"> Journal of Property Law, 45(2), 210-230.</w:t>
      </w:r>
    </w:p>
  </w:footnote>
  <w:footnote w:id="26">
    <w:p w:rsidR="00373E41" w:rsidRPr="0047764D" w:rsidRDefault="00373E41" w:rsidP="0047764D">
      <w:pPr>
        <w:pStyle w:val="FootnoteText"/>
        <w:spacing w:before="0"/>
      </w:pPr>
      <w:r w:rsidRPr="0047764D">
        <w:rPr>
          <w:rStyle w:val="FootnoteReference"/>
        </w:rPr>
        <w:footnoteRef/>
      </w:r>
      <w:r w:rsidRPr="0047764D">
        <w:t xml:space="preserve"> Ibid.</w:t>
      </w:r>
    </w:p>
  </w:footnote>
  <w:footnote w:id="27">
    <w:p w:rsidR="00373E41" w:rsidRPr="0047764D" w:rsidRDefault="00373E41" w:rsidP="0047764D">
      <w:pPr>
        <w:pStyle w:val="FootnoteText"/>
      </w:pPr>
      <w:r w:rsidRPr="0047764D">
        <w:rPr>
          <w:rStyle w:val="FootnoteReference"/>
        </w:rPr>
        <w:footnoteRef/>
      </w:r>
      <w:r w:rsidRPr="0047764D">
        <w:t xml:space="preserve">Bennett, O. (2020). </w:t>
      </w:r>
      <w:proofErr w:type="gramStart"/>
      <w:r w:rsidRPr="0047764D">
        <w:t>"Navigating Legal Labyrinths: Procedural Challenges in Obtaining Unit Titles."</w:t>
      </w:r>
      <w:proofErr w:type="gramEnd"/>
      <w:r w:rsidRPr="0047764D">
        <w:t xml:space="preserve"> Journal of Property Law, 45(2), 210-230.</w:t>
      </w:r>
    </w:p>
    <w:p w:rsidR="00373E41" w:rsidRPr="0047764D" w:rsidRDefault="00373E41" w:rsidP="0047764D">
      <w:pPr>
        <w:pStyle w:val="FootnoteText"/>
      </w:pPr>
    </w:p>
  </w:footnote>
  <w:footnote w:id="28">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 xml:space="preserve">Steffens, P. R. (2003). </w:t>
      </w:r>
      <w:proofErr w:type="gramStart"/>
      <w:r w:rsidRPr="0047764D">
        <w:rPr>
          <w:color w:val="222222"/>
          <w:sz w:val="20"/>
          <w:szCs w:val="20"/>
          <w:shd w:val="clear" w:color="auto" w:fill="FFFFFF"/>
        </w:rPr>
        <w:t>A model of multiple-unit ownership as a diffusion process.</w:t>
      </w:r>
      <w:proofErr w:type="gramEnd"/>
      <w:r w:rsidRPr="0047764D">
        <w:rPr>
          <w:color w:val="222222"/>
          <w:sz w:val="20"/>
          <w:szCs w:val="20"/>
          <w:shd w:val="clear" w:color="auto" w:fill="FFFFFF"/>
        </w:rPr>
        <w:t> </w:t>
      </w:r>
      <w:r w:rsidRPr="0047764D">
        <w:rPr>
          <w:i/>
          <w:iCs/>
          <w:color w:val="222222"/>
          <w:sz w:val="20"/>
          <w:szCs w:val="20"/>
          <w:shd w:val="clear" w:color="auto" w:fill="FFFFFF"/>
        </w:rPr>
        <w:t>Technological Forecasting and Social Change</w:t>
      </w:r>
      <w:r w:rsidRPr="0047764D">
        <w:rPr>
          <w:color w:val="222222"/>
          <w:sz w:val="20"/>
          <w:szCs w:val="20"/>
          <w:shd w:val="clear" w:color="auto" w:fill="FFFFFF"/>
        </w:rPr>
        <w:t>, </w:t>
      </w:r>
      <w:r w:rsidRPr="0047764D">
        <w:rPr>
          <w:i/>
          <w:iCs/>
          <w:color w:val="222222"/>
          <w:sz w:val="20"/>
          <w:szCs w:val="20"/>
          <w:shd w:val="clear" w:color="auto" w:fill="FFFFFF"/>
        </w:rPr>
        <w:t>70</w:t>
      </w:r>
      <w:r w:rsidRPr="0047764D">
        <w:rPr>
          <w:color w:val="222222"/>
          <w:sz w:val="20"/>
          <w:szCs w:val="20"/>
          <w:shd w:val="clear" w:color="auto" w:fill="FFFFFF"/>
        </w:rPr>
        <w:t>(9), 901-917.</w:t>
      </w:r>
    </w:p>
  </w:footnote>
  <w:footnote w:id="29">
    <w:p w:rsidR="00373E41" w:rsidRPr="00373E41" w:rsidRDefault="00373E41" w:rsidP="00373E41">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Gómez, R. S., González, I. S., &amp; Vazquez, L. (2010).</w:t>
      </w:r>
      <w:proofErr w:type="gramEnd"/>
      <w:r w:rsidRPr="0047764D">
        <w:rPr>
          <w:color w:val="222222"/>
          <w:sz w:val="20"/>
          <w:szCs w:val="20"/>
          <w:shd w:val="clear" w:color="auto" w:fill="FFFFFF"/>
        </w:rPr>
        <w:t xml:space="preserve"> Multi-unit versus single-unit franchising: assessing why franchisors use different ownership strategies. </w:t>
      </w:r>
      <w:r w:rsidRPr="0047764D">
        <w:rPr>
          <w:i/>
          <w:iCs/>
          <w:color w:val="222222"/>
          <w:sz w:val="20"/>
          <w:szCs w:val="20"/>
          <w:shd w:val="clear" w:color="auto" w:fill="FFFFFF"/>
        </w:rPr>
        <w:t>The Service Industries Journal</w:t>
      </w:r>
      <w:r w:rsidRPr="0047764D">
        <w:rPr>
          <w:color w:val="222222"/>
          <w:sz w:val="20"/>
          <w:szCs w:val="20"/>
          <w:shd w:val="clear" w:color="auto" w:fill="FFFFFF"/>
        </w:rPr>
        <w:t>, </w:t>
      </w:r>
      <w:r w:rsidRPr="0047764D">
        <w:rPr>
          <w:i/>
          <w:iCs/>
          <w:color w:val="222222"/>
          <w:sz w:val="20"/>
          <w:szCs w:val="20"/>
          <w:shd w:val="clear" w:color="auto" w:fill="FFFFFF"/>
        </w:rPr>
        <w:t>30</w:t>
      </w:r>
      <w:r w:rsidRPr="0047764D">
        <w:rPr>
          <w:color w:val="222222"/>
          <w:sz w:val="20"/>
          <w:szCs w:val="20"/>
          <w:shd w:val="clear" w:color="auto" w:fill="FFFFFF"/>
        </w:rPr>
        <w:t>(3), 463-476.]</w:t>
      </w:r>
    </w:p>
  </w:footnote>
  <w:footnote w:id="30">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Martinaityte, I., Unsworth, K. L., &amp; Sacramento, C. A. (2020).</w:t>
      </w:r>
      <w:proofErr w:type="gramEnd"/>
      <w:r w:rsidRPr="0047764D">
        <w:rPr>
          <w:color w:val="222222"/>
          <w:sz w:val="20"/>
          <w:szCs w:val="20"/>
          <w:shd w:val="clear" w:color="auto" w:fill="FFFFFF"/>
        </w:rPr>
        <w:t xml:space="preserve"> Is the project ‘mine’or ‘ours’? </w:t>
      </w:r>
      <w:proofErr w:type="gramStart"/>
      <w:r w:rsidRPr="0047764D">
        <w:rPr>
          <w:color w:val="222222"/>
          <w:sz w:val="20"/>
          <w:szCs w:val="20"/>
          <w:shd w:val="clear" w:color="auto" w:fill="FFFFFF"/>
        </w:rPr>
        <w:t>A multilevel investigation of the effects of individual and collective psychological ownership.</w:t>
      </w:r>
      <w:proofErr w:type="gramEnd"/>
      <w:r w:rsidRPr="0047764D">
        <w:rPr>
          <w:color w:val="222222"/>
          <w:sz w:val="20"/>
          <w:szCs w:val="20"/>
          <w:shd w:val="clear" w:color="auto" w:fill="FFFFFF"/>
        </w:rPr>
        <w:t> </w:t>
      </w:r>
      <w:r w:rsidRPr="0047764D">
        <w:rPr>
          <w:i/>
          <w:iCs/>
          <w:color w:val="222222"/>
          <w:sz w:val="20"/>
          <w:szCs w:val="20"/>
          <w:shd w:val="clear" w:color="auto" w:fill="FFFFFF"/>
        </w:rPr>
        <w:t>Journal of Occupational and Organizational Psychology</w:t>
      </w:r>
      <w:r w:rsidRPr="0047764D">
        <w:rPr>
          <w:color w:val="222222"/>
          <w:sz w:val="20"/>
          <w:szCs w:val="20"/>
          <w:shd w:val="clear" w:color="auto" w:fill="FFFFFF"/>
        </w:rPr>
        <w:t>, </w:t>
      </w:r>
      <w:r w:rsidRPr="0047764D">
        <w:rPr>
          <w:i/>
          <w:iCs/>
          <w:color w:val="222222"/>
          <w:sz w:val="20"/>
          <w:szCs w:val="20"/>
          <w:shd w:val="clear" w:color="auto" w:fill="FFFFFF"/>
        </w:rPr>
        <w:t>93</w:t>
      </w:r>
      <w:r w:rsidRPr="0047764D">
        <w:rPr>
          <w:color w:val="222222"/>
          <w:sz w:val="20"/>
          <w:szCs w:val="20"/>
          <w:shd w:val="clear" w:color="auto" w:fill="FFFFFF"/>
        </w:rPr>
        <w:t>(2), 302-327.</w:t>
      </w:r>
    </w:p>
  </w:footnote>
  <w:footnote w:id="31">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Aghion, P., &amp;Tirole, J. (1995).</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Some implications of growth for organizational form and ownership structure.</w:t>
      </w:r>
      <w:proofErr w:type="gramEnd"/>
      <w:r w:rsidRPr="0047764D">
        <w:rPr>
          <w:color w:val="222222"/>
          <w:sz w:val="20"/>
          <w:szCs w:val="20"/>
          <w:shd w:val="clear" w:color="auto" w:fill="FFFFFF"/>
        </w:rPr>
        <w:t> </w:t>
      </w:r>
      <w:r w:rsidRPr="0047764D">
        <w:rPr>
          <w:i/>
          <w:iCs/>
          <w:color w:val="222222"/>
          <w:sz w:val="20"/>
          <w:szCs w:val="20"/>
          <w:shd w:val="clear" w:color="auto" w:fill="FFFFFF"/>
        </w:rPr>
        <w:t>European Economic Review</w:t>
      </w:r>
      <w:r w:rsidRPr="0047764D">
        <w:rPr>
          <w:color w:val="222222"/>
          <w:sz w:val="20"/>
          <w:szCs w:val="20"/>
          <w:shd w:val="clear" w:color="auto" w:fill="FFFFFF"/>
        </w:rPr>
        <w:t>, </w:t>
      </w:r>
      <w:r w:rsidRPr="0047764D">
        <w:rPr>
          <w:i/>
          <w:iCs/>
          <w:color w:val="222222"/>
          <w:sz w:val="20"/>
          <w:szCs w:val="20"/>
          <w:shd w:val="clear" w:color="auto" w:fill="FFFFFF"/>
        </w:rPr>
        <w:t>39</w:t>
      </w:r>
      <w:r w:rsidRPr="0047764D">
        <w:rPr>
          <w:color w:val="222222"/>
          <w:sz w:val="20"/>
          <w:szCs w:val="20"/>
          <w:shd w:val="clear" w:color="auto" w:fill="FFFFFF"/>
        </w:rPr>
        <w:t>(3-4), 440-455.</w:t>
      </w:r>
    </w:p>
  </w:footnote>
  <w:footnote w:id="32">
    <w:p w:rsidR="00373E41" w:rsidRPr="00373E41" w:rsidRDefault="00373E41" w:rsidP="00373E41">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Aghion, P., &amp;Tirole, J. (1995).</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Some implications of growth for organizational form and ownership structure.</w:t>
      </w:r>
      <w:proofErr w:type="gramEnd"/>
      <w:r w:rsidRPr="0047764D">
        <w:rPr>
          <w:color w:val="222222"/>
          <w:sz w:val="20"/>
          <w:szCs w:val="20"/>
          <w:shd w:val="clear" w:color="auto" w:fill="FFFFFF"/>
        </w:rPr>
        <w:t> </w:t>
      </w:r>
      <w:r w:rsidRPr="0047764D">
        <w:rPr>
          <w:i/>
          <w:iCs/>
          <w:color w:val="222222"/>
          <w:sz w:val="20"/>
          <w:szCs w:val="20"/>
          <w:shd w:val="clear" w:color="auto" w:fill="FFFFFF"/>
        </w:rPr>
        <w:t>European Economic Review</w:t>
      </w:r>
      <w:r w:rsidRPr="0047764D">
        <w:rPr>
          <w:color w:val="222222"/>
          <w:sz w:val="20"/>
          <w:szCs w:val="20"/>
          <w:shd w:val="clear" w:color="auto" w:fill="FFFFFF"/>
        </w:rPr>
        <w:t>, </w:t>
      </w:r>
      <w:r w:rsidRPr="0047764D">
        <w:rPr>
          <w:i/>
          <w:iCs/>
          <w:color w:val="222222"/>
          <w:sz w:val="20"/>
          <w:szCs w:val="20"/>
          <w:shd w:val="clear" w:color="auto" w:fill="FFFFFF"/>
        </w:rPr>
        <w:t>39</w:t>
      </w:r>
      <w:r w:rsidRPr="0047764D">
        <w:rPr>
          <w:color w:val="222222"/>
          <w:sz w:val="20"/>
          <w:szCs w:val="20"/>
          <w:shd w:val="clear" w:color="auto" w:fill="FFFFFF"/>
        </w:rPr>
        <w:t>(3-4), 440-455.</w:t>
      </w:r>
    </w:p>
  </w:footnote>
  <w:footnote w:id="33">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Aghion, P., &amp;Tirole, J. (1995).</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Some implications of growth for organizational form and ownership structure.</w:t>
      </w:r>
      <w:proofErr w:type="gramEnd"/>
      <w:r w:rsidRPr="0047764D">
        <w:rPr>
          <w:color w:val="222222"/>
          <w:sz w:val="20"/>
          <w:szCs w:val="20"/>
          <w:shd w:val="clear" w:color="auto" w:fill="FFFFFF"/>
        </w:rPr>
        <w:t> </w:t>
      </w:r>
      <w:r w:rsidRPr="0047764D">
        <w:rPr>
          <w:i/>
          <w:iCs/>
          <w:color w:val="222222"/>
          <w:sz w:val="20"/>
          <w:szCs w:val="20"/>
          <w:shd w:val="clear" w:color="auto" w:fill="FFFFFF"/>
        </w:rPr>
        <w:t>European Economic Review</w:t>
      </w:r>
      <w:r w:rsidRPr="0047764D">
        <w:rPr>
          <w:color w:val="222222"/>
          <w:sz w:val="20"/>
          <w:szCs w:val="20"/>
          <w:shd w:val="clear" w:color="auto" w:fill="FFFFFF"/>
        </w:rPr>
        <w:t>, </w:t>
      </w:r>
      <w:r w:rsidRPr="0047764D">
        <w:rPr>
          <w:i/>
          <w:iCs/>
          <w:color w:val="222222"/>
          <w:sz w:val="20"/>
          <w:szCs w:val="20"/>
          <w:shd w:val="clear" w:color="auto" w:fill="FFFFFF"/>
        </w:rPr>
        <w:t>39</w:t>
      </w:r>
      <w:r w:rsidRPr="0047764D">
        <w:rPr>
          <w:color w:val="222222"/>
          <w:sz w:val="20"/>
          <w:szCs w:val="20"/>
          <w:shd w:val="clear" w:color="auto" w:fill="FFFFFF"/>
        </w:rPr>
        <w:t>(3-4), 440-455.</w:t>
      </w:r>
    </w:p>
  </w:footnote>
  <w:footnote w:id="34">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Doss, C., Kieran, C., &amp;Kilic, T. (2020).</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Measuring ownership, control, and use of assets.</w:t>
      </w:r>
      <w:proofErr w:type="gramEnd"/>
      <w:r w:rsidRPr="0047764D">
        <w:rPr>
          <w:color w:val="222222"/>
          <w:sz w:val="20"/>
          <w:szCs w:val="20"/>
          <w:shd w:val="clear" w:color="auto" w:fill="FFFFFF"/>
        </w:rPr>
        <w:t> </w:t>
      </w:r>
      <w:r w:rsidRPr="0047764D">
        <w:rPr>
          <w:i/>
          <w:iCs/>
          <w:color w:val="222222"/>
          <w:sz w:val="20"/>
          <w:szCs w:val="20"/>
          <w:shd w:val="clear" w:color="auto" w:fill="FFFFFF"/>
        </w:rPr>
        <w:t>Feminist Economics</w:t>
      </w:r>
      <w:r w:rsidRPr="0047764D">
        <w:rPr>
          <w:color w:val="222222"/>
          <w:sz w:val="20"/>
          <w:szCs w:val="20"/>
          <w:shd w:val="clear" w:color="auto" w:fill="FFFFFF"/>
        </w:rPr>
        <w:t>, </w:t>
      </w:r>
      <w:r w:rsidRPr="0047764D">
        <w:rPr>
          <w:i/>
          <w:iCs/>
          <w:color w:val="222222"/>
          <w:sz w:val="20"/>
          <w:szCs w:val="20"/>
          <w:shd w:val="clear" w:color="auto" w:fill="FFFFFF"/>
        </w:rPr>
        <w:t>26</w:t>
      </w:r>
      <w:r w:rsidRPr="0047764D">
        <w:rPr>
          <w:color w:val="222222"/>
          <w:sz w:val="20"/>
          <w:szCs w:val="20"/>
          <w:shd w:val="clear" w:color="auto" w:fill="FFFFFF"/>
        </w:rPr>
        <w:t>(3), 144-168.</w:t>
      </w:r>
    </w:p>
  </w:footnote>
  <w:footnote w:id="35">
    <w:p w:rsidR="00373E41" w:rsidRPr="00373E41" w:rsidRDefault="00373E41" w:rsidP="00373E41">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Kalnins, A., &amp; Lafontaine, F. (2004).</w:t>
      </w:r>
      <w:proofErr w:type="gramEnd"/>
      <w:r w:rsidRPr="0047764D">
        <w:rPr>
          <w:color w:val="222222"/>
          <w:sz w:val="20"/>
          <w:szCs w:val="20"/>
          <w:shd w:val="clear" w:color="auto" w:fill="FFFFFF"/>
        </w:rPr>
        <w:t xml:space="preserve"> Multi-unit ownership in franchising: Evidence from the fast-food industry in Texas. </w:t>
      </w:r>
      <w:r w:rsidRPr="0047764D">
        <w:rPr>
          <w:i/>
          <w:iCs/>
          <w:color w:val="222222"/>
          <w:sz w:val="20"/>
          <w:szCs w:val="20"/>
          <w:shd w:val="clear" w:color="auto" w:fill="FFFFFF"/>
        </w:rPr>
        <w:t>RAND Journal of Economics</w:t>
      </w:r>
      <w:r w:rsidRPr="0047764D">
        <w:rPr>
          <w:color w:val="222222"/>
          <w:sz w:val="20"/>
          <w:szCs w:val="20"/>
          <w:shd w:val="clear" w:color="auto" w:fill="FFFFFF"/>
        </w:rPr>
        <w:t>, 747-761.</w:t>
      </w:r>
    </w:p>
  </w:footnote>
  <w:footnote w:id="36">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Calder, A. (2008). </w:t>
      </w:r>
      <w:r w:rsidRPr="0047764D">
        <w:rPr>
          <w:i/>
          <w:iCs/>
          <w:color w:val="222222"/>
          <w:sz w:val="20"/>
          <w:szCs w:val="20"/>
          <w:shd w:val="clear" w:color="auto" w:fill="FFFFFF"/>
        </w:rPr>
        <w:t>Corporate governance: A practical guide to the legal frameworks and international codes of practice</w:t>
      </w:r>
      <w:r w:rsidRPr="0047764D">
        <w:rPr>
          <w:color w:val="222222"/>
          <w:sz w:val="20"/>
          <w:szCs w:val="20"/>
          <w:shd w:val="clear" w:color="auto" w:fill="FFFFFF"/>
        </w:rPr>
        <w:t xml:space="preserve">. </w:t>
      </w:r>
      <w:proofErr w:type="gramStart"/>
      <w:r w:rsidRPr="0047764D">
        <w:rPr>
          <w:color w:val="222222"/>
          <w:sz w:val="20"/>
          <w:szCs w:val="20"/>
          <w:shd w:val="clear" w:color="auto" w:fill="FFFFFF"/>
        </w:rPr>
        <w:t>Kogan Page Publishers.</w:t>
      </w:r>
      <w:proofErr w:type="gramEnd"/>
    </w:p>
  </w:footnote>
  <w:footnote w:id="37">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Deininger, K., Selod, H., &amp; Burns, A. (2012).</w:t>
      </w:r>
      <w:proofErr w:type="gramEnd"/>
      <w:r w:rsidRPr="0047764D">
        <w:rPr>
          <w:color w:val="222222"/>
          <w:sz w:val="20"/>
          <w:szCs w:val="20"/>
          <w:shd w:val="clear" w:color="auto" w:fill="FFFFFF"/>
        </w:rPr>
        <w:t> </w:t>
      </w:r>
      <w:r w:rsidRPr="0047764D">
        <w:rPr>
          <w:i/>
          <w:iCs/>
          <w:color w:val="222222"/>
          <w:sz w:val="20"/>
          <w:szCs w:val="20"/>
          <w:shd w:val="clear" w:color="auto" w:fill="FFFFFF"/>
        </w:rPr>
        <w:t>The Land Governance Assessment Framework: Identifying and monitoring good practice in the land sector</w:t>
      </w:r>
      <w:r w:rsidRPr="0047764D">
        <w:rPr>
          <w:color w:val="222222"/>
          <w:sz w:val="20"/>
          <w:szCs w:val="20"/>
          <w:shd w:val="clear" w:color="auto" w:fill="FFFFFF"/>
        </w:rPr>
        <w:t xml:space="preserve">. </w:t>
      </w:r>
      <w:proofErr w:type="gramStart"/>
      <w:r w:rsidRPr="0047764D">
        <w:rPr>
          <w:color w:val="222222"/>
          <w:sz w:val="20"/>
          <w:szCs w:val="20"/>
          <w:shd w:val="clear" w:color="auto" w:fill="FFFFFF"/>
        </w:rPr>
        <w:t>World Bank Publications.</w:t>
      </w:r>
      <w:proofErr w:type="gramEnd"/>
    </w:p>
  </w:footnote>
  <w:footnote w:id="38">
    <w:p w:rsidR="00373E41" w:rsidRPr="00373E41" w:rsidRDefault="00373E41" w:rsidP="00373E41">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Burns, T., Deininger, K., Selod, H., &amp; Dalrymple, K. (2010, April).</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Implementing the land governance assessment framework.</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In </w:t>
      </w:r>
      <w:r w:rsidRPr="0047764D">
        <w:rPr>
          <w:i/>
          <w:iCs/>
          <w:color w:val="222222"/>
          <w:sz w:val="20"/>
          <w:szCs w:val="20"/>
          <w:shd w:val="clear" w:color="auto" w:fill="FFFFFF"/>
        </w:rPr>
        <w:t>FIG Conference in Sydney, Australia</w:t>
      </w:r>
      <w:r w:rsidRPr="0047764D">
        <w:rPr>
          <w:color w:val="222222"/>
          <w:sz w:val="20"/>
          <w:szCs w:val="20"/>
          <w:shd w:val="clear" w:color="auto" w:fill="FFFFFF"/>
        </w:rPr>
        <w:t> (Vol. 3).</w:t>
      </w:r>
      <w:proofErr w:type="gramEnd"/>
    </w:p>
  </w:footnote>
  <w:footnote w:id="39">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 xml:space="preserve">Weisman, J. (1993). </w:t>
      </w:r>
      <w:proofErr w:type="gramStart"/>
      <w:r w:rsidRPr="0047764D">
        <w:rPr>
          <w:color w:val="222222"/>
          <w:sz w:val="20"/>
          <w:szCs w:val="20"/>
          <w:shd w:val="clear" w:color="auto" w:fill="FFFFFF"/>
        </w:rPr>
        <w:t>Ownership”“Assets” and Transferability of “Property Rights.</w:t>
      </w:r>
      <w:proofErr w:type="gramEnd"/>
      <w:r w:rsidRPr="0047764D">
        <w:rPr>
          <w:color w:val="222222"/>
          <w:sz w:val="20"/>
          <w:szCs w:val="20"/>
          <w:shd w:val="clear" w:color="auto" w:fill="FFFFFF"/>
        </w:rPr>
        <w:t> </w:t>
      </w:r>
      <w:r w:rsidRPr="0047764D">
        <w:rPr>
          <w:i/>
          <w:iCs/>
          <w:color w:val="222222"/>
          <w:sz w:val="20"/>
          <w:szCs w:val="20"/>
          <w:shd w:val="clear" w:color="auto" w:fill="FFFFFF"/>
        </w:rPr>
        <w:t>Israel Law Review</w:t>
      </w:r>
      <w:r w:rsidRPr="0047764D">
        <w:rPr>
          <w:color w:val="222222"/>
          <w:sz w:val="20"/>
          <w:szCs w:val="20"/>
          <w:shd w:val="clear" w:color="auto" w:fill="FFFFFF"/>
        </w:rPr>
        <w:t>, </w:t>
      </w:r>
      <w:r w:rsidRPr="0047764D">
        <w:rPr>
          <w:i/>
          <w:iCs/>
          <w:color w:val="222222"/>
          <w:sz w:val="20"/>
          <w:szCs w:val="20"/>
          <w:shd w:val="clear" w:color="auto" w:fill="FFFFFF"/>
        </w:rPr>
        <w:t>27</w:t>
      </w:r>
      <w:r w:rsidRPr="0047764D">
        <w:rPr>
          <w:color w:val="222222"/>
          <w:sz w:val="20"/>
          <w:szCs w:val="20"/>
          <w:shd w:val="clear" w:color="auto" w:fill="FFFFFF"/>
        </w:rPr>
        <w:t>(4), 652-660.</w:t>
      </w:r>
    </w:p>
  </w:footnote>
  <w:footnote w:id="40">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Holderness, C. G. (2003).</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Joint ownership and alienability.</w:t>
      </w:r>
      <w:proofErr w:type="gramEnd"/>
      <w:r w:rsidRPr="0047764D">
        <w:rPr>
          <w:color w:val="222222"/>
          <w:sz w:val="20"/>
          <w:szCs w:val="20"/>
          <w:shd w:val="clear" w:color="auto" w:fill="FFFFFF"/>
        </w:rPr>
        <w:t> </w:t>
      </w:r>
      <w:r w:rsidRPr="0047764D">
        <w:rPr>
          <w:i/>
          <w:iCs/>
          <w:color w:val="222222"/>
          <w:sz w:val="20"/>
          <w:szCs w:val="20"/>
          <w:shd w:val="clear" w:color="auto" w:fill="FFFFFF"/>
        </w:rPr>
        <w:t>International Review of Law and Economics</w:t>
      </w:r>
      <w:r w:rsidRPr="0047764D">
        <w:rPr>
          <w:color w:val="222222"/>
          <w:sz w:val="20"/>
          <w:szCs w:val="20"/>
          <w:shd w:val="clear" w:color="auto" w:fill="FFFFFF"/>
        </w:rPr>
        <w:t>, </w:t>
      </w:r>
      <w:r w:rsidRPr="0047764D">
        <w:rPr>
          <w:i/>
          <w:iCs/>
          <w:color w:val="222222"/>
          <w:sz w:val="20"/>
          <w:szCs w:val="20"/>
          <w:shd w:val="clear" w:color="auto" w:fill="FFFFFF"/>
        </w:rPr>
        <w:t>23</w:t>
      </w:r>
      <w:r w:rsidRPr="0047764D">
        <w:rPr>
          <w:color w:val="222222"/>
          <w:sz w:val="20"/>
          <w:szCs w:val="20"/>
          <w:shd w:val="clear" w:color="auto" w:fill="FFFFFF"/>
        </w:rPr>
        <w:t>(1), 75-100.</w:t>
      </w:r>
    </w:p>
  </w:footnote>
  <w:footnote w:id="41">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Kuntner, S., &amp;Kuntner, S. (2021).</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Transferable Ownership Interest.</w:t>
      </w:r>
      <w:proofErr w:type="gramEnd"/>
      <w:r w:rsidRPr="0047764D">
        <w:rPr>
          <w:color w:val="222222"/>
          <w:sz w:val="20"/>
          <w:szCs w:val="20"/>
          <w:shd w:val="clear" w:color="auto" w:fill="FFFFFF"/>
        </w:rPr>
        <w:t> </w:t>
      </w:r>
      <w:r w:rsidRPr="0047764D">
        <w:rPr>
          <w:i/>
          <w:iCs/>
          <w:color w:val="222222"/>
          <w:sz w:val="20"/>
          <w:szCs w:val="20"/>
          <w:shd w:val="clear" w:color="auto" w:fill="FFFFFF"/>
        </w:rPr>
        <w:t>China’s Foreign-Invested Limited Partnership Enterprise: An Analysis of its Legal Personality, Limited Liability and Transferable Ownership Interest</w:t>
      </w:r>
      <w:r w:rsidRPr="0047764D">
        <w:rPr>
          <w:color w:val="222222"/>
          <w:sz w:val="20"/>
          <w:szCs w:val="20"/>
          <w:shd w:val="clear" w:color="auto" w:fill="FFFFFF"/>
        </w:rPr>
        <w:t>, 285-353.</w:t>
      </w:r>
    </w:p>
  </w:footnote>
  <w:footnote w:id="42">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Kuntner, S., &amp;Kuntner, S. (2021).</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Transferable Ownership Interest.</w:t>
      </w:r>
      <w:proofErr w:type="gramEnd"/>
      <w:r w:rsidRPr="0047764D">
        <w:rPr>
          <w:color w:val="222222"/>
          <w:sz w:val="20"/>
          <w:szCs w:val="20"/>
          <w:shd w:val="clear" w:color="auto" w:fill="FFFFFF"/>
        </w:rPr>
        <w:t> </w:t>
      </w:r>
      <w:r w:rsidRPr="0047764D">
        <w:rPr>
          <w:i/>
          <w:iCs/>
          <w:color w:val="222222"/>
          <w:sz w:val="20"/>
          <w:szCs w:val="20"/>
          <w:shd w:val="clear" w:color="auto" w:fill="FFFFFF"/>
        </w:rPr>
        <w:t>China’s Foreign-Invested Limited Partnership Enterprise: An Analysis of its Legal Personality, Limited Liability and Transferable Ownership Interest</w:t>
      </w:r>
      <w:r w:rsidRPr="0047764D">
        <w:rPr>
          <w:color w:val="222222"/>
          <w:sz w:val="20"/>
          <w:szCs w:val="20"/>
          <w:shd w:val="clear" w:color="auto" w:fill="FFFFFF"/>
        </w:rPr>
        <w:t>, 285-353.</w:t>
      </w:r>
    </w:p>
  </w:footnote>
  <w:footnote w:id="43">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Selinske, M. J., Cooke, B., Torabi, N., Hardy, M. J., Knight, A. T., &amp;Bekessy, S. A. (2017).</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Locating financial incentives among diverse motivations for long-term private land conservation.</w:t>
      </w:r>
      <w:proofErr w:type="gramEnd"/>
      <w:r w:rsidRPr="0047764D">
        <w:rPr>
          <w:color w:val="222222"/>
          <w:sz w:val="20"/>
          <w:szCs w:val="20"/>
          <w:shd w:val="clear" w:color="auto" w:fill="FFFFFF"/>
        </w:rPr>
        <w:t> </w:t>
      </w:r>
      <w:proofErr w:type="gramStart"/>
      <w:r w:rsidRPr="0047764D">
        <w:rPr>
          <w:i/>
          <w:iCs/>
          <w:color w:val="222222"/>
          <w:sz w:val="20"/>
          <w:szCs w:val="20"/>
          <w:shd w:val="clear" w:color="auto" w:fill="FFFFFF"/>
        </w:rPr>
        <w:t>Ecology and Society</w:t>
      </w:r>
      <w:r w:rsidRPr="0047764D">
        <w:rPr>
          <w:color w:val="222222"/>
          <w:sz w:val="20"/>
          <w:szCs w:val="20"/>
          <w:shd w:val="clear" w:color="auto" w:fill="FFFFFF"/>
        </w:rPr>
        <w:t>, </w:t>
      </w:r>
      <w:r w:rsidRPr="0047764D">
        <w:rPr>
          <w:i/>
          <w:iCs/>
          <w:color w:val="222222"/>
          <w:sz w:val="20"/>
          <w:szCs w:val="20"/>
          <w:shd w:val="clear" w:color="auto" w:fill="FFFFFF"/>
        </w:rPr>
        <w:t>22</w:t>
      </w:r>
      <w:r w:rsidRPr="0047764D">
        <w:rPr>
          <w:color w:val="222222"/>
          <w:sz w:val="20"/>
          <w:szCs w:val="20"/>
          <w:shd w:val="clear" w:color="auto" w:fill="FFFFFF"/>
        </w:rPr>
        <w:t>(2).</w:t>
      </w:r>
      <w:proofErr w:type="gramEnd"/>
    </w:p>
  </w:footnote>
  <w:footnote w:id="44">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Denman, D. R. (2023).</w:t>
      </w:r>
      <w:proofErr w:type="gramEnd"/>
      <w:r w:rsidRPr="0047764D">
        <w:rPr>
          <w:color w:val="222222"/>
          <w:sz w:val="20"/>
          <w:szCs w:val="20"/>
          <w:shd w:val="clear" w:color="auto" w:fill="FFFFFF"/>
        </w:rPr>
        <w:t> </w:t>
      </w:r>
      <w:r w:rsidRPr="0047764D">
        <w:rPr>
          <w:i/>
          <w:iCs/>
          <w:color w:val="222222"/>
          <w:sz w:val="20"/>
          <w:szCs w:val="20"/>
          <w:shd w:val="clear" w:color="auto" w:fill="FFFFFF"/>
        </w:rPr>
        <w:t>Estate capital: the contribution of landownership to agricultural finance</w:t>
      </w:r>
      <w:r w:rsidRPr="0047764D">
        <w:rPr>
          <w:color w:val="222222"/>
          <w:sz w:val="20"/>
          <w:szCs w:val="20"/>
          <w:shd w:val="clear" w:color="auto" w:fill="FFFFFF"/>
        </w:rPr>
        <w:t xml:space="preserve">. </w:t>
      </w:r>
      <w:proofErr w:type="gramStart"/>
      <w:r w:rsidRPr="0047764D">
        <w:rPr>
          <w:color w:val="222222"/>
          <w:sz w:val="20"/>
          <w:szCs w:val="20"/>
          <w:shd w:val="clear" w:color="auto" w:fill="FFFFFF"/>
        </w:rPr>
        <w:t>Routledge.</w:t>
      </w:r>
      <w:proofErr w:type="gramEnd"/>
    </w:p>
  </w:footnote>
  <w:footnote w:id="45">
    <w:p w:rsidR="00373E41" w:rsidRPr="00373E41" w:rsidRDefault="00373E41" w:rsidP="00373E41">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Bennett, R. M., Unger, E. M., Lemmen, C., &amp; Dijkstra, P. (2021).</w:t>
      </w:r>
      <w:proofErr w:type="gramEnd"/>
      <w:r w:rsidRPr="0047764D">
        <w:rPr>
          <w:color w:val="222222"/>
          <w:sz w:val="20"/>
          <w:szCs w:val="20"/>
          <w:shd w:val="clear" w:color="auto" w:fill="FFFFFF"/>
        </w:rPr>
        <w:t xml:space="preserve"> Land administration maintenance: A review of the persistent problem and emerging fit-for-purpose solutions. </w:t>
      </w:r>
      <w:proofErr w:type="gramStart"/>
      <w:r w:rsidRPr="0047764D">
        <w:rPr>
          <w:i/>
          <w:iCs/>
          <w:color w:val="222222"/>
          <w:sz w:val="20"/>
          <w:szCs w:val="20"/>
          <w:shd w:val="clear" w:color="auto" w:fill="FFFFFF"/>
        </w:rPr>
        <w:t>Land</w:t>
      </w:r>
      <w:r w:rsidRPr="0047764D">
        <w:rPr>
          <w:color w:val="222222"/>
          <w:sz w:val="20"/>
          <w:szCs w:val="20"/>
          <w:shd w:val="clear" w:color="auto" w:fill="FFFFFF"/>
        </w:rPr>
        <w:t>, </w:t>
      </w:r>
      <w:r w:rsidRPr="0047764D">
        <w:rPr>
          <w:i/>
          <w:iCs/>
          <w:color w:val="222222"/>
          <w:sz w:val="20"/>
          <w:szCs w:val="20"/>
          <w:shd w:val="clear" w:color="auto" w:fill="FFFFFF"/>
        </w:rPr>
        <w:t>10</w:t>
      </w:r>
      <w:r w:rsidRPr="0047764D">
        <w:rPr>
          <w:color w:val="222222"/>
          <w:sz w:val="20"/>
          <w:szCs w:val="20"/>
          <w:shd w:val="clear" w:color="auto" w:fill="FFFFFF"/>
        </w:rPr>
        <w:t>(5), 509.</w:t>
      </w:r>
      <w:proofErr w:type="gramEnd"/>
    </w:p>
  </w:footnote>
  <w:footnote w:id="46">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 xml:space="preserve">Sharon, I. (1995). </w:t>
      </w:r>
      <w:proofErr w:type="gramStart"/>
      <w:r w:rsidRPr="0047764D">
        <w:rPr>
          <w:color w:val="222222"/>
          <w:sz w:val="20"/>
          <w:szCs w:val="20"/>
          <w:shd w:val="clear" w:color="auto" w:fill="FFFFFF"/>
        </w:rPr>
        <w:t>The Registration System.</w:t>
      </w:r>
      <w:proofErr w:type="gramEnd"/>
      <w:r w:rsidRPr="0047764D">
        <w:rPr>
          <w:color w:val="222222"/>
          <w:sz w:val="20"/>
          <w:szCs w:val="20"/>
          <w:shd w:val="clear" w:color="auto" w:fill="FFFFFF"/>
        </w:rPr>
        <w:t> </w:t>
      </w:r>
      <w:r w:rsidRPr="0047764D">
        <w:rPr>
          <w:i/>
          <w:iCs/>
          <w:color w:val="222222"/>
          <w:sz w:val="20"/>
          <w:szCs w:val="20"/>
          <w:shd w:val="clear" w:color="auto" w:fill="FFFFFF"/>
        </w:rPr>
        <w:t>Excavations at Dor, Final Report</w:t>
      </w:r>
      <w:r w:rsidRPr="0047764D">
        <w:rPr>
          <w:color w:val="222222"/>
          <w:sz w:val="20"/>
          <w:szCs w:val="20"/>
          <w:shd w:val="clear" w:color="auto" w:fill="FFFFFF"/>
        </w:rPr>
        <w:t>, </w:t>
      </w:r>
      <w:r w:rsidRPr="0047764D">
        <w:rPr>
          <w:i/>
          <w:iCs/>
          <w:color w:val="222222"/>
          <w:sz w:val="20"/>
          <w:szCs w:val="20"/>
          <w:shd w:val="clear" w:color="auto" w:fill="FFFFFF"/>
        </w:rPr>
        <w:t>1</w:t>
      </w:r>
      <w:r w:rsidRPr="0047764D">
        <w:rPr>
          <w:color w:val="222222"/>
          <w:sz w:val="20"/>
          <w:szCs w:val="20"/>
          <w:shd w:val="clear" w:color="auto" w:fill="FFFFFF"/>
        </w:rPr>
        <w:t>, 13-20.</w:t>
      </w:r>
    </w:p>
  </w:footnote>
  <w:footnote w:id="47">
    <w:p w:rsidR="00373E41" w:rsidRPr="0047764D" w:rsidRDefault="00373E41" w:rsidP="0047764D">
      <w:pPr>
        <w:pStyle w:val="FootnoteText"/>
        <w:spacing w:before="0"/>
      </w:pPr>
      <w:r w:rsidRPr="0047764D">
        <w:rPr>
          <w:rStyle w:val="FootnoteReference"/>
        </w:rPr>
        <w:footnoteRef/>
      </w:r>
      <w:proofErr w:type="gramStart"/>
      <w:r w:rsidRPr="0047764D">
        <w:t>Levy, A. (2023).</w:t>
      </w:r>
      <w:proofErr w:type="gramEnd"/>
      <w:r w:rsidRPr="0047764D">
        <w:t xml:space="preserve"> </w:t>
      </w:r>
      <w:proofErr w:type="gramStart"/>
      <w:r w:rsidRPr="0047764D">
        <w:t>The Potential of Systematic Land Registration as a Tool for Jamaica's Sustainable Development.</w:t>
      </w:r>
      <w:proofErr w:type="gramEnd"/>
      <w:r w:rsidRPr="0047764D">
        <w:t> </w:t>
      </w:r>
      <w:proofErr w:type="gramStart"/>
      <w:r w:rsidRPr="0047764D">
        <w:rPr>
          <w:i/>
          <w:iCs/>
        </w:rPr>
        <w:t>Journal of Arts Science &amp; Technology</w:t>
      </w:r>
      <w:r w:rsidRPr="0047764D">
        <w:t>, </w:t>
      </w:r>
      <w:r w:rsidRPr="0047764D">
        <w:rPr>
          <w:i/>
          <w:iCs/>
        </w:rPr>
        <w:t>14</w:t>
      </w:r>
      <w:r w:rsidRPr="0047764D">
        <w:t>(2).</w:t>
      </w:r>
      <w:proofErr w:type="gramEnd"/>
    </w:p>
    <w:p w:rsidR="00373E41" w:rsidRPr="0047764D" w:rsidRDefault="00373E41" w:rsidP="0047764D">
      <w:pPr>
        <w:pStyle w:val="FootnoteText"/>
      </w:pPr>
    </w:p>
  </w:footnote>
  <w:footnote w:id="48">
    <w:p w:rsidR="00373E41" w:rsidRPr="0047764D" w:rsidRDefault="00373E41" w:rsidP="0047764D">
      <w:pPr>
        <w:pStyle w:val="FootnoteText"/>
      </w:pPr>
      <w:r w:rsidRPr="0047764D">
        <w:rPr>
          <w:rStyle w:val="FootnoteReference"/>
        </w:rPr>
        <w:footnoteRef/>
      </w:r>
      <w:proofErr w:type="gramStart"/>
      <w:r w:rsidRPr="0047764D">
        <w:t>Han, S., Wang, M., Liu, Q., Wang, R., Ou, G., &amp; Zhang, L. (2022).</w:t>
      </w:r>
      <w:proofErr w:type="gramEnd"/>
      <w:r w:rsidRPr="0047764D">
        <w:t xml:space="preserve"> The influence of land disposition derived from land finance on urban innovation in China: mechanism discussion and empirical evidence. </w:t>
      </w:r>
      <w:proofErr w:type="gramStart"/>
      <w:r w:rsidRPr="0047764D">
        <w:rPr>
          <w:i/>
          <w:iCs/>
        </w:rPr>
        <w:t>International Journal of Environmental Research and Public Health</w:t>
      </w:r>
      <w:r w:rsidRPr="0047764D">
        <w:t>, </w:t>
      </w:r>
      <w:r w:rsidRPr="0047764D">
        <w:rPr>
          <w:i/>
          <w:iCs/>
        </w:rPr>
        <w:t>19</w:t>
      </w:r>
      <w:r w:rsidRPr="0047764D">
        <w:t>(6), 3212.</w:t>
      </w:r>
      <w:proofErr w:type="gramEnd"/>
    </w:p>
    <w:p w:rsidR="00373E41" w:rsidRPr="0047764D" w:rsidRDefault="00373E41" w:rsidP="0047764D">
      <w:pPr>
        <w:pStyle w:val="FootnoteText"/>
      </w:pPr>
    </w:p>
  </w:footnote>
  <w:footnote w:id="49">
    <w:p w:rsidR="00373E41" w:rsidRPr="0047764D" w:rsidRDefault="00373E41" w:rsidP="0047764D">
      <w:pPr>
        <w:pStyle w:val="FootnoteText"/>
        <w:spacing w:before="0"/>
      </w:pPr>
      <w:r w:rsidRPr="0047764D">
        <w:rPr>
          <w:rStyle w:val="FootnoteReference"/>
        </w:rPr>
        <w:footnoteRef/>
      </w:r>
      <w:proofErr w:type="gramStart"/>
      <w:r w:rsidRPr="0047764D">
        <w:t>Han, S., Wang, M., Liu, Q., Wang, R., Ou, G., &amp; Zhang, L. (2022).</w:t>
      </w:r>
      <w:proofErr w:type="gramEnd"/>
      <w:r w:rsidRPr="0047764D">
        <w:t xml:space="preserve"> The influence of land disposition derived from land finance on urban innovation in China: mechanism discussion and empirical evidence. </w:t>
      </w:r>
      <w:proofErr w:type="gramStart"/>
      <w:r w:rsidRPr="0047764D">
        <w:rPr>
          <w:i/>
          <w:iCs/>
        </w:rPr>
        <w:t>International Journal of Environmental Research and Public Health</w:t>
      </w:r>
      <w:r w:rsidRPr="0047764D">
        <w:t>, </w:t>
      </w:r>
      <w:r w:rsidRPr="0047764D">
        <w:rPr>
          <w:i/>
          <w:iCs/>
        </w:rPr>
        <w:t>19</w:t>
      </w:r>
      <w:r w:rsidRPr="0047764D">
        <w:t>(6), 3212.</w:t>
      </w:r>
      <w:proofErr w:type="gramEnd"/>
    </w:p>
  </w:footnote>
  <w:footnote w:id="50">
    <w:p w:rsidR="00373E41" w:rsidRPr="0047764D" w:rsidRDefault="00373E41" w:rsidP="0047764D">
      <w:pPr>
        <w:pStyle w:val="FootnoteText"/>
        <w:spacing w:before="0"/>
      </w:pPr>
      <w:r w:rsidRPr="0047764D">
        <w:rPr>
          <w:rStyle w:val="FootnoteReference"/>
        </w:rPr>
        <w:footnoteRef/>
      </w:r>
      <w:r w:rsidRPr="0047764D">
        <w:t xml:space="preserve"> Ibid.</w:t>
      </w:r>
    </w:p>
  </w:footnote>
  <w:footnote w:id="51">
    <w:p w:rsidR="00373E41" w:rsidRPr="0047764D" w:rsidRDefault="00373E41" w:rsidP="0047764D">
      <w:pPr>
        <w:pStyle w:val="FootnoteText"/>
        <w:spacing w:before="0"/>
      </w:pPr>
      <w:r w:rsidRPr="0047764D">
        <w:rPr>
          <w:rStyle w:val="FootnoteReference"/>
        </w:rPr>
        <w:footnoteRef/>
      </w:r>
      <w:proofErr w:type="gramStart"/>
      <w:r w:rsidRPr="0047764D">
        <w:t>Han, S., Wang, M., Liu, Q., Wang, R., Ou, G., &amp; Zhang, L. (2022).</w:t>
      </w:r>
      <w:proofErr w:type="gramEnd"/>
      <w:r w:rsidRPr="0047764D">
        <w:t xml:space="preserve"> The influence of land disposition derived from land finance on urban innovation in China: mechanism discussion and empirical evidence. </w:t>
      </w:r>
      <w:proofErr w:type="gramStart"/>
      <w:r w:rsidRPr="0047764D">
        <w:rPr>
          <w:i/>
          <w:iCs/>
        </w:rPr>
        <w:t>International Journal of Environmental Research and Public Health</w:t>
      </w:r>
      <w:r w:rsidRPr="0047764D">
        <w:t>, </w:t>
      </w:r>
      <w:r w:rsidRPr="0047764D">
        <w:rPr>
          <w:i/>
          <w:iCs/>
        </w:rPr>
        <w:t>19</w:t>
      </w:r>
      <w:r w:rsidRPr="0047764D">
        <w:t>(6), 3212.</w:t>
      </w:r>
      <w:proofErr w:type="gramEnd"/>
    </w:p>
  </w:footnote>
  <w:footnote w:id="52">
    <w:p w:rsidR="00373E41" w:rsidRPr="0047764D" w:rsidRDefault="00373E41" w:rsidP="0047764D">
      <w:pPr>
        <w:pStyle w:val="FootnoteText"/>
        <w:spacing w:before="0"/>
      </w:pPr>
      <w:r w:rsidRPr="0047764D">
        <w:rPr>
          <w:rStyle w:val="FootnoteReference"/>
        </w:rPr>
        <w:footnoteRef/>
      </w:r>
      <w:r w:rsidRPr="0047764D">
        <w:t xml:space="preserve">Tenga W. (2009) The Condominium Property Model in Tanzania: An Overview, presentation at the Tanganyika Law Society, CLE, Workshop Dar es Salaam. </w:t>
      </w:r>
    </w:p>
  </w:footnote>
  <w:footnote w:id="53">
    <w:p w:rsidR="00373E41" w:rsidRPr="0047764D" w:rsidRDefault="00373E41" w:rsidP="0047764D">
      <w:pPr>
        <w:pStyle w:val="FootnoteText"/>
        <w:spacing w:before="0"/>
      </w:pPr>
      <w:r w:rsidRPr="0047764D">
        <w:rPr>
          <w:rStyle w:val="FootnoteReference"/>
        </w:rPr>
        <w:footnoteRef/>
      </w:r>
      <w:r w:rsidRPr="0047764D">
        <w:t xml:space="preserve">Tenga W. (2009) The Condominium Property Model in Tanzania: An Overview, presentation at the Tanganyika Law Society, CLE, Workshop Dar es Salaam. </w:t>
      </w:r>
    </w:p>
  </w:footnote>
  <w:footnote w:id="54">
    <w:p w:rsidR="00373E41" w:rsidRPr="0047764D" w:rsidRDefault="00373E41" w:rsidP="0047764D">
      <w:pPr>
        <w:pStyle w:val="FootnoteText"/>
        <w:spacing w:before="0"/>
      </w:pPr>
      <w:r w:rsidRPr="0047764D">
        <w:rPr>
          <w:rStyle w:val="FootnoteReference"/>
        </w:rPr>
        <w:footnoteRef/>
      </w:r>
      <w:r w:rsidRPr="0047764D">
        <w:t>Tenga W. &amp;Mramba S. (2016) The Unit Titles Framework in Tanzania: An Introduction, presentation for TLS Law Lectures CLE, Arusha.</w:t>
      </w:r>
    </w:p>
  </w:footnote>
  <w:footnote w:id="55">
    <w:p w:rsidR="00373E41" w:rsidRPr="0047764D" w:rsidRDefault="00373E41" w:rsidP="0047764D">
      <w:pPr>
        <w:pStyle w:val="FootnoteText"/>
        <w:spacing w:before="0"/>
      </w:pPr>
      <w:r w:rsidRPr="0047764D">
        <w:rPr>
          <w:rStyle w:val="FootnoteReference"/>
        </w:rPr>
        <w:footnoteRef/>
      </w:r>
      <w:r w:rsidRPr="0047764D">
        <w:t xml:space="preserve">Victory Attorneys (2022) </w:t>
      </w:r>
      <w:r w:rsidRPr="0047764D">
        <w:rPr>
          <w:bCs/>
        </w:rPr>
        <w:t>It Is Mandatory for a Unit Property to Be Managed by a Registered Association accessed on 10 April, 2024 available at</w:t>
      </w:r>
      <w:hyperlink r:id="rId2" w:history="1">
        <w:r w:rsidRPr="0047764D">
          <w:rPr>
            <w:rStyle w:val="Hyperlink"/>
            <w:bCs/>
          </w:rPr>
          <w:t>https://victoryattorneys.co.tz/2024/03/28/it-is-mandatory-for-a-unit-property-to-be-managed-by-a-registered-association/</w:t>
        </w:r>
      </w:hyperlink>
    </w:p>
  </w:footnote>
  <w:footnote w:id="56">
    <w:p w:rsidR="00373E41" w:rsidRPr="0047764D" w:rsidRDefault="00373E41" w:rsidP="0047764D">
      <w:pPr>
        <w:pStyle w:val="FootnoteText"/>
      </w:pPr>
      <w:r w:rsidRPr="0047764D">
        <w:rPr>
          <w:rStyle w:val="FootnoteReference"/>
        </w:rPr>
        <w:footnoteRef/>
      </w:r>
      <w:r w:rsidRPr="0047764D">
        <w:t xml:space="preserve"> Victory Attorneys (2022) </w:t>
      </w:r>
      <w:r w:rsidRPr="0047764D">
        <w:rPr>
          <w:bCs/>
        </w:rPr>
        <w:t>It Is Mandatory for a Unit Property to Be Managed by a Registered Association accessed on 10 April, 2024 available at</w:t>
      </w:r>
      <w:hyperlink r:id="rId3" w:history="1">
        <w:r w:rsidRPr="0047764D">
          <w:rPr>
            <w:rStyle w:val="Hyperlink"/>
            <w:bCs/>
          </w:rPr>
          <w:t>https://victoryattorneys.co.tz/2024/03/28/it-is-mandatory-for-a-unit-property-to-be-managed-by-a-registered-association/</w:t>
        </w:r>
      </w:hyperlink>
    </w:p>
  </w:footnote>
  <w:footnote w:id="57">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Okyere, D. B. (2021).</w:t>
      </w:r>
      <w:proofErr w:type="gramEnd"/>
      <w:r w:rsidRPr="0047764D">
        <w:rPr>
          <w:color w:val="222222"/>
          <w:sz w:val="20"/>
          <w:szCs w:val="20"/>
          <w:shd w:val="clear" w:color="auto" w:fill="FFFFFF"/>
        </w:rPr>
        <w:t> </w:t>
      </w:r>
      <w:r w:rsidRPr="0047764D">
        <w:rPr>
          <w:i/>
          <w:iCs/>
          <w:color w:val="222222"/>
          <w:sz w:val="20"/>
          <w:szCs w:val="20"/>
          <w:shd w:val="clear" w:color="auto" w:fill="FFFFFF"/>
        </w:rPr>
        <w:t>Country profile of the land administration domain for Ghana: with the inclusion title, deeds, customary and informal systems of land registration</w:t>
      </w:r>
      <w:r w:rsidRPr="0047764D">
        <w:rPr>
          <w:color w:val="222222"/>
          <w:sz w:val="20"/>
          <w:szCs w:val="20"/>
          <w:shd w:val="clear" w:color="auto" w:fill="FFFFFF"/>
        </w:rPr>
        <w:t> (Master's thesis, University of Twente).</w:t>
      </w:r>
    </w:p>
    <w:p w:rsidR="00373E41" w:rsidRPr="0047764D" w:rsidRDefault="00373E41" w:rsidP="0047764D">
      <w:pPr>
        <w:pStyle w:val="FootnoteText"/>
      </w:pPr>
    </w:p>
  </w:footnote>
  <w:footnote w:id="58">
    <w:p w:rsidR="00373E41" w:rsidRPr="0047764D" w:rsidRDefault="00373E41" w:rsidP="0047764D">
      <w:pPr>
        <w:pStyle w:val="FootnoteText"/>
        <w:spacing w:before="0"/>
      </w:pPr>
      <w:r w:rsidRPr="0047764D">
        <w:rPr>
          <w:rStyle w:val="FootnoteReference"/>
        </w:rPr>
        <w:footnoteRef/>
      </w:r>
      <w:r w:rsidRPr="0047764D">
        <w:t xml:space="preserve"> 1999</w:t>
      </w:r>
    </w:p>
  </w:footnote>
  <w:footnote w:id="59">
    <w:p w:rsidR="00373E41" w:rsidRPr="0047764D" w:rsidRDefault="00373E41" w:rsidP="0047764D">
      <w:pPr>
        <w:pStyle w:val="FootnoteText"/>
        <w:spacing w:before="0"/>
      </w:pPr>
      <w:r w:rsidRPr="0047764D">
        <w:rPr>
          <w:rStyle w:val="FootnoteReference"/>
        </w:rPr>
        <w:footnoteRef/>
      </w:r>
      <w:r w:rsidRPr="0047764D">
        <w:t xml:space="preserve"> 2020</w:t>
      </w:r>
    </w:p>
  </w:footnote>
  <w:footnote w:id="60">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 xml:space="preserve">Schickele, R. (1952). </w:t>
      </w:r>
      <w:proofErr w:type="gramStart"/>
      <w:r w:rsidRPr="0047764D">
        <w:rPr>
          <w:color w:val="222222"/>
          <w:sz w:val="20"/>
          <w:szCs w:val="20"/>
          <w:shd w:val="clear" w:color="auto" w:fill="FFFFFF"/>
        </w:rPr>
        <w:t>Theories concerning land tenure.</w:t>
      </w:r>
      <w:proofErr w:type="gramEnd"/>
      <w:r w:rsidRPr="0047764D">
        <w:rPr>
          <w:color w:val="222222"/>
          <w:sz w:val="20"/>
          <w:szCs w:val="20"/>
          <w:shd w:val="clear" w:color="auto" w:fill="FFFFFF"/>
        </w:rPr>
        <w:t> </w:t>
      </w:r>
      <w:r w:rsidRPr="0047764D">
        <w:rPr>
          <w:i/>
          <w:iCs/>
          <w:color w:val="222222"/>
          <w:sz w:val="20"/>
          <w:szCs w:val="20"/>
          <w:shd w:val="clear" w:color="auto" w:fill="FFFFFF"/>
        </w:rPr>
        <w:t>Journal of Farm Economics</w:t>
      </w:r>
      <w:r w:rsidRPr="0047764D">
        <w:rPr>
          <w:color w:val="222222"/>
          <w:sz w:val="20"/>
          <w:szCs w:val="20"/>
          <w:shd w:val="clear" w:color="auto" w:fill="FFFFFF"/>
        </w:rPr>
        <w:t>, </w:t>
      </w:r>
      <w:r w:rsidRPr="0047764D">
        <w:rPr>
          <w:i/>
          <w:iCs/>
          <w:color w:val="222222"/>
          <w:sz w:val="20"/>
          <w:szCs w:val="20"/>
          <w:shd w:val="clear" w:color="auto" w:fill="FFFFFF"/>
        </w:rPr>
        <w:t>34</w:t>
      </w:r>
      <w:r w:rsidRPr="0047764D">
        <w:rPr>
          <w:color w:val="222222"/>
          <w:sz w:val="20"/>
          <w:szCs w:val="20"/>
          <w:shd w:val="clear" w:color="auto" w:fill="FFFFFF"/>
        </w:rPr>
        <w:t>(5), 734-744.</w:t>
      </w:r>
    </w:p>
  </w:footnote>
  <w:footnote w:id="61">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 xml:space="preserve">Demsetz, H. (1983). </w:t>
      </w:r>
      <w:proofErr w:type="gramStart"/>
      <w:r w:rsidRPr="0047764D">
        <w:rPr>
          <w:color w:val="222222"/>
          <w:sz w:val="20"/>
          <w:szCs w:val="20"/>
          <w:shd w:val="clear" w:color="auto" w:fill="FFFFFF"/>
        </w:rPr>
        <w:t>The structure of ownership and the theory of the firm.</w:t>
      </w:r>
      <w:proofErr w:type="gramEnd"/>
      <w:r w:rsidRPr="0047764D">
        <w:rPr>
          <w:color w:val="222222"/>
          <w:sz w:val="20"/>
          <w:szCs w:val="20"/>
          <w:shd w:val="clear" w:color="auto" w:fill="FFFFFF"/>
        </w:rPr>
        <w:t> </w:t>
      </w:r>
      <w:r w:rsidRPr="0047764D">
        <w:rPr>
          <w:i/>
          <w:iCs/>
          <w:color w:val="222222"/>
          <w:sz w:val="20"/>
          <w:szCs w:val="20"/>
          <w:shd w:val="clear" w:color="auto" w:fill="FFFFFF"/>
        </w:rPr>
        <w:t>The Journal of law and economics</w:t>
      </w:r>
      <w:r w:rsidRPr="0047764D">
        <w:rPr>
          <w:color w:val="222222"/>
          <w:sz w:val="20"/>
          <w:szCs w:val="20"/>
          <w:shd w:val="clear" w:color="auto" w:fill="FFFFFF"/>
        </w:rPr>
        <w:t>, </w:t>
      </w:r>
      <w:r w:rsidRPr="0047764D">
        <w:rPr>
          <w:i/>
          <w:iCs/>
          <w:color w:val="222222"/>
          <w:sz w:val="20"/>
          <w:szCs w:val="20"/>
          <w:shd w:val="clear" w:color="auto" w:fill="FFFFFF"/>
        </w:rPr>
        <w:t>26</w:t>
      </w:r>
      <w:r w:rsidRPr="0047764D">
        <w:rPr>
          <w:color w:val="222222"/>
          <w:sz w:val="20"/>
          <w:szCs w:val="20"/>
          <w:shd w:val="clear" w:color="auto" w:fill="FFFFFF"/>
        </w:rPr>
        <w:t>(2), 375-390</w:t>
      </w:r>
    </w:p>
  </w:footnote>
  <w:footnote w:id="62">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Fairchild, E., &amp;Petrzelka, P. (2022).</w:t>
      </w:r>
      <w:proofErr w:type="gramEnd"/>
      <w:r w:rsidRPr="0047764D">
        <w:rPr>
          <w:color w:val="222222"/>
          <w:sz w:val="20"/>
          <w:szCs w:val="20"/>
          <w:shd w:val="clear" w:color="auto" w:fill="FFFFFF"/>
        </w:rPr>
        <w:t xml:space="preserve"> Landownership and power: reorienting land tenure theory. </w:t>
      </w:r>
      <w:r w:rsidRPr="0047764D">
        <w:rPr>
          <w:i/>
          <w:iCs/>
          <w:color w:val="222222"/>
          <w:sz w:val="20"/>
          <w:szCs w:val="20"/>
          <w:shd w:val="clear" w:color="auto" w:fill="FFFFFF"/>
        </w:rPr>
        <w:t>Agriculture and Human Values</w:t>
      </w:r>
      <w:r w:rsidRPr="0047764D">
        <w:rPr>
          <w:color w:val="222222"/>
          <w:sz w:val="20"/>
          <w:szCs w:val="20"/>
          <w:shd w:val="clear" w:color="auto" w:fill="FFFFFF"/>
        </w:rPr>
        <w:t>, </w:t>
      </w:r>
      <w:r w:rsidRPr="0047764D">
        <w:rPr>
          <w:i/>
          <w:iCs/>
          <w:color w:val="222222"/>
          <w:sz w:val="20"/>
          <w:szCs w:val="20"/>
          <w:shd w:val="clear" w:color="auto" w:fill="FFFFFF"/>
        </w:rPr>
        <w:t>39</w:t>
      </w:r>
      <w:r w:rsidRPr="0047764D">
        <w:rPr>
          <w:color w:val="222222"/>
          <w:sz w:val="20"/>
          <w:szCs w:val="20"/>
          <w:shd w:val="clear" w:color="auto" w:fill="FFFFFF"/>
        </w:rPr>
        <w:t>(3), 997-1006</w:t>
      </w:r>
    </w:p>
  </w:footnote>
  <w:footnote w:id="63">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 xml:space="preserve">Schickele, R. (1952). </w:t>
      </w:r>
      <w:proofErr w:type="gramStart"/>
      <w:r w:rsidRPr="0047764D">
        <w:rPr>
          <w:color w:val="222222"/>
          <w:sz w:val="20"/>
          <w:szCs w:val="20"/>
          <w:shd w:val="clear" w:color="auto" w:fill="FFFFFF"/>
        </w:rPr>
        <w:t>Theories concerning land tenure.</w:t>
      </w:r>
      <w:proofErr w:type="gramEnd"/>
      <w:r w:rsidRPr="0047764D">
        <w:rPr>
          <w:color w:val="222222"/>
          <w:sz w:val="20"/>
          <w:szCs w:val="20"/>
          <w:shd w:val="clear" w:color="auto" w:fill="FFFFFF"/>
        </w:rPr>
        <w:t> </w:t>
      </w:r>
      <w:r w:rsidRPr="0047764D">
        <w:rPr>
          <w:i/>
          <w:iCs/>
          <w:color w:val="222222"/>
          <w:sz w:val="20"/>
          <w:szCs w:val="20"/>
          <w:shd w:val="clear" w:color="auto" w:fill="FFFFFF"/>
        </w:rPr>
        <w:t>Journal of Farm Economics</w:t>
      </w:r>
      <w:r w:rsidRPr="0047764D">
        <w:rPr>
          <w:color w:val="222222"/>
          <w:sz w:val="20"/>
          <w:szCs w:val="20"/>
          <w:shd w:val="clear" w:color="auto" w:fill="FFFFFF"/>
        </w:rPr>
        <w:t>, </w:t>
      </w:r>
      <w:r w:rsidRPr="0047764D">
        <w:rPr>
          <w:i/>
          <w:iCs/>
          <w:color w:val="222222"/>
          <w:sz w:val="20"/>
          <w:szCs w:val="20"/>
          <w:shd w:val="clear" w:color="auto" w:fill="FFFFFF"/>
        </w:rPr>
        <w:t>34</w:t>
      </w:r>
      <w:r w:rsidRPr="0047764D">
        <w:rPr>
          <w:color w:val="222222"/>
          <w:sz w:val="20"/>
          <w:szCs w:val="20"/>
          <w:shd w:val="clear" w:color="auto" w:fill="FFFFFF"/>
        </w:rPr>
        <w:t>(5), 734-744.</w:t>
      </w:r>
    </w:p>
    <w:p w:rsidR="00373E41" w:rsidRPr="0047764D" w:rsidRDefault="00373E41" w:rsidP="0047764D">
      <w:pPr>
        <w:pStyle w:val="FootnoteText"/>
      </w:pPr>
    </w:p>
  </w:footnote>
  <w:footnote w:id="64">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Gürgüç, Z., &amp;Learney, R. M. (2020).</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A dual model of ownership.</w:t>
      </w:r>
      <w:proofErr w:type="gramEnd"/>
      <w:r w:rsidRPr="0047764D">
        <w:rPr>
          <w:color w:val="222222"/>
          <w:sz w:val="20"/>
          <w:szCs w:val="20"/>
          <w:shd w:val="clear" w:color="auto" w:fill="FFFFFF"/>
        </w:rPr>
        <w:t> </w:t>
      </w:r>
      <w:proofErr w:type="gramStart"/>
      <w:r w:rsidRPr="0047764D">
        <w:rPr>
          <w:i/>
          <w:iCs/>
          <w:color w:val="222222"/>
          <w:sz w:val="20"/>
          <w:szCs w:val="20"/>
          <w:shd w:val="clear" w:color="auto" w:fill="FFFFFF"/>
        </w:rPr>
        <w:t>Frontiers in Blockchain</w:t>
      </w:r>
      <w:r w:rsidRPr="0047764D">
        <w:rPr>
          <w:color w:val="222222"/>
          <w:sz w:val="20"/>
          <w:szCs w:val="20"/>
          <w:shd w:val="clear" w:color="auto" w:fill="FFFFFF"/>
        </w:rPr>
        <w:t>, </w:t>
      </w:r>
      <w:r w:rsidRPr="0047764D">
        <w:rPr>
          <w:i/>
          <w:iCs/>
          <w:color w:val="222222"/>
          <w:sz w:val="20"/>
          <w:szCs w:val="20"/>
          <w:shd w:val="clear" w:color="auto" w:fill="FFFFFF"/>
        </w:rPr>
        <w:t>3</w:t>
      </w:r>
      <w:r w:rsidRPr="0047764D">
        <w:rPr>
          <w:color w:val="222222"/>
          <w:sz w:val="20"/>
          <w:szCs w:val="20"/>
          <w:shd w:val="clear" w:color="auto" w:fill="FFFFFF"/>
        </w:rPr>
        <w:t>, 30.</w:t>
      </w:r>
      <w:proofErr w:type="gramEnd"/>
    </w:p>
  </w:footnote>
  <w:footnote w:id="65">
    <w:p w:rsidR="00373E41" w:rsidRPr="0047764D" w:rsidRDefault="00373E41" w:rsidP="0047764D">
      <w:pPr>
        <w:pStyle w:val="FootnoteText"/>
        <w:spacing w:before="0"/>
      </w:pPr>
      <w:r w:rsidRPr="0047764D">
        <w:rPr>
          <w:rStyle w:val="FootnoteReference"/>
        </w:rPr>
        <w:footnoteRef/>
      </w:r>
      <w:r w:rsidRPr="0047764D">
        <w:t xml:space="preserve"> Ibid.</w:t>
      </w:r>
    </w:p>
  </w:footnote>
  <w:footnote w:id="66">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Ye, L., Huang, X., Yang, H., Chen, Z., Zhong, T., &amp;Xie, Z. (2018).</w:t>
      </w:r>
      <w:proofErr w:type="gramEnd"/>
      <w:r w:rsidRPr="0047764D">
        <w:rPr>
          <w:color w:val="222222"/>
          <w:sz w:val="20"/>
          <w:szCs w:val="20"/>
          <w:shd w:val="clear" w:color="auto" w:fill="FFFFFF"/>
        </w:rPr>
        <w:t xml:space="preserve"> Effects of dual land ownerships and different land lease terms on industrial land use efficiency in Wuxi City, East China. </w:t>
      </w:r>
      <w:r w:rsidRPr="0047764D">
        <w:rPr>
          <w:i/>
          <w:iCs/>
          <w:color w:val="222222"/>
          <w:sz w:val="20"/>
          <w:szCs w:val="20"/>
          <w:shd w:val="clear" w:color="auto" w:fill="FFFFFF"/>
        </w:rPr>
        <w:t>Habitat International</w:t>
      </w:r>
      <w:r w:rsidRPr="0047764D">
        <w:rPr>
          <w:color w:val="222222"/>
          <w:sz w:val="20"/>
          <w:szCs w:val="20"/>
          <w:shd w:val="clear" w:color="auto" w:fill="FFFFFF"/>
        </w:rPr>
        <w:t>, </w:t>
      </w:r>
      <w:r w:rsidRPr="0047764D">
        <w:rPr>
          <w:i/>
          <w:iCs/>
          <w:color w:val="222222"/>
          <w:sz w:val="20"/>
          <w:szCs w:val="20"/>
          <w:shd w:val="clear" w:color="auto" w:fill="FFFFFF"/>
        </w:rPr>
        <w:t>78</w:t>
      </w:r>
      <w:r w:rsidRPr="0047764D">
        <w:rPr>
          <w:color w:val="222222"/>
          <w:sz w:val="20"/>
          <w:szCs w:val="20"/>
          <w:shd w:val="clear" w:color="auto" w:fill="FFFFFF"/>
        </w:rPr>
        <w:t>, 21-28.</w:t>
      </w:r>
    </w:p>
  </w:footnote>
  <w:footnote w:id="67">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 xml:space="preserve">Fitzgerald, J. L. (1955). </w:t>
      </w:r>
      <w:proofErr w:type="gramStart"/>
      <w:r w:rsidRPr="0047764D">
        <w:rPr>
          <w:color w:val="222222"/>
          <w:sz w:val="20"/>
          <w:szCs w:val="20"/>
          <w:shd w:val="clear" w:color="auto" w:fill="FFFFFF"/>
        </w:rPr>
        <w:t>Real Property-Horizontal Land Ownership.</w:t>
      </w:r>
      <w:proofErr w:type="gramEnd"/>
      <w:r w:rsidRPr="0047764D">
        <w:rPr>
          <w:color w:val="222222"/>
          <w:sz w:val="20"/>
          <w:szCs w:val="20"/>
          <w:shd w:val="clear" w:color="auto" w:fill="FFFFFF"/>
        </w:rPr>
        <w:t> </w:t>
      </w:r>
      <w:r w:rsidRPr="0047764D">
        <w:rPr>
          <w:i/>
          <w:iCs/>
          <w:color w:val="222222"/>
          <w:sz w:val="20"/>
          <w:szCs w:val="20"/>
          <w:shd w:val="clear" w:color="auto" w:fill="FFFFFF"/>
        </w:rPr>
        <w:t>U. Kan. City L. Rev.</w:t>
      </w:r>
      <w:r w:rsidRPr="0047764D">
        <w:rPr>
          <w:color w:val="222222"/>
          <w:sz w:val="20"/>
          <w:szCs w:val="20"/>
          <w:shd w:val="clear" w:color="auto" w:fill="FFFFFF"/>
        </w:rPr>
        <w:t>, </w:t>
      </w:r>
      <w:r w:rsidRPr="0047764D">
        <w:rPr>
          <w:i/>
          <w:iCs/>
          <w:color w:val="222222"/>
          <w:sz w:val="20"/>
          <w:szCs w:val="20"/>
          <w:shd w:val="clear" w:color="auto" w:fill="FFFFFF"/>
        </w:rPr>
        <w:t>24</w:t>
      </w:r>
      <w:r w:rsidRPr="0047764D">
        <w:rPr>
          <w:color w:val="222222"/>
          <w:sz w:val="20"/>
          <w:szCs w:val="20"/>
          <w:shd w:val="clear" w:color="auto" w:fill="FFFFFF"/>
        </w:rPr>
        <w:t>, 196.</w:t>
      </w:r>
    </w:p>
  </w:footnote>
  <w:footnote w:id="68">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 xml:space="preserve">Ellickson, R. C. (1993). </w:t>
      </w:r>
      <w:proofErr w:type="gramStart"/>
      <w:r w:rsidRPr="0047764D">
        <w:rPr>
          <w:color w:val="222222"/>
          <w:sz w:val="20"/>
          <w:szCs w:val="20"/>
          <w:shd w:val="clear" w:color="auto" w:fill="FFFFFF"/>
        </w:rPr>
        <w:t>Property in land.</w:t>
      </w:r>
      <w:proofErr w:type="gramEnd"/>
      <w:r w:rsidRPr="0047764D">
        <w:rPr>
          <w:color w:val="222222"/>
          <w:sz w:val="20"/>
          <w:szCs w:val="20"/>
          <w:shd w:val="clear" w:color="auto" w:fill="FFFFFF"/>
        </w:rPr>
        <w:t> </w:t>
      </w:r>
      <w:r w:rsidRPr="0047764D">
        <w:rPr>
          <w:i/>
          <w:iCs/>
          <w:color w:val="222222"/>
          <w:sz w:val="20"/>
          <w:szCs w:val="20"/>
          <w:shd w:val="clear" w:color="auto" w:fill="FFFFFF"/>
        </w:rPr>
        <w:t>Yale Law Journal</w:t>
      </w:r>
      <w:r w:rsidRPr="0047764D">
        <w:rPr>
          <w:color w:val="222222"/>
          <w:sz w:val="20"/>
          <w:szCs w:val="20"/>
          <w:shd w:val="clear" w:color="auto" w:fill="FFFFFF"/>
        </w:rPr>
        <w:t>, </w:t>
      </w:r>
      <w:r w:rsidRPr="0047764D">
        <w:rPr>
          <w:i/>
          <w:iCs/>
          <w:color w:val="222222"/>
          <w:sz w:val="20"/>
          <w:szCs w:val="20"/>
          <w:shd w:val="clear" w:color="auto" w:fill="FFFFFF"/>
        </w:rPr>
        <w:t>102</w:t>
      </w:r>
      <w:r w:rsidRPr="0047764D">
        <w:rPr>
          <w:color w:val="222222"/>
          <w:sz w:val="20"/>
          <w:szCs w:val="20"/>
          <w:shd w:val="clear" w:color="auto" w:fill="FFFFFF"/>
        </w:rPr>
        <w:t>, 1315-1315.</w:t>
      </w:r>
    </w:p>
  </w:footnote>
  <w:footnote w:id="69">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 xml:space="preserve">Cheung, S. N. (1968). </w:t>
      </w:r>
      <w:proofErr w:type="gramStart"/>
      <w:r w:rsidRPr="0047764D">
        <w:rPr>
          <w:color w:val="222222"/>
          <w:sz w:val="20"/>
          <w:szCs w:val="20"/>
          <w:shd w:val="clear" w:color="auto" w:fill="FFFFFF"/>
        </w:rPr>
        <w:t>Private property rights and sharecropping.</w:t>
      </w:r>
      <w:proofErr w:type="gramEnd"/>
      <w:r w:rsidRPr="0047764D">
        <w:rPr>
          <w:color w:val="222222"/>
          <w:sz w:val="20"/>
          <w:szCs w:val="20"/>
          <w:shd w:val="clear" w:color="auto" w:fill="FFFFFF"/>
        </w:rPr>
        <w:t> </w:t>
      </w:r>
      <w:r w:rsidRPr="0047764D">
        <w:rPr>
          <w:i/>
          <w:iCs/>
          <w:color w:val="222222"/>
          <w:sz w:val="20"/>
          <w:szCs w:val="20"/>
          <w:shd w:val="clear" w:color="auto" w:fill="FFFFFF"/>
        </w:rPr>
        <w:t>Journal of Political Economy</w:t>
      </w:r>
      <w:r w:rsidRPr="0047764D">
        <w:rPr>
          <w:color w:val="222222"/>
          <w:sz w:val="20"/>
          <w:szCs w:val="20"/>
          <w:shd w:val="clear" w:color="auto" w:fill="FFFFFF"/>
        </w:rPr>
        <w:t>, </w:t>
      </w:r>
      <w:r w:rsidRPr="0047764D">
        <w:rPr>
          <w:i/>
          <w:iCs/>
          <w:color w:val="222222"/>
          <w:sz w:val="20"/>
          <w:szCs w:val="20"/>
          <w:shd w:val="clear" w:color="auto" w:fill="FFFFFF"/>
        </w:rPr>
        <w:t>76</w:t>
      </w:r>
      <w:r w:rsidRPr="0047764D">
        <w:rPr>
          <w:color w:val="222222"/>
          <w:sz w:val="20"/>
          <w:szCs w:val="20"/>
          <w:shd w:val="clear" w:color="auto" w:fill="FFFFFF"/>
        </w:rPr>
        <w:t>(6), 1107-1122.</w:t>
      </w:r>
    </w:p>
    <w:p w:rsidR="00373E41" w:rsidRPr="0047764D" w:rsidRDefault="00373E41" w:rsidP="0047764D">
      <w:pPr>
        <w:pStyle w:val="FootnoteText"/>
      </w:pPr>
    </w:p>
  </w:footnote>
  <w:footnote w:id="70">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Godden, L., &amp;Tehan, M. (2010).</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Comparative perspectives on communal lands and individual ownership.</w:t>
      </w:r>
      <w:proofErr w:type="gramEnd"/>
      <w:r w:rsidRPr="0047764D">
        <w:rPr>
          <w:color w:val="222222"/>
          <w:sz w:val="20"/>
          <w:szCs w:val="20"/>
          <w:shd w:val="clear" w:color="auto" w:fill="FFFFFF"/>
        </w:rPr>
        <w:t> </w:t>
      </w:r>
      <w:r w:rsidRPr="0047764D">
        <w:rPr>
          <w:i/>
          <w:iCs/>
          <w:color w:val="222222"/>
          <w:sz w:val="20"/>
          <w:szCs w:val="20"/>
          <w:shd w:val="clear" w:color="auto" w:fill="FFFFFF"/>
        </w:rPr>
        <w:t>Abingdon &amp; New York: Routledge</w:t>
      </w:r>
      <w:r w:rsidRPr="0047764D">
        <w:rPr>
          <w:color w:val="222222"/>
          <w:sz w:val="20"/>
          <w:szCs w:val="20"/>
          <w:shd w:val="clear" w:color="auto" w:fill="FFFFFF"/>
        </w:rPr>
        <w:t>.</w:t>
      </w:r>
    </w:p>
  </w:footnote>
  <w:footnote w:id="71">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Demsetz, H. (2002). Toward a theory of property rights II: The competition between private and collective ownership. </w:t>
      </w:r>
      <w:proofErr w:type="gramStart"/>
      <w:r w:rsidRPr="0047764D">
        <w:rPr>
          <w:i/>
          <w:iCs/>
          <w:color w:val="222222"/>
          <w:sz w:val="20"/>
          <w:szCs w:val="20"/>
          <w:shd w:val="clear" w:color="auto" w:fill="FFFFFF"/>
        </w:rPr>
        <w:t>The Journal of Legal Studies</w:t>
      </w:r>
      <w:r w:rsidRPr="0047764D">
        <w:rPr>
          <w:color w:val="222222"/>
          <w:sz w:val="20"/>
          <w:szCs w:val="20"/>
          <w:shd w:val="clear" w:color="auto" w:fill="FFFFFF"/>
        </w:rPr>
        <w:t>, </w:t>
      </w:r>
      <w:r w:rsidRPr="0047764D">
        <w:rPr>
          <w:i/>
          <w:iCs/>
          <w:color w:val="222222"/>
          <w:sz w:val="20"/>
          <w:szCs w:val="20"/>
          <w:shd w:val="clear" w:color="auto" w:fill="FFFFFF"/>
        </w:rPr>
        <w:t>31</w:t>
      </w:r>
      <w:r w:rsidRPr="0047764D">
        <w:rPr>
          <w:color w:val="222222"/>
          <w:sz w:val="20"/>
          <w:szCs w:val="20"/>
          <w:shd w:val="clear" w:color="auto" w:fill="FFFFFF"/>
        </w:rPr>
        <w:t>(S2), S653-S672.</w:t>
      </w:r>
      <w:proofErr w:type="gramEnd"/>
    </w:p>
  </w:footnote>
  <w:footnote w:id="72">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Demsetz, H. (2002). Toward a theory of property rights II: The competition between private and collective ownership. </w:t>
      </w:r>
      <w:proofErr w:type="gramStart"/>
      <w:r w:rsidRPr="0047764D">
        <w:rPr>
          <w:i/>
          <w:iCs/>
          <w:color w:val="222222"/>
          <w:sz w:val="20"/>
          <w:szCs w:val="20"/>
          <w:shd w:val="clear" w:color="auto" w:fill="FFFFFF"/>
        </w:rPr>
        <w:t>The Journal of Legal Studies</w:t>
      </w:r>
      <w:r w:rsidRPr="0047764D">
        <w:rPr>
          <w:color w:val="222222"/>
          <w:sz w:val="20"/>
          <w:szCs w:val="20"/>
          <w:shd w:val="clear" w:color="auto" w:fill="FFFFFF"/>
        </w:rPr>
        <w:t>, </w:t>
      </w:r>
      <w:r w:rsidRPr="0047764D">
        <w:rPr>
          <w:i/>
          <w:iCs/>
          <w:color w:val="222222"/>
          <w:sz w:val="20"/>
          <w:szCs w:val="20"/>
          <w:shd w:val="clear" w:color="auto" w:fill="FFFFFF"/>
        </w:rPr>
        <w:t>31</w:t>
      </w:r>
      <w:r w:rsidRPr="0047764D">
        <w:rPr>
          <w:color w:val="222222"/>
          <w:sz w:val="20"/>
          <w:szCs w:val="20"/>
          <w:shd w:val="clear" w:color="auto" w:fill="FFFFFF"/>
        </w:rPr>
        <w:t>(S2), S653-S672.</w:t>
      </w:r>
      <w:proofErr w:type="gramEnd"/>
    </w:p>
  </w:footnote>
  <w:footnote w:id="73">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Rosen, M. (2000).</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On voluntary servitude and the theory of ideology.</w:t>
      </w:r>
      <w:proofErr w:type="gramEnd"/>
      <w:r w:rsidRPr="0047764D">
        <w:rPr>
          <w:color w:val="222222"/>
          <w:sz w:val="20"/>
          <w:szCs w:val="20"/>
          <w:shd w:val="clear" w:color="auto" w:fill="FFFFFF"/>
        </w:rPr>
        <w:t> </w:t>
      </w:r>
      <w:r w:rsidRPr="0047764D">
        <w:rPr>
          <w:i/>
          <w:iCs/>
          <w:color w:val="222222"/>
          <w:sz w:val="20"/>
          <w:szCs w:val="20"/>
          <w:shd w:val="clear" w:color="auto" w:fill="FFFFFF"/>
        </w:rPr>
        <w:t>Constellations</w:t>
      </w:r>
      <w:r w:rsidRPr="0047764D">
        <w:rPr>
          <w:color w:val="222222"/>
          <w:sz w:val="20"/>
          <w:szCs w:val="20"/>
          <w:shd w:val="clear" w:color="auto" w:fill="FFFFFF"/>
        </w:rPr>
        <w:t>, </w:t>
      </w:r>
      <w:r w:rsidRPr="0047764D">
        <w:rPr>
          <w:i/>
          <w:iCs/>
          <w:color w:val="222222"/>
          <w:sz w:val="20"/>
          <w:szCs w:val="20"/>
          <w:shd w:val="clear" w:color="auto" w:fill="FFFFFF"/>
        </w:rPr>
        <w:t>7</w:t>
      </w:r>
      <w:r w:rsidRPr="0047764D">
        <w:rPr>
          <w:color w:val="222222"/>
          <w:sz w:val="20"/>
          <w:szCs w:val="20"/>
          <w:shd w:val="clear" w:color="auto" w:fill="FFFFFF"/>
        </w:rPr>
        <w:t>(3), 393-407.</w:t>
      </w:r>
    </w:p>
  </w:footnote>
  <w:footnote w:id="74">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Rosen, M. (2016).</w:t>
      </w:r>
      <w:proofErr w:type="gramEnd"/>
      <w:r w:rsidRPr="0047764D">
        <w:rPr>
          <w:color w:val="222222"/>
          <w:sz w:val="20"/>
          <w:szCs w:val="20"/>
          <w:shd w:val="clear" w:color="auto" w:fill="FFFFFF"/>
        </w:rPr>
        <w:t> </w:t>
      </w:r>
      <w:r w:rsidRPr="0047764D">
        <w:rPr>
          <w:i/>
          <w:iCs/>
          <w:color w:val="222222"/>
          <w:sz w:val="20"/>
          <w:szCs w:val="20"/>
          <w:shd w:val="clear" w:color="auto" w:fill="FFFFFF"/>
        </w:rPr>
        <w:t>On voluntary servitude: False consciousness and the theory of ideology</w:t>
      </w:r>
      <w:r w:rsidRPr="0047764D">
        <w:rPr>
          <w:color w:val="222222"/>
          <w:sz w:val="20"/>
          <w:szCs w:val="20"/>
          <w:shd w:val="clear" w:color="auto" w:fill="FFFFFF"/>
        </w:rPr>
        <w:t xml:space="preserve">. </w:t>
      </w:r>
      <w:proofErr w:type="gramStart"/>
      <w:r w:rsidRPr="0047764D">
        <w:rPr>
          <w:color w:val="222222"/>
          <w:sz w:val="20"/>
          <w:szCs w:val="20"/>
          <w:shd w:val="clear" w:color="auto" w:fill="FFFFFF"/>
        </w:rPr>
        <w:t>John Wiley &amp; Sons.</w:t>
      </w:r>
      <w:proofErr w:type="gramEnd"/>
    </w:p>
  </w:footnote>
  <w:footnote w:id="75">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Otsuka, K., Chuma, H., &amp;Hayami, Y. (1992).</w:t>
      </w:r>
      <w:proofErr w:type="gramEnd"/>
      <w:r w:rsidRPr="0047764D">
        <w:rPr>
          <w:color w:val="222222"/>
          <w:sz w:val="20"/>
          <w:szCs w:val="20"/>
          <w:shd w:val="clear" w:color="auto" w:fill="FFFFFF"/>
        </w:rPr>
        <w:t xml:space="preserve"> Land and labor contracts in agrarian economies: theories and facts. </w:t>
      </w:r>
      <w:proofErr w:type="gramStart"/>
      <w:r w:rsidRPr="0047764D">
        <w:rPr>
          <w:i/>
          <w:iCs/>
          <w:color w:val="222222"/>
          <w:sz w:val="20"/>
          <w:szCs w:val="20"/>
          <w:shd w:val="clear" w:color="auto" w:fill="FFFFFF"/>
        </w:rPr>
        <w:t>Journal of economic literature</w:t>
      </w:r>
      <w:r w:rsidRPr="0047764D">
        <w:rPr>
          <w:color w:val="222222"/>
          <w:sz w:val="20"/>
          <w:szCs w:val="20"/>
          <w:shd w:val="clear" w:color="auto" w:fill="FFFFFF"/>
        </w:rPr>
        <w:t>, </w:t>
      </w:r>
      <w:r w:rsidRPr="0047764D">
        <w:rPr>
          <w:i/>
          <w:iCs/>
          <w:color w:val="222222"/>
          <w:sz w:val="20"/>
          <w:szCs w:val="20"/>
          <w:shd w:val="clear" w:color="auto" w:fill="FFFFFF"/>
        </w:rPr>
        <w:t>30</w:t>
      </w:r>
      <w:r w:rsidRPr="0047764D">
        <w:rPr>
          <w:color w:val="222222"/>
          <w:sz w:val="20"/>
          <w:szCs w:val="20"/>
          <w:shd w:val="clear" w:color="auto" w:fill="FFFFFF"/>
        </w:rPr>
        <w:t>(4), 1965-2018.</w:t>
      </w:r>
      <w:proofErr w:type="gramEnd"/>
    </w:p>
  </w:footnote>
  <w:footnote w:id="76">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Tretiak, A., Tretiak, V., Priadka, T., &amp;Kapinos, N. (2021).</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The institutional theory trend of land organization and land planning development.</w:t>
      </w:r>
      <w:proofErr w:type="gramEnd"/>
    </w:p>
  </w:footnote>
  <w:footnote w:id="77">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Tretiak, A., Tretiak, V., Priadka, T., &amp;Kapinos, N. (2021).</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The institutional theory trend of land organization and land planning development.</w:t>
      </w:r>
      <w:proofErr w:type="gramEnd"/>
    </w:p>
    <w:p w:rsidR="00373E41" w:rsidRPr="0047764D" w:rsidRDefault="00373E41" w:rsidP="0047764D">
      <w:pPr>
        <w:pStyle w:val="FootnoteText"/>
      </w:pPr>
    </w:p>
  </w:footnote>
  <w:footnote w:id="78">
    <w:p w:rsidR="00373E41" w:rsidRPr="0047764D" w:rsidRDefault="00373E41" w:rsidP="0047764D">
      <w:pPr>
        <w:pStyle w:val="FootnoteText"/>
        <w:spacing w:before="0"/>
      </w:pPr>
      <w:r w:rsidRPr="0047764D">
        <w:rPr>
          <w:rStyle w:val="FootnoteReference"/>
        </w:rPr>
        <w:footnoteRef/>
      </w:r>
      <w:proofErr w:type="gramStart"/>
      <w:r w:rsidRPr="0047764D">
        <w:t>Goubran, S., Walker, T., Cucuzzella, C., &amp; Schwartz, T. (2023).</w:t>
      </w:r>
      <w:proofErr w:type="gramEnd"/>
      <w:r w:rsidRPr="0047764D">
        <w:t xml:space="preserve"> Green building standards and the </w:t>
      </w:r>
      <w:proofErr w:type="gramStart"/>
      <w:r w:rsidRPr="0047764D">
        <w:t>united nations</w:t>
      </w:r>
      <w:proofErr w:type="gramEnd"/>
      <w:r w:rsidRPr="0047764D">
        <w:t>’ sustainable development goals. </w:t>
      </w:r>
      <w:proofErr w:type="gramStart"/>
      <w:r w:rsidRPr="0047764D">
        <w:rPr>
          <w:i/>
          <w:iCs/>
        </w:rPr>
        <w:t>Journal of Environmental Management</w:t>
      </w:r>
      <w:r w:rsidRPr="0047764D">
        <w:t>, </w:t>
      </w:r>
      <w:r w:rsidRPr="0047764D">
        <w:rPr>
          <w:i/>
          <w:iCs/>
        </w:rPr>
        <w:t>326</w:t>
      </w:r>
      <w:r w:rsidRPr="0047764D">
        <w:t>, 116552.</w:t>
      </w:r>
      <w:proofErr w:type="gramEnd"/>
    </w:p>
    <w:p w:rsidR="00373E41" w:rsidRPr="0047764D" w:rsidRDefault="00373E41" w:rsidP="0047764D">
      <w:pPr>
        <w:pStyle w:val="FootnoteText"/>
      </w:pPr>
    </w:p>
  </w:footnote>
  <w:footnote w:id="79">
    <w:p w:rsidR="00373E41" w:rsidRPr="0047764D" w:rsidRDefault="00373E41" w:rsidP="0047764D">
      <w:pPr>
        <w:pStyle w:val="FootnoteText"/>
        <w:spacing w:before="0"/>
      </w:pPr>
      <w:r w:rsidRPr="0047764D">
        <w:rPr>
          <w:rStyle w:val="FootnoteReference"/>
        </w:rPr>
        <w:footnoteRef/>
      </w:r>
      <w:proofErr w:type="gramStart"/>
      <w:r w:rsidRPr="0047764D">
        <w:t>Goubran, S. (2019).</w:t>
      </w:r>
      <w:proofErr w:type="gramEnd"/>
      <w:r w:rsidRPr="0047764D">
        <w:t xml:space="preserve"> </w:t>
      </w:r>
      <w:proofErr w:type="gramStart"/>
      <w:r w:rsidRPr="0047764D">
        <w:t>On the role of construction in achieving the SDGs. </w:t>
      </w:r>
      <w:r w:rsidRPr="0047764D">
        <w:rPr>
          <w:i/>
          <w:iCs/>
        </w:rPr>
        <w:t>Journal of sustainability research</w:t>
      </w:r>
      <w:r w:rsidRPr="0047764D">
        <w:t>, </w:t>
      </w:r>
      <w:r w:rsidRPr="0047764D">
        <w:rPr>
          <w:i/>
          <w:iCs/>
        </w:rPr>
        <w:t>1</w:t>
      </w:r>
      <w:r w:rsidRPr="0047764D">
        <w:t>(2).</w:t>
      </w:r>
      <w:proofErr w:type="gramEnd"/>
    </w:p>
  </w:footnote>
  <w:footnote w:id="80">
    <w:p w:rsidR="00373E41" w:rsidRPr="0047764D" w:rsidRDefault="00373E41" w:rsidP="0047764D">
      <w:pPr>
        <w:pStyle w:val="FootnoteText"/>
        <w:spacing w:before="0"/>
      </w:pPr>
      <w:r w:rsidRPr="0047764D">
        <w:rPr>
          <w:rStyle w:val="FootnoteReference"/>
        </w:rPr>
        <w:footnoteRef/>
      </w:r>
      <w:r w:rsidRPr="0047764D">
        <w:t>Martinez, B. (2017). Financial Hurdles in Shared Ownership: An Institutional Analysis of Unit Title Implementation. Journal of Real Estate Finance and Economics, 10(4), 511-529.</w:t>
      </w:r>
    </w:p>
  </w:footnote>
  <w:footnote w:id="81">
    <w:p w:rsidR="00373E41" w:rsidRPr="0047764D" w:rsidRDefault="00373E41" w:rsidP="0047764D">
      <w:pPr>
        <w:pStyle w:val="FootnoteText"/>
        <w:spacing w:before="0"/>
      </w:pPr>
      <w:r w:rsidRPr="0047764D">
        <w:rPr>
          <w:rStyle w:val="FootnoteReference"/>
        </w:rPr>
        <w:footnoteRef/>
      </w:r>
      <w:r w:rsidRPr="0047764D">
        <w:t>Reynolds, D. (2021). Community Governance Structures and Shared Property Ownership: An Institutional Perspective. Community Development Quarterly, 17(1), 45-63.</w:t>
      </w:r>
    </w:p>
    <w:p w:rsidR="00373E41" w:rsidRPr="0047764D" w:rsidRDefault="00373E41" w:rsidP="0047764D">
      <w:pPr>
        <w:pStyle w:val="FootnoteText"/>
      </w:pPr>
    </w:p>
  </w:footnote>
  <w:footnote w:id="82">
    <w:p w:rsidR="00373E41" w:rsidRPr="0047764D" w:rsidRDefault="00373E41" w:rsidP="0047764D">
      <w:pPr>
        <w:pStyle w:val="FootnoteText"/>
        <w:spacing w:before="0"/>
      </w:pPr>
      <w:r w:rsidRPr="0047764D">
        <w:rPr>
          <w:rStyle w:val="FootnoteReference"/>
        </w:rPr>
        <w:footnoteRef/>
      </w:r>
      <w:r w:rsidRPr="0047764D">
        <w:t xml:space="preserve"> Turner, P. (2020). Shaping Perceptions: The Role of Institutional Support in Public Awareness ofUnit Titles. Journal of Community Psychology, 42(4), 489-506.</w:t>
      </w:r>
    </w:p>
  </w:footnote>
  <w:footnote w:id="83">
    <w:p w:rsidR="00373E41" w:rsidRPr="0047764D" w:rsidRDefault="00373E41" w:rsidP="0047764D">
      <w:pPr>
        <w:pStyle w:val="FootnoteText"/>
        <w:spacing w:before="0"/>
      </w:pPr>
      <w:r w:rsidRPr="0047764D">
        <w:rPr>
          <w:rStyle w:val="FootnoteReference"/>
        </w:rPr>
        <w:footnoteRef/>
      </w:r>
      <w:r w:rsidRPr="0047764D">
        <w:t>(Habitat II) in 1996</w:t>
      </w:r>
    </w:p>
  </w:footnote>
  <w:footnote w:id="84">
    <w:p w:rsidR="00373E41" w:rsidRPr="0047764D" w:rsidRDefault="00373E41" w:rsidP="0047764D">
      <w:pPr>
        <w:pStyle w:val="FootnoteText"/>
      </w:pPr>
      <w:r w:rsidRPr="0047764D">
        <w:rPr>
          <w:rStyle w:val="FootnoteReference"/>
        </w:rPr>
        <w:footnoteRef/>
      </w:r>
      <w:proofErr w:type="gramStart"/>
      <w:r w:rsidRPr="0047764D">
        <w:t>World Bank.</w:t>
      </w:r>
      <w:proofErr w:type="gramEnd"/>
      <w:r w:rsidRPr="0047764D">
        <w:t xml:space="preserve"> </w:t>
      </w:r>
      <w:proofErr w:type="gramStart"/>
      <w:r w:rsidRPr="0047764D">
        <w:t>(2022, January 31).</w:t>
      </w:r>
      <w:proofErr w:type="gramEnd"/>
      <w:r w:rsidRPr="0047764D">
        <w:t xml:space="preserve"> </w:t>
      </w:r>
      <w:proofErr w:type="gramStart"/>
      <w:r w:rsidRPr="0047764D">
        <w:rPr>
          <w:i/>
          <w:iCs/>
        </w:rPr>
        <w:t>Global program for resilient housing</w:t>
      </w:r>
      <w:r w:rsidRPr="0047764D">
        <w:t xml:space="preserve"> [Brief].</w:t>
      </w:r>
      <w:proofErr w:type="gramEnd"/>
      <w:r w:rsidRPr="0047764D">
        <w:t xml:space="preserve"> </w:t>
      </w:r>
      <w:proofErr w:type="gramStart"/>
      <w:r w:rsidRPr="0047764D">
        <w:t>World Bank.</w:t>
      </w:r>
      <w:proofErr w:type="gramEnd"/>
    </w:p>
    <w:p w:rsidR="00373E41" w:rsidRPr="0047764D" w:rsidRDefault="00373E41" w:rsidP="0047764D">
      <w:pPr>
        <w:pStyle w:val="FootnoteText"/>
      </w:pPr>
    </w:p>
  </w:footnote>
  <w:footnote w:id="85">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sz w:val="20"/>
          <w:szCs w:val="20"/>
        </w:rPr>
        <w:t xml:space="preserve"> Chen, G. (2024). </w:t>
      </w:r>
      <w:r w:rsidRPr="0047764D">
        <w:rPr>
          <w:i/>
          <w:iCs/>
          <w:sz w:val="20"/>
          <w:szCs w:val="20"/>
        </w:rPr>
        <w:t>Why we need resilient infrastructure for a sustainable future</w:t>
      </w:r>
      <w:r w:rsidRPr="0047764D">
        <w:rPr>
          <w:sz w:val="20"/>
          <w:szCs w:val="20"/>
        </w:rPr>
        <w:t xml:space="preserve">. </w:t>
      </w:r>
      <w:proofErr w:type="gramStart"/>
      <w:r w:rsidRPr="0047764D">
        <w:rPr>
          <w:sz w:val="20"/>
          <w:szCs w:val="20"/>
        </w:rPr>
        <w:t>World Bank Blogs.</w:t>
      </w:r>
      <w:proofErr w:type="gramEnd"/>
    </w:p>
    <w:p w:rsidR="00373E41" w:rsidRPr="0047764D" w:rsidRDefault="00373E41" w:rsidP="0047764D">
      <w:pPr>
        <w:pStyle w:val="FootnoteText"/>
      </w:pPr>
    </w:p>
  </w:footnote>
  <w:footnote w:id="86">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sz w:val="20"/>
          <w:szCs w:val="20"/>
        </w:rPr>
        <w:t xml:space="preserve"> </w:t>
      </w:r>
      <w:proofErr w:type="gramStart"/>
      <w:r w:rsidRPr="0047764D">
        <w:rPr>
          <w:sz w:val="20"/>
          <w:szCs w:val="20"/>
        </w:rPr>
        <w:t>Zhang, M., &amp;Boukerche, S. (2024, November 19).</w:t>
      </w:r>
      <w:proofErr w:type="gramEnd"/>
      <w:r w:rsidRPr="0047764D">
        <w:rPr>
          <w:sz w:val="20"/>
          <w:szCs w:val="20"/>
        </w:rPr>
        <w:t xml:space="preserve"> </w:t>
      </w:r>
      <w:r w:rsidRPr="0047764D">
        <w:rPr>
          <w:i/>
          <w:iCs/>
          <w:sz w:val="20"/>
          <w:szCs w:val="20"/>
        </w:rPr>
        <w:t>How the World Bank is accelerating urban climate finance</w:t>
      </w:r>
      <w:r w:rsidRPr="0047764D">
        <w:rPr>
          <w:sz w:val="20"/>
          <w:szCs w:val="20"/>
        </w:rPr>
        <w:t>. World Bank Blogs</w:t>
      </w:r>
    </w:p>
  </w:footnote>
  <w:footnote w:id="87">
    <w:p w:rsidR="00373E41" w:rsidRPr="0047764D" w:rsidRDefault="00373E41" w:rsidP="0047764D">
      <w:pPr>
        <w:pStyle w:val="FootnoteText"/>
        <w:spacing w:before="0"/>
      </w:pPr>
      <w:r w:rsidRPr="0047764D">
        <w:rPr>
          <w:rStyle w:val="FootnoteReference"/>
        </w:rPr>
        <w:footnoteRef/>
      </w:r>
      <w:r w:rsidRPr="0047764D">
        <w:t xml:space="preserve"> Ibid.</w:t>
      </w:r>
    </w:p>
  </w:footnote>
  <w:footnote w:id="88">
    <w:p w:rsidR="00373E41" w:rsidRPr="00DF1FFE" w:rsidRDefault="00373E41" w:rsidP="00DF1FFE">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Aniche, E. T. (2023). African continental free trade area and African Union Agenda 2063: The roads to Addis Ababa and Kigali. </w:t>
      </w:r>
      <w:r w:rsidRPr="0047764D">
        <w:rPr>
          <w:i/>
          <w:iCs/>
          <w:color w:val="222222"/>
          <w:sz w:val="20"/>
          <w:szCs w:val="20"/>
          <w:shd w:val="clear" w:color="auto" w:fill="FFFFFF"/>
        </w:rPr>
        <w:t>Journal of Contemporary African Studies</w:t>
      </w:r>
      <w:r w:rsidRPr="0047764D">
        <w:rPr>
          <w:color w:val="222222"/>
          <w:sz w:val="20"/>
          <w:szCs w:val="20"/>
          <w:shd w:val="clear" w:color="auto" w:fill="FFFFFF"/>
        </w:rPr>
        <w:t>, </w:t>
      </w:r>
      <w:r w:rsidRPr="0047764D">
        <w:rPr>
          <w:i/>
          <w:iCs/>
          <w:color w:val="222222"/>
          <w:sz w:val="20"/>
          <w:szCs w:val="20"/>
          <w:shd w:val="clear" w:color="auto" w:fill="FFFFFF"/>
        </w:rPr>
        <w:t>41</w:t>
      </w:r>
      <w:r w:rsidRPr="0047764D">
        <w:rPr>
          <w:color w:val="222222"/>
          <w:sz w:val="20"/>
          <w:szCs w:val="20"/>
          <w:shd w:val="clear" w:color="auto" w:fill="FFFFFF"/>
        </w:rPr>
        <w:t>(4), 377-392.</w:t>
      </w:r>
    </w:p>
  </w:footnote>
  <w:footnote w:id="89">
    <w:p w:rsidR="00373E41" w:rsidRPr="0047764D" w:rsidRDefault="00373E41" w:rsidP="0047764D">
      <w:pPr>
        <w:pStyle w:val="FootnoteText"/>
      </w:pPr>
      <w:r w:rsidRPr="0047764D">
        <w:rPr>
          <w:rStyle w:val="FootnoteReference"/>
        </w:rPr>
        <w:footnoteRef/>
      </w:r>
      <w:proofErr w:type="gramStart"/>
      <w:r w:rsidRPr="0047764D">
        <w:t>Kisira, S., &amp; Jack, B. (2024).</w:t>
      </w:r>
      <w:proofErr w:type="gramEnd"/>
      <w:r w:rsidRPr="0047764D">
        <w:t xml:space="preserve"> Achieving the Africa, we want through the Second Ten-Year Implementation Plan of the African Union Agenda 2063. </w:t>
      </w:r>
      <w:r w:rsidRPr="0047764D">
        <w:rPr>
          <w:i/>
          <w:iCs/>
        </w:rPr>
        <w:t>Occupational Health Southern Africa</w:t>
      </w:r>
      <w:r w:rsidRPr="0047764D">
        <w:t>, </w:t>
      </w:r>
      <w:r w:rsidRPr="0047764D">
        <w:rPr>
          <w:i/>
          <w:iCs/>
        </w:rPr>
        <w:t>30</w:t>
      </w:r>
      <w:r w:rsidRPr="0047764D">
        <w:t>(si1), 54-56.</w:t>
      </w:r>
    </w:p>
  </w:footnote>
  <w:footnote w:id="90">
    <w:p w:rsidR="00373E41" w:rsidRPr="00DF1FFE" w:rsidRDefault="00373E41" w:rsidP="00DF1FFE">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Raza, M. A., &amp; Khan, A. B. (2024).</w:t>
      </w:r>
      <w:proofErr w:type="gramEnd"/>
      <w:r w:rsidRPr="0047764D">
        <w:rPr>
          <w:color w:val="222222"/>
          <w:sz w:val="20"/>
          <w:szCs w:val="20"/>
          <w:shd w:val="clear" w:color="auto" w:fill="FFFFFF"/>
        </w:rPr>
        <w:t xml:space="preserve"> Socio-Economic Development through Regional Organizations: A Study of the Implementation of Agenda 2063 by the African Union (AU) in Collaboration with China. </w:t>
      </w:r>
      <w:r w:rsidRPr="0047764D">
        <w:rPr>
          <w:i/>
          <w:iCs/>
          <w:color w:val="222222"/>
          <w:sz w:val="20"/>
          <w:szCs w:val="20"/>
          <w:shd w:val="clear" w:color="auto" w:fill="FFFFFF"/>
        </w:rPr>
        <w:t>Annals of Human and Social Sciences</w:t>
      </w:r>
      <w:r w:rsidRPr="0047764D">
        <w:rPr>
          <w:color w:val="222222"/>
          <w:sz w:val="20"/>
          <w:szCs w:val="20"/>
          <w:shd w:val="clear" w:color="auto" w:fill="FFFFFF"/>
        </w:rPr>
        <w:t>, </w:t>
      </w:r>
      <w:r w:rsidRPr="0047764D">
        <w:rPr>
          <w:i/>
          <w:iCs/>
          <w:color w:val="222222"/>
          <w:sz w:val="20"/>
          <w:szCs w:val="20"/>
          <w:shd w:val="clear" w:color="auto" w:fill="FFFFFF"/>
        </w:rPr>
        <w:t>5</w:t>
      </w:r>
      <w:r w:rsidRPr="0047764D">
        <w:rPr>
          <w:color w:val="222222"/>
          <w:sz w:val="20"/>
          <w:szCs w:val="20"/>
          <w:shd w:val="clear" w:color="auto" w:fill="FFFFFF"/>
        </w:rPr>
        <w:t>(3), 355-371.</w:t>
      </w:r>
    </w:p>
  </w:footnote>
  <w:footnote w:id="91">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Levy, D., Perkins, H. C., &amp; Ge, D. (2022).</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Improving the management of common property in multi-owned residential buildings: lessons from Auckland, New Zealand.</w:t>
      </w:r>
      <w:proofErr w:type="gramEnd"/>
      <w:r w:rsidRPr="0047764D">
        <w:rPr>
          <w:color w:val="222222"/>
          <w:sz w:val="20"/>
          <w:szCs w:val="20"/>
          <w:shd w:val="clear" w:color="auto" w:fill="FFFFFF"/>
        </w:rPr>
        <w:t> </w:t>
      </w:r>
      <w:proofErr w:type="gramStart"/>
      <w:r w:rsidRPr="0047764D">
        <w:rPr>
          <w:i/>
          <w:iCs/>
          <w:color w:val="222222"/>
          <w:sz w:val="20"/>
          <w:szCs w:val="20"/>
          <w:shd w:val="clear" w:color="auto" w:fill="FFFFFF"/>
        </w:rPr>
        <w:t>Housing Studies</w:t>
      </w:r>
      <w:r w:rsidRPr="0047764D">
        <w:rPr>
          <w:color w:val="222222"/>
          <w:sz w:val="20"/>
          <w:szCs w:val="20"/>
          <w:shd w:val="clear" w:color="auto" w:fill="FFFFFF"/>
        </w:rPr>
        <w:t>, </w:t>
      </w:r>
      <w:r w:rsidRPr="0047764D">
        <w:rPr>
          <w:i/>
          <w:iCs/>
          <w:color w:val="222222"/>
          <w:sz w:val="20"/>
          <w:szCs w:val="20"/>
          <w:shd w:val="clear" w:color="auto" w:fill="FFFFFF"/>
        </w:rPr>
        <w:t>37</w:t>
      </w:r>
      <w:r w:rsidRPr="0047764D">
        <w:rPr>
          <w:color w:val="222222"/>
          <w:sz w:val="20"/>
          <w:szCs w:val="20"/>
          <w:shd w:val="clear" w:color="auto" w:fill="FFFFFF"/>
        </w:rPr>
        <w:t>(7), 1225-1249.</w:t>
      </w:r>
      <w:proofErr w:type="gramEnd"/>
    </w:p>
  </w:footnote>
  <w:footnote w:id="92">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Shahzad, W. M., Hassan, A., &amp; Rotimi, J. O. B. (2022).</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The challenges of land development for housing provision in New Zealand.</w:t>
      </w:r>
      <w:proofErr w:type="gramEnd"/>
      <w:r w:rsidRPr="0047764D">
        <w:rPr>
          <w:color w:val="222222"/>
          <w:sz w:val="20"/>
          <w:szCs w:val="20"/>
          <w:shd w:val="clear" w:color="auto" w:fill="FFFFFF"/>
        </w:rPr>
        <w:t> </w:t>
      </w:r>
      <w:r w:rsidRPr="0047764D">
        <w:rPr>
          <w:i/>
          <w:iCs/>
          <w:color w:val="222222"/>
          <w:sz w:val="20"/>
          <w:szCs w:val="20"/>
          <w:shd w:val="clear" w:color="auto" w:fill="FFFFFF"/>
        </w:rPr>
        <w:t>Journal of Housing and the Built Environment</w:t>
      </w:r>
      <w:r w:rsidRPr="0047764D">
        <w:rPr>
          <w:color w:val="222222"/>
          <w:sz w:val="20"/>
          <w:szCs w:val="20"/>
          <w:shd w:val="clear" w:color="auto" w:fill="FFFFFF"/>
        </w:rPr>
        <w:t>, </w:t>
      </w:r>
      <w:r w:rsidRPr="0047764D">
        <w:rPr>
          <w:i/>
          <w:iCs/>
          <w:color w:val="222222"/>
          <w:sz w:val="20"/>
          <w:szCs w:val="20"/>
          <w:shd w:val="clear" w:color="auto" w:fill="FFFFFF"/>
        </w:rPr>
        <w:t>37</w:t>
      </w:r>
      <w:r w:rsidRPr="0047764D">
        <w:rPr>
          <w:color w:val="222222"/>
          <w:sz w:val="20"/>
          <w:szCs w:val="20"/>
          <w:shd w:val="clear" w:color="auto" w:fill="FFFFFF"/>
        </w:rPr>
        <w:t>(3), 1319-1337.</w:t>
      </w:r>
    </w:p>
  </w:footnote>
  <w:footnote w:id="93">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Johnston, N. (2021). Law reform challenges: An evaluation of Australia’s strata law trends and implications. In </w:t>
      </w:r>
      <w:r w:rsidRPr="0047764D">
        <w:rPr>
          <w:i/>
          <w:iCs/>
          <w:color w:val="222222"/>
          <w:sz w:val="20"/>
          <w:szCs w:val="20"/>
          <w:shd w:val="clear" w:color="auto" w:fill="FFFFFF"/>
        </w:rPr>
        <w:t>Condominium Governance and Law in Global Urban Context</w:t>
      </w:r>
      <w:r w:rsidRPr="0047764D">
        <w:rPr>
          <w:color w:val="222222"/>
          <w:sz w:val="20"/>
          <w:szCs w:val="20"/>
          <w:shd w:val="clear" w:color="auto" w:fill="FFFFFF"/>
        </w:rPr>
        <w:t xml:space="preserve"> (pp. 179-196). </w:t>
      </w:r>
      <w:proofErr w:type="gramStart"/>
      <w:r w:rsidRPr="0047764D">
        <w:rPr>
          <w:color w:val="222222"/>
          <w:sz w:val="20"/>
          <w:szCs w:val="20"/>
          <w:shd w:val="clear" w:color="auto" w:fill="FFFFFF"/>
        </w:rPr>
        <w:t>Routledge.</w:t>
      </w:r>
      <w:proofErr w:type="gramEnd"/>
    </w:p>
  </w:footnote>
  <w:footnote w:id="94">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Ti, E. S. (2022). Strata plan cancellations in Australasia: A comparative analysis of nine jurisdictions. </w:t>
      </w:r>
      <w:r w:rsidRPr="0047764D">
        <w:rPr>
          <w:i/>
          <w:iCs/>
          <w:color w:val="222222"/>
          <w:sz w:val="20"/>
          <w:szCs w:val="20"/>
          <w:shd w:val="clear" w:color="auto" w:fill="FFFFFF"/>
        </w:rPr>
        <w:t>Monash University Law Review</w:t>
      </w:r>
      <w:r w:rsidRPr="0047764D">
        <w:rPr>
          <w:color w:val="222222"/>
          <w:sz w:val="20"/>
          <w:szCs w:val="20"/>
          <w:shd w:val="clear" w:color="auto" w:fill="FFFFFF"/>
        </w:rPr>
        <w:t>, </w:t>
      </w:r>
      <w:r w:rsidRPr="0047764D">
        <w:rPr>
          <w:i/>
          <w:iCs/>
          <w:color w:val="222222"/>
          <w:sz w:val="20"/>
          <w:szCs w:val="20"/>
          <w:shd w:val="clear" w:color="auto" w:fill="FFFFFF"/>
        </w:rPr>
        <w:t>48</w:t>
      </w:r>
      <w:r w:rsidRPr="0047764D">
        <w:rPr>
          <w:color w:val="222222"/>
          <w:sz w:val="20"/>
          <w:szCs w:val="20"/>
          <w:shd w:val="clear" w:color="auto" w:fill="FFFFFF"/>
        </w:rPr>
        <w:t>(1), 209-243.</w:t>
      </w:r>
    </w:p>
  </w:footnote>
  <w:footnote w:id="95">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Tang, H. W. (2024). Conceptualizing condominium law and children: comparing the state of strata titles law in New South Wales and Singapore. </w:t>
      </w:r>
      <w:r w:rsidRPr="0047764D">
        <w:rPr>
          <w:i/>
          <w:iCs/>
          <w:color w:val="222222"/>
          <w:sz w:val="20"/>
          <w:szCs w:val="20"/>
          <w:shd w:val="clear" w:color="auto" w:fill="FFFFFF"/>
        </w:rPr>
        <w:t>Journal of Property, Planning and Environmental Law</w:t>
      </w:r>
      <w:r w:rsidRPr="0047764D">
        <w:rPr>
          <w:color w:val="222222"/>
          <w:sz w:val="20"/>
          <w:szCs w:val="20"/>
          <w:shd w:val="clear" w:color="auto" w:fill="FFFFFF"/>
        </w:rPr>
        <w:t>, </w:t>
      </w:r>
      <w:r w:rsidRPr="0047764D">
        <w:rPr>
          <w:i/>
          <w:iCs/>
          <w:color w:val="222222"/>
          <w:sz w:val="20"/>
          <w:szCs w:val="20"/>
          <w:shd w:val="clear" w:color="auto" w:fill="FFFFFF"/>
        </w:rPr>
        <w:t>16</w:t>
      </w:r>
      <w:r w:rsidRPr="0047764D">
        <w:rPr>
          <w:color w:val="222222"/>
          <w:sz w:val="20"/>
          <w:szCs w:val="20"/>
          <w:shd w:val="clear" w:color="auto" w:fill="FFFFFF"/>
        </w:rPr>
        <w:t>(1), 36-50.</w:t>
      </w:r>
    </w:p>
  </w:footnote>
  <w:footnote w:id="96">
    <w:p w:rsidR="00373E41" w:rsidRPr="0047764D" w:rsidRDefault="00373E41" w:rsidP="0047764D">
      <w:pPr>
        <w:pStyle w:val="FootnoteText"/>
      </w:pPr>
      <w:r w:rsidRPr="0047764D">
        <w:rPr>
          <w:rStyle w:val="FootnoteReference"/>
        </w:rPr>
        <w:footnoteRef/>
      </w:r>
      <w:proofErr w:type="gramStart"/>
      <w:r w:rsidRPr="0047764D">
        <w:t>Karjiker, S. (2021).</w:t>
      </w:r>
      <w:proofErr w:type="gramEnd"/>
      <w:r w:rsidRPr="0047764D">
        <w:t xml:space="preserve"> Should South Africa adopt fair use? </w:t>
      </w:r>
      <w:proofErr w:type="gramStart"/>
      <w:r w:rsidRPr="0047764D">
        <w:t>Cutting through the rhetoric.</w:t>
      </w:r>
      <w:proofErr w:type="gramEnd"/>
      <w:r w:rsidRPr="0047764D">
        <w:t> </w:t>
      </w:r>
      <w:r w:rsidRPr="0047764D">
        <w:rPr>
          <w:i/>
          <w:iCs/>
        </w:rPr>
        <w:t>Journal of South African Law/Tydskrifvir die Suid-Afrikaanse Reg</w:t>
      </w:r>
      <w:r w:rsidRPr="0047764D">
        <w:t>, </w:t>
      </w:r>
      <w:r w:rsidRPr="0047764D">
        <w:rPr>
          <w:i/>
          <w:iCs/>
        </w:rPr>
        <w:t>2021</w:t>
      </w:r>
      <w:r w:rsidRPr="0047764D">
        <w:t>(2), 240-255.</w:t>
      </w:r>
    </w:p>
  </w:footnote>
  <w:footnote w:id="97">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Grisdale, S., &amp; Walks, A. (2022). Rise overrun: condoization, gentrification, and the changing political economy of renting in Toronto. </w:t>
      </w:r>
      <w:r w:rsidRPr="0047764D">
        <w:rPr>
          <w:i/>
          <w:iCs/>
          <w:color w:val="222222"/>
          <w:sz w:val="20"/>
          <w:szCs w:val="20"/>
          <w:shd w:val="clear" w:color="auto" w:fill="FFFFFF"/>
        </w:rPr>
        <w:t>Urban Planning</w:t>
      </w:r>
      <w:r w:rsidRPr="0047764D">
        <w:rPr>
          <w:color w:val="222222"/>
          <w:sz w:val="20"/>
          <w:szCs w:val="20"/>
          <w:shd w:val="clear" w:color="auto" w:fill="FFFFFF"/>
        </w:rPr>
        <w:t>, </w:t>
      </w:r>
      <w:r w:rsidRPr="0047764D">
        <w:rPr>
          <w:i/>
          <w:iCs/>
          <w:color w:val="222222"/>
          <w:sz w:val="20"/>
          <w:szCs w:val="20"/>
          <w:shd w:val="clear" w:color="auto" w:fill="FFFFFF"/>
        </w:rPr>
        <w:t>7</w:t>
      </w:r>
      <w:r w:rsidRPr="0047764D">
        <w:rPr>
          <w:color w:val="222222"/>
          <w:sz w:val="20"/>
          <w:szCs w:val="20"/>
          <w:shd w:val="clear" w:color="auto" w:fill="FFFFFF"/>
        </w:rPr>
        <w:t>(4), 229-244.</w:t>
      </w:r>
    </w:p>
  </w:footnote>
  <w:footnote w:id="98">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Lavallee, J. (2023). Is It Time for Commonhold to Become Commonplace in England and Wales. </w:t>
      </w:r>
      <w:r w:rsidRPr="0047764D">
        <w:rPr>
          <w:i/>
          <w:iCs/>
          <w:color w:val="222222"/>
          <w:sz w:val="20"/>
          <w:szCs w:val="20"/>
          <w:shd w:val="clear" w:color="auto" w:fill="FFFFFF"/>
        </w:rPr>
        <w:t>Aberdeen Student L. Rev.</w:t>
      </w:r>
      <w:r w:rsidRPr="0047764D">
        <w:rPr>
          <w:color w:val="222222"/>
          <w:sz w:val="20"/>
          <w:szCs w:val="20"/>
          <w:shd w:val="clear" w:color="auto" w:fill="FFFFFF"/>
        </w:rPr>
        <w:t>, </w:t>
      </w:r>
      <w:r w:rsidRPr="0047764D">
        <w:rPr>
          <w:i/>
          <w:iCs/>
          <w:color w:val="222222"/>
          <w:sz w:val="20"/>
          <w:szCs w:val="20"/>
          <w:shd w:val="clear" w:color="auto" w:fill="FFFFFF"/>
        </w:rPr>
        <w:t>12</w:t>
      </w:r>
      <w:r w:rsidRPr="0047764D">
        <w:rPr>
          <w:color w:val="222222"/>
          <w:sz w:val="20"/>
          <w:szCs w:val="20"/>
          <w:shd w:val="clear" w:color="auto" w:fill="FFFFFF"/>
        </w:rPr>
        <w:t>, 34.</w:t>
      </w:r>
    </w:p>
  </w:footnote>
  <w:footnote w:id="99">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Lippert, R. K., &amp;Treffers, S. (2021). Introduction: Condominium governance and law in global urban context. In </w:t>
      </w:r>
      <w:r w:rsidRPr="0047764D">
        <w:rPr>
          <w:i/>
          <w:iCs/>
          <w:color w:val="222222"/>
          <w:sz w:val="20"/>
          <w:szCs w:val="20"/>
          <w:shd w:val="clear" w:color="auto" w:fill="FFFFFF"/>
        </w:rPr>
        <w:t>Condominium Governance and Law in Global Urban Context</w:t>
      </w:r>
      <w:r w:rsidRPr="0047764D">
        <w:rPr>
          <w:color w:val="222222"/>
          <w:sz w:val="20"/>
          <w:szCs w:val="20"/>
          <w:shd w:val="clear" w:color="auto" w:fill="FFFFFF"/>
        </w:rPr>
        <w:t xml:space="preserve"> (pp. 1-9). </w:t>
      </w:r>
      <w:proofErr w:type="gramStart"/>
      <w:r w:rsidRPr="0047764D">
        <w:rPr>
          <w:color w:val="222222"/>
          <w:sz w:val="20"/>
          <w:szCs w:val="20"/>
          <w:shd w:val="clear" w:color="auto" w:fill="FFFFFF"/>
        </w:rPr>
        <w:t>Routledge.</w:t>
      </w:r>
      <w:proofErr w:type="gramEnd"/>
    </w:p>
  </w:footnote>
  <w:footnote w:id="100">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Chawla, N., &amp; Kumar, B. (2022).</w:t>
      </w:r>
      <w:proofErr w:type="gramEnd"/>
      <w:r w:rsidRPr="0047764D">
        <w:rPr>
          <w:color w:val="222222"/>
          <w:sz w:val="20"/>
          <w:szCs w:val="20"/>
          <w:shd w:val="clear" w:color="auto" w:fill="FFFFFF"/>
        </w:rPr>
        <w:t xml:space="preserve"> Indian real estate regulations and urban homebuyers: Impact assessment.</w:t>
      </w:r>
    </w:p>
  </w:footnote>
  <w:footnote w:id="101">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Gandhi, S., Green, R. K., &amp;Patranabis, S. (2022). Insecure property rights and the housing market: Explaining India’s housing vacancy paradox. </w:t>
      </w:r>
      <w:proofErr w:type="gramStart"/>
      <w:r w:rsidRPr="0047764D">
        <w:rPr>
          <w:i/>
          <w:iCs/>
          <w:color w:val="222222"/>
          <w:sz w:val="20"/>
          <w:szCs w:val="20"/>
          <w:shd w:val="clear" w:color="auto" w:fill="FFFFFF"/>
        </w:rPr>
        <w:t>Journal of Urban Economics</w:t>
      </w:r>
      <w:r w:rsidRPr="0047764D">
        <w:rPr>
          <w:color w:val="222222"/>
          <w:sz w:val="20"/>
          <w:szCs w:val="20"/>
          <w:shd w:val="clear" w:color="auto" w:fill="FFFFFF"/>
        </w:rPr>
        <w:t>, </w:t>
      </w:r>
      <w:r w:rsidRPr="0047764D">
        <w:rPr>
          <w:i/>
          <w:iCs/>
          <w:color w:val="222222"/>
          <w:sz w:val="20"/>
          <w:szCs w:val="20"/>
          <w:shd w:val="clear" w:color="auto" w:fill="FFFFFF"/>
        </w:rPr>
        <w:t>131</w:t>
      </w:r>
      <w:r w:rsidRPr="0047764D">
        <w:rPr>
          <w:color w:val="222222"/>
          <w:sz w:val="20"/>
          <w:szCs w:val="20"/>
          <w:shd w:val="clear" w:color="auto" w:fill="FFFFFF"/>
        </w:rPr>
        <w:t>, 103490.</w:t>
      </w:r>
      <w:proofErr w:type="gramEnd"/>
    </w:p>
  </w:footnote>
  <w:footnote w:id="102">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Harris, D. C., &amp; Patterson, G. (2024). Condominium to the country: the sprawl of ownership within private local government in British Columbia. </w:t>
      </w:r>
      <w:r w:rsidRPr="0047764D">
        <w:rPr>
          <w:i/>
          <w:iCs/>
          <w:color w:val="222222"/>
          <w:sz w:val="20"/>
          <w:szCs w:val="20"/>
          <w:shd w:val="clear" w:color="auto" w:fill="FFFFFF"/>
        </w:rPr>
        <w:t>Law &amp; Social Inquiry</w:t>
      </w:r>
      <w:r w:rsidRPr="0047764D">
        <w:rPr>
          <w:color w:val="222222"/>
          <w:sz w:val="20"/>
          <w:szCs w:val="20"/>
          <w:shd w:val="clear" w:color="auto" w:fill="FFFFFF"/>
        </w:rPr>
        <w:t>, </w:t>
      </w:r>
      <w:r w:rsidRPr="0047764D">
        <w:rPr>
          <w:i/>
          <w:iCs/>
          <w:color w:val="222222"/>
          <w:sz w:val="20"/>
          <w:szCs w:val="20"/>
          <w:shd w:val="clear" w:color="auto" w:fill="FFFFFF"/>
        </w:rPr>
        <w:t>49</w:t>
      </w:r>
      <w:r w:rsidRPr="0047764D">
        <w:rPr>
          <w:color w:val="222222"/>
          <w:sz w:val="20"/>
          <w:szCs w:val="20"/>
          <w:shd w:val="clear" w:color="auto" w:fill="FFFFFF"/>
        </w:rPr>
        <w:t>(2), 877-915.</w:t>
      </w:r>
    </w:p>
  </w:footnote>
  <w:footnote w:id="103">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 xml:space="preserve">Kim, C. (2021). </w:t>
      </w:r>
      <w:proofErr w:type="gramStart"/>
      <w:r w:rsidRPr="0047764D">
        <w:rPr>
          <w:color w:val="222222"/>
          <w:sz w:val="20"/>
          <w:szCs w:val="20"/>
          <w:shd w:val="clear" w:color="auto" w:fill="FFFFFF"/>
        </w:rPr>
        <w:t>A review of the deployment programs, impact, and barriers of renewable energy policies in Korea.</w:t>
      </w:r>
      <w:proofErr w:type="gramEnd"/>
      <w:r w:rsidRPr="0047764D">
        <w:rPr>
          <w:color w:val="222222"/>
          <w:sz w:val="20"/>
          <w:szCs w:val="20"/>
          <w:shd w:val="clear" w:color="auto" w:fill="FFFFFF"/>
        </w:rPr>
        <w:t> </w:t>
      </w:r>
      <w:proofErr w:type="gramStart"/>
      <w:r w:rsidRPr="0047764D">
        <w:rPr>
          <w:i/>
          <w:iCs/>
          <w:color w:val="222222"/>
          <w:sz w:val="20"/>
          <w:szCs w:val="20"/>
          <w:shd w:val="clear" w:color="auto" w:fill="FFFFFF"/>
        </w:rPr>
        <w:t>Renewable and Sustainable Energy Reviews</w:t>
      </w:r>
      <w:r w:rsidRPr="0047764D">
        <w:rPr>
          <w:color w:val="222222"/>
          <w:sz w:val="20"/>
          <w:szCs w:val="20"/>
          <w:shd w:val="clear" w:color="auto" w:fill="FFFFFF"/>
        </w:rPr>
        <w:t>, </w:t>
      </w:r>
      <w:r w:rsidRPr="0047764D">
        <w:rPr>
          <w:i/>
          <w:iCs/>
          <w:color w:val="222222"/>
          <w:sz w:val="20"/>
          <w:szCs w:val="20"/>
          <w:shd w:val="clear" w:color="auto" w:fill="FFFFFF"/>
        </w:rPr>
        <w:t>144</w:t>
      </w:r>
      <w:r w:rsidRPr="0047764D">
        <w:rPr>
          <w:color w:val="222222"/>
          <w:sz w:val="20"/>
          <w:szCs w:val="20"/>
          <w:shd w:val="clear" w:color="auto" w:fill="FFFFFF"/>
        </w:rPr>
        <w:t>, 110870.</w:t>
      </w:r>
      <w:proofErr w:type="gramEnd"/>
    </w:p>
  </w:footnote>
  <w:footnote w:id="104">
    <w:p w:rsidR="00373E41" w:rsidRPr="0047764D" w:rsidRDefault="00373E41" w:rsidP="0047764D">
      <w:pPr>
        <w:pStyle w:val="FootnoteText"/>
        <w:spacing w:before="0"/>
      </w:pPr>
      <w:r w:rsidRPr="0047764D">
        <w:rPr>
          <w:rStyle w:val="FootnoteReference"/>
        </w:rPr>
        <w:footnoteRef/>
      </w:r>
      <w:r w:rsidRPr="0047764D">
        <w:t xml:space="preserve"> Ibid.</w:t>
      </w:r>
    </w:p>
  </w:footnote>
  <w:footnote w:id="105">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Hassan, M., &amp; Klaus, K. (2023).</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Closing the gap: the politics of property rights in Kenya.</w:t>
      </w:r>
      <w:proofErr w:type="gramEnd"/>
      <w:r w:rsidRPr="0047764D">
        <w:rPr>
          <w:color w:val="222222"/>
          <w:sz w:val="20"/>
          <w:szCs w:val="20"/>
          <w:shd w:val="clear" w:color="auto" w:fill="FFFFFF"/>
        </w:rPr>
        <w:t> </w:t>
      </w:r>
      <w:r w:rsidRPr="0047764D">
        <w:rPr>
          <w:i/>
          <w:iCs/>
          <w:color w:val="222222"/>
          <w:sz w:val="20"/>
          <w:szCs w:val="20"/>
          <w:shd w:val="clear" w:color="auto" w:fill="FFFFFF"/>
        </w:rPr>
        <w:t>World Politics</w:t>
      </w:r>
      <w:r w:rsidRPr="0047764D">
        <w:rPr>
          <w:color w:val="222222"/>
          <w:sz w:val="20"/>
          <w:szCs w:val="20"/>
          <w:shd w:val="clear" w:color="auto" w:fill="FFFFFF"/>
        </w:rPr>
        <w:t>, </w:t>
      </w:r>
      <w:r w:rsidRPr="0047764D">
        <w:rPr>
          <w:i/>
          <w:iCs/>
          <w:color w:val="222222"/>
          <w:sz w:val="20"/>
          <w:szCs w:val="20"/>
          <w:shd w:val="clear" w:color="auto" w:fill="FFFFFF"/>
        </w:rPr>
        <w:t>75</w:t>
      </w:r>
      <w:r w:rsidRPr="0047764D">
        <w:rPr>
          <w:color w:val="222222"/>
          <w:sz w:val="20"/>
          <w:szCs w:val="20"/>
          <w:shd w:val="clear" w:color="auto" w:fill="FFFFFF"/>
        </w:rPr>
        <w:t>(2), 233-279.</w:t>
      </w:r>
    </w:p>
  </w:footnote>
  <w:footnote w:id="106">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KeangSood, T. (2023).</w:t>
      </w:r>
      <w:proofErr w:type="gramEnd"/>
      <w:r w:rsidRPr="0047764D">
        <w:rPr>
          <w:color w:val="222222"/>
          <w:sz w:val="20"/>
          <w:szCs w:val="20"/>
          <w:shd w:val="clear" w:color="auto" w:fill="FFFFFF"/>
        </w:rPr>
        <w:t xml:space="preserve"> </w:t>
      </w:r>
      <w:proofErr w:type="gramStart"/>
      <w:r w:rsidRPr="0047764D">
        <w:rPr>
          <w:color w:val="222222"/>
          <w:sz w:val="20"/>
          <w:szCs w:val="20"/>
          <w:shd w:val="clear" w:color="auto" w:fill="FFFFFF"/>
        </w:rPr>
        <w:t>Land law.</w:t>
      </w:r>
      <w:proofErr w:type="gramEnd"/>
      <w:r w:rsidRPr="0047764D">
        <w:rPr>
          <w:color w:val="222222"/>
          <w:sz w:val="20"/>
          <w:szCs w:val="20"/>
          <w:shd w:val="clear" w:color="auto" w:fill="FFFFFF"/>
        </w:rPr>
        <w:t> </w:t>
      </w:r>
      <w:r w:rsidRPr="0047764D">
        <w:rPr>
          <w:i/>
          <w:iCs/>
          <w:color w:val="222222"/>
          <w:sz w:val="20"/>
          <w:szCs w:val="20"/>
          <w:shd w:val="clear" w:color="auto" w:fill="FFFFFF"/>
        </w:rPr>
        <w:t>Singapore Academy of Law Annual Review of Singapore Cases</w:t>
      </w:r>
      <w:r w:rsidRPr="0047764D">
        <w:rPr>
          <w:color w:val="222222"/>
          <w:sz w:val="20"/>
          <w:szCs w:val="20"/>
          <w:shd w:val="clear" w:color="auto" w:fill="FFFFFF"/>
        </w:rPr>
        <w:t>, </w:t>
      </w:r>
      <w:r w:rsidRPr="0047764D">
        <w:rPr>
          <w:i/>
          <w:iCs/>
          <w:color w:val="222222"/>
          <w:sz w:val="20"/>
          <w:szCs w:val="20"/>
          <w:shd w:val="clear" w:color="auto" w:fill="FFFFFF"/>
        </w:rPr>
        <w:t>24</w:t>
      </w:r>
      <w:r w:rsidRPr="0047764D">
        <w:rPr>
          <w:color w:val="222222"/>
          <w:sz w:val="20"/>
          <w:szCs w:val="20"/>
          <w:shd w:val="clear" w:color="auto" w:fill="FFFFFF"/>
        </w:rPr>
        <w:t>, 647-681.</w:t>
      </w:r>
    </w:p>
  </w:footnote>
  <w:footnote w:id="107">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Lippert, R. K., &amp;Treffers, S. (2021). Introduction: Condominium governance and law in global urban context. In </w:t>
      </w:r>
      <w:r w:rsidRPr="0047764D">
        <w:rPr>
          <w:i/>
          <w:iCs/>
          <w:color w:val="222222"/>
          <w:sz w:val="20"/>
          <w:szCs w:val="20"/>
          <w:shd w:val="clear" w:color="auto" w:fill="FFFFFF"/>
        </w:rPr>
        <w:t>Condominium Governance and Law in Global Urban Context</w:t>
      </w:r>
      <w:r w:rsidRPr="0047764D">
        <w:rPr>
          <w:color w:val="222222"/>
          <w:sz w:val="20"/>
          <w:szCs w:val="20"/>
          <w:shd w:val="clear" w:color="auto" w:fill="FFFFFF"/>
        </w:rPr>
        <w:t xml:space="preserve"> (pp. 1-9). </w:t>
      </w:r>
      <w:proofErr w:type="gramStart"/>
      <w:r w:rsidRPr="0047764D">
        <w:rPr>
          <w:color w:val="222222"/>
          <w:sz w:val="20"/>
          <w:szCs w:val="20"/>
          <w:shd w:val="clear" w:color="auto" w:fill="FFFFFF"/>
        </w:rPr>
        <w:t>Routledge.</w:t>
      </w:r>
      <w:proofErr w:type="gramEnd"/>
    </w:p>
  </w:footnote>
  <w:footnote w:id="108">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Karjiker, S. (2021).</w:t>
      </w:r>
      <w:proofErr w:type="gramEnd"/>
      <w:r w:rsidRPr="0047764D">
        <w:rPr>
          <w:color w:val="222222"/>
          <w:sz w:val="20"/>
          <w:szCs w:val="20"/>
          <w:shd w:val="clear" w:color="auto" w:fill="FFFFFF"/>
        </w:rPr>
        <w:t xml:space="preserve"> Should South Africa adopt fair use? </w:t>
      </w:r>
      <w:proofErr w:type="gramStart"/>
      <w:r w:rsidRPr="0047764D">
        <w:rPr>
          <w:color w:val="222222"/>
          <w:sz w:val="20"/>
          <w:szCs w:val="20"/>
          <w:shd w:val="clear" w:color="auto" w:fill="FFFFFF"/>
        </w:rPr>
        <w:t>Cutting through the rhetoric.</w:t>
      </w:r>
      <w:proofErr w:type="gramEnd"/>
      <w:r w:rsidRPr="0047764D">
        <w:rPr>
          <w:color w:val="222222"/>
          <w:sz w:val="20"/>
          <w:szCs w:val="20"/>
          <w:shd w:val="clear" w:color="auto" w:fill="FFFFFF"/>
        </w:rPr>
        <w:t> </w:t>
      </w:r>
      <w:r w:rsidRPr="0047764D">
        <w:rPr>
          <w:i/>
          <w:iCs/>
          <w:color w:val="222222"/>
          <w:sz w:val="20"/>
          <w:szCs w:val="20"/>
          <w:shd w:val="clear" w:color="auto" w:fill="FFFFFF"/>
        </w:rPr>
        <w:t>Journal of South African Law/Tydskrifvir die Suid-Afrikaanse Reg</w:t>
      </w:r>
      <w:r w:rsidRPr="0047764D">
        <w:rPr>
          <w:color w:val="222222"/>
          <w:sz w:val="20"/>
          <w:szCs w:val="20"/>
          <w:shd w:val="clear" w:color="auto" w:fill="FFFFFF"/>
        </w:rPr>
        <w:t>, </w:t>
      </w:r>
      <w:r w:rsidRPr="0047764D">
        <w:rPr>
          <w:i/>
          <w:iCs/>
          <w:color w:val="222222"/>
          <w:sz w:val="20"/>
          <w:szCs w:val="20"/>
          <w:shd w:val="clear" w:color="auto" w:fill="FFFFFF"/>
        </w:rPr>
        <w:t>2021</w:t>
      </w:r>
      <w:r w:rsidRPr="0047764D">
        <w:rPr>
          <w:color w:val="222222"/>
          <w:sz w:val="20"/>
          <w:szCs w:val="20"/>
          <w:shd w:val="clear" w:color="auto" w:fill="FFFFFF"/>
        </w:rPr>
        <w:t>(2), 240-255.</w:t>
      </w:r>
    </w:p>
  </w:footnote>
  <w:footnote w:id="109">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Siregar, T., Lubis, I., &amp;Harahap, A. S. (2023).</w:t>
      </w:r>
      <w:proofErr w:type="gramEnd"/>
      <w:r w:rsidRPr="0047764D">
        <w:rPr>
          <w:color w:val="222222"/>
          <w:sz w:val="20"/>
          <w:szCs w:val="20"/>
          <w:shd w:val="clear" w:color="auto" w:fill="FFFFFF"/>
        </w:rPr>
        <w:t xml:space="preserve"> The Role of Local Wisdom in Law: Alternative Dispute Resolution in the Land Sector in North Sumatra, Indonesia. </w:t>
      </w:r>
      <w:proofErr w:type="gramStart"/>
      <w:r w:rsidRPr="0047764D">
        <w:rPr>
          <w:i/>
          <w:iCs/>
          <w:color w:val="222222"/>
          <w:sz w:val="20"/>
          <w:szCs w:val="20"/>
          <w:shd w:val="clear" w:color="auto" w:fill="FFFFFF"/>
        </w:rPr>
        <w:t>ISVS e-journal</w:t>
      </w:r>
      <w:r w:rsidRPr="0047764D">
        <w:rPr>
          <w:color w:val="222222"/>
          <w:sz w:val="20"/>
          <w:szCs w:val="20"/>
          <w:shd w:val="clear" w:color="auto" w:fill="FFFFFF"/>
        </w:rPr>
        <w:t>, </w:t>
      </w:r>
      <w:r w:rsidRPr="0047764D">
        <w:rPr>
          <w:i/>
          <w:iCs/>
          <w:color w:val="222222"/>
          <w:sz w:val="20"/>
          <w:szCs w:val="20"/>
          <w:shd w:val="clear" w:color="auto" w:fill="FFFFFF"/>
        </w:rPr>
        <w:t>10</w:t>
      </w:r>
      <w:r w:rsidRPr="0047764D">
        <w:rPr>
          <w:color w:val="222222"/>
          <w:sz w:val="20"/>
          <w:szCs w:val="20"/>
          <w:shd w:val="clear" w:color="auto" w:fill="FFFFFF"/>
        </w:rPr>
        <w:t>(1).</w:t>
      </w:r>
      <w:proofErr w:type="gramEnd"/>
    </w:p>
  </w:footnote>
  <w:footnote w:id="110">
    <w:p w:rsidR="00373E41" w:rsidRPr="0047764D" w:rsidRDefault="00373E41" w:rsidP="0047764D">
      <w:pPr>
        <w:pStyle w:val="FootnoteText"/>
        <w:spacing w:before="0"/>
      </w:pPr>
      <w:r w:rsidRPr="0047764D">
        <w:rPr>
          <w:rStyle w:val="FootnoteReference"/>
        </w:rPr>
        <w:footnoteRef/>
      </w:r>
      <w:r w:rsidRPr="0047764D">
        <w:t xml:space="preserve"> Ibid.</w:t>
      </w:r>
    </w:p>
  </w:footnote>
  <w:footnote w:id="111">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 xml:space="preserve">Ramadhani, R. (2021). Legal Protection </w:t>
      </w:r>
      <w:proofErr w:type="gramStart"/>
      <w:r w:rsidRPr="0047764D">
        <w:rPr>
          <w:color w:val="222222"/>
          <w:sz w:val="20"/>
          <w:szCs w:val="20"/>
          <w:shd w:val="clear" w:color="auto" w:fill="FFFFFF"/>
        </w:rPr>
        <w:t>For</w:t>
      </w:r>
      <w:proofErr w:type="gramEnd"/>
      <w:r w:rsidRPr="0047764D">
        <w:rPr>
          <w:color w:val="222222"/>
          <w:sz w:val="20"/>
          <w:szCs w:val="20"/>
          <w:shd w:val="clear" w:color="auto" w:fill="FFFFFF"/>
        </w:rPr>
        <w:t xml:space="preserve"> Land Rights Holders Who Are Victims Of The Land Mafia. </w:t>
      </w:r>
      <w:r w:rsidRPr="0047764D">
        <w:rPr>
          <w:i/>
          <w:iCs/>
          <w:color w:val="222222"/>
          <w:sz w:val="20"/>
          <w:szCs w:val="20"/>
          <w:shd w:val="clear" w:color="auto" w:fill="FFFFFF"/>
        </w:rPr>
        <w:t>International Journal Reglement&amp; Society (IJRS)</w:t>
      </w:r>
      <w:r w:rsidRPr="0047764D">
        <w:rPr>
          <w:color w:val="222222"/>
          <w:sz w:val="20"/>
          <w:szCs w:val="20"/>
          <w:shd w:val="clear" w:color="auto" w:fill="FFFFFF"/>
        </w:rPr>
        <w:t>, </w:t>
      </w:r>
      <w:r w:rsidRPr="0047764D">
        <w:rPr>
          <w:i/>
          <w:iCs/>
          <w:color w:val="222222"/>
          <w:sz w:val="20"/>
          <w:szCs w:val="20"/>
          <w:shd w:val="clear" w:color="auto" w:fill="FFFFFF"/>
        </w:rPr>
        <w:t>2</w:t>
      </w:r>
      <w:r w:rsidRPr="0047764D">
        <w:rPr>
          <w:color w:val="222222"/>
          <w:sz w:val="20"/>
          <w:szCs w:val="20"/>
          <w:shd w:val="clear" w:color="auto" w:fill="FFFFFF"/>
        </w:rPr>
        <w:t>(2), 87-95.</w:t>
      </w:r>
    </w:p>
  </w:footnote>
  <w:footnote w:id="112">
    <w:p w:rsidR="00373E41" w:rsidRPr="0047764D" w:rsidRDefault="00373E41" w:rsidP="0047764D">
      <w:pPr>
        <w:spacing w:before="0" w:after="0" w:line="240" w:lineRule="auto"/>
        <w:rPr>
          <w:sz w:val="20"/>
          <w:szCs w:val="20"/>
        </w:rPr>
      </w:pPr>
      <w:r w:rsidRPr="0047764D">
        <w:rPr>
          <w:rStyle w:val="FootnoteReference"/>
          <w:sz w:val="20"/>
          <w:szCs w:val="20"/>
        </w:rPr>
        <w:footnoteRef/>
      </w:r>
      <w:r w:rsidRPr="0047764D">
        <w:rPr>
          <w:color w:val="222222"/>
          <w:sz w:val="20"/>
          <w:szCs w:val="20"/>
          <w:shd w:val="clear" w:color="auto" w:fill="FFFFFF"/>
        </w:rPr>
        <w:t>Ferreira, D. B., &amp;Severo, L. (2021). Multiparty Mediation as Solution for Urban Conﬂicts: A Case Analysis from Brazil. </w:t>
      </w:r>
      <w:r w:rsidRPr="0047764D">
        <w:rPr>
          <w:i/>
          <w:iCs/>
          <w:color w:val="222222"/>
          <w:sz w:val="20"/>
          <w:szCs w:val="20"/>
          <w:shd w:val="clear" w:color="auto" w:fill="FFFFFF"/>
        </w:rPr>
        <w:t>BRICS Law Journal</w:t>
      </w:r>
      <w:r w:rsidRPr="0047764D">
        <w:rPr>
          <w:color w:val="222222"/>
          <w:sz w:val="20"/>
          <w:szCs w:val="20"/>
          <w:shd w:val="clear" w:color="auto" w:fill="FFFFFF"/>
        </w:rPr>
        <w:t>, </w:t>
      </w:r>
      <w:r w:rsidRPr="0047764D">
        <w:rPr>
          <w:i/>
          <w:iCs/>
          <w:color w:val="222222"/>
          <w:sz w:val="20"/>
          <w:szCs w:val="20"/>
          <w:shd w:val="clear" w:color="auto" w:fill="FFFFFF"/>
        </w:rPr>
        <w:t>8</w:t>
      </w:r>
      <w:r w:rsidRPr="0047764D">
        <w:rPr>
          <w:color w:val="222222"/>
          <w:sz w:val="20"/>
          <w:szCs w:val="20"/>
          <w:shd w:val="clear" w:color="auto" w:fill="FFFFFF"/>
        </w:rPr>
        <w:t>(3), 5-29.</w:t>
      </w:r>
    </w:p>
  </w:footnote>
  <w:footnote w:id="113">
    <w:p w:rsidR="00373E41" w:rsidRPr="0047764D" w:rsidRDefault="00373E41" w:rsidP="0047764D">
      <w:pPr>
        <w:pStyle w:val="FootnoteText"/>
        <w:spacing w:before="0"/>
      </w:pPr>
      <w:r w:rsidRPr="0047764D">
        <w:rPr>
          <w:rStyle w:val="FootnoteReference"/>
        </w:rPr>
        <w:footnoteRef/>
      </w:r>
      <w:r w:rsidRPr="0047764D">
        <w:t xml:space="preserve"> Ibid.</w:t>
      </w:r>
    </w:p>
  </w:footnote>
  <w:footnote w:id="114">
    <w:p w:rsidR="00373E41" w:rsidRPr="0047764D" w:rsidRDefault="00373E41" w:rsidP="0047764D">
      <w:pPr>
        <w:pStyle w:val="FootnoteText"/>
      </w:pPr>
      <w:r w:rsidRPr="0047764D">
        <w:rPr>
          <w:rStyle w:val="FootnoteReference"/>
        </w:rPr>
        <w:footnoteRef/>
      </w:r>
      <w:r w:rsidRPr="0047764D">
        <w:t>Tenga W. &amp;Mramba S. (2016) The Unit Titles Framework in Tanzania: An Introduction, presentation for TLS Law Lectures CLE, Arusha.</w:t>
      </w:r>
    </w:p>
  </w:footnote>
  <w:footnote w:id="115">
    <w:p w:rsidR="00373E41" w:rsidRPr="0047764D" w:rsidRDefault="00373E41" w:rsidP="0047764D">
      <w:pPr>
        <w:spacing w:before="0" w:after="0" w:line="240" w:lineRule="auto"/>
        <w:rPr>
          <w:sz w:val="20"/>
          <w:szCs w:val="20"/>
        </w:rPr>
      </w:pPr>
      <w:r w:rsidRPr="0047764D">
        <w:rPr>
          <w:rStyle w:val="FootnoteReference"/>
          <w:sz w:val="20"/>
          <w:szCs w:val="20"/>
        </w:rPr>
        <w:footnoteRef/>
      </w:r>
      <w:proofErr w:type="gramStart"/>
      <w:r w:rsidRPr="0047764D">
        <w:rPr>
          <w:color w:val="222222"/>
          <w:sz w:val="20"/>
          <w:szCs w:val="20"/>
          <w:shd w:val="clear" w:color="auto" w:fill="FFFFFF"/>
        </w:rPr>
        <w:t>Panman, A., &amp;Gracia, N. L. (2022).</w:t>
      </w:r>
      <w:proofErr w:type="gramEnd"/>
      <w:r w:rsidRPr="0047764D">
        <w:rPr>
          <w:color w:val="222222"/>
          <w:sz w:val="20"/>
          <w:szCs w:val="20"/>
          <w:shd w:val="clear" w:color="auto" w:fill="FFFFFF"/>
        </w:rPr>
        <w:t xml:space="preserve"> Titling and beyond: Evidence from Dar es Salaam, Tanzania. </w:t>
      </w:r>
      <w:r w:rsidRPr="0047764D">
        <w:rPr>
          <w:i/>
          <w:iCs/>
          <w:color w:val="222222"/>
          <w:sz w:val="20"/>
          <w:szCs w:val="20"/>
          <w:shd w:val="clear" w:color="auto" w:fill="FFFFFF"/>
        </w:rPr>
        <w:t>Land Use Policy</w:t>
      </w:r>
      <w:r w:rsidRPr="0047764D">
        <w:rPr>
          <w:color w:val="222222"/>
          <w:sz w:val="20"/>
          <w:szCs w:val="20"/>
          <w:shd w:val="clear" w:color="auto" w:fill="FFFFFF"/>
        </w:rPr>
        <w:t>, </w:t>
      </w:r>
      <w:r w:rsidRPr="0047764D">
        <w:rPr>
          <w:i/>
          <w:iCs/>
          <w:color w:val="222222"/>
          <w:sz w:val="20"/>
          <w:szCs w:val="20"/>
          <w:shd w:val="clear" w:color="auto" w:fill="FFFFFF"/>
        </w:rPr>
        <w:t>117</w:t>
      </w:r>
      <w:r w:rsidRPr="0047764D">
        <w:rPr>
          <w:color w:val="222222"/>
          <w:sz w:val="20"/>
          <w:szCs w:val="20"/>
          <w:shd w:val="clear" w:color="auto" w:fill="FFFFFF"/>
        </w:rPr>
        <w:t>, 105905.</w:t>
      </w:r>
    </w:p>
    <w:p w:rsidR="00373E41" w:rsidRPr="0047764D" w:rsidRDefault="00373E41" w:rsidP="0047764D">
      <w:pPr>
        <w:pStyle w:val="FootnoteText"/>
      </w:pPr>
    </w:p>
  </w:footnote>
  <w:footnote w:id="116">
    <w:p w:rsidR="00373E41" w:rsidRPr="0047764D" w:rsidRDefault="00373E41" w:rsidP="0047764D">
      <w:pPr>
        <w:pStyle w:val="FootnoteText"/>
      </w:pPr>
      <w:r w:rsidRPr="0047764D">
        <w:rPr>
          <w:rStyle w:val="FootnoteReference"/>
        </w:rPr>
        <w:footnoteRef/>
      </w:r>
      <w:r w:rsidRPr="0047764D">
        <w:rPr>
          <w:bCs/>
        </w:rPr>
        <w:t>The Unit Titles Act 2008</w:t>
      </w:r>
    </w:p>
  </w:footnote>
  <w:footnote w:id="117">
    <w:p w:rsidR="00373E41" w:rsidRPr="0047764D" w:rsidRDefault="00373E41" w:rsidP="0047764D">
      <w:pPr>
        <w:pStyle w:val="FootnoteText"/>
      </w:pPr>
      <w:r w:rsidRPr="0047764D">
        <w:rPr>
          <w:rStyle w:val="FootnoteReference"/>
        </w:rPr>
        <w:footnoteRef/>
      </w:r>
      <w:proofErr w:type="gramStart"/>
      <w:r w:rsidRPr="0047764D">
        <w:t>National Housing Corporation and Ministry of Land, Housing and Human Settlements Development, Manual for the Operationalization of the Unit Titles Act, 2011.</w:t>
      </w:r>
      <w:proofErr w:type="gramEnd"/>
    </w:p>
    <w:p w:rsidR="00373E41" w:rsidRPr="0047764D" w:rsidRDefault="00373E41" w:rsidP="0047764D">
      <w:pPr>
        <w:pStyle w:val="FootnoteText"/>
      </w:pPr>
    </w:p>
  </w:footnote>
  <w:footnote w:id="118">
    <w:p w:rsidR="00373E41" w:rsidRPr="0047764D" w:rsidRDefault="00373E41" w:rsidP="0047764D">
      <w:pPr>
        <w:pStyle w:val="FootnoteText"/>
      </w:pPr>
      <w:r w:rsidRPr="0047764D">
        <w:rPr>
          <w:rStyle w:val="FootnoteReference"/>
        </w:rPr>
        <w:footnoteRef/>
      </w:r>
      <w:r w:rsidRPr="0047764D">
        <w:t>Tenga W. &amp;Mramba S. (2016) The Unit Titles Framework in Tanzania: An Introduction, presentation for TLS Law Lectures CLE, Arusha.</w:t>
      </w:r>
    </w:p>
    <w:p w:rsidR="00373E41" w:rsidRPr="0047764D" w:rsidRDefault="00373E41" w:rsidP="0047764D">
      <w:pPr>
        <w:pStyle w:val="FootnoteText"/>
      </w:pPr>
    </w:p>
  </w:footnote>
  <w:footnote w:id="119">
    <w:p w:rsidR="00373E41" w:rsidRPr="0047764D" w:rsidRDefault="00373E41" w:rsidP="0047764D">
      <w:pPr>
        <w:pStyle w:val="FootnoteText"/>
      </w:pPr>
      <w:r w:rsidRPr="0047764D">
        <w:rPr>
          <w:rStyle w:val="FootnoteReference"/>
        </w:rPr>
        <w:footnoteRef/>
      </w:r>
      <w:r w:rsidRPr="0047764D">
        <w:t>Tenga W. &amp;Mramba S. (2016) The Unit Titles Framework in Tanzania: An Introduction, presentation for TLS Law Lectures CLE, Arusha.</w:t>
      </w:r>
    </w:p>
    <w:p w:rsidR="00373E41" w:rsidRPr="0047764D" w:rsidRDefault="00373E41" w:rsidP="0047764D">
      <w:pPr>
        <w:pStyle w:val="FootnoteText"/>
      </w:pPr>
    </w:p>
  </w:footnote>
  <w:footnote w:id="120">
    <w:p w:rsidR="00373E41" w:rsidRPr="0047764D" w:rsidRDefault="00373E41" w:rsidP="0047764D">
      <w:pPr>
        <w:pStyle w:val="FootnoteText"/>
      </w:pPr>
      <w:r w:rsidRPr="0047764D">
        <w:rPr>
          <w:rStyle w:val="FootnoteReference"/>
        </w:rPr>
        <w:footnoteRef/>
      </w:r>
      <w:r w:rsidRPr="0047764D">
        <w:t>Tenga W. &amp;Mramba S. (2016) The Unit Titles Framework in Tanzania: An Introduction, presentation for TLS Law Lectures CLE, Arusha.</w:t>
      </w:r>
    </w:p>
    <w:p w:rsidR="00373E41" w:rsidRPr="0047764D" w:rsidRDefault="00373E41" w:rsidP="0047764D">
      <w:pPr>
        <w:pStyle w:val="FootnoteText"/>
      </w:pPr>
    </w:p>
  </w:footnote>
  <w:footnote w:id="121">
    <w:p w:rsidR="00373E41" w:rsidRPr="0047764D" w:rsidRDefault="00373E41" w:rsidP="0047764D">
      <w:pPr>
        <w:pStyle w:val="FootnoteText"/>
      </w:pPr>
      <w:r w:rsidRPr="0047764D">
        <w:rPr>
          <w:rStyle w:val="FootnoteReference"/>
        </w:rPr>
        <w:footnoteRef/>
      </w:r>
      <w:proofErr w:type="gramStart"/>
      <w:r w:rsidRPr="0047764D">
        <w:t>Makupa, E., &amp; Sanga, S. A. (2019).</w:t>
      </w:r>
      <w:proofErr w:type="gramEnd"/>
      <w:r w:rsidRPr="0047764D">
        <w:t xml:space="preserve"> </w:t>
      </w:r>
      <w:proofErr w:type="gramStart"/>
      <w:r w:rsidRPr="0047764D">
        <w:t>Deficiencies in Land Administration and its Implications on land Title Delivery in 8 Local Government Authorities of Dodoma Region in Tanzania.</w:t>
      </w:r>
      <w:proofErr w:type="gramEnd"/>
    </w:p>
    <w:p w:rsidR="00373E41" w:rsidRPr="0047764D" w:rsidRDefault="00373E41" w:rsidP="0047764D">
      <w:pPr>
        <w:pStyle w:val="FootnoteText"/>
      </w:pPr>
    </w:p>
  </w:footnote>
  <w:footnote w:id="122">
    <w:p w:rsidR="00373E41" w:rsidRPr="0047764D" w:rsidRDefault="00373E41" w:rsidP="0047764D">
      <w:pPr>
        <w:pStyle w:val="FootnoteText"/>
      </w:pPr>
      <w:r w:rsidRPr="0047764D">
        <w:rPr>
          <w:rStyle w:val="FootnoteReference"/>
        </w:rPr>
        <w:footnoteRef/>
      </w:r>
      <w:r w:rsidRPr="0047764D">
        <w:t>Martinez, B. (2017). Financial Hurdles in Shared Ownership: An Institutional Analysis of Unit Title Implementation. Journal of Real Estate Finance and Economics, 10(4), 511-529.</w:t>
      </w:r>
    </w:p>
    <w:p w:rsidR="00373E41" w:rsidRPr="0047764D" w:rsidRDefault="00373E41" w:rsidP="0047764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34581706"/>
      <w:docPartObj>
        <w:docPartGallery w:val="Page Numbers (Top of Page)"/>
        <w:docPartUnique/>
      </w:docPartObj>
    </w:sdtPr>
    <w:sdtEndPr>
      <w:rPr>
        <w:rStyle w:val="PageNumber"/>
      </w:rPr>
    </w:sdtEndPr>
    <w:sdtContent>
      <w:p w:rsidR="00373E41" w:rsidRDefault="00373E41" w:rsidP="00E85D4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37050148"/>
      <w:docPartObj>
        <w:docPartGallery w:val="Page Numbers (Top of Page)"/>
        <w:docPartUnique/>
      </w:docPartObj>
    </w:sdtPr>
    <w:sdtEndPr>
      <w:rPr>
        <w:rStyle w:val="PageNumber"/>
      </w:rPr>
    </w:sdtEndPr>
    <w:sdtContent>
      <w:p w:rsidR="00373E41" w:rsidRDefault="00373E41" w:rsidP="00E85D4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73E41" w:rsidRDefault="00373E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183457"/>
      <w:docPartObj>
        <w:docPartGallery w:val="Page Numbers (Top of Page)"/>
        <w:docPartUnique/>
      </w:docPartObj>
    </w:sdtPr>
    <w:sdtEndPr>
      <w:rPr>
        <w:noProof/>
      </w:rPr>
    </w:sdtEndPr>
    <w:sdtContent>
      <w:p w:rsidR="00373E41" w:rsidRDefault="00373E41" w:rsidP="00373E41">
        <w:pPr>
          <w:pStyle w:val="Header"/>
          <w:spacing w:before="0"/>
          <w:jc w:val="center"/>
        </w:pPr>
        <w:r>
          <w:fldChar w:fldCharType="begin"/>
        </w:r>
        <w:r>
          <w:instrText xml:space="preserve"> PAGE   \* MERGEFORMAT </w:instrText>
        </w:r>
        <w:r>
          <w:fldChar w:fldCharType="separate"/>
        </w:r>
        <w:r w:rsidR="00D52F61">
          <w:rPr>
            <w:noProof/>
          </w:rPr>
          <w:t>x</w:t>
        </w:r>
        <w:r>
          <w:rPr>
            <w:noProof/>
          </w:rPr>
          <w:fldChar w:fldCharType="end"/>
        </w:r>
      </w:p>
    </w:sdtContent>
  </w:sdt>
  <w:p w:rsidR="00373E41" w:rsidRDefault="00373E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13046"/>
      <w:docPartObj>
        <w:docPartGallery w:val="Page Numbers (Top of Page)"/>
        <w:docPartUnique/>
      </w:docPartObj>
    </w:sdtPr>
    <w:sdtEndPr>
      <w:rPr>
        <w:noProof/>
      </w:rPr>
    </w:sdtEndPr>
    <w:sdtContent>
      <w:p w:rsidR="00373E41" w:rsidRDefault="00373E41" w:rsidP="00373E41">
        <w:pPr>
          <w:pStyle w:val="Header"/>
          <w:spacing w:before="0"/>
          <w:jc w:val="center"/>
        </w:pPr>
        <w:r>
          <w:fldChar w:fldCharType="begin"/>
        </w:r>
        <w:r>
          <w:instrText xml:space="preserve"> PAGE   \* MERGEFORMAT </w:instrText>
        </w:r>
        <w:r>
          <w:fldChar w:fldCharType="separate"/>
        </w:r>
        <w:r w:rsidR="00D52F61">
          <w:rPr>
            <w:noProof/>
          </w:rPr>
          <w:t>1</w:t>
        </w:r>
        <w:r>
          <w:rPr>
            <w:noProof/>
          </w:rPr>
          <w:fldChar w:fldCharType="end"/>
        </w:r>
      </w:p>
    </w:sdtContent>
  </w:sdt>
  <w:p w:rsidR="00373E41" w:rsidRDefault="00373E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173C"/>
    <w:multiLevelType w:val="multilevel"/>
    <w:tmpl w:val="161EB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AF3E52"/>
    <w:multiLevelType w:val="hybridMultilevel"/>
    <w:tmpl w:val="F7808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73E11"/>
    <w:multiLevelType w:val="multilevel"/>
    <w:tmpl w:val="11C73E11"/>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5A0E91"/>
    <w:multiLevelType w:val="hybridMultilevel"/>
    <w:tmpl w:val="2BA22B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82CA7"/>
    <w:multiLevelType w:val="multilevel"/>
    <w:tmpl w:val="22A82CA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F4144B"/>
    <w:multiLevelType w:val="multilevel"/>
    <w:tmpl w:val="2AF4144B"/>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50B2F62"/>
    <w:multiLevelType w:val="hybridMultilevel"/>
    <w:tmpl w:val="8F9A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15F7E"/>
    <w:multiLevelType w:val="multilevel"/>
    <w:tmpl w:val="4420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7F0043"/>
    <w:multiLevelType w:val="hybridMultilevel"/>
    <w:tmpl w:val="F5B8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25437"/>
    <w:multiLevelType w:val="multilevel"/>
    <w:tmpl w:val="1ECA8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88250E"/>
    <w:multiLevelType w:val="multilevel"/>
    <w:tmpl w:val="82185612"/>
    <w:lvl w:ilvl="0">
      <w:start w:val="1"/>
      <w:numFmt w:val="lowerRoman"/>
      <w:lvlText w:val="%1."/>
      <w:lvlJc w:val="righ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86A2EE1"/>
    <w:multiLevelType w:val="hybridMultilevel"/>
    <w:tmpl w:val="7470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934C86"/>
    <w:multiLevelType w:val="multilevel"/>
    <w:tmpl w:val="DAB6004A"/>
    <w:lvl w:ilvl="0">
      <w:start w:val="1"/>
      <w:numFmt w:val="lowerRoman"/>
      <w:lvlText w:val="%1."/>
      <w:lvlJc w:val="righ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9A757F6"/>
    <w:multiLevelType w:val="multilevel"/>
    <w:tmpl w:val="68C23B4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7"/>
  </w:num>
  <w:num w:numId="7">
    <w:abstractNumId w:val="8"/>
  </w:num>
  <w:num w:numId="8">
    <w:abstractNumId w:val="6"/>
  </w:num>
  <w:num w:numId="9">
    <w:abstractNumId w:val="11"/>
  </w:num>
  <w:num w:numId="10">
    <w:abstractNumId w:val="1"/>
  </w:num>
  <w:num w:numId="11">
    <w:abstractNumId w:val="9"/>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TQwMAVCcxMLIxMLEyUdpeDU4uLM/DyQAuNaAJ9ayC4sAAAA"/>
  </w:docVars>
  <w:rsids>
    <w:rsidRoot w:val="000C3458"/>
    <w:rsid w:val="000019E5"/>
    <w:rsid w:val="000070E8"/>
    <w:rsid w:val="00014E9F"/>
    <w:rsid w:val="000159C8"/>
    <w:rsid w:val="00031980"/>
    <w:rsid w:val="000367FF"/>
    <w:rsid w:val="00037F09"/>
    <w:rsid w:val="00047413"/>
    <w:rsid w:val="000474C2"/>
    <w:rsid w:val="00052C7A"/>
    <w:rsid w:val="00052F29"/>
    <w:rsid w:val="000549C4"/>
    <w:rsid w:val="00054CB5"/>
    <w:rsid w:val="00056AEF"/>
    <w:rsid w:val="00057146"/>
    <w:rsid w:val="000601ED"/>
    <w:rsid w:val="00074A42"/>
    <w:rsid w:val="00075201"/>
    <w:rsid w:val="000804CB"/>
    <w:rsid w:val="000825AA"/>
    <w:rsid w:val="000844D4"/>
    <w:rsid w:val="000864A3"/>
    <w:rsid w:val="00096341"/>
    <w:rsid w:val="00096AA9"/>
    <w:rsid w:val="000A116C"/>
    <w:rsid w:val="000A4078"/>
    <w:rsid w:val="000A541F"/>
    <w:rsid w:val="000A567D"/>
    <w:rsid w:val="000A7EB5"/>
    <w:rsid w:val="000B726C"/>
    <w:rsid w:val="000C3458"/>
    <w:rsid w:val="000D1280"/>
    <w:rsid w:val="000D3A39"/>
    <w:rsid w:val="000D4DED"/>
    <w:rsid w:val="000D56EE"/>
    <w:rsid w:val="000E0EDA"/>
    <w:rsid w:val="000E4089"/>
    <w:rsid w:val="000E5060"/>
    <w:rsid w:val="000E5B09"/>
    <w:rsid w:val="000F16CF"/>
    <w:rsid w:val="000F193D"/>
    <w:rsid w:val="000F65B1"/>
    <w:rsid w:val="000F76A5"/>
    <w:rsid w:val="0010053B"/>
    <w:rsid w:val="00101CE5"/>
    <w:rsid w:val="0010612E"/>
    <w:rsid w:val="00114D12"/>
    <w:rsid w:val="001174A0"/>
    <w:rsid w:val="0012043C"/>
    <w:rsid w:val="001428BF"/>
    <w:rsid w:val="00144188"/>
    <w:rsid w:val="00156EEA"/>
    <w:rsid w:val="00163AF0"/>
    <w:rsid w:val="00171A46"/>
    <w:rsid w:val="00171C3F"/>
    <w:rsid w:val="00172679"/>
    <w:rsid w:val="00180739"/>
    <w:rsid w:val="00184177"/>
    <w:rsid w:val="00184A44"/>
    <w:rsid w:val="00191AA3"/>
    <w:rsid w:val="0019207A"/>
    <w:rsid w:val="001931D7"/>
    <w:rsid w:val="00195980"/>
    <w:rsid w:val="00195FDC"/>
    <w:rsid w:val="001A1CBE"/>
    <w:rsid w:val="001A61CD"/>
    <w:rsid w:val="001B380A"/>
    <w:rsid w:val="001C2F03"/>
    <w:rsid w:val="001C6270"/>
    <w:rsid w:val="001C706D"/>
    <w:rsid w:val="001C7788"/>
    <w:rsid w:val="001D0CF5"/>
    <w:rsid w:val="001D3B4E"/>
    <w:rsid w:val="001D55B3"/>
    <w:rsid w:val="001F1C10"/>
    <w:rsid w:val="001F2DB5"/>
    <w:rsid w:val="001F3E8F"/>
    <w:rsid w:val="00205C52"/>
    <w:rsid w:val="0020743E"/>
    <w:rsid w:val="00211087"/>
    <w:rsid w:val="00212AD6"/>
    <w:rsid w:val="0021320F"/>
    <w:rsid w:val="0022318A"/>
    <w:rsid w:val="00227AA5"/>
    <w:rsid w:val="0023265D"/>
    <w:rsid w:val="00234C7A"/>
    <w:rsid w:val="00235813"/>
    <w:rsid w:val="0023777A"/>
    <w:rsid w:val="002419A1"/>
    <w:rsid w:val="00241B5F"/>
    <w:rsid w:val="002460AE"/>
    <w:rsid w:val="002544D7"/>
    <w:rsid w:val="00257583"/>
    <w:rsid w:val="002577DA"/>
    <w:rsid w:val="002610D1"/>
    <w:rsid w:val="002758A6"/>
    <w:rsid w:val="00276590"/>
    <w:rsid w:val="00280D32"/>
    <w:rsid w:val="002A1E82"/>
    <w:rsid w:val="002A3564"/>
    <w:rsid w:val="002A4446"/>
    <w:rsid w:val="002A6F8E"/>
    <w:rsid w:val="002B0241"/>
    <w:rsid w:val="002C13FF"/>
    <w:rsid w:val="002C355C"/>
    <w:rsid w:val="002D2D11"/>
    <w:rsid w:val="002E525E"/>
    <w:rsid w:val="00314B8F"/>
    <w:rsid w:val="003163BD"/>
    <w:rsid w:val="003269DD"/>
    <w:rsid w:val="00327F05"/>
    <w:rsid w:val="00333952"/>
    <w:rsid w:val="0033516B"/>
    <w:rsid w:val="00342832"/>
    <w:rsid w:val="00344CA4"/>
    <w:rsid w:val="0034502F"/>
    <w:rsid w:val="00347AEF"/>
    <w:rsid w:val="00350310"/>
    <w:rsid w:val="00350992"/>
    <w:rsid w:val="003553D1"/>
    <w:rsid w:val="00355437"/>
    <w:rsid w:val="00356F6D"/>
    <w:rsid w:val="00360745"/>
    <w:rsid w:val="003661C2"/>
    <w:rsid w:val="003714E9"/>
    <w:rsid w:val="003717FB"/>
    <w:rsid w:val="00371B4D"/>
    <w:rsid w:val="00373BEF"/>
    <w:rsid w:val="00373E41"/>
    <w:rsid w:val="00375829"/>
    <w:rsid w:val="00376A58"/>
    <w:rsid w:val="0038439D"/>
    <w:rsid w:val="00385019"/>
    <w:rsid w:val="0038604B"/>
    <w:rsid w:val="00387A24"/>
    <w:rsid w:val="00393E24"/>
    <w:rsid w:val="00397D3F"/>
    <w:rsid w:val="00397E8A"/>
    <w:rsid w:val="003A2BD8"/>
    <w:rsid w:val="003B109B"/>
    <w:rsid w:val="003B3A8B"/>
    <w:rsid w:val="003B4FA0"/>
    <w:rsid w:val="003B6013"/>
    <w:rsid w:val="003C0D8A"/>
    <w:rsid w:val="003C23BF"/>
    <w:rsid w:val="003C2E8A"/>
    <w:rsid w:val="003C57DE"/>
    <w:rsid w:val="003D2850"/>
    <w:rsid w:val="003D30E2"/>
    <w:rsid w:val="003E1BC2"/>
    <w:rsid w:val="003E24D1"/>
    <w:rsid w:val="003E529C"/>
    <w:rsid w:val="003E6436"/>
    <w:rsid w:val="003E77EE"/>
    <w:rsid w:val="003F0317"/>
    <w:rsid w:val="003F1AFF"/>
    <w:rsid w:val="003F37E0"/>
    <w:rsid w:val="003F40F0"/>
    <w:rsid w:val="003F663A"/>
    <w:rsid w:val="00406762"/>
    <w:rsid w:val="0041641C"/>
    <w:rsid w:val="0041704A"/>
    <w:rsid w:val="004251CA"/>
    <w:rsid w:val="004273CD"/>
    <w:rsid w:val="00432CB1"/>
    <w:rsid w:val="004423ED"/>
    <w:rsid w:val="00443602"/>
    <w:rsid w:val="00443C26"/>
    <w:rsid w:val="00446BC6"/>
    <w:rsid w:val="00450096"/>
    <w:rsid w:val="004504BF"/>
    <w:rsid w:val="0046444B"/>
    <w:rsid w:val="004656B2"/>
    <w:rsid w:val="00470658"/>
    <w:rsid w:val="004769B2"/>
    <w:rsid w:val="0047764D"/>
    <w:rsid w:val="00480BCD"/>
    <w:rsid w:val="00481224"/>
    <w:rsid w:val="004818DC"/>
    <w:rsid w:val="0048527F"/>
    <w:rsid w:val="00486688"/>
    <w:rsid w:val="00491486"/>
    <w:rsid w:val="00493DC3"/>
    <w:rsid w:val="00494D2D"/>
    <w:rsid w:val="004A381E"/>
    <w:rsid w:val="004A6090"/>
    <w:rsid w:val="004A6C0A"/>
    <w:rsid w:val="004A7139"/>
    <w:rsid w:val="004B1553"/>
    <w:rsid w:val="004B3474"/>
    <w:rsid w:val="004B59FB"/>
    <w:rsid w:val="004C7598"/>
    <w:rsid w:val="004D0534"/>
    <w:rsid w:val="004E2F30"/>
    <w:rsid w:val="004E5B80"/>
    <w:rsid w:val="004E6051"/>
    <w:rsid w:val="004E653C"/>
    <w:rsid w:val="004E661D"/>
    <w:rsid w:val="004F793D"/>
    <w:rsid w:val="00500848"/>
    <w:rsid w:val="00503B8D"/>
    <w:rsid w:val="00513D80"/>
    <w:rsid w:val="00516361"/>
    <w:rsid w:val="00516EA0"/>
    <w:rsid w:val="00524B9E"/>
    <w:rsid w:val="00524FDB"/>
    <w:rsid w:val="00526AF8"/>
    <w:rsid w:val="0052706C"/>
    <w:rsid w:val="0053488E"/>
    <w:rsid w:val="00535738"/>
    <w:rsid w:val="00537221"/>
    <w:rsid w:val="00543075"/>
    <w:rsid w:val="00543C93"/>
    <w:rsid w:val="005520AD"/>
    <w:rsid w:val="00557B6A"/>
    <w:rsid w:val="0056555E"/>
    <w:rsid w:val="00575051"/>
    <w:rsid w:val="005867E7"/>
    <w:rsid w:val="005955EF"/>
    <w:rsid w:val="0059707A"/>
    <w:rsid w:val="005A171F"/>
    <w:rsid w:val="005A4D9A"/>
    <w:rsid w:val="005A61E4"/>
    <w:rsid w:val="005A67D9"/>
    <w:rsid w:val="005A6F81"/>
    <w:rsid w:val="005A74F9"/>
    <w:rsid w:val="005B10A1"/>
    <w:rsid w:val="005B2F9B"/>
    <w:rsid w:val="005B79AC"/>
    <w:rsid w:val="005C0604"/>
    <w:rsid w:val="005C138A"/>
    <w:rsid w:val="005C14F4"/>
    <w:rsid w:val="005D0854"/>
    <w:rsid w:val="005D2239"/>
    <w:rsid w:val="005E1317"/>
    <w:rsid w:val="005E218B"/>
    <w:rsid w:val="005E5DD5"/>
    <w:rsid w:val="005F0DAC"/>
    <w:rsid w:val="005F700C"/>
    <w:rsid w:val="005F72AB"/>
    <w:rsid w:val="00606213"/>
    <w:rsid w:val="006111AB"/>
    <w:rsid w:val="00614367"/>
    <w:rsid w:val="006164D5"/>
    <w:rsid w:val="00616FBE"/>
    <w:rsid w:val="00620EDB"/>
    <w:rsid w:val="00623300"/>
    <w:rsid w:val="006243E8"/>
    <w:rsid w:val="0062649A"/>
    <w:rsid w:val="00627301"/>
    <w:rsid w:val="00635998"/>
    <w:rsid w:val="006361FE"/>
    <w:rsid w:val="006376B2"/>
    <w:rsid w:val="00647612"/>
    <w:rsid w:val="006531DA"/>
    <w:rsid w:val="0065671E"/>
    <w:rsid w:val="00656CCF"/>
    <w:rsid w:val="00663C3D"/>
    <w:rsid w:val="00664417"/>
    <w:rsid w:val="00664F47"/>
    <w:rsid w:val="00676277"/>
    <w:rsid w:val="0067653C"/>
    <w:rsid w:val="00682752"/>
    <w:rsid w:val="00682B71"/>
    <w:rsid w:val="00683A13"/>
    <w:rsid w:val="00686830"/>
    <w:rsid w:val="00694E95"/>
    <w:rsid w:val="006A0F09"/>
    <w:rsid w:val="006A13F7"/>
    <w:rsid w:val="006A5B3B"/>
    <w:rsid w:val="006A64FB"/>
    <w:rsid w:val="006A6AB3"/>
    <w:rsid w:val="006B0203"/>
    <w:rsid w:val="006B3020"/>
    <w:rsid w:val="006B7FC7"/>
    <w:rsid w:val="006C2FCE"/>
    <w:rsid w:val="006D4983"/>
    <w:rsid w:val="006D56B8"/>
    <w:rsid w:val="006D636E"/>
    <w:rsid w:val="006E46D7"/>
    <w:rsid w:val="006E5635"/>
    <w:rsid w:val="0070111D"/>
    <w:rsid w:val="00705FAA"/>
    <w:rsid w:val="00722266"/>
    <w:rsid w:val="00726B74"/>
    <w:rsid w:val="00731433"/>
    <w:rsid w:val="00736D67"/>
    <w:rsid w:val="00741E4C"/>
    <w:rsid w:val="007428EF"/>
    <w:rsid w:val="00742EB2"/>
    <w:rsid w:val="00746B0C"/>
    <w:rsid w:val="00746F4A"/>
    <w:rsid w:val="0075021E"/>
    <w:rsid w:val="00760685"/>
    <w:rsid w:val="00761BE9"/>
    <w:rsid w:val="00766166"/>
    <w:rsid w:val="00770B4C"/>
    <w:rsid w:val="007716E1"/>
    <w:rsid w:val="00775046"/>
    <w:rsid w:val="007818BA"/>
    <w:rsid w:val="00783D0A"/>
    <w:rsid w:val="00785584"/>
    <w:rsid w:val="00794FE1"/>
    <w:rsid w:val="00797BE7"/>
    <w:rsid w:val="007A1031"/>
    <w:rsid w:val="007A29C6"/>
    <w:rsid w:val="007A4B87"/>
    <w:rsid w:val="007A73E2"/>
    <w:rsid w:val="007A75AF"/>
    <w:rsid w:val="007B115A"/>
    <w:rsid w:val="007B36F5"/>
    <w:rsid w:val="007B3EBE"/>
    <w:rsid w:val="007C0C16"/>
    <w:rsid w:val="007C3A41"/>
    <w:rsid w:val="007D3ADA"/>
    <w:rsid w:val="007D6342"/>
    <w:rsid w:val="007E0113"/>
    <w:rsid w:val="007F3BF7"/>
    <w:rsid w:val="007F41C8"/>
    <w:rsid w:val="00801695"/>
    <w:rsid w:val="00802807"/>
    <w:rsid w:val="00804ECF"/>
    <w:rsid w:val="008072ED"/>
    <w:rsid w:val="0081155D"/>
    <w:rsid w:val="0081377F"/>
    <w:rsid w:val="00815637"/>
    <w:rsid w:val="00821623"/>
    <w:rsid w:val="008248D1"/>
    <w:rsid w:val="008322F8"/>
    <w:rsid w:val="00833CC5"/>
    <w:rsid w:val="0084120A"/>
    <w:rsid w:val="00843142"/>
    <w:rsid w:val="00843B15"/>
    <w:rsid w:val="00846BCB"/>
    <w:rsid w:val="008505B9"/>
    <w:rsid w:val="0085250E"/>
    <w:rsid w:val="0086094F"/>
    <w:rsid w:val="008631EC"/>
    <w:rsid w:val="00864FD0"/>
    <w:rsid w:val="00875CAB"/>
    <w:rsid w:val="008802EC"/>
    <w:rsid w:val="00880DEA"/>
    <w:rsid w:val="0088384C"/>
    <w:rsid w:val="00884AFA"/>
    <w:rsid w:val="00895346"/>
    <w:rsid w:val="008A13E2"/>
    <w:rsid w:val="008A2794"/>
    <w:rsid w:val="008C0BDF"/>
    <w:rsid w:val="008C2452"/>
    <w:rsid w:val="008C4FD0"/>
    <w:rsid w:val="008C7209"/>
    <w:rsid w:val="008D1942"/>
    <w:rsid w:val="008D243D"/>
    <w:rsid w:val="008D44EF"/>
    <w:rsid w:val="008D479B"/>
    <w:rsid w:val="008D4814"/>
    <w:rsid w:val="008D5049"/>
    <w:rsid w:val="008E3E7A"/>
    <w:rsid w:val="008E5762"/>
    <w:rsid w:val="008E5E78"/>
    <w:rsid w:val="008E71CB"/>
    <w:rsid w:val="008F06A2"/>
    <w:rsid w:val="009069B2"/>
    <w:rsid w:val="00926B7C"/>
    <w:rsid w:val="00937DAA"/>
    <w:rsid w:val="0094045E"/>
    <w:rsid w:val="00944BEB"/>
    <w:rsid w:val="00946010"/>
    <w:rsid w:val="00946473"/>
    <w:rsid w:val="00951017"/>
    <w:rsid w:val="009569B9"/>
    <w:rsid w:val="009575D8"/>
    <w:rsid w:val="00960198"/>
    <w:rsid w:val="00967B0C"/>
    <w:rsid w:val="00970935"/>
    <w:rsid w:val="00974039"/>
    <w:rsid w:val="0098146A"/>
    <w:rsid w:val="00981AFE"/>
    <w:rsid w:val="00984CA3"/>
    <w:rsid w:val="00992DBA"/>
    <w:rsid w:val="00992EE2"/>
    <w:rsid w:val="00995CE8"/>
    <w:rsid w:val="009A0B09"/>
    <w:rsid w:val="009A2157"/>
    <w:rsid w:val="009A39E9"/>
    <w:rsid w:val="009A4F12"/>
    <w:rsid w:val="009A5372"/>
    <w:rsid w:val="009A62EF"/>
    <w:rsid w:val="009A7215"/>
    <w:rsid w:val="009B37E1"/>
    <w:rsid w:val="009B4D23"/>
    <w:rsid w:val="009C24DF"/>
    <w:rsid w:val="009C3A53"/>
    <w:rsid w:val="009E34FB"/>
    <w:rsid w:val="009E553B"/>
    <w:rsid w:val="009E7CDF"/>
    <w:rsid w:val="009F2A99"/>
    <w:rsid w:val="009F6FB1"/>
    <w:rsid w:val="00A019E7"/>
    <w:rsid w:val="00A01B90"/>
    <w:rsid w:val="00A01F23"/>
    <w:rsid w:val="00A03F73"/>
    <w:rsid w:val="00A13155"/>
    <w:rsid w:val="00A14933"/>
    <w:rsid w:val="00A21794"/>
    <w:rsid w:val="00A23FD9"/>
    <w:rsid w:val="00A36360"/>
    <w:rsid w:val="00A417BA"/>
    <w:rsid w:val="00A42491"/>
    <w:rsid w:val="00A42E88"/>
    <w:rsid w:val="00A45134"/>
    <w:rsid w:val="00A452F9"/>
    <w:rsid w:val="00A508FF"/>
    <w:rsid w:val="00A52F8C"/>
    <w:rsid w:val="00A578A5"/>
    <w:rsid w:val="00A579D0"/>
    <w:rsid w:val="00A627CB"/>
    <w:rsid w:val="00A671C5"/>
    <w:rsid w:val="00A67FAE"/>
    <w:rsid w:val="00A75305"/>
    <w:rsid w:val="00A83CBD"/>
    <w:rsid w:val="00A83EF7"/>
    <w:rsid w:val="00A83F89"/>
    <w:rsid w:val="00A86DDD"/>
    <w:rsid w:val="00A91C36"/>
    <w:rsid w:val="00A92AF5"/>
    <w:rsid w:val="00AA2498"/>
    <w:rsid w:val="00AA6C13"/>
    <w:rsid w:val="00AB460C"/>
    <w:rsid w:val="00AC26E3"/>
    <w:rsid w:val="00AC49EB"/>
    <w:rsid w:val="00AC62BC"/>
    <w:rsid w:val="00AC7429"/>
    <w:rsid w:val="00AD07B5"/>
    <w:rsid w:val="00AE0A82"/>
    <w:rsid w:val="00AE67ED"/>
    <w:rsid w:val="00AE7120"/>
    <w:rsid w:val="00AE7580"/>
    <w:rsid w:val="00AF37E3"/>
    <w:rsid w:val="00AF79CB"/>
    <w:rsid w:val="00B00107"/>
    <w:rsid w:val="00B01462"/>
    <w:rsid w:val="00B047B9"/>
    <w:rsid w:val="00B050A3"/>
    <w:rsid w:val="00B05479"/>
    <w:rsid w:val="00B11161"/>
    <w:rsid w:val="00B12586"/>
    <w:rsid w:val="00B13AF9"/>
    <w:rsid w:val="00B15732"/>
    <w:rsid w:val="00B221C2"/>
    <w:rsid w:val="00B30C67"/>
    <w:rsid w:val="00B32C4D"/>
    <w:rsid w:val="00B33427"/>
    <w:rsid w:val="00B37152"/>
    <w:rsid w:val="00B3737F"/>
    <w:rsid w:val="00B43C00"/>
    <w:rsid w:val="00B45CA9"/>
    <w:rsid w:val="00B460BA"/>
    <w:rsid w:val="00B46E0D"/>
    <w:rsid w:val="00B50EA6"/>
    <w:rsid w:val="00B5232D"/>
    <w:rsid w:val="00B6002F"/>
    <w:rsid w:val="00B61E3D"/>
    <w:rsid w:val="00B71437"/>
    <w:rsid w:val="00B71621"/>
    <w:rsid w:val="00B717E4"/>
    <w:rsid w:val="00B80D88"/>
    <w:rsid w:val="00B84E53"/>
    <w:rsid w:val="00B8606E"/>
    <w:rsid w:val="00B8705D"/>
    <w:rsid w:val="00B87A2F"/>
    <w:rsid w:val="00B900F0"/>
    <w:rsid w:val="00B92C62"/>
    <w:rsid w:val="00B96FC7"/>
    <w:rsid w:val="00BA1165"/>
    <w:rsid w:val="00BA2AD6"/>
    <w:rsid w:val="00BA5C3D"/>
    <w:rsid w:val="00BA6A8B"/>
    <w:rsid w:val="00BB2600"/>
    <w:rsid w:val="00BC14BF"/>
    <w:rsid w:val="00BC3782"/>
    <w:rsid w:val="00BD2E8E"/>
    <w:rsid w:val="00BD7EE9"/>
    <w:rsid w:val="00BE3A40"/>
    <w:rsid w:val="00BE6708"/>
    <w:rsid w:val="00BF48B2"/>
    <w:rsid w:val="00BF794A"/>
    <w:rsid w:val="00C01A0B"/>
    <w:rsid w:val="00C03B37"/>
    <w:rsid w:val="00C05221"/>
    <w:rsid w:val="00C12CB1"/>
    <w:rsid w:val="00C1621A"/>
    <w:rsid w:val="00C22B79"/>
    <w:rsid w:val="00C25800"/>
    <w:rsid w:val="00C267C7"/>
    <w:rsid w:val="00C31F2B"/>
    <w:rsid w:val="00C35361"/>
    <w:rsid w:val="00C37417"/>
    <w:rsid w:val="00C41EC1"/>
    <w:rsid w:val="00C42424"/>
    <w:rsid w:val="00C45A2B"/>
    <w:rsid w:val="00C45B16"/>
    <w:rsid w:val="00C4734F"/>
    <w:rsid w:val="00C55490"/>
    <w:rsid w:val="00C60F6A"/>
    <w:rsid w:val="00C641C3"/>
    <w:rsid w:val="00C66629"/>
    <w:rsid w:val="00C71374"/>
    <w:rsid w:val="00C715AF"/>
    <w:rsid w:val="00C75102"/>
    <w:rsid w:val="00C77870"/>
    <w:rsid w:val="00C80BD6"/>
    <w:rsid w:val="00C84A23"/>
    <w:rsid w:val="00C85A9A"/>
    <w:rsid w:val="00C876A1"/>
    <w:rsid w:val="00C87A19"/>
    <w:rsid w:val="00C93493"/>
    <w:rsid w:val="00C95A7E"/>
    <w:rsid w:val="00CA1A04"/>
    <w:rsid w:val="00CA2617"/>
    <w:rsid w:val="00CA4906"/>
    <w:rsid w:val="00CA5938"/>
    <w:rsid w:val="00CA6697"/>
    <w:rsid w:val="00CB4C12"/>
    <w:rsid w:val="00CB4DA4"/>
    <w:rsid w:val="00CC4DAE"/>
    <w:rsid w:val="00CD2550"/>
    <w:rsid w:val="00CD2927"/>
    <w:rsid w:val="00CD5414"/>
    <w:rsid w:val="00CD6779"/>
    <w:rsid w:val="00CD6A67"/>
    <w:rsid w:val="00CD7979"/>
    <w:rsid w:val="00CD7BF2"/>
    <w:rsid w:val="00CE1A5A"/>
    <w:rsid w:val="00CE38FA"/>
    <w:rsid w:val="00CE3B78"/>
    <w:rsid w:val="00CE4B5A"/>
    <w:rsid w:val="00CE5104"/>
    <w:rsid w:val="00CF4FD0"/>
    <w:rsid w:val="00CF703E"/>
    <w:rsid w:val="00D05AB7"/>
    <w:rsid w:val="00D11A3C"/>
    <w:rsid w:val="00D16D7A"/>
    <w:rsid w:val="00D3444F"/>
    <w:rsid w:val="00D3582B"/>
    <w:rsid w:val="00D3659F"/>
    <w:rsid w:val="00D37FD0"/>
    <w:rsid w:val="00D42713"/>
    <w:rsid w:val="00D500B8"/>
    <w:rsid w:val="00D51ADE"/>
    <w:rsid w:val="00D52F61"/>
    <w:rsid w:val="00D5343A"/>
    <w:rsid w:val="00D653C5"/>
    <w:rsid w:val="00D7147E"/>
    <w:rsid w:val="00D72806"/>
    <w:rsid w:val="00D73627"/>
    <w:rsid w:val="00D76D8E"/>
    <w:rsid w:val="00D77196"/>
    <w:rsid w:val="00D77A16"/>
    <w:rsid w:val="00D8643A"/>
    <w:rsid w:val="00D86F24"/>
    <w:rsid w:val="00D902A3"/>
    <w:rsid w:val="00D91853"/>
    <w:rsid w:val="00D9351D"/>
    <w:rsid w:val="00D9456B"/>
    <w:rsid w:val="00DA07C1"/>
    <w:rsid w:val="00DA301C"/>
    <w:rsid w:val="00DA3688"/>
    <w:rsid w:val="00DB3334"/>
    <w:rsid w:val="00DB4490"/>
    <w:rsid w:val="00DB6574"/>
    <w:rsid w:val="00DB6D51"/>
    <w:rsid w:val="00DC075C"/>
    <w:rsid w:val="00DC24F9"/>
    <w:rsid w:val="00DC36F1"/>
    <w:rsid w:val="00DD4021"/>
    <w:rsid w:val="00DD77A7"/>
    <w:rsid w:val="00DE2FF2"/>
    <w:rsid w:val="00DE359F"/>
    <w:rsid w:val="00DE7BC7"/>
    <w:rsid w:val="00DF129D"/>
    <w:rsid w:val="00DF1FFE"/>
    <w:rsid w:val="00DF2E06"/>
    <w:rsid w:val="00DF7E53"/>
    <w:rsid w:val="00E012EB"/>
    <w:rsid w:val="00E036AE"/>
    <w:rsid w:val="00E107FC"/>
    <w:rsid w:val="00E171EF"/>
    <w:rsid w:val="00E17A1E"/>
    <w:rsid w:val="00E21055"/>
    <w:rsid w:val="00E27363"/>
    <w:rsid w:val="00E30BF9"/>
    <w:rsid w:val="00E34EBD"/>
    <w:rsid w:val="00E350A0"/>
    <w:rsid w:val="00E3660C"/>
    <w:rsid w:val="00E368AD"/>
    <w:rsid w:val="00E406A3"/>
    <w:rsid w:val="00E4700F"/>
    <w:rsid w:val="00E50083"/>
    <w:rsid w:val="00E51AC2"/>
    <w:rsid w:val="00E60033"/>
    <w:rsid w:val="00E61F5D"/>
    <w:rsid w:val="00E6252B"/>
    <w:rsid w:val="00E71388"/>
    <w:rsid w:val="00E73CAF"/>
    <w:rsid w:val="00E8390C"/>
    <w:rsid w:val="00E84485"/>
    <w:rsid w:val="00E85D44"/>
    <w:rsid w:val="00E876A9"/>
    <w:rsid w:val="00E91EF6"/>
    <w:rsid w:val="00EA4315"/>
    <w:rsid w:val="00EB1C78"/>
    <w:rsid w:val="00EB6F86"/>
    <w:rsid w:val="00EB7223"/>
    <w:rsid w:val="00ED1B52"/>
    <w:rsid w:val="00ED6D10"/>
    <w:rsid w:val="00EE0A90"/>
    <w:rsid w:val="00EE5A27"/>
    <w:rsid w:val="00EE6C21"/>
    <w:rsid w:val="00EE773F"/>
    <w:rsid w:val="00EF22B1"/>
    <w:rsid w:val="00EF4C73"/>
    <w:rsid w:val="00F125E0"/>
    <w:rsid w:val="00F15CB6"/>
    <w:rsid w:val="00F23831"/>
    <w:rsid w:val="00F2750E"/>
    <w:rsid w:val="00F323D2"/>
    <w:rsid w:val="00F37690"/>
    <w:rsid w:val="00F40754"/>
    <w:rsid w:val="00F43473"/>
    <w:rsid w:val="00F50240"/>
    <w:rsid w:val="00F51577"/>
    <w:rsid w:val="00F51A28"/>
    <w:rsid w:val="00F55423"/>
    <w:rsid w:val="00F6289D"/>
    <w:rsid w:val="00F63AA5"/>
    <w:rsid w:val="00F65162"/>
    <w:rsid w:val="00F70A06"/>
    <w:rsid w:val="00F75310"/>
    <w:rsid w:val="00F755D5"/>
    <w:rsid w:val="00F763D2"/>
    <w:rsid w:val="00F80640"/>
    <w:rsid w:val="00F8095A"/>
    <w:rsid w:val="00F86EB1"/>
    <w:rsid w:val="00F903B2"/>
    <w:rsid w:val="00F96A04"/>
    <w:rsid w:val="00FA3A00"/>
    <w:rsid w:val="00FA623C"/>
    <w:rsid w:val="00FA6B70"/>
    <w:rsid w:val="00FA7F10"/>
    <w:rsid w:val="00FB0E29"/>
    <w:rsid w:val="00FB116B"/>
    <w:rsid w:val="00FB7819"/>
    <w:rsid w:val="00FB7952"/>
    <w:rsid w:val="00FC2ABD"/>
    <w:rsid w:val="00FC2E6B"/>
    <w:rsid w:val="00FC7D98"/>
    <w:rsid w:val="00FD1BFE"/>
    <w:rsid w:val="00FD3AD2"/>
    <w:rsid w:val="00FD5BE4"/>
    <w:rsid w:val="00FE1AE2"/>
    <w:rsid w:val="00FE1EE0"/>
    <w:rsid w:val="00FE2C06"/>
    <w:rsid w:val="00FE3E33"/>
    <w:rsid w:val="00FE5280"/>
    <w:rsid w:val="00FE6D3F"/>
    <w:rsid w:val="00FF1BEB"/>
    <w:rsid w:val="00FF204F"/>
    <w:rsid w:val="00FF3A22"/>
    <w:rsid w:val="00FF3BA6"/>
    <w:rsid w:val="0FD50E64"/>
    <w:rsid w:val="74146D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qFormat="1"/>
    <w:lsdException w:name="header" w:qFormat="1"/>
    <w:lsdException w:name="footer" w:semiHidden="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C7"/>
    <w:pPr>
      <w:spacing w:before="240" w:after="240" w:line="48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73CAF"/>
    <w:pPr>
      <w:keepNext/>
      <w:keepLines/>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E73CAF"/>
    <w:pPr>
      <w:keepNext/>
      <w:keepLines/>
      <w:jc w:val="left"/>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46444B"/>
    <w:pPr>
      <w:keepNext/>
      <w:keepLines/>
      <w:jc w:val="left"/>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A52F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AF"/>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73CA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46444B"/>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A52F8C"/>
    <w:rPr>
      <w:rFonts w:asciiTheme="majorHAnsi" w:eastAsiaTheme="majorEastAsia" w:hAnsiTheme="majorHAnsi" w:cstheme="majorBidi"/>
      <w:i/>
      <w:iCs/>
      <w:color w:val="365F91" w:themeColor="accent1" w:themeShade="BF"/>
      <w:sz w:val="24"/>
      <w:szCs w:val="24"/>
    </w:rPr>
  </w:style>
  <w:style w:type="paragraph" w:styleId="BalloonText">
    <w:name w:val="Balloon Text"/>
    <w:basedOn w:val="Normal"/>
    <w:link w:val="BalloonTextChar"/>
    <w:uiPriority w:val="99"/>
    <w:semiHidden/>
    <w:unhideWhenUsed/>
    <w:rsid w:val="00B9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B96FC7"/>
    <w:rPr>
      <w:rFonts w:ascii="Tahoma" w:hAnsi="Tahoma" w:cs="Tahoma"/>
      <w:sz w:val="16"/>
      <w:szCs w:val="16"/>
    </w:rPr>
  </w:style>
  <w:style w:type="character" w:styleId="CommentReference">
    <w:name w:val="annotation reference"/>
    <w:basedOn w:val="DefaultParagraphFont"/>
    <w:uiPriority w:val="99"/>
    <w:semiHidden/>
    <w:unhideWhenUsed/>
    <w:rsid w:val="00B96FC7"/>
    <w:rPr>
      <w:sz w:val="16"/>
      <w:szCs w:val="16"/>
    </w:rPr>
  </w:style>
  <w:style w:type="paragraph" w:styleId="CommentText">
    <w:name w:val="annotation text"/>
    <w:basedOn w:val="Normal"/>
    <w:link w:val="CommentTextChar"/>
    <w:uiPriority w:val="99"/>
    <w:semiHidden/>
    <w:unhideWhenUsed/>
    <w:qFormat/>
    <w:rsid w:val="00B96FC7"/>
    <w:pPr>
      <w:spacing w:line="240" w:lineRule="auto"/>
    </w:pPr>
    <w:rPr>
      <w:sz w:val="20"/>
      <w:szCs w:val="20"/>
    </w:rPr>
  </w:style>
  <w:style w:type="character" w:customStyle="1" w:styleId="CommentTextChar">
    <w:name w:val="Comment Text Char"/>
    <w:basedOn w:val="DefaultParagraphFont"/>
    <w:link w:val="CommentText"/>
    <w:uiPriority w:val="99"/>
    <w:semiHidden/>
    <w:rsid w:val="00B96FC7"/>
    <w:rPr>
      <w:sz w:val="20"/>
      <w:szCs w:val="20"/>
    </w:rPr>
  </w:style>
  <w:style w:type="paragraph" w:styleId="CommentSubject">
    <w:name w:val="annotation subject"/>
    <w:basedOn w:val="CommentText"/>
    <w:next w:val="CommentText"/>
    <w:link w:val="CommentSubjectChar"/>
    <w:uiPriority w:val="99"/>
    <w:semiHidden/>
    <w:unhideWhenUsed/>
    <w:rsid w:val="00B96FC7"/>
    <w:rPr>
      <w:b/>
      <w:bCs/>
    </w:rPr>
  </w:style>
  <w:style w:type="character" w:customStyle="1" w:styleId="CommentSubjectChar">
    <w:name w:val="Comment Subject Char"/>
    <w:basedOn w:val="CommentTextChar"/>
    <w:link w:val="CommentSubject"/>
    <w:uiPriority w:val="99"/>
    <w:semiHidden/>
    <w:rsid w:val="00B96FC7"/>
    <w:rPr>
      <w:b/>
      <w:bCs/>
      <w:sz w:val="20"/>
      <w:szCs w:val="20"/>
    </w:rPr>
  </w:style>
  <w:style w:type="paragraph" w:styleId="Footer">
    <w:name w:val="footer"/>
    <w:basedOn w:val="Normal"/>
    <w:link w:val="FooterChar"/>
    <w:uiPriority w:val="99"/>
    <w:unhideWhenUsed/>
    <w:rsid w:val="00B9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FC7"/>
  </w:style>
  <w:style w:type="character" w:styleId="FootnoteReference">
    <w:name w:val="footnote reference"/>
    <w:basedOn w:val="DefaultParagraphFont"/>
    <w:uiPriority w:val="99"/>
    <w:semiHidden/>
    <w:unhideWhenUsed/>
    <w:qFormat/>
    <w:rsid w:val="00B96FC7"/>
    <w:rPr>
      <w:vertAlign w:val="superscript"/>
    </w:rPr>
  </w:style>
  <w:style w:type="paragraph" w:styleId="FootnoteText">
    <w:name w:val="footnote text"/>
    <w:basedOn w:val="Normal"/>
    <w:link w:val="FootnoteTextChar"/>
    <w:uiPriority w:val="99"/>
    <w:unhideWhenUsed/>
    <w:rsid w:val="00B96FC7"/>
    <w:pPr>
      <w:spacing w:after="0" w:line="240" w:lineRule="auto"/>
    </w:pPr>
    <w:rPr>
      <w:sz w:val="20"/>
      <w:szCs w:val="20"/>
    </w:rPr>
  </w:style>
  <w:style w:type="character" w:customStyle="1" w:styleId="FootnoteTextChar">
    <w:name w:val="Footnote Text Char"/>
    <w:basedOn w:val="DefaultParagraphFont"/>
    <w:link w:val="FootnoteText"/>
    <w:uiPriority w:val="99"/>
    <w:rsid w:val="00B96FC7"/>
    <w:rPr>
      <w:sz w:val="20"/>
      <w:szCs w:val="20"/>
    </w:rPr>
  </w:style>
  <w:style w:type="paragraph" w:styleId="Header">
    <w:name w:val="header"/>
    <w:basedOn w:val="Normal"/>
    <w:link w:val="HeaderChar"/>
    <w:uiPriority w:val="99"/>
    <w:unhideWhenUsed/>
    <w:qFormat/>
    <w:rsid w:val="00B96FC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96FC7"/>
  </w:style>
  <w:style w:type="character" w:styleId="Hyperlink">
    <w:name w:val="Hyperlink"/>
    <w:basedOn w:val="DefaultParagraphFont"/>
    <w:uiPriority w:val="99"/>
    <w:unhideWhenUsed/>
    <w:qFormat/>
    <w:rsid w:val="00B96FC7"/>
    <w:rPr>
      <w:color w:val="0000FF" w:themeColor="hyperlink"/>
      <w:u w:val="single"/>
    </w:rPr>
  </w:style>
  <w:style w:type="paragraph" w:styleId="NormalWeb">
    <w:name w:val="Normal (Web)"/>
    <w:basedOn w:val="Normal"/>
    <w:uiPriority w:val="99"/>
    <w:unhideWhenUsed/>
    <w:rsid w:val="00B96FC7"/>
  </w:style>
  <w:style w:type="paragraph" w:styleId="ListParagraph">
    <w:name w:val="List Paragraph"/>
    <w:basedOn w:val="Normal"/>
    <w:uiPriority w:val="34"/>
    <w:qFormat/>
    <w:rsid w:val="00B96FC7"/>
    <w:pPr>
      <w:ind w:left="720"/>
      <w:contextualSpacing/>
    </w:pPr>
  </w:style>
  <w:style w:type="paragraph" w:styleId="NoSpacing">
    <w:name w:val="No Spacing"/>
    <w:link w:val="NoSpacingChar"/>
    <w:uiPriority w:val="1"/>
    <w:qFormat/>
    <w:rsid w:val="00B96FC7"/>
    <w:pPr>
      <w:spacing w:before="240"/>
      <w:jc w:val="both"/>
    </w:pPr>
    <w:rPr>
      <w:rFonts w:eastAsiaTheme="minorEastAsia"/>
      <w:sz w:val="22"/>
      <w:szCs w:val="22"/>
    </w:rPr>
  </w:style>
  <w:style w:type="character" w:customStyle="1" w:styleId="NoSpacingChar">
    <w:name w:val="No Spacing Char"/>
    <w:basedOn w:val="DefaultParagraphFont"/>
    <w:link w:val="NoSpacing"/>
    <w:uiPriority w:val="1"/>
    <w:rsid w:val="00B96FC7"/>
    <w:rPr>
      <w:rFonts w:eastAsiaTheme="minorEastAsia"/>
      <w:kern w:val="0"/>
    </w:rPr>
  </w:style>
  <w:style w:type="paragraph" w:customStyle="1" w:styleId="Revision1">
    <w:name w:val="Revision1"/>
    <w:hidden/>
    <w:uiPriority w:val="99"/>
    <w:semiHidden/>
    <w:qFormat/>
    <w:rsid w:val="00B96FC7"/>
    <w:pPr>
      <w:spacing w:before="240"/>
      <w:jc w:val="both"/>
    </w:pPr>
    <w:rPr>
      <w:kern w:val="2"/>
      <w:sz w:val="22"/>
      <w:szCs w:val="22"/>
    </w:rPr>
  </w:style>
  <w:style w:type="character" w:customStyle="1" w:styleId="UnresolvedMention1">
    <w:name w:val="Unresolved Mention1"/>
    <w:basedOn w:val="DefaultParagraphFont"/>
    <w:uiPriority w:val="99"/>
    <w:semiHidden/>
    <w:unhideWhenUsed/>
    <w:qFormat/>
    <w:rsid w:val="00B96FC7"/>
    <w:rPr>
      <w:color w:val="605E5C"/>
      <w:shd w:val="clear" w:color="auto" w:fill="E1DFDD"/>
    </w:rPr>
  </w:style>
  <w:style w:type="character" w:customStyle="1" w:styleId="UnresolvedMention2">
    <w:name w:val="Unresolved Mention2"/>
    <w:basedOn w:val="DefaultParagraphFont"/>
    <w:uiPriority w:val="99"/>
    <w:semiHidden/>
    <w:unhideWhenUsed/>
    <w:qFormat/>
    <w:rsid w:val="00B96FC7"/>
    <w:rPr>
      <w:color w:val="605E5C"/>
      <w:shd w:val="clear" w:color="auto" w:fill="E1DFDD"/>
    </w:rPr>
  </w:style>
  <w:style w:type="paragraph" w:styleId="TOC1">
    <w:name w:val="toc 1"/>
    <w:basedOn w:val="Normal"/>
    <w:next w:val="Normal"/>
    <w:autoRedefine/>
    <w:uiPriority w:val="39"/>
    <w:unhideWhenUsed/>
    <w:rsid w:val="002758A6"/>
    <w:pPr>
      <w:tabs>
        <w:tab w:val="right" w:leader="dot" w:pos="8211"/>
      </w:tabs>
      <w:spacing w:before="120" w:after="120" w:line="360" w:lineRule="auto"/>
    </w:pPr>
    <w:rPr>
      <w:b/>
      <w:noProof/>
    </w:rPr>
  </w:style>
  <w:style w:type="character" w:styleId="Emphasis">
    <w:name w:val="Emphasis"/>
    <w:basedOn w:val="DefaultParagraphFont"/>
    <w:uiPriority w:val="20"/>
    <w:qFormat/>
    <w:rsid w:val="00EB1C78"/>
    <w:rPr>
      <w:i/>
      <w:iCs/>
    </w:rPr>
  </w:style>
  <w:style w:type="character" w:styleId="Strong">
    <w:name w:val="Strong"/>
    <w:basedOn w:val="DefaultParagraphFont"/>
    <w:uiPriority w:val="22"/>
    <w:qFormat/>
    <w:rsid w:val="00A52F8C"/>
    <w:rPr>
      <w:b/>
      <w:bCs/>
    </w:rPr>
  </w:style>
  <w:style w:type="paragraph" w:styleId="Caption">
    <w:name w:val="caption"/>
    <w:basedOn w:val="Normal"/>
    <w:next w:val="Normal"/>
    <w:qFormat/>
    <w:rsid w:val="00373BEF"/>
    <w:pPr>
      <w:spacing w:before="0" w:after="0" w:line="240" w:lineRule="auto"/>
      <w:jc w:val="left"/>
    </w:pPr>
    <w:rPr>
      <w:b/>
      <w:bCs/>
      <w:sz w:val="20"/>
      <w:szCs w:val="20"/>
      <w:lang w:val="en-GB"/>
    </w:rPr>
  </w:style>
  <w:style w:type="character" w:customStyle="1" w:styleId="overflow-hidden">
    <w:name w:val="overflow-hidden"/>
    <w:basedOn w:val="DefaultParagraphFont"/>
    <w:rsid w:val="007A1031"/>
  </w:style>
  <w:style w:type="paragraph" w:styleId="z-TopofForm">
    <w:name w:val="HTML Top of Form"/>
    <w:basedOn w:val="Normal"/>
    <w:next w:val="Normal"/>
    <w:link w:val="z-TopofFormChar"/>
    <w:hidden/>
    <w:uiPriority w:val="99"/>
    <w:semiHidden/>
    <w:unhideWhenUsed/>
    <w:rsid w:val="007A1031"/>
    <w:pPr>
      <w:pBdr>
        <w:bottom w:val="single" w:sz="6" w:space="1" w:color="auto"/>
      </w:pBdr>
      <w:spacing w:before="0"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A1031"/>
    <w:rPr>
      <w:rFonts w:ascii="Arial" w:eastAsia="Times New Roman" w:hAnsi="Arial" w:cs="Arial"/>
      <w:vanish/>
      <w:sz w:val="16"/>
      <w:szCs w:val="16"/>
    </w:rPr>
  </w:style>
  <w:style w:type="paragraph" w:customStyle="1" w:styleId="placeholder">
    <w:name w:val="placeholder"/>
    <w:basedOn w:val="Normal"/>
    <w:rsid w:val="007A1031"/>
    <w:pPr>
      <w:spacing w:before="100" w:beforeAutospacing="1" w:after="100" w:afterAutospacing="1" w:line="240" w:lineRule="auto"/>
      <w:jc w:val="left"/>
    </w:pPr>
  </w:style>
  <w:style w:type="character" w:customStyle="1" w:styleId="pointer-events-none">
    <w:name w:val="pointer-events-none"/>
    <w:basedOn w:val="DefaultParagraphFont"/>
    <w:rsid w:val="007A1031"/>
  </w:style>
  <w:style w:type="paragraph" w:styleId="z-BottomofForm">
    <w:name w:val="HTML Bottom of Form"/>
    <w:basedOn w:val="Normal"/>
    <w:next w:val="Normal"/>
    <w:link w:val="z-BottomofFormChar"/>
    <w:hidden/>
    <w:uiPriority w:val="99"/>
    <w:semiHidden/>
    <w:unhideWhenUsed/>
    <w:rsid w:val="007A1031"/>
    <w:pPr>
      <w:pBdr>
        <w:top w:val="single" w:sz="6" w:space="1" w:color="auto"/>
      </w:pBdr>
      <w:spacing w:before="0"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A1031"/>
    <w:rPr>
      <w:rFonts w:ascii="Arial" w:eastAsia="Times New Roman" w:hAnsi="Arial" w:cs="Arial"/>
      <w:vanish/>
      <w:sz w:val="16"/>
      <w:szCs w:val="16"/>
    </w:rPr>
  </w:style>
  <w:style w:type="character" w:customStyle="1" w:styleId="UnresolvedMention3">
    <w:name w:val="Unresolved Mention3"/>
    <w:basedOn w:val="DefaultParagraphFont"/>
    <w:uiPriority w:val="99"/>
    <w:semiHidden/>
    <w:unhideWhenUsed/>
    <w:rsid w:val="00C95A7E"/>
    <w:rPr>
      <w:color w:val="605E5C"/>
      <w:shd w:val="clear" w:color="auto" w:fill="E1DFDD"/>
    </w:rPr>
  </w:style>
  <w:style w:type="character" w:styleId="PageNumber">
    <w:name w:val="page number"/>
    <w:basedOn w:val="DefaultParagraphFont"/>
    <w:uiPriority w:val="99"/>
    <w:semiHidden/>
    <w:unhideWhenUsed/>
    <w:rsid w:val="00E73CAF"/>
  </w:style>
  <w:style w:type="paragraph" w:styleId="TOC2">
    <w:name w:val="toc 2"/>
    <w:basedOn w:val="Normal"/>
    <w:next w:val="Normal"/>
    <w:autoRedefine/>
    <w:uiPriority w:val="39"/>
    <w:unhideWhenUsed/>
    <w:rsid w:val="00FB7819"/>
    <w:pPr>
      <w:spacing w:after="100"/>
      <w:ind w:left="240"/>
    </w:pPr>
  </w:style>
  <w:style w:type="paragraph" w:styleId="TOC3">
    <w:name w:val="toc 3"/>
    <w:basedOn w:val="Normal"/>
    <w:next w:val="Normal"/>
    <w:autoRedefine/>
    <w:uiPriority w:val="39"/>
    <w:unhideWhenUsed/>
    <w:rsid w:val="00FB7819"/>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qFormat="1"/>
    <w:lsdException w:name="header" w:qFormat="1"/>
    <w:lsdException w:name="footer" w:semiHidden="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C7"/>
    <w:pPr>
      <w:spacing w:before="240" w:after="240" w:line="48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73CAF"/>
    <w:pPr>
      <w:keepNext/>
      <w:keepLines/>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E73CAF"/>
    <w:pPr>
      <w:keepNext/>
      <w:keepLines/>
      <w:jc w:val="left"/>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46444B"/>
    <w:pPr>
      <w:keepNext/>
      <w:keepLines/>
      <w:jc w:val="left"/>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A52F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AF"/>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73CA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46444B"/>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A52F8C"/>
    <w:rPr>
      <w:rFonts w:asciiTheme="majorHAnsi" w:eastAsiaTheme="majorEastAsia" w:hAnsiTheme="majorHAnsi" w:cstheme="majorBidi"/>
      <w:i/>
      <w:iCs/>
      <w:color w:val="365F91" w:themeColor="accent1" w:themeShade="BF"/>
      <w:sz w:val="24"/>
      <w:szCs w:val="24"/>
    </w:rPr>
  </w:style>
  <w:style w:type="paragraph" w:styleId="BalloonText">
    <w:name w:val="Balloon Text"/>
    <w:basedOn w:val="Normal"/>
    <w:link w:val="BalloonTextChar"/>
    <w:uiPriority w:val="99"/>
    <w:semiHidden/>
    <w:unhideWhenUsed/>
    <w:rsid w:val="00B9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B96FC7"/>
    <w:rPr>
      <w:rFonts w:ascii="Tahoma" w:hAnsi="Tahoma" w:cs="Tahoma"/>
      <w:sz w:val="16"/>
      <w:szCs w:val="16"/>
    </w:rPr>
  </w:style>
  <w:style w:type="character" w:styleId="CommentReference">
    <w:name w:val="annotation reference"/>
    <w:basedOn w:val="DefaultParagraphFont"/>
    <w:uiPriority w:val="99"/>
    <w:semiHidden/>
    <w:unhideWhenUsed/>
    <w:rsid w:val="00B96FC7"/>
    <w:rPr>
      <w:sz w:val="16"/>
      <w:szCs w:val="16"/>
    </w:rPr>
  </w:style>
  <w:style w:type="paragraph" w:styleId="CommentText">
    <w:name w:val="annotation text"/>
    <w:basedOn w:val="Normal"/>
    <w:link w:val="CommentTextChar"/>
    <w:uiPriority w:val="99"/>
    <w:semiHidden/>
    <w:unhideWhenUsed/>
    <w:qFormat/>
    <w:rsid w:val="00B96FC7"/>
    <w:pPr>
      <w:spacing w:line="240" w:lineRule="auto"/>
    </w:pPr>
    <w:rPr>
      <w:sz w:val="20"/>
      <w:szCs w:val="20"/>
    </w:rPr>
  </w:style>
  <w:style w:type="character" w:customStyle="1" w:styleId="CommentTextChar">
    <w:name w:val="Comment Text Char"/>
    <w:basedOn w:val="DefaultParagraphFont"/>
    <w:link w:val="CommentText"/>
    <w:uiPriority w:val="99"/>
    <w:semiHidden/>
    <w:rsid w:val="00B96FC7"/>
    <w:rPr>
      <w:sz w:val="20"/>
      <w:szCs w:val="20"/>
    </w:rPr>
  </w:style>
  <w:style w:type="paragraph" w:styleId="CommentSubject">
    <w:name w:val="annotation subject"/>
    <w:basedOn w:val="CommentText"/>
    <w:next w:val="CommentText"/>
    <w:link w:val="CommentSubjectChar"/>
    <w:uiPriority w:val="99"/>
    <w:semiHidden/>
    <w:unhideWhenUsed/>
    <w:rsid w:val="00B96FC7"/>
    <w:rPr>
      <w:b/>
      <w:bCs/>
    </w:rPr>
  </w:style>
  <w:style w:type="character" w:customStyle="1" w:styleId="CommentSubjectChar">
    <w:name w:val="Comment Subject Char"/>
    <w:basedOn w:val="CommentTextChar"/>
    <w:link w:val="CommentSubject"/>
    <w:uiPriority w:val="99"/>
    <w:semiHidden/>
    <w:rsid w:val="00B96FC7"/>
    <w:rPr>
      <w:b/>
      <w:bCs/>
      <w:sz w:val="20"/>
      <w:szCs w:val="20"/>
    </w:rPr>
  </w:style>
  <w:style w:type="paragraph" w:styleId="Footer">
    <w:name w:val="footer"/>
    <w:basedOn w:val="Normal"/>
    <w:link w:val="FooterChar"/>
    <w:uiPriority w:val="99"/>
    <w:unhideWhenUsed/>
    <w:rsid w:val="00B9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FC7"/>
  </w:style>
  <w:style w:type="character" w:styleId="FootnoteReference">
    <w:name w:val="footnote reference"/>
    <w:basedOn w:val="DefaultParagraphFont"/>
    <w:uiPriority w:val="99"/>
    <w:semiHidden/>
    <w:unhideWhenUsed/>
    <w:qFormat/>
    <w:rsid w:val="00B96FC7"/>
    <w:rPr>
      <w:vertAlign w:val="superscript"/>
    </w:rPr>
  </w:style>
  <w:style w:type="paragraph" w:styleId="FootnoteText">
    <w:name w:val="footnote text"/>
    <w:basedOn w:val="Normal"/>
    <w:link w:val="FootnoteTextChar"/>
    <w:uiPriority w:val="99"/>
    <w:unhideWhenUsed/>
    <w:rsid w:val="00B96FC7"/>
    <w:pPr>
      <w:spacing w:after="0" w:line="240" w:lineRule="auto"/>
    </w:pPr>
    <w:rPr>
      <w:sz w:val="20"/>
      <w:szCs w:val="20"/>
    </w:rPr>
  </w:style>
  <w:style w:type="character" w:customStyle="1" w:styleId="FootnoteTextChar">
    <w:name w:val="Footnote Text Char"/>
    <w:basedOn w:val="DefaultParagraphFont"/>
    <w:link w:val="FootnoteText"/>
    <w:uiPriority w:val="99"/>
    <w:rsid w:val="00B96FC7"/>
    <w:rPr>
      <w:sz w:val="20"/>
      <w:szCs w:val="20"/>
    </w:rPr>
  </w:style>
  <w:style w:type="paragraph" w:styleId="Header">
    <w:name w:val="header"/>
    <w:basedOn w:val="Normal"/>
    <w:link w:val="HeaderChar"/>
    <w:uiPriority w:val="99"/>
    <w:unhideWhenUsed/>
    <w:qFormat/>
    <w:rsid w:val="00B96FC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96FC7"/>
  </w:style>
  <w:style w:type="character" w:styleId="Hyperlink">
    <w:name w:val="Hyperlink"/>
    <w:basedOn w:val="DefaultParagraphFont"/>
    <w:uiPriority w:val="99"/>
    <w:unhideWhenUsed/>
    <w:qFormat/>
    <w:rsid w:val="00B96FC7"/>
    <w:rPr>
      <w:color w:val="0000FF" w:themeColor="hyperlink"/>
      <w:u w:val="single"/>
    </w:rPr>
  </w:style>
  <w:style w:type="paragraph" w:styleId="NormalWeb">
    <w:name w:val="Normal (Web)"/>
    <w:basedOn w:val="Normal"/>
    <w:uiPriority w:val="99"/>
    <w:unhideWhenUsed/>
    <w:rsid w:val="00B96FC7"/>
  </w:style>
  <w:style w:type="paragraph" w:styleId="ListParagraph">
    <w:name w:val="List Paragraph"/>
    <w:basedOn w:val="Normal"/>
    <w:uiPriority w:val="34"/>
    <w:qFormat/>
    <w:rsid w:val="00B96FC7"/>
    <w:pPr>
      <w:ind w:left="720"/>
      <w:contextualSpacing/>
    </w:pPr>
  </w:style>
  <w:style w:type="paragraph" w:styleId="NoSpacing">
    <w:name w:val="No Spacing"/>
    <w:link w:val="NoSpacingChar"/>
    <w:uiPriority w:val="1"/>
    <w:qFormat/>
    <w:rsid w:val="00B96FC7"/>
    <w:pPr>
      <w:spacing w:before="240"/>
      <w:jc w:val="both"/>
    </w:pPr>
    <w:rPr>
      <w:rFonts w:eastAsiaTheme="minorEastAsia"/>
      <w:sz w:val="22"/>
      <w:szCs w:val="22"/>
    </w:rPr>
  </w:style>
  <w:style w:type="character" w:customStyle="1" w:styleId="NoSpacingChar">
    <w:name w:val="No Spacing Char"/>
    <w:basedOn w:val="DefaultParagraphFont"/>
    <w:link w:val="NoSpacing"/>
    <w:uiPriority w:val="1"/>
    <w:rsid w:val="00B96FC7"/>
    <w:rPr>
      <w:rFonts w:eastAsiaTheme="minorEastAsia"/>
      <w:kern w:val="0"/>
    </w:rPr>
  </w:style>
  <w:style w:type="paragraph" w:customStyle="1" w:styleId="Revision1">
    <w:name w:val="Revision1"/>
    <w:hidden/>
    <w:uiPriority w:val="99"/>
    <w:semiHidden/>
    <w:qFormat/>
    <w:rsid w:val="00B96FC7"/>
    <w:pPr>
      <w:spacing w:before="240"/>
      <w:jc w:val="both"/>
    </w:pPr>
    <w:rPr>
      <w:kern w:val="2"/>
      <w:sz w:val="22"/>
      <w:szCs w:val="22"/>
    </w:rPr>
  </w:style>
  <w:style w:type="character" w:customStyle="1" w:styleId="UnresolvedMention1">
    <w:name w:val="Unresolved Mention1"/>
    <w:basedOn w:val="DefaultParagraphFont"/>
    <w:uiPriority w:val="99"/>
    <w:semiHidden/>
    <w:unhideWhenUsed/>
    <w:qFormat/>
    <w:rsid w:val="00B96FC7"/>
    <w:rPr>
      <w:color w:val="605E5C"/>
      <w:shd w:val="clear" w:color="auto" w:fill="E1DFDD"/>
    </w:rPr>
  </w:style>
  <w:style w:type="character" w:customStyle="1" w:styleId="UnresolvedMention2">
    <w:name w:val="Unresolved Mention2"/>
    <w:basedOn w:val="DefaultParagraphFont"/>
    <w:uiPriority w:val="99"/>
    <w:semiHidden/>
    <w:unhideWhenUsed/>
    <w:qFormat/>
    <w:rsid w:val="00B96FC7"/>
    <w:rPr>
      <w:color w:val="605E5C"/>
      <w:shd w:val="clear" w:color="auto" w:fill="E1DFDD"/>
    </w:rPr>
  </w:style>
  <w:style w:type="paragraph" w:styleId="TOC1">
    <w:name w:val="toc 1"/>
    <w:basedOn w:val="Normal"/>
    <w:next w:val="Normal"/>
    <w:autoRedefine/>
    <w:uiPriority w:val="39"/>
    <w:unhideWhenUsed/>
    <w:rsid w:val="002758A6"/>
    <w:pPr>
      <w:tabs>
        <w:tab w:val="right" w:leader="dot" w:pos="8211"/>
      </w:tabs>
      <w:spacing w:before="120" w:after="120" w:line="360" w:lineRule="auto"/>
    </w:pPr>
    <w:rPr>
      <w:b/>
      <w:noProof/>
    </w:rPr>
  </w:style>
  <w:style w:type="character" w:styleId="Emphasis">
    <w:name w:val="Emphasis"/>
    <w:basedOn w:val="DefaultParagraphFont"/>
    <w:uiPriority w:val="20"/>
    <w:qFormat/>
    <w:rsid w:val="00EB1C78"/>
    <w:rPr>
      <w:i/>
      <w:iCs/>
    </w:rPr>
  </w:style>
  <w:style w:type="character" w:styleId="Strong">
    <w:name w:val="Strong"/>
    <w:basedOn w:val="DefaultParagraphFont"/>
    <w:uiPriority w:val="22"/>
    <w:qFormat/>
    <w:rsid w:val="00A52F8C"/>
    <w:rPr>
      <w:b/>
      <w:bCs/>
    </w:rPr>
  </w:style>
  <w:style w:type="paragraph" w:styleId="Caption">
    <w:name w:val="caption"/>
    <w:basedOn w:val="Normal"/>
    <w:next w:val="Normal"/>
    <w:qFormat/>
    <w:rsid w:val="00373BEF"/>
    <w:pPr>
      <w:spacing w:before="0" w:after="0" w:line="240" w:lineRule="auto"/>
      <w:jc w:val="left"/>
    </w:pPr>
    <w:rPr>
      <w:b/>
      <w:bCs/>
      <w:sz w:val="20"/>
      <w:szCs w:val="20"/>
      <w:lang w:val="en-GB"/>
    </w:rPr>
  </w:style>
  <w:style w:type="character" w:customStyle="1" w:styleId="overflow-hidden">
    <w:name w:val="overflow-hidden"/>
    <w:basedOn w:val="DefaultParagraphFont"/>
    <w:rsid w:val="007A1031"/>
  </w:style>
  <w:style w:type="paragraph" w:styleId="z-TopofForm">
    <w:name w:val="HTML Top of Form"/>
    <w:basedOn w:val="Normal"/>
    <w:next w:val="Normal"/>
    <w:link w:val="z-TopofFormChar"/>
    <w:hidden/>
    <w:uiPriority w:val="99"/>
    <w:semiHidden/>
    <w:unhideWhenUsed/>
    <w:rsid w:val="007A1031"/>
    <w:pPr>
      <w:pBdr>
        <w:bottom w:val="single" w:sz="6" w:space="1" w:color="auto"/>
      </w:pBdr>
      <w:spacing w:before="0"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A1031"/>
    <w:rPr>
      <w:rFonts w:ascii="Arial" w:eastAsia="Times New Roman" w:hAnsi="Arial" w:cs="Arial"/>
      <w:vanish/>
      <w:sz w:val="16"/>
      <w:szCs w:val="16"/>
    </w:rPr>
  </w:style>
  <w:style w:type="paragraph" w:customStyle="1" w:styleId="placeholder">
    <w:name w:val="placeholder"/>
    <w:basedOn w:val="Normal"/>
    <w:rsid w:val="007A1031"/>
    <w:pPr>
      <w:spacing w:before="100" w:beforeAutospacing="1" w:after="100" w:afterAutospacing="1" w:line="240" w:lineRule="auto"/>
      <w:jc w:val="left"/>
    </w:pPr>
  </w:style>
  <w:style w:type="character" w:customStyle="1" w:styleId="pointer-events-none">
    <w:name w:val="pointer-events-none"/>
    <w:basedOn w:val="DefaultParagraphFont"/>
    <w:rsid w:val="007A1031"/>
  </w:style>
  <w:style w:type="paragraph" w:styleId="z-BottomofForm">
    <w:name w:val="HTML Bottom of Form"/>
    <w:basedOn w:val="Normal"/>
    <w:next w:val="Normal"/>
    <w:link w:val="z-BottomofFormChar"/>
    <w:hidden/>
    <w:uiPriority w:val="99"/>
    <w:semiHidden/>
    <w:unhideWhenUsed/>
    <w:rsid w:val="007A1031"/>
    <w:pPr>
      <w:pBdr>
        <w:top w:val="single" w:sz="6" w:space="1" w:color="auto"/>
      </w:pBdr>
      <w:spacing w:before="0"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A1031"/>
    <w:rPr>
      <w:rFonts w:ascii="Arial" w:eastAsia="Times New Roman" w:hAnsi="Arial" w:cs="Arial"/>
      <w:vanish/>
      <w:sz w:val="16"/>
      <w:szCs w:val="16"/>
    </w:rPr>
  </w:style>
  <w:style w:type="character" w:customStyle="1" w:styleId="UnresolvedMention3">
    <w:name w:val="Unresolved Mention3"/>
    <w:basedOn w:val="DefaultParagraphFont"/>
    <w:uiPriority w:val="99"/>
    <w:semiHidden/>
    <w:unhideWhenUsed/>
    <w:rsid w:val="00C95A7E"/>
    <w:rPr>
      <w:color w:val="605E5C"/>
      <w:shd w:val="clear" w:color="auto" w:fill="E1DFDD"/>
    </w:rPr>
  </w:style>
  <w:style w:type="character" w:styleId="PageNumber">
    <w:name w:val="page number"/>
    <w:basedOn w:val="DefaultParagraphFont"/>
    <w:uiPriority w:val="99"/>
    <w:semiHidden/>
    <w:unhideWhenUsed/>
    <w:rsid w:val="00E73CAF"/>
  </w:style>
  <w:style w:type="paragraph" w:styleId="TOC2">
    <w:name w:val="toc 2"/>
    <w:basedOn w:val="Normal"/>
    <w:next w:val="Normal"/>
    <w:autoRedefine/>
    <w:uiPriority w:val="39"/>
    <w:unhideWhenUsed/>
    <w:rsid w:val="00FB7819"/>
    <w:pPr>
      <w:spacing w:after="100"/>
      <w:ind w:left="240"/>
    </w:pPr>
  </w:style>
  <w:style w:type="paragraph" w:styleId="TOC3">
    <w:name w:val="toc 3"/>
    <w:basedOn w:val="Normal"/>
    <w:next w:val="Normal"/>
    <w:autoRedefine/>
    <w:uiPriority w:val="39"/>
    <w:unhideWhenUsed/>
    <w:rsid w:val="00FB781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773">
      <w:bodyDiv w:val="1"/>
      <w:marLeft w:val="0"/>
      <w:marRight w:val="0"/>
      <w:marTop w:val="0"/>
      <w:marBottom w:val="0"/>
      <w:divBdr>
        <w:top w:val="none" w:sz="0" w:space="0" w:color="auto"/>
        <w:left w:val="none" w:sz="0" w:space="0" w:color="auto"/>
        <w:bottom w:val="none" w:sz="0" w:space="0" w:color="auto"/>
        <w:right w:val="none" w:sz="0" w:space="0" w:color="auto"/>
      </w:divBdr>
    </w:div>
    <w:div w:id="19672199">
      <w:bodyDiv w:val="1"/>
      <w:marLeft w:val="0"/>
      <w:marRight w:val="0"/>
      <w:marTop w:val="0"/>
      <w:marBottom w:val="0"/>
      <w:divBdr>
        <w:top w:val="none" w:sz="0" w:space="0" w:color="auto"/>
        <w:left w:val="none" w:sz="0" w:space="0" w:color="auto"/>
        <w:bottom w:val="none" w:sz="0" w:space="0" w:color="auto"/>
        <w:right w:val="none" w:sz="0" w:space="0" w:color="auto"/>
      </w:divBdr>
    </w:div>
    <w:div w:id="35934547">
      <w:bodyDiv w:val="1"/>
      <w:marLeft w:val="0"/>
      <w:marRight w:val="0"/>
      <w:marTop w:val="0"/>
      <w:marBottom w:val="0"/>
      <w:divBdr>
        <w:top w:val="none" w:sz="0" w:space="0" w:color="auto"/>
        <w:left w:val="none" w:sz="0" w:space="0" w:color="auto"/>
        <w:bottom w:val="none" w:sz="0" w:space="0" w:color="auto"/>
        <w:right w:val="none" w:sz="0" w:space="0" w:color="auto"/>
      </w:divBdr>
    </w:div>
    <w:div w:id="40594208">
      <w:bodyDiv w:val="1"/>
      <w:marLeft w:val="0"/>
      <w:marRight w:val="0"/>
      <w:marTop w:val="0"/>
      <w:marBottom w:val="0"/>
      <w:divBdr>
        <w:top w:val="none" w:sz="0" w:space="0" w:color="auto"/>
        <w:left w:val="none" w:sz="0" w:space="0" w:color="auto"/>
        <w:bottom w:val="none" w:sz="0" w:space="0" w:color="auto"/>
        <w:right w:val="none" w:sz="0" w:space="0" w:color="auto"/>
      </w:divBdr>
    </w:div>
    <w:div w:id="41291993">
      <w:bodyDiv w:val="1"/>
      <w:marLeft w:val="0"/>
      <w:marRight w:val="0"/>
      <w:marTop w:val="0"/>
      <w:marBottom w:val="0"/>
      <w:divBdr>
        <w:top w:val="none" w:sz="0" w:space="0" w:color="auto"/>
        <w:left w:val="none" w:sz="0" w:space="0" w:color="auto"/>
        <w:bottom w:val="none" w:sz="0" w:space="0" w:color="auto"/>
        <w:right w:val="none" w:sz="0" w:space="0" w:color="auto"/>
      </w:divBdr>
    </w:div>
    <w:div w:id="46221283">
      <w:bodyDiv w:val="1"/>
      <w:marLeft w:val="0"/>
      <w:marRight w:val="0"/>
      <w:marTop w:val="0"/>
      <w:marBottom w:val="0"/>
      <w:divBdr>
        <w:top w:val="none" w:sz="0" w:space="0" w:color="auto"/>
        <w:left w:val="none" w:sz="0" w:space="0" w:color="auto"/>
        <w:bottom w:val="none" w:sz="0" w:space="0" w:color="auto"/>
        <w:right w:val="none" w:sz="0" w:space="0" w:color="auto"/>
      </w:divBdr>
    </w:div>
    <w:div w:id="75440717">
      <w:bodyDiv w:val="1"/>
      <w:marLeft w:val="0"/>
      <w:marRight w:val="0"/>
      <w:marTop w:val="0"/>
      <w:marBottom w:val="0"/>
      <w:divBdr>
        <w:top w:val="none" w:sz="0" w:space="0" w:color="auto"/>
        <w:left w:val="none" w:sz="0" w:space="0" w:color="auto"/>
        <w:bottom w:val="none" w:sz="0" w:space="0" w:color="auto"/>
        <w:right w:val="none" w:sz="0" w:space="0" w:color="auto"/>
      </w:divBdr>
      <w:divsChild>
        <w:div w:id="331763187">
          <w:marLeft w:val="0"/>
          <w:marRight w:val="0"/>
          <w:marTop w:val="0"/>
          <w:marBottom w:val="0"/>
          <w:divBdr>
            <w:top w:val="none" w:sz="0" w:space="0" w:color="auto"/>
            <w:left w:val="none" w:sz="0" w:space="0" w:color="auto"/>
            <w:bottom w:val="none" w:sz="0" w:space="0" w:color="auto"/>
            <w:right w:val="none" w:sz="0" w:space="0" w:color="auto"/>
          </w:divBdr>
          <w:divsChild>
            <w:div w:id="2109503914">
              <w:marLeft w:val="0"/>
              <w:marRight w:val="0"/>
              <w:marTop w:val="0"/>
              <w:marBottom w:val="0"/>
              <w:divBdr>
                <w:top w:val="none" w:sz="0" w:space="0" w:color="auto"/>
                <w:left w:val="none" w:sz="0" w:space="0" w:color="auto"/>
                <w:bottom w:val="none" w:sz="0" w:space="0" w:color="auto"/>
                <w:right w:val="none" w:sz="0" w:space="0" w:color="auto"/>
              </w:divBdr>
              <w:divsChild>
                <w:div w:id="1125470477">
                  <w:marLeft w:val="0"/>
                  <w:marRight w:val="0"/>
                  <w:marTop w:val="0"/>
                  <w:marBottom w:val="0"/>
                  <w:divBdr>
                    <w:top w:val="none" w:sz="0" w:space="0" w:color="auto"/>
                    <w:left w:val="none" w:sz="0" w:space="0" w:color="auto"/>
                    <w:bottom w:val="none" w:sz="0" w:space="0" w:color="auto"/>
                    <w:right w:val="none" w:sz="0" w:space="0" w:color="auto"/>
                  </w:divBdr>
                  <w:divsChild>
                    <w:div w:id="1716347502">
                      <w:marLeft w:val="0"/>
                      <w:marRight w:val="0"/>
                      <w:marTop w:val="0"/>
                      <w:marBottom w:val="0"/>
                      <w:divBdr>
                        <w:top w:val="none" w:sz="0" w:space="0" w:color="auto"/>
                        <w:left w:val="none" w:sz="0" w:space="0" w:color="auto"/>
                        <w:bottom w:val="none" w:sz="0" w:space="0" w:color="auto"/>
                        <w:right w:val="none" w:sz="0" w:space="0" w:color="auto"/>
                      </w:divBdr>
                      <w:divsChild>
                        <w:div w:id="1522815451">
                          <w:marLeft w:val="0"/>
                          <w:marRight w:val="0"/>
                          <w:marTop w:val="0"/>
                          <w:marBottom w:val="0"/>
                          <w:divBdr>
                            <w:top w:val="none" w:sz="0" w:space="0" w:color="auto"/>
                            <w:left w:val="none" w:sz="0" w:space="0" w:color="auto"/>
                            <w:bottom w:val="none" w:sz="0" w:space="0" w:color="auto"/>
                            <w:right w:val="none" w:sz="0" w:space="0" w:color="auto"/>
                          </w:divBdr>
                          <w:divsChild>
                            <w:div w:id="13191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2880">
      <w:bodyDiv w:val="1"/>
      <w:marLeft w:val="0"/>
      <w:marRight w:val="0"/>
      <w:marTop w:val="0"/>
      <w:marBottom w:val="0"/>
      <w:divBdr>
        <w:top w:val="none" w:sz="0" w:space="0" w:color="auto"/>
        <w:left w:val="none" w:sz="0" w:space="0" w:color="auto"/>
        <w:bottom w:val="none" w:sz="0" w:space="0" w:color="auto"/>
        <w:right w:val="none" w:sz="0" w:space="0" w:color="auto"/>
      </w:divBdr>
    </w:div>
    <w:div w:id="104233092">
      <w:bodyDiv w:val="1"/>
      <w:marLeft w:val="0"/>
      <w:marRight w:val="0"/>
      <w:marTop w:val="0"/>
      <w:marBottom w:val="0"/>
      <w:divBdr>
        <w:top w:val="none" w:sz="0" w:space="0" w:color="auto"/>
        <w:left w:val="none" w:sz="0" w:space="0" w:color="auto"/>
        <w:bottom w:val="none" w:sz="0" w:space="0" w:color="auto"/>
        <w:right w:val="none" w:sz="0" w:space="0" w:color="auto"/>
      </w:divBdr>
    </w:div>
    <w:div w:id="110443082">
      <w:bodyDiv w:val="1"/>
      <w:marLeft w:val="0"/>
      <w:marRight w:val="0"/>
      <w:marTop w:val="0"/>
      <w:marBottom w:val="0"/>
      <w:divBdr>
        <w:top w:val="none" w:sz="0" w:space="0" w:color="auto"/>
        <w:left w:val="none" w:sz="0" w:space="0" w:color="auto"/>
        <w:bottom w:val="none" w:sz="0" w:space="0" w:color="auto"/>
        <w:right w:val="none" w:sz="0" w:space="0" w:color="auto"/>
      </w:divBdr>
    </w:div>
    <w:div w:id="124739531">
      <w:bodyDiv w:val="1"/>
      <w:marLeft w:val="0"/>
      <w:marRight w:val="0"/>
      <w:marTop w:val="0"/>
      <w:marBottom w:val="0"/>
      <w:divBdr>
        <w:top w:val="none" w:sz="0" w:space="0" w:color="auto"/>
        <w:left w:val="none" w:sz="0" w:space="0" w:color="auto"/>
        <w:bottom w:val="none" w:sz="0" w:space="0" w:color="auto"/>
        <w:right w:val="none" w:sz="0" w:space="0" w:color="auto"/>
      </w:divBdr>
      <w:divsChild>
        <w:div w:id="1263755885">
          <w:marLeft w:val="0"/>
          <w:marRight w:val="0"/>
          <w:marTop w:val="0"/>
          <w:marBottom w:val="0"/>
          <w:divBdr>
            <w:top w:val="none" w:sz="0" w:space="0" w:color="auto"/>
            <w:left w:val="none" w:sz="0" w:space="0" w:color="auto"/>
            <w:bottom w:val="none" w:sz="0" w:space="0" w:color="auto"/>
            <w:right w:val="none" w:sz="0" w:space="0" w:color="auto"/>
          </w:divBdr>
          <w:divsChild>
            <w:div w:id="489365398">
              <w:marLeft w:val="0"/>
              <w:marRight w:val="0"/>
              <w:marTop w:val="0"/>
              <w:marBottom w:val="0"/>
              <w:divBdr>
                <w:top w:val="none" w:sz="0" w:space="0" w:color="auto"/>
                <w:left w:val="none" w:sz="0" w:space="0" w:color="auto"/>
                <w:bottom w:val="none" w:sz="0" w:space="0" w:color="auto"/>
                <w:right w:val="none" w:sz="0" w:space="0" w:color="auto"/>
              </w:divBdr>
              <w:divsChild>
                <w:div w:id="802041126">
                  <w:marLeft w:val="0"/>
                  <w:marRight w:val="0"/>
                  <w:marTop w:val="0"/>
                  <w:marBottom w:val="0"/>
                  <w:divBdr>
                    <w:top w:val="none" w:sz="0" w:space="0" w:color="auto"/>
                    <w:left w:val="none" w:sz="0" w:space="0" w:color="auto"/>
                    <w:bottom w:val="none" w:sz="0" w:space="0" w:color="auto"/>
                    <w:right w:val="none" w:sz="0" w:space="0" w:color="auto"/>
                  </w:divBdr>
                  <w:divsChild>
                    <w:div w:id="1256552411">
                      <w:marLeft w:val="0"/>
                      <w:marRight w:val="0"/>
                      <w:marTop w:val="0"/>
                      <w:marBottom w:val="0"/>
                      <w:divBdr>
                        <w:top w:val="none" w:sz="0" w:space="0" w:color="auto"/>
                        <w:left w:val="none" w:sz="0" w:space="0" w:color="auto"/>
                        <w:bottom w:val="none" w:sz="0" w:space="0" w:color="auto"/>
                        <w:right w:val="none" w:sz="0" w:space="0" w:color="auto"/>
                      </w:divBdr>
                      <w:divsChild>
                        <w:div w:id="1039551275">
                          <w:marLeft w:val="0"/>
                          <w:marRight w:val="0"/>
                          <w:marTop w:val="0"/>
                          <w:marBottom w:val="0"/>
                          <w:divBdr>
                            <w:top w:val="none" w:sz="0" w:space="0" w:color="auto"/>
                            <w:left w:val="none" w:sz="0" w:space="0" w:color="auto"/>
                            <w:bottom w:val="none" w:sz="0" w:space="0" w:color="auto"/>
                            <w:right w:val="none" w:sz="0" w:space="0" w:color="auto"/>
                          </w:divBdr>
                          <w:divsChild>
                            <w:div w:id="2117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92519">
      <w:bodyDiv w:val="1"/>
      <w:marLeft w:val="0"/>
      <w:marRight w:val="0"/>
      <w:marTop w:val="0"/>
      <w:marBottom w:val="0"/>
      <w:divBdr>
        <w:top w:val="none" w:sz="0" w:space="0" w:color="auto"/>
        <w:left w:val="none" w:sz="0" w:space="0" w:color="auto"/>
        <w:bottom w:val="none" w:sz="0" w:space="0" w:color="auto"/>
        <w:right w:val="none" w:sz="0" w:space="0" w:color="auto"/>
      </w:divBdr>
    </w:div>
    <w:div w:id="147600283">
      <w:bodyDiv w:val="1"/>
      <w:marLeft w:val="0"/>
      <w:marRight w:val="0"/>
      <w:marTop w:val="0"/>
      <w:marBottom w:val="0"/>
      <w:divBdr>
        <w:top w:val="none" w:sz="0" w:space="0" w:color="auto"/>
        <w:left w:val="none" w:sz="0" w:space="0" w:color="auto"/>
        <w:bottom w:val="none" w:sz="0" w:space="0" w:color="auto"/>
        <w:right w:val="none" w:sz="0" w:space="0" w:color="auto"/>
      </w:divBdr>
    </w:div>
    <w:div w:id="159662361">
      <w:bodyDiv w:val="1"/>
      <w:marLeft w:val="0"/>
      <w:marRight w:val="0"/>
      <w:marTop w:val="0"/>
      <w:marBottom w:val="0"/>
      <w:divBdr>
        <w:top w:val="none" w:sz="0" w:space="0" w:color="auto"/>
        <w:left w:val="none" w:sz="0" w:space="0" w:color="auto"/>
        <w:bottom w:val="none" w:sz="0" w:space="0" w:color="auto"/>
        <w:right w:val="none" w:sz="0" w:space="0" w:color="auto"/>
      </w:divBdr>
    </w:div>
    <w:div w:id="164054909">
      <w:bodyDiv w:val="1"/>
      <w:marLeft w:val="0"/>
      <w:marRight w:val="0"/>
      <w:marTop w:val="0"/>
      <w:marBottom w:val="0"/>
      <w:divBdr>
        <w:top w:val="none" w:sz="0" w:space="0" w:color="auto"/>
        <w:left w:val="none" w:sz="0" w:space="0" w:color="auto"/>
        <w:bottom w:val="none" w:sz="0" w:space="0" w:color="auto"/>
        <w:right w:val="none" w:sz="0" w:space="0" w:color="auto"/>
      </w:divBdr>
    </w:div>
    <w:div w:id="175265247">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6262076">
      <w:bodyDiv w:val="1"/>
      <w:marLeft w:val="0"/>
      <w:marRight w:val="0"/>
      <w:marTop w:val="0"/>
      <w:marBottom w:val="0"/>
      <w:divBdr>
        <w:top w:val="none" w:sz="0" w:space="0" w:color="auto"/>
        <w:left w:val="none" w:sz="0" w:space="0" w:color="auto"/>
        <w:bottom w:val="none" w:sz="0" w:space="0" w:color="auto"/>
        <w:right w:val="none" w:sz="0" w:space="0" w:color="auto"/>
      </w:divBdr>
    </w:div>
    <w:div w:id="187761475">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206112487">
      <w:bodyDiv w:val="1"/>
      <w:marLeft w:val="0"/>
      <w:marRight w:val="0"/>
      <w:marTop w:val="0"/>
      <w:marBottom w:val="0"/>
      <w:divBdr>
        <w:top w:val="none" w:sz="0" w:space="0" w:color="auto"/>
        <w:left w:val="none" w:sz="0" w:space="0" w:color="auto"/>
        <w:bottom w:val="none" w:sz="0" w:space="0" w:color="auto"/>
        <w:right w:val="none" w:sz="0" w:space="0" w:color="auto"/>
      </w:divBdr>
    </w:div>
    <w:div w:id="211157512">
      <w:bodyDiv w:val="1"/>
      <w:marLeft w:val="0"/>
      <w:marRight w:val="0"/>
      <w:marTop w:val="0"/>
      <w:marBottom w:val="0"/>
      <w:divBdr>
        <w:top w:val="none" w:sz="0" w:space="0" w:color="auto"/>
        <w:left w:val="none" w:sz="0" w:space="0" w:color="auto"/>
        <w:bottom w:val="none" w:sz="0" w:space="0" w:color="auto"/>
        <w:right w:val="none" w:sz="0" w:space="0" w:color="auto"/>
      </w:divBdr>
    </w:div>
    <w:div w:id="217059301">
      <w:bodyDiv w:val="1"/>
      <w:marLeft w:val="0"/>
      <w:marRight w:val="0"/>
      <w:marTop w:val="0"/>
      <w:marBottom w:val="0"/>
      <w:divBdr>
        <w:top w:val="none" w:sz="0" w:space="0" w:color="auto"/>
        <w:left w:val="none" w:sz="0" w:space="0" w:color="auto"/>
        <w:bottom w:val="none" w:sz="0" w:space="0" w:color="auto"/>
        <w:right w:val="none" w:sz="0" w:space="0" w:color="auto"/>
      </w:divBdr>
      <w:divsChild>
        <w:div w:id="1061831637">
          <w:marLeft w:val="0"/>
          <w:marRight w:val="0"/>
          <w:marTop w:val="0"/>
          <w:marBottom w:val="0"/>
          <w:divBdr>
            <w:top w:val="none" w:sz="0" w:space="0" w:color="auto"/>
            <w:left w:val="none" w:sz="0" w:space="0" w:color="auto"/>
            <w:bottom w:val="none" w:sz="0" w:space="0" w:color="auto"/>
            <w:right w:val="none" w:sz="0" w:space="0" w:color="auto"/>
          </w:divBdr>
          <w:divsChild>
            <w:div w:id="1749765577">
              <w:marLeft w:val="0"/>
              <w:marRight w:val="0"/>
              <w:marTop w:val="0"/>
              <w:marBottom w:val="0"/>
              <w:divBdr>
                <w:top w:val="none" w:sz="0" w:space="0" w:color="auto"/>
                <w:left w:val="none" w:sz="0" w:space="0" w:color="auto"/>
                <w:bottom w:val="none" w:sz="0" w:space="0" w:color="auto"/>
                <w:right w:val="none" w:sz="0" w:space="0" w:color="auto"/>
              </w:divBdr>
              <w:divsChild>
                <w:div w:id="1726836521">
                  <w:marLeft w:val="0"/>
                  <w:marRight w:val="0"/>
                  <w:marTop w:val="0"/>
                  <w:marBottom w:val="0"/>
                  <w:divBdr>
                    <w:top w:val="none" w:sz="0" w:space="0" w:color="auto"/>
                    <w:left w:val="none" w:sz="0" w:space="0" w:color="auto"/>
                    <w:bottom w:val="none" w:sz="0" w:space="0" w:color="auto"/>
                    <w:right w:val="none" w:sz="0" w:space="0" w:color="auto"/>
                  </w:divBdr>
                </w:div>
                <w:div w:id="845747074">
                  <w:marLeft w:val="0"/>
                  <w:marRight w:val="0"/>
                  <w:marTop w:val="0"/>
                  <w:marBottom w:val="0"/>
                  <w:divBdr>
                    <w:top w:val="none" w:sz="0" w:space="0" w:color="auto"/>
                    <w:left w:val="none" w:sz="0" w:space="0" w:color="auto"/>
                    <w:bottom w:val="none" w:sz="0" w:space="0" w:color="auto"/>
                    <w:right w:val="none" w:sz="0" w:space="0" w:color="auto"/>
                  </w:divBdr>
                </w:div>
                <w:div w:id="2035425238">
                  <w:marLeft w:val="0"/>
                  <w:marRight w:val="0"/>
                  <w:marTop w:val="0"/>
                  <w:marBottom w:val="0"/>
                  <w:divBdr>
                    <w:top w:val="none" w:sz="0" w:space="0" w:color="auto"/>
                    <w:left w:val="none" w:sz="0" w:space="0" w:color="auto"/>
                    <w:bottom w:val="none" w:sz="0" w:space="0" w:color="auto"/>
                    <w:right w:val="none" w:sz="0" w:space="0" w:color="auto"/>
                  </w:divBdr>
                </w:div>
                <w:div w:id="1889611095">
                  <w:marLeft w:val="0"/>
                  <w:marRight w:val="0"/>
                  <w:marTop w:val="0"/>
                  <w:marBottom w:val="0"/>
                  <w:divBdr>
                    <w:top w:val="none" w:sz="0" w:space="0" w:color="auto"/>
                    <w:left w:val="none" w:sz="0" w:space="0" w:color="auto"/>
                    <w:bottom w:val="none" w:sz="0" w:space="0" w:color="auto"/>
                    <w:right w:val="none" w:sz="0" w:space="0" w:color="auto"/>
                  </w:divBdr>
                </w:div>
                <w:div w:id="2133476340">
                  <w:marLeft w:val="0"/>
                  <w:marRight w:val="0"/>
                  <w:marTop w:val="0"/>
                  <w:marBottom w:val="0"/>
                  <w:divBdr>
                    <w:top w:val="none" w:sz="0" w:space="0" w:color="auto"/>
                    <w:left w:val="none" w:sz="0" w:space="0" w:color="auto"/>
                    <w:bottom w:val="none" w:sz="0" w:space="0" w:color="auto"/>
                    <w:right w:val="none" w:sz="0" w:space="0" w:color="auto"/>
                  </w:divBdr>
                </w:div>
                <w:div w:id="199711911">
                  <w:marLeft w:val="0"/>
                  <w:marRight w:val="0"/>
                  <w:marTop w:val="0"/>
                  <w:marBottom w:val="0"/>
                  <w:divBdr>
                    <w:top w:val="none" w:sz="0" w:space="0" w:color="auto"/>
                    <w:left w:val="none" w:sz="0" w:space="0" w:color="auto"/>
                    <w:bottom w:val="none" w:sz="0" w:space="0" w:color="auto"/>
                    <w:right w:val="none" w:sz="0" w:space="0" w:color="auto"/>
                  </w:divBdr>
                </w:div>
                <w:div w:id="272322074">
                  <w:marLeft w:val="0"/>
                  <w:marRight w:val="0"/>
                  <w:marTop w:val="0"/>
                  <w:marBottom w:val="0"/>
                  <w:divBdr>
                    <w:top w:val="none" w:sz="0" w:space="0" w:color="auto"/>
                    <w:left w:val="none" w:sz="0" w:space="0" w:color="auto"/>
                    <w:bottom w:val="none" w:sz="0" w:space="0" w:color="auto"/>
                    <w:right w:val="none" w:sz="0" w:space="0" w:color="auto"/>
                  </w:divBdr>
                </w:div>
                <w:div w:id="1467352301">
                  <w:marLeft w:val="0"/>
                  <w:marRight w:val="0"/>
                  <w:marTop w:val="0"/>
                  <w:marBottom w:val="0"/>
                  <w:divBdr>
                    <w:top w:val="none" w:sz="0" w:space="0" w:color="auto"/>
                    <w:left w:val="none" w:sz="0" w:space="0" w:color="auto"/>
                    <w:bottom w:val="none" w:sz="0" w:space="0" w:color="auto"/>
                    <w:right w:val="none" w:sz="0" w:space="0" w:color="auto"/>
                  </w:divBdr>
                </w:div>
                <w:div w:id="2051681340">
                  <w:marLeft w:val="0"/>
                  <w:marRight w:val="0"/>
                  <w:marTop w:val="0"/>
                  <w:marBottom w:val="0"/>
                  <w:divBdr>
                    <w:top w:val="none" w:sz="0" w:space="0" w:color="auto"/>
                    <w:left w:val="none" w:sz="0" w:space="0" w:color="auto"/>
                    <w:bottom w:val="none" w:sz="0" w:space="0" w:color="auto"/>
                    <w:right w:val="none" w:sz="0" w:space="0" w:color="auto"/>
                  </w:divBdr>
                </w:div>
                <w:div w:id="5324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0938">
          <w:marLeft w:val="0"/>
          <w:marRight w:val="0"/>
          <w:marTop w:val="0"/>
          <w:marBottom w:val="0"/>
          <w:divBdr>
            <w:top w:val="none" w:sz="0" w:space="0" w:color="auto"/>
            <w:left w:val="none" w:sz="0" w:space="0" w:color="auto"/>
            <w:bottom w:val="none" w:sz="0" w:space="0" w:color="auto"/>
            <w:right w:val="none" w:sz="0" w:space="0" w:color="auto"/>
          </w:divBdr>
          <w:divsChild>
            <w:div w:id="162503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6240">
      <w:bodyDiv w:val="1"/>
      <w:marLeft w:val="0"/>
      <w:marRight w:val="0"/>
      <w:marTop w:val="0"/>
      <w:marBottom w:val="0"/>
      <w:divBdr>
        <w:top w:val="none" w:sz="0" w:space="0" w:color="auto"/>
        <w:left w:val="none" w:sz="0" w:space="0" w:color="auto"/>
        <w:bottom w:val="none" w:sz="0" w:space="0" w:color="auto"/>
        <w:right w:val="none" w:sz="0" w:space="0" w:color="auto"/>
      </w:divBdr>
    </w:div>
    <w:div w:id="220363763">
      <w:bodyDiv w:val="1"/>
      <w:marLeft w:val="0"/>
      <w:marRight w:val="0"/>
      <w:marTop w:val="0"/>
      <w:marBottom w:val="0"/>
      <w:divBdr>
        <w:top w:val="none" w:sz="0" w:space="0" w:color="auto"/>
        <w:left w:val="none" w:sz="0" w:space="0" w:color="auto"/>
        <w:bottom w:val="none" w:sz="0" w:space="0" w:color="auto"/>
        <w:right w:val="none" w:sz="0" w:space="0" w:color="auto"/>
      </w:divBdr>
    </w:div>
    <w:div w:id="223108037">
      <w:bodyDiv w:val="1"/>
      <w:marLeft w:val="0"/>
      <w:marRight w:val="0"/>
      <w:marTop w:val="0"/>
      <w:marBottom w:val="0"/>
      <w:divBdr>
        <w:top w:val="none" w:sz="0" w:space="0" w:color="auto"/>
        <w:left w:val="none" w:sz="0" w:space="0" w:color="auto"/>
        <w:bottom w:val="none" w:sz="0" w:space="0" w:color="auto"/>
        <w:right w:val="none" w:sz="0" w:space="0" w:color="auto"/>
      </w:divBdr>
    </w:div>
    <w:div w:id="236481890">
      <w:bodyDiv w:val="1"/>
      <w:marLeft w:val="0"/>
      <w:marRight w:val="0"/>
      <w:marTop w:val="0"/>
      <w:marBottom w:val="0"/>
      <w:divBdr>
        <w:top w:val="none" w:sz="0" w:space="0" w:color="auto"/>
        <w:left w:val="none" w:sz="0" w:space="0" w:color="auto"/>
        <w:bottom w:val="none" w:sz="0" w:space="0" w:color="auto"/>
        <w:right w:val="none" w:sz="0" w:space="0" w:color="auto"/>
      </w:divBdr>
    </w:div>
    <w:div w:id="242686413">
      <w:bodyDiv w:val="1"/>
      <w:marLeft w:val="0"/>
      <w:marRight w:val="0"/>
      <w:marTop w:val="0"/>
      <w:marBottom w:val="0"/>
      <w:divBdr>
        <w:top w:val="none" w:sz="0" w:space="0" w:color="auto"/>
        <w:left w:val="none" w:sz="0" w:space="0" w:color="auto"/>
        <w:bottom w:val="none" w:sz="0" w:space="0" w:color="auto"/>
        <w:right w:val="none" w:sz="0" w:space="0" w:color="auto"/>
      </w:divBdr>
    </w:div>
    <w:div w:id="246154254">
      <w:bodyDiv w:val="1"/>
      <w:marLeft w:val="0"/>
      <w:marRight w:val="0"/>
      <w:marTop w:val="0"/>
      <w:marBottom w:val="0"/>
      <w:divBdr>
        <w:top w:val="none" w:sz="0" w:space="0" w:color="auto"/>
        <w:left w:val="none" w:sz="0" w:space="0" w:color="auto"/>
        <w:bottom w:val="none" w:sz="0" w:space="0" w:color="auto"/>
        <w:right w:val="none" w:sz="0" w:space="0" w:color="auto"/>
      </w:divBdr>
    </w:div>
    <w:div w:id="246623559">
      <w:bodyDiv w:val="1"/>
      <w:marLeft w:val="0"/>
      <w:marRight w:val="0"/>
      <w:marTop w:val="0"/>
      <w:marBottom w:val="0"/>
      <w:divBdr>
        <w:top w:val="none" w:sz="0" w:space="0" w:color="auto"/>
        <w:left w:val="none" w:sz="0" w:space="0" w:color="auto"/>
        <w:bottom w:val="none" w:sz="0" w:space="0" w:color="auto"/>
        <w:right w:val="none" w:sz="0" w:space="0" w:color="auto"/>
      </w:divBdr>
    </w:div>
    <w:div w:id="247623028">
      <w:bodyDiv w:val="1"/>
      <w:marLeft w:val="0"/>
      <w:marRight w:val="0"/>
      <w:marTop w:val="0"/>
      <w:marBottom w:val="0"/>
      <w:divBdr>
        <w:top w:val="none" w:sz="0" w:space="0" w:color="auto"/>
        <w:left w:val="none" w:sz="0" w:space="0" w:color="auto"/>
        <w:bottom w:val="none" w:sz="0" w:space="0" w:color="auto"/>
        <w:right w:val="none" w:sz="0" w:space="0" w:color="auto"/>
      </w:divBdr>
    </w:div>
    <w:div w:id="253906213">
      <w:bodyDiv w:val="1"/>
      <w:marLeft w:val="0"/>
      <w:marRight w:val="0"/>
      <w:marTop w:val="0"/>
      <w:marBottom w:val="0"/>
      <w:divBdr>
        <w:top w:val="none" w:sz="0" w:space="0" w:color="auto"/>
        <w:left w:val="none" w:sz="0" w:space="0" w:color="auto"/>
        <w:bottom w:val="none" w:sz="0" w:space="0" w:color="auto"/>
        <w:right w:val="none" w:sz="0" w:space="0" w:color="auto"/>
      </w:divBdr>
    </w:div>
    <w:div w:id="259074063">
      <w:bodyDiv w:val="1"/>
      <w:marLeft w:val="0"/>
      <w:marRight w:val="0"/>
      <w:marTop w:val="0"/>
      <w:marBottom w:val="0"/>
      <w:divBdr>
        <w:top w:val="none" w:sz="0" w:space="0" w:color="auto"/>
        <w:left w:val="none" w:sz="0" w:space="0" w:color="auto"/>
        <w:bottom w:val="none" w:sz="0" w:space="0" w:color="auto"/>
        <w:right w:val="none" w:sz="0" w:space="0" w:color="auto"/>
      </w:divBdr>
    </w:div>
    <w:div w:id="285812534">
      <w:bodyDiv w:val="1"/>
      <w:marLeft w:val="0"/>
      <w:marRight w:val="0"/>
      <w:marTop w:val="0"/>
      <w:marBottom w:val="0"/>
      <w:divBdr>
        <w:top w:val="none" w:sz="0" w:space="0" w:color="auto"/>
        <w:left w:val="none" w:sz="0" w:space="0" w:color="auto"/>
        <w:bottom w:val="none" w:sz="0" w:space="0" w:color="auto"/>
        <w:right w:val="none" w:sz="0" w:space="0" w:color="auto"/>
      </w:divBdr>
    </w:div>
    <w:div w:id="293296089">
      <w:bodyDiv w:val="1"/>
      <w:marLeft w:val="0"/>
      <w:marRight w:val="0"/>
      <w:marTop w:val="0"/>
      <w:marBottom w:val="0"/>
      <w:divBdr>
        <w:top w:val="none" w:sz="0" w:space="0" w:color="auto"/>
        <w:left w:val="none" w:sz="0" w:space="0" w:color="auto"/>
        <w:bottom w:val="none" w:sz="0" w:space="0" w:color="auto"/>
        <w:right w:val="none" w:sz="0" w:space="0" w:color="auto"/>
      </w:divBdr>
    </w:div>
    <w:div w:id="302001858">
      <w:bodyDiv w:val="1"/>
      <w:marLeft w:val="0"/>
      <w:marRight w:val="0"/>
      <w:marTop w:val="0"/>
      <w:marBottom w:val="0"/>
      <w:divBdr>
        <w:top w:val="none" w:sz="0" w:space="0" w:color="auto"/>
        <w:left w:val="none" w:sz="0" w:space="0" w:color="auto"/>
        <w:bottom w:val="none" w:sz="0" w:space="0" w:color="auto"/>
        <w:right w:val="none" w:sz="0" w:space="0" w:color="auto"/>
      </w:divBdr>
    </w:div>
    <w:div w:id="306470639">
      <w:bodyDiv w:val="1"/>
      <w:marLeft w:val="0"/>
      <w:marRight w:val="0"/>
      <w:marTop w:val="0"/>
      <w:marBottom w:val="0"/>
      <w:divBdr>
        <w:top w:val="none" w:sz="0" w:space="0" w:color="auto"/>
        <w:left w:val="none" w:sz="0" w:space="0" w:color="auto"/>
        <w:bottom w:val="none" w:sz="0" w:space="0" w:color="auto"/>
        <w:right w:val="none" w:sz="0" w:space="0" w:color="auto"/>
      </w:divBdr>
    </w:div>
    <w:div w:id="320275743">
      <w:bodyDiv w:val="1"/>
      <w:marLeft w:val="0"/>
      <w:marRight w:val="0"/>
      <w:marTop w:val="0"/>
      <w:marBottom w:val="0"/>
      <w:divBdr>
        <w:top w:val="none" w:sz="0" w:space="0" w:color="auto"/>
        <w:left w:val="none" w:sz="0" w:space="0" w:color="auto"/>
        <w:bottom w:val="none" w:sz="0" w:space="0" w:color="auto"/>
        <w:right w:val="none" w:sz="0" w:space="0" w:color="auto"/>
      </w:divBdr>
    </w:div>
    <w:div w:id="320695514">
      <w:bodyDiv w:val="1"/>
      <w:marLeft w:val="0"/>
      <w:marRight w:val="0"/>
      <w:marTop w:val="0"/>
      <w:marBottom w:val="0"/>
      <w:divBdr>
        <w:top w:val="none" w:sz="0" w:space="0" w:color="auto"/>
        <w:left w:val="none" w:sz="0" w:space="0" w:color="auto"/>
        <w:bottom w:val="none" w:sz="0" w:space="0" w:color="auto"/>
        <w:right w:val="none" w:sz="0" w:space="0" w:color="auto"/>
      </w:divBdr>
      <w:divsChild>
        <w:div w:id="2126609917">
          <w:marLeft w:val="0"/>
          <w:marRight w:val="0"/>
          <w:marTop w:val="0"/>
          <w:marBottom w:val="0"/>
          <w:divBdr>
            <w:top w:val="none" w:sz="0" w:space="0" w:color="auto"/>
            <w:left w:val="none" w:sz="0" w:space="0" w:color="auto"/>
            <w:bottom w:val="none" w:sz="0" w:space="0" w:color="auto"/>
            <w:right w:val="none" w:sz="0" w:space="0" w:color="auto"/>
          </w:divBdr>
          <w:divsChild>
            <w:div w:id="1168209027">
              <w:marLeft w:val="0"/>
              <w:marRight w:val="0"/>
              <w:marTop w:val="0"/>
              <w:marBottom w:val="0"/>
              <w:divBdr>
                <w:top w:val="none" w:sz="0" w:space="0" w:color="auto"/>
                <w:left w:val="none" w:sz="0" w:space="0" w:color="auto"/>
                <w:bottom w:val="none" w:sz="0" w:space="0" w:color="auto"/>
                <w:right w:val="none" w:sz="0" w:space="0" w:color="auto"/>
              </w:divBdr>
              <w:divsChild>
                <w:div w:id="2025472433">
                  <w:marLeft w:val="0"/>
                  <w:marRight w:val="0"/>
                  <w:marTop w:val="0"/>
                  <w:marBottom w:val="0"/>
                  <w:divBdr>
                    <w:top w:val="none" w:sz="0" w:space="0" w:color="auto"/>
                    <w:left w:val="none" w:sz="0" w:space="0" w:color="auto"/>
                    <w:bottom w:val="none" w:sz="0" w:space="0" w:color="auto"/>
                    <w:right w:val="none" w:sz="0" w:space="0" w:color="auto"/>
                  </w:divBdr>
                  <w:divsChild>
                    <w:div w:id="1200240160">
                      <w:marLeft w:val="0"/>
                      <w:marRight w:val="0"/>
                      <w:marTop w:val="0"/>
                      <w:marBottom w:val="0"/>
                      <w:divBdr>
                        <w:top w:val="none" w:sz="0" w:space="0" w:color="auto"/>
                        <w:left w:val="none" w:sz="0" w:space="0" w:color="auto"/>
                        <w:bottom w:val="none" w:sz="0" w:space="0" w:color="auto"/>
                        <w:right w:val="none" w:sz="0" w:space="0" w:color="auto"/>
                      </w:divBdr>
                      <w:divsChild>
                        <w:div w:id="751121186">
                          <w:marLeft w:val="0"/>
                          <w:marRight w:val="0"/>
                          <w:marTop w:val="0"/>
                          <w:marBottom w:val="0"/>
                          <w:divBdr>
                            <w:top w:val="none" w:sz="0" w:space="0" w:color="auto"/>
                            <w:left w:val="none" w:sz="0" w:space="0" w:color="auto"/>
                            <w:bottom w:val="none" w:sz="0" w:space="0" w:color="auto"/>
                            <w:right w:val="none" w:sz="0" w:space="0" w:color="auto"/>
                          </w:divBdr>
                          <w:divsChild>
                            <w:div w:id="16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61535">
      <w:bodyDiv w:val="1"/>
      <w:marLeft w:val="0"/>
      <w:marRight w:val="0"/>
      <w:marTop w:val="0"/>
      <w:marBottom w:val="0"/>
      <w:divBdr>
        <w:top w:val="none" w:sz="0" w:space="0" w:color="auto"/>
        <w:left w:val="none" w:sz="0" w:space="0" w:color="auto"/>
        <w:bottom w:val="none" w:sz="0" w:space="0" w:color="auto"/>
        <w:right w:val="none" w:sz="0" w:space="0" w:color="auto"/>
      </w:divBdr>
    </w:div>
    <w:div w:id="355355622">
      <w:bodyDiv w:val="1"/>
      <w:marLeft w:val="0"/>
      <w:marRight w:val="0"/>
      <w:marTop w:val="0"/>
      <w:marBottom w:val="0"/>
      <w:divBdr>
        <w:top w:val="none" w:sz="0" w:space="0" w:color="auto"/>
        <w:left w:val="none" w:sz="0" w:space="0" w:color="auto"/>
        <w:bottom w:val="none" w:sz="0" w:space="0" w:color="auto"/>
        <w:right w:val="none" w:sz="0" w:space="0" w:color="auto"/>
      </w:divBdr>
    </w:div>
    <w:div w:id="369113748">
      <w:bodyDiv w:val="1"/>
      <w:marLeft w:val="0"/>
      <w:marRight w:val="0"/>
      <w:marTop w:val="0"/>
      <w:marBottom w:val="0"/>
      <w:divBdr>
        <w:top w:val="none" w:sz="0" w:space="0" w:color="auto"/>
        <w:left w:val="none" w:sz="0" w:space="0" w:color="auto"/>
        <w:bottom w:val="none" w:sz="0" w:space="0" w:color="auto"/>
        <w:right w:val="none" w:sz="0" w:space="0" w:color="auto"/>
      </w:divBdr>
    </w:div>
    <w:div w:id="388068545">
      <w:bodyDiv w:val="1"/>
      <w:marLeft w:val="0"/>
      <w:marRight w:val="0"/>
      <w:marTop w:val="0"/>
      <w:marBottom w:val="0"/>
      <w:divBdr>
        <w:top w:val="none" w:sz="0" w:space="0" w:color="auto"/>
        <w:left w:val="none" w:sz="0" w:space="0" w:color="auto"/>
        <w:bottom w:val="none" w:sz="0" w:space="0" w:color="auto"/>
        <w:right w:val="none" w:sz="0" w:space="0" w:color="auto"/>
      </w:divBdr>
    </w:div>
    <w:div w:id="397169823">
      <w:bodyDiv w:val="1"/>
      <w:marLeft w:val="0"/>
      <w:marRight w:val="0"/>
      <w:marTop w:val="0"/>
      <w:marBottom w:val="0"/>
      <w:divBdr>
        <w:top w:val="none" w:sz="0" w:space="0" w:color="auto"/>
        <w:left w:val="none" w:sz="0" w:space="0" w:color="auto"/>
        <w:bottom w:val="none" w:sz="0" w:space="0" w:color="auto"/>
        <w:right w:val="none" w:sz="0" w:space="0" w:color="auto"/>
      </w:divBdr>
    </w:div>
    <w:div w:id="397360689">
      <w:bodyDiv w:val="1"/>
      <w:marLeft w:val="0"/>
      <w:marRight w:val="0"/>
      <w:marTop w:val="0"/>
      <w:marBottom w:val="0"/>
      <w:divBdr>
        <w:top w:val="none" w:sz="0" w:space="0" w:color="auto"/>
        <w:left w:val="none" w:sz="0" w:space="0" w:color="auto"/>
        <w:bottom w:val="none" w:sz="0" w:space="0" w:color="auto"/>
        <w:right w:val="none" w:sz="0" w:space="0" w:color="auto"/>
      </w:divBdr>
    </w:div>
    <w:div w:id="400103985">
      <w:bodyDiv w:val="1"/>
      <w:marLeft w:val="0"/>
      <w:marRight w:val="0"/>
      <w:marTop w:val="0"/>
      <w:marBottom w:val="0"/>
      <w:divBdr>
        <w:top w:val="none" w:sz="0" w:space="0" w:color="auto"/>
        <w:left w:val="none" w:sz="0" w:space="0" w:color="auto"/>
        <w:bottom w:val="none" w:sz="0" w:space="0" w:color="auto"/>
        <w:right w:val="none" w:sz="0" w:space="0" w:color="auto"/>
      </w:divBdr>
    </w:div>
    <w:div w:id="421530856">
      <w:bodyDiv w:val="1"/>
      <w:marLeft w:val="0"/>
      <w:marRight w:val="0"/>
      <w:marTop w:val="0"/>
      <w:marBottom w:val="0"/>
      <w:divBdr>
        <w:top w:val="none" w:sz="0" w:space="0" w:color="auto"/>
        <w:left w:val="none" w:sz="0" w:space="0" w:color="auto"/>
        <w:bottom w:val="none" w:sz="0" w:space="0" w:color="auto"/>
        <w:right w:val="none" w:sz="0" w:space="0" w:color="auto"/>
      </w:divBdr>
    </w:div>
    <w:div w:id="423497684">
      <w:bodyDiv w:val="1"/>
      <w:marLeft w:val="0"/>
      <w:marRight w:val="0"/>
      <w:marTop w:val="0"/>
      <w:marBottom w:val="0"/>
      <w:divBdr>
        <w:top w:val="none" w:sz="0" w:space="0" w:color="auto"/>
        <w:left w:val="none" w:sz="0" w:space="0" w:color="auto"/>
        <w:bottom w:val="none" w:sz="0" w:space="0" w:color="auto"/>
        <w:right w:val="none" w:sz="0" w:space="0" w:color="auto"/>
      </w:divBdr>
    </w:div>
    <w:div w:id="427577101">
      <w:bodyDiv w:val="1"/>
      <w:marLeft w:val="0"/>
      <w:marRight w:val="0"/>
      <w:marTop w:val="0"/>
      <w:marBottom w:val="0"/>
      <w:divBdr>
        <w:top w:val="none" w:sz="0" w:space="0" w:color="auto"/>
        <w:left w:val="none" w:sz="0" w:space="0" w:color="auto"/>
        <w:bottom w:val="none" w:sz="0" w:space="0" w:color="auto"/>
        <w:right w:val="none" w:sz="0" w:space="0" w:color="auto"/>
      </w:divBdr>
    </w:div>
    <w:div w:id="428896491">
      <w:bodyDiv w:val="1"/>
      <w:marLeft w:val="0"/>
      <w:marRight w:val="0"/>
      <w:marTop w:val="0"/>
      <w:marBottom w:val="0"/>
      <w:divBdr>
        <w:top w:val="none" w:sz="0" w:space="0" w:color="auto"/>
        <w:left w:val="none" w:sz="0" w:space="0" w:color="auto"/>
        <w:bottom w:val="none" w:sz="0" w:space="0" w:color="auto"/>
        <w:right w:val="none" w:sz="0" w:space="0" w:color="auto"/>
      </w:divBdr>
    </w:div>
    <w:div w:id="429474337">
      <w:bodyDiv w:val="1"/>
      <w:marLeft w:val="0"/>
      <w:marRight w:val="0"/>
      <w:marTop w:val="0"/>
      <w:marBottom w:val="0"/>
      <w:divBdr>
        <w:top w:val="none" w:sz="0" w:space="0" w:color="auto"/>
        <w:left w:val="none" w:sz="0" w:space="0" w:color="auto"/>
        <w:bottom w:val="none" w:sz="0" w:space="0" w:color="auto"/>
        <w:right w:val="none" w:sz="0" w:space="0" w:color="auto"/>
      </w:divBdr>
    </w:div>
    <w:div w:id="440149209">
      <w:bodyDiv w:val="1"/>
      <w:marLeft w:val="0"/>
      <w:marRight w:val="0"/>
      <w:marTop w:val="0"/>
      <w:marBottom w:val="0"/>
      <w:divBdr>
        <w:top w:val="none" w:sz="0" w:space="0" w:color="auto"/>
        <w:left w:val="none" w:sz="0" w:space="0" w:color="auto"/>
        <w:bottom w:val="none" w:sz="0" w:space="0" w:color="auto"/>
        <w:right w:val="none" w:sz="0" w:space="0" w:color="auto"/>
      </w:divBdr>
    </w:div>
    <w:div w:id="465582815">
      <w:bodyDiv w:val="1"/>
      <w:marLeft w:val="0"/>
      <w:marRight w:val="0"/>
      <w:marTop w:val="0"/>
      <w:marBottom w:val="0"/>
      <w:divBdr>
        <w:top w:val="none" w:sz="0" w:space="0" w:color="auto"/>
        <w:left w:val="none" w:sz="0" w:space="0" w:color="auto"/>
        <w:bottom w:val="none" w:sz="0" w:space="0" w:color="auto"/>
        <w:right w:val="none" w:sz="0" w:space="0" w:color="auto"/>
      </w:divBdr>
    </w:div>
    <w:div w:id="482544059">
      <w:bodyDiv w:val="1"/>
      <w:marLeft w:val="0"/>
      <w:marRight w:val="0"/>
      <w:marTop w:val="0"/>
      <w:marBottom w:val="0"/>
      <w:divBdr>
        <w:top w:val="none" w:sz="0" w:space="0" w:color="auto"/>
        <w:left w:val="none" w:sz="0" w:space="0" w:color="auto"/>
        <w:bottom w:val="none" w:sz="0" w:space="0" w:color="auto"/>
        <w:right w:val="none" w:sz="0" w:space="0" w:color="auto"/>
      </w:divBdr>
    </w:div>
    <w:div w:id="485973583">
      <w:bodyDiv w:val="1"/>
      <w:marLeft w:val="0"/>
      <w:marRight w:val="0"/>
      <w:marTop w:val="0"/>
      <w:marBottom w:val="0"/>
      <w:divBdr>
        <w:top w:val="none" w:sz="0" w:space="0" w:color="auto"/>
        <w:left w:val="none" w:sz="0" w:space="0" w:color="auto"/>
        <w:bottom w:val="none" w:sz="0" w:space="0" w:color="auto"/>
        <w:right w:val="none" w:sz="0" w:space="0" w:color="auto"/>
      </w:divBdr>
    </w:div>
    <w:div w:id="497768205">
      <w:bodyDiv w:val="1"/>
      <w:marLeft w:val="0"/>
      <w:marRight w:val="0"/>
      <w:marTop w:val="0"/>
      <w:marBottom w:val="0"/>
      <w:divBdr>
        <w:top w:val="none" w:sz="0" w:space="0" w:color="auto"/>
        <w:left w:val="none" w:sz="0" w:space="0" w:color="auto"/>
        <w:bottom w:val="none" w:sz="0" w:space="0" w:color="auto"/>
        <w:right w:val="none" w:sz="0" w:space="0" w:color="auto"/>
      </w:divBdr>
    </w:div>
    <w:div w:id="503008227">
      <w:bodyDiv w:val="1"/>
      <w:marLeft w:val="0"/>
      <w:marRight w:val="0"/>
      <w:marTop w:val="0"/>
      <w:marBottom w:val="0"/>
      <w:divBdr>
        <w:top w:val="none" w:sz="0" w:space="0" w:color="auto"/>
        <w:left w:val="none" w:sz="0" w:space="0" w:color="auto"/>
        <w:bottom w:val="none" w:sz="0" w:space="0" w:color="auto"/>
        <w:right w:val="none" w:sz="0" w:space="0" w:color="auto"/>
      </w:divBdr>
    </w:div>
    <w:div w:id="511453383">
      <w:bodyDiv w:val="1"/>
      <w:marLeft w:val="0"/>
      <w:marRight w:val="0"/>
      <w:marTop w:val="0"/>
      <w:marBottom w:val="0"/>
      <w:divBdr>
        <w:top w:val="none" w:sz="0" w:space="0" w:color="auto"/>
        <w:left w:val="none" w:sz="0" w:space="0" w:color="auto"/>
        <w:bottom w:val="none" w:sz="0" w:space="0" w:color="auto"/>
        <w:right w:val="none" w:sz="0" w:space="0" w:color="auto"/>
      </w:divBdr>
    </w:div>
    <w:div w:id="536116859">
      <w:bodyDiv w:val="1"/>
      <w:marLeft w:val="0"/>
      <w:marRight w:val="0"/>
      <w:marTop w:val="0"/>
      <w:marBottom w:val="0"/>
      <w:divBdr>
        <w:top w:val="none" w:sz="0" w:space="0" w:color="auto"/>
        <w:left w:val="none" w:sz="0" w:space="0" w:color="auto"/>
        <w:bottom w:val="none" w:sz="0" w:space="0" w:color="auto"/>
        <w:right w:val="none" w:sz="0" w:space="0" w:color="auto"/>
      </w:divBdr>
    </w:div>
    <w:div w:id="554970340">
      <w:bodyDiv w:val="1"/>
      <w:marLeft w:val="0"/>
      <w:marRight w:val="0"/>
      <w:marTop w:val="0"/>
      <w:marBottom w:val="0"/>
      <w:divBdr>
        <w:top w:val="none" w:sz="0" w:space="0" w:color="auto"/>
        <w:left w:val="none" w:sz="0" w:space="0" w:color="auto"/>
        <w:bottom w:val="none" w:sz="0" w:space="0" w:color="auto"/>
        <w:right w:val="none" w:sz="0" w:space="0" w:color="auto"/>
      </w:divBdr>
    </w:div>
    <w:div w:id="568615160">
      <w:bodyDiv w:val="1"/>
      <w:marLeft w:val="0"/>
      <w:marRight w:val="0"/>
      <w:marTop w:val="0"/>
      <w:marBottom w:val="0"/>
      <w:divBdr>
        <w:top w:val="none" w:sz="0" w:space="0" w:color="auto"/>
        <w:left w:val="none" w:sz="0" w:space="0" w:color="auto"/>
        <w:bottom w:val="none" w:sz="0" w:space="0" w:color="auto"/>
        <w:right w:val="none" w:sz="0" w:space="0" w:color="auto"/>
      </w:divBdr>
    </w:div>
    <w:div w:id="573130919">
      <w:bodyDiv w:val="1"/>
      <w:marLeft w:val="0"/>
      <w:marRight w:val="0"/>
      <w:marTop w:val="0"/>
      <w:marBottom w:val="0"/>
      <w:divBdr>
        <w:top w:val="none" w:sz="0" w:space="0" w:color="auto"/>
        <w:left w:val="none" w:sz="0" w:space="0" w:color="auto"/>
        <w:bottom w:val="none" w:sz="0" w:space="0" w:color="auto"/>
        <w:right w:val="none" w:sz="0" w:space="0" w:color="auto"/>
      </w:divBdr>
    </w:div>
    <w:div w:id="583998774">
      <w:bodyDiv w:val="1"/>
      <w:marLeft w:val="0"/>
      <w:marRight w:val="0"/>
      <w:marTop w:val="0"/>
      <w:marBottom w:val="0"/>
      <w:divBdr>
        <w:top w:val="none" w:sz="0" w:space="0" w:color="auto"/>
        <w:left w:val="none" w:sz="0" w:space="0" w:color="auto"/>
        <w:bottom w:val="none" w:sz="0" w:space="0" w:color="auto"/>
        <w:right w:val="none" w:sz="0" w:space="0" w:color="auto"/>
      </w:divBdr>
    </w:div>
    <w:div w:id="585695331">
      <w:bodyDiv w:val="1"/>
      <w:marLeft w:val="0"/>
      <w:marRight w:val="0"/>
      <w:marTop w:val="0"/>
      <w:marBottom w:val="0"/>
      <w:divBdr>
        <w:top w:val="none" w:sz="0" w:space="0" w:color="auto"/>
        <w:left w:val="none" w:sz="0" w:space="0" w:color="auto"/>
        <w:bottom w:val="none" w:sz="0" w:space="0" w:color="auto"/>
        <w:right w:val="none" w:sz="0" w:space="0" w:color="auto"/>
      </w:divBdr>
    </w:div>
    <w:div w:id="599459177">
      <w:bodyDiv w:val="1"/>
      <w:marLeft w:val="0"/>
      <w:marRight w:val="0"/>
      <w:marTop w:val="0"/>
      <w:marBottom w:val="0"/>
      <w:divBdr>
        <w:top w:val="none" w:sz="0" w:space="0" w:color="auto"/>
        <w:left w:val="none" w:sz="0" w:space="0" w:color="auto"/>
        <w:bottom w:val="none" w:sz="0" w:space="0" w:color="auto"/>
        <w:right w:val="none" w:sz="0" w:space="0" w:color="auto"/>
      </w:divBdr>
    </w:div>
    <w:div w:id="606430618">
      <w:bodyDiv w:val="1"/>
      <w:marLeft w:val="0"/>
      <w:marRight w:val="0"/>
      <w:marTop w:val="0"/>
      <w:marBottom w:val="0"/>
      <w:divBdr>
        <w:top w:val="none" w:sz="0" w:space="0" w:color="auto"/>
        <w:left w:val="none" w:sz="0" w:space="0" w:color="auto"/>
        <w:bottom w:val="none" w:sz="0" w:space="0" w:color="auto"/>
        <w:right w:val="none" w:sz="0" w:space="0" w:color="auto"/>
      </w:divBdr>
    </w:div>
    <w:div w:id="617372807">
      <w:bodyDiv w:val="1"/>
      <w:marLeft w:val="0"/>
      <w:marRight w:val="0"/>
      <w:marTop w:val="0"/>
      <w:marBottom w:val="0"/>
      <w:divBdr>
        <w:top w:val="none" w:sz="0" w:space="0" w:color="auto"/>
        <w:left w:val="none" w:sz="0" w:space="0" w:color="auto"/>
        <w:bottom w:val="none" w:sz="0" w:space="0" w:color="auto"/>
        <w:right w:val="none" w:sz="0" w:space="0" w:color="auto"/>
      </w:divBdr>
    </w:div>
    <w:div w:id="618953821">
      <w:bodyDiv w:val="1"/>
      <w:marLeft w:val="0"/>
      <w:marRight w:val="0"/>
      <w:marTop w:val="0"/>
      <w:marBottom w:val="0"/>
      <w:divBdr>
        <w:top w:val="none" w:sz="0" w:space="0" w:color="auto"/>
        <w:left w:val="none" w:sz="0" w:space="0" w:color="auto"/>
        <w:bottom w:val="none" w:sz="0" w:space="0" w:color="auto"/>
        <w:right w:val="none" w:sz="0" w:space="0" w:color="auto"/>
      </w:divBdr>
    </w:div>
    <w:div w:id="627005599">
      <w:bodyDiv w:val="1"/>
      <w:marLeft w:val="0"/>
      <w:marRight w:val="0"/>
      <w:marTop w:val="0"/>
      <w:marBottom w:val="0"/>
      <w:divBdr>
        <w:top w:val="none" w:sz="0" w:space="0" w:color="auto"/>
        <w:left w:val="none" w:sz="0" w:space="0" w:color="auto"/>
        <w:bottom w:val="none" w:sz="0" w:space="0" w:color="auto"/>
        <w:right w:val="none" w:sz="0" w:space="0" w:color="auto"/>
      </w:divBdr>
      <w:divsChild>
        <w:div w:id="664938680">
          <w:marLeft w:val="0"/>
          <w:marRight w:val="0"/>
          <w:marTop w:val="0"/>
          <w:marBottom w:val="0"/>
          <w:divBdr>
            <w:top w:val="none" w:sz="0" w:space="0" w:color="auto"/>
            <w:left w:val="none" w:sz="0" w:space="0" w:color="auto"/>
            <w:bottom w:val="none" w:sz="0" w:space="0" w:color="auto"/>
            <w:right w:val="none" w:sz="0" w:space="0" w:color="auto"/>
          </w:divBdr>
          <w:divsChild>
            <w:div w:id="952514428">
              <w:marLeft w:val="0"/>
              <w:marRight w:val="0"/>
              <w:marTop w:val="0"/>
              <w:marBottom w:val="0"/>
              <w:divBdr>
                <w:top w:val="none" w:sz="0" w:space="0" w:color="auto"/>
                <w:left w:val="none" w:sz="0" w:space="0" w:color="auto"/>
                <w:bottom w:val="none" w:sz="0" w:space="0" w:color="auto"/>
                <w:right w:val="none" w:sz="0" w:space="0" w:color="auto"/>
              </w:divBdr>
              <w:divsChild>
                <w:div w:id="2044014346">
                  <w:marLeft w:val="0"/>
                  <w:marRight w:val="0"/>
                  <w:marTop w:val="0"/>
                  <w:marBottom w:val="0"/>
                  <w:divBdr>
                    <w:top w:val="none" w:sz="0" w:space="0" w:color="auto"/>
                    <w:left w:val="none" w:sz="0" w:space="0" w:color="auto"/>
                    <w:bottom w:val="none" w:sz="0" w:space="0" w:color="auto"/>
                    <w:right w:val="none" w:sz="0" w:space="0" w:color="auto"/>
                  </w:divBdr>
                  <w:divsChild>
                    <w:div w:id="854925487">
                      <w:marLeft w:val="0"/>
                      <w:marRight w:val="0"/>
                      <w:marTop w:val="0"/>
                      <w:marBottom w:val="0"/>
                      <w:divBdr>
                        <w:top w:val="none" w:sz="0" w:space="0" w:color="auto"/>
                        <w:left w:val="none" w:sz="0" w:space="0" w:color="auto"/>
                        <w:bottom w:val="none" w:sz="0" w:space="0" w:color="auto"/>
                        <w:right w:val="none" w:sz="0" w:space="0" w:color="auto"/>
                      </w:divBdr>
                      <w:divsChild>
                        <w:div w:id="397020476">
                          <w:marLeft w:val="0"/>
                          <w:marRight w:val="0"/>
                          <w:marTop w:val="0"/>
                          <w:marBottom w:val="0"/>
                          <w:divBdr>
                            <w:top w:val="none" w:sz="0" w:space="0" w:color="auto"/>
                            <w:left w:val="none" w:sz="0" w:space="0" w:color="auto"/>
                            <w:bottom w:val="none" w:sz="0" w:space="0" w:color="auto"/>
                            <w:right w:val="none" w:sz="0" w:space="0" w:color="auto"/>
                          </w:divBdr>
                          <w:divsChild>
                            <w:div w:id="5706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231331">
      <w:bodyDiv w:val="1"/>
      <w:marLeft w:val="0"/>
      <w:marRight w:val="0"/>
      <w:marTop w:val="0"/>
      <w:marBottom w:val="0"/>
      <w:divBdr>
        <w:top w:val="none" w:sz="0" w:space="0" w:color="auto"/>
        <w:left w:val="none" w:sz="0" w:space="0" w:color="auto"/>
        <w:bottom w:val="none" w:sz="0" w:space="0" w:color="auto"/>
        <w:right w:val="none" w:sz="0" w:space="0" w:color="auto"/>
      </w:divBdr>
    </w:div>
    <w:div w:id="643856828">
      <w:bodyDiv w:val="1"/>
      <w:marLeft w:val="0"/>
      <w:marRight w:val="0"/>
      <w:marTop w:val="0"/>
      <w:marBottom w:val="0"/>
      <w:divBdr>
        <w:top w:val="none" w:sz="0" w:space="0" w:color="auto"/>
        <w:left w:val="none" w:sz="0" w:space="0" w:color="auto"/>
        <w:bottom w:val="none" w:sz="0" w:space="0" w:color="auto"/>
        <w:right w:val="none" w:sz="0" w:space="0" w:color="auto"/>
      </w:divBdr>
    </w:div>
    <w:div w:id="647249500">
      <w:bodyDiv w:val="1"/>
      <w:marLeft w:val="0"/>
      <w:marRight w:val="0"/>
      <w:marTop w:val="0"/>
      <w:marBottom w:val="0"/>
      <w:divBdr>
        <w:top w:val="none" w:sz="0" w:space="0" w:color="auto"/>
        <w:left w:val="none" w:sz="0" w:space="0" w:color="auto"/>
        <w:bottom w:val="none" w:sz="0" w:space="0" w:color="auto"/>
        <w:right w:val="none" w:sz="0" w:space="0" w:color="auto"/>
      </w:divBdr>
    </w:div>
    <w:div w:id="674503395">
      <w:bodyDiv w:val="1"/>
      <w:marLeft w:val="0"/>
      <w:marRight w:val="0"/>
      <w:marTop w:val="0"/>
      <w:marBottom w:val="0"/>
      <w:divBdr>
        <w:top w:val="none" w:sz="0" w:space="0" w:color="auto"/>
        <w:left w:val="none" w:sz="0" w:space="0" w:color="auto"/>
        <w:bottom w:val="none" w:sz="0" w:space="0" w:color="auto"/>
        <w:right w:val="none" w:sz="0" w:space="0" w:color="auto"/>
      </w:divBdr>
    </w:div>
    <w:div w:id="675885579">
      <w:bodyDiv w:val="1"/>
      <w:marLeft w:val="0"/>
      <w:marRight w:val="0"/>
      <w:marTop w:val="0"/>
      <w:marBottom w:val="0"/>
      <w:divBdr>
        <w:top w:val="none" w:sz="0" w:space="0" w:color="auto"/>
        <w:left w:val="none" w:sz="0" w:space="0" w:color="auto"/>
        <w:bottom w:val="none" w:sz="0" w:space="0" w:color="auto"/>
        <w:right w:val="none" w:sz="0" w:space="0" w:color="auto"/>
      </w:divBdr>
    </w:div>
    <w:div w:id="680006538">
      <w:bodyDiv w:val="1"/>
      <w:marLeft w:val="0"/>
      <w:marRight w:val="0"/>
      <w:marTop w:val="0"/>
      <w:marBottom w:val="0"/>
      <w:divBdr>
        <w:top w:val="none" w:sz="0" w:space="0" w:color="auto"/>
        <w:left w:val="none" w:sz="0" w:space="0" w:color="auto"/>
        <w:bottom w:val="none" w:sz="0" w:space="0" w:color="auto"/>
        <w:right w:val="none" w:sz="0" w:space="0" w:color="auto"/>
      </w:divBdr>
    </w:div>
    <w:div w:id="701901561">
      <w:bodyDiv w:val="1"/>
      <w:marLeft w:val="0"/>
      <w:marRight w:val="0"/>
      <w:marTop w:val="0"/>
      <w:marBottom w:val="0"/>
      <w:divBdr>
        <w:top w:val="none" w:sz="0" w:space="0" w:color="auto"/>
        <w:left w:val="none" w:sz="0" w:space="0" w:color="auto"/>
        <w:bottom w:val="none" w:sz="0" w:space="0" w:color="auto"/>
        <w:right w:val="none" w:sz="0" w:space="0" w:color="auto"/>
      </w:divBdr>
    </w:div>
    <w:div w:id="705954960">
      <w:bodyDiv w:val="1"/>
      <w:marLeft w:val="0"/>
      <w:marRight w:val="0"/>
      <w:marTop w:val="0"/>
      <w:marBottom w:val="0"/>
      <w:divBdr>
        <w:top w:val="none" w:sz="0" w:space="0" w:color="auto"/>
        <w:left w:val="none" w:sz="0" w:space="0" w:color="auto"/>
        <w:bottom w:val="none" w:sz="0" w:space="0" w:color="auto"/>
        <w:right w:val="none" w:sz="0" w:space="0" w:color="auto"/>
      </w:divBdr>
    </w:div>
    <w:div w:id="716007456">
      <w:bodyDiv w:val="1"/>
      <w:marLeft w:val="0"/>
      <w:marRight w:val="0"/>
      <w:marTop w:val="0"/>
      <w:marBottom w:val="0"/>
      <w:divBdr>
        <w:top w:val="none" w:sz="0" w:space="0" w:color="auto"/>
        <w:left w:val="none" w:sz="0" w:space="0" w:color="auto"/>
        <w:bottom w:val="none" w:sz="0" w:space="0" w:color="auto"/>
        <w:right w:val="none" w:sz="0" w:space="0" w:color="auto"/>
      </w:divBdr>
    </w:div>
    <w:div w:id="747921861">
      <w:bodyDiv w:val="1"/>
      <w:marLeft w:val="0"/>
      <w:marRight w:val="0"/>
      <w:marTop w:val="0"/>
      <w:marBottom w:val="0"/>
      <w:divBdr>
        <w:top w:val="none" w:sz="0" w:space="0" w:color="auto"/>
        <w:left w:val="none" w:sz="0" w:space="0" w:color="auto"/>
        <w:bottom w:val="none" w:sz="0" w:space="0" w:color="auto"/>
        <w:right w:val="none" w:sz="0" w:space="0" w:color="auto"/>
      </w:divBdr>
    </w:div>
    <w:div w:id="750740464">
      <w:bodyDiv w:val="1"/>
      <w:marLeft w:val="0"/>
      <w:marRight w:val="0"/>
      <w:marTop w:val="0"/>
      <w:marBottom w:val="0"/>
      <w:divBdr>
        <w:top w:val="none" w:sz="0" w:space="0" w:color="auto"/>
        <w:left w:val="none" w:sz="0" w:space="0" w:color="auto"/>
        <w:bottom w:val="none" w:sz="0" w:space="0" w:color="auto"/>
        <w:right w:val="none" w:sz="0" w:space="0" w:color="auto"/>
      </w:divBdr>
    </w:div>
    <w:div w:id="756101051">
      <w:bodyDiv w:val="1"/>
      <w:marLeft w:val="0"/>
      <w:marRight w:val="0"/>
      <w:marTop w:val="0"/>
      <w:marBottom w:val="0"/>
      <w:divBdr>
        <w:top w:val="none" w:sz="0" w:space="0" w:color="auto"/>
        <w:left w:val="none" w:sz="0" w:space="0" w:color="auto"/>
        <w:bottom w:val="none" w:sz="0" w:space="0" w:color="auto"/>
        <w:right w:val="none" w:sz="0" w:space="0" w:color="auto"/>
      </w:divBdr>
    </w:div>
    <w:div w:id="757289413">
      <w:bodyDiv w:val="1"/>
      <w:marLeft w:val="0"/>
      <w:marRight w:val="0"/>
      <w:marTop w:val="0"/>
      <w:marBottom w:val="0"/>
      <w:divBdr>
        <w:top w:val="none" w:sz="0" w:space="0" w:color="auto"/>
        <w:left w:val="none" w:sz="0" w:space="0" w:color="auto"/>
        <w:bottom w:val="none" w:sz="0" w:space="0" w:color="auto"/>
        <w:right w:val="none" w:sz="0" w:space="0" w:color="auto"/>
      </w:divBdr>
    </w:div>
    <w:div w:id="768162545">
      <w:bodyDiv w:val="1"/>
      <w:marLeft w:val="0"/>
      <w:marRight w:val="0"/>
      <w:marTop w:val="0"/>
      <w:marBottom w:val="0"/>
      <w:divBdr>
        <w:top w:val="none" w:sz="0" w:space="0" w:color="auto"/>
        <w:left w:val="none" w:sz="0" w:space="0" w:color="auto"/>
        <w:bottom w:val="none" w:sz="0" w:space="0" w:color="auto"/>
        <w:right w:val="none" w:sz="0" w:space="0" w:color="auto"/>
      </w:divBdr>
    </w:div>
    <w:div w:id="775365894">
      <w:bodyDiv w:val="1"/>
      <w:marLeft w:val="0"/>
      <w:marRight w:val="0"/>
      <w:marTop w:val="0"/>
      <w:marBottom w:val="0"/>
      <w:divBdr>
        <w:top w:val="none" w:sz="0" w:space="0" w:color="auto"/>
        <w:left w:val="none" w:sz="0" w:space="0" w:color="auto"/>
        <w:bottom w:val="none" w:sz="0" w:space="0" w:color="auto"/>
        <w:right w:val="none" w:sz="0" w:space="0" w:color="auto"/>
      </w:divBdr>
    </w:div>
    <w:div w:id="800609050">
      <w:bodyDiv w:val="1"/>
      <w:marLeft w:val="0"/>
      <w:marRight w:val="0"/>
      <w:marTop w:val="0"/>
      <w:marBottom w:val="0"/>
      <w:divBdr>
        <w:top w:val="none" w:sz="0" w:space="0" w:color="auto"/>
        <w:left w:val="none" w:sz="0" w:space="0" w:color="auto"/>
        <w:bottom w:val="none" w:sz="0" w:space="0" w:color="auto"/>
        <w:right w:val="none" w:sz="0" w:space="0" w:color="auto"/>
      </w:divBdr>
    </w:div>
    <w:div w:id="813722243">
      <w:bodyDiv w:val="1"/>
      <w:marLeft w:val="0"/>
      <w:marRight w:val="0"/>
      <w:marTop w:val="0"/>
      <w:marBottom w:val="0"/>
      <w:divBdr>
        <w:top w:val="none" w:sz="0" w:space="0" w:color="auto"/>
        <w:left w:val="none" w:sz="0" w:space="0" w:color="auto"/>
        <w:bottom w:val="none" w:sz="0" w:space="0" w:color="auto"/>
        <w:right w:val="none" w:sz="0" w:space="0" w:color="auto"/>
      </w:divBdr>
    </w:div>
    <w:div w:id="830678518">
      <w:bodyDiv w:val="1"/>
      <w:marLeft w:val="0"/>
      <w:marRight w:val="0"/>
      <w:marTop w:val="0"/>
      <w:marBottom w:val="0"/>
      <w:divBdr>
        <w:top w:val="none" w:sz="0" w:space="0" w:color="auto"/>
        <w:left w:val="none" w:sz="0" w:space="0" w:color="auto"/>
        <w:bottom w:val="none" w:sz="0" w:space="0" w:color="auto"/>
        <w:right w:val="none" w:sz="0" w:space="0" w:color="auto"/>
      </w:divBdr>
    </w:div>
    <w:div w:id="865486232">
      <w:bodyDiv w:val="1"/>
      <w:marLeft w:val="0"/>
      <w:marRight w:val="0"/>
      <w:marTop w:val="0"/>
      <w:marBottom w:val="0"/>
      <w:divBdr>
        <w:top w:val="none" w:sz="0" w:space="0" w:color="auto"/>
        <w:left w:val="none" w:sz="0" w:space="0" w:color="auto"/>
        <w:bottom w:val="none" w:sz="0" w:space="0" w:color="auto"/>
        <w:right w:val="none" w:sz="0" w:space="0" w:color="auto"/>
      </w:divBdr>
    </w:div>
    <w:div w:id="866136487">
      <w:bodyDiv w:val="1"/>
      <w:marLeft w:val="0"/>
      <w:marRight w:val="0"/>
      <w:marTop w:val="0"/>
      <w:marBottom w:val="0"/>
      <w:divBdr>
        <w:top w:val="none" w:sz="0" w:space="0" w:color="auto"/>
        <w:left w:val="none" w:sz="0" w:space="0" w:color="auto"/>
        <w:bottom w:val="none" w:sz="0" w:space="0" w:color="auto"/>
        <w:right w:val="none" w:sz="0" w:space="0" w:color="auto"/>
      </w:divBdr>
    </w:div>
    <w:div w:id="892933185">
      <w:bodyDiv w:val="1"/>
      <w:marLeft w:val="0"/>
      <w:marRight w:val="0"/>
      <w:marTop w:val="0"/>
      <w:marBottom w:val="0"/>
      <w:divBdr>
        <w:top w:val="none" w:sz="0" w:space="0" w:color="auto"/>
        <w:left w:val="none" w:sz="0" w:space="0" w:color="auto"/>
        <w:bottom w:val="none" w:sz="0" w:space="0" w:color="auto"/>
        <w:right w:val="none" w:sz="0" w:space="0" w:color="auto"/>
      </w:divBdr>
    </w:div>
    <w:div w:id="916790934">
      <w:bodyDiv w:val="1"/>
      <w:marLeft w:val="0"/>
      <w:marRight w:val="0"/>
      <w:marTop w:val="0"/>
      <w:marBottom w:val="0"/>
      <w:divBdr>
        <w:top w:val="none" w:sz="0" w:space="0" w:color="auto"/>
        <w:left w:val="none" w:sz="0" w:space="0" w:color="auto"/>
        <w:bottom w:val="none" w:sz="0" w:space="0" w:color="auto"/>
        <w:right w:val="none" w:sz="0" w:space="0" w:color="auto"/>
      </w:divBdr>
    </w:div>
    <w:div w:id="916792929">
      <w:bodyDiv w:val="1"/>
      <w:marLeft w:val="0"/>
      <w:marRight w:val="0"/>
      <w:marTop w:val="0"/>
      <w:marBottom w:val="0"/>
      <w:divBdr>
        <w:top w:val="none" w:sz="0" w:space="0" w:color="auto"/>
        <w:left w:val="none" w:sz="0" w:space="0" w:color="auto"/>
        <w:bottom w:val="none" w:sz="0" w:space="0" w:color="auto"/>
        <w:right w:val="none" w:sz="0" w:space="0" w:color="auto"/>
      </w:divBdr>
    </w:div>
    <w:div w:id="957881632">
      <w:bodyDiv w:val="1"/>
      <w:marLeft w:val="0"/>
      <w:marRight w:val="0"/>
      <w:marTop w:val="0"/>
      <w:marBottom w:val="0"/>
      <w:divBdr>
        <w:top w:val="none" w:sz="0" w:space="0" w:color="auto"/>
        <w:left w:val="none" w:sz="0" w:space="0" w:color="auto"/>
        <w:bottom w:val="none" w:sz="0" w:space="0" w:color="auto"/>
        <w:right w:val="none" w:sz="0" w:space="0" w:color="auto"/>
      </w:divBdr>
    </w:div>
    <w:div w:id="973217127">
      <w:bodyDiv w:val="1"/>
      <w:marLeft w:val="0"/>
      <w:marRight w:val="0"/>
      <w:marTop w:val="0"/>
      <w:marBottom w:val="0"/>
      <w:divBdr>
        <w:top w:val="none" w:sz="0" w:space="0" w:color="auto"/>
        <w:left w:val="none" w:sz="0" w:space="0" w:color="auto"/>
        <w:bottom w:val="none" w:sz="0" w:space="0" w:color="auto"/>
        <w:right w:val="none" w:sz="0" w:space="0" w:color="auto"/>
      </w:divBdr>
    </w:div>
    <w:div w:id="975724466">
      <w:bodyDiv w:val="1"/>
      <w:marLeft w:val="0"/>
      <w:marRight w:val="0"/>
      <w:marTop w:val="0"/>
      <w:marBottom w:val="0"/>
      <w:divBdr>
        <w:top w:val="none" w:sz="0" w:space="0" w:color="auto"/>
        <w:left w:val="none" w:sz="0" w:space="0" w:color="auto"/>
        <w:bottom w:val="none" w:sz="0" w:space="0" w:color="auto"/>
        <w:right w:val="none" w:sz="0" w:space="0" w:color="auto"/>
      </w:divBdr>
    </w:div>
    <w:div w:id="986590641">
      <w:bodyDiv w:val="1"/>
      <w:marLeft w:val="0"/>
      <w:marRight w:val="0"/>
      <w:marTop w:val="0"/>
      <w:marBottom w:val="0"/>
      <w:divBdr>
        <w:top w:val="none" w:sz="0" w:space="0" w:color="auto"/>
        <w:left w:val="none" w:sz="0" w:space="0" w:color="auto"/>
        <w:bottom w:val="none" w:sz="0" w:space="0" w:color="auto"/>
        <w:right w:val="none" w:sz="0" w:space="0" w:color="auto"/>
      </w:divBdr>
    </w:div>
    <w:div w:id="992758071">
      <w:bodyDiv w:val="1"/>
      <w:marLeft w:val="0"/>
      <w:marRight w:val="0"/>
      <w:marTop w:val="0"/>
      <w:marBottom w:val="0"/>
      <w:divBdr>
        <w:top w:val="none" w:sz="0" w:space="0" w:color="auto"/>
        <w:left w:val="none" w:sz="0" w:space="0" w:color="auto"/>
        <w:bottom w:val="none" w:sz="0" w:space="0" w:color="auto"/>
        <w:right w:val="none" w:sz="0" w:space="0" w:color="auto"/>
      </w:divBdr>
    </w:div>
    <w:div w:id="1001198219">
      <w:bodyDiv w:val="1"/>
      <w:marLeft w:val="0"/>
      <w:marRight w:val="0"/>
      <w:marTop w:val="0"/>
      <w:marBottom w:val="0"/>
      <w:divBdr>
        <w:top w:val="none" w:sz="0" w:space="0" w:color="auto"/>
        <w:left w:val="none" w:sz="0" w:space="0" w:color="auto"/>
        <w:bottom w:val="none" w:sz="0" w:space="0" w:color="auto"/>
        <w:right w:val="none" w:sz="0" w:space="0" w:color="auto"/>
      </w:divBdr>
    </w:div>
    <w:div w:id="1003238105">
      <w:bodyDiv w:val="1"/>
      <w:marLeft w:val="0"/>
      <w:marRight w:val="0"/>
      <w:marTop w:val="0"/>
      <w:marBottom w:val="0"/>
      <w:divBdr>
        <w:top w:val="none" w:sz="0" w:space="0" w:color="auto"/>
        <w:left w:val="none" w:sz="0" w:space="0" w:color="auto"/>
        <w:bottom w:val="none" w:sz="0" w:space="0" w:color="auto"/>
        <w:right w:val="none" w:sz="0" w:space="0" w:color="auto"/>
      </w:divBdr>
    </w:div>
    <w:div w:id="1009984336">
      <w:bodyDiv w:val="1"/>
      <w:marLeft w:val="0"/>
      <w:marRight w:val="0"/>
      <w:marTop w:val="0"/>
      <w:marBottom w:val="0"/>
      <w:divBdr>
        <w:top w:val="none" w:sz="0" w:space="0" w:color="auto"/>
        <w:left w:val="none" w:sz="0" w:space="0" w:color="auto"/>
        <w:bottom w:val="none" w:sz="0" w:space="0" w:color="auto"/>
        <w:right w:val="none" w:sz="0" w:space="0" w:color="auto"/>
      </w:divBdr>
    </w:div>
    <w:div w:id="1011882898">
      <w:bodyDiv w:val="1"/>
      <w:marLeft w:val="0"/>
      <w:marRight w:val="0"/>
      <w:marTop w:val="0"/>
      <w:marBottom w:val="0"/>
      <w:divBdr>
        <w:top w:val="none" w:sz="0" w:space="0" w:color="auto"/>
        <w:left w:val="none" w:sz="0" w:space="0" w:color="auto"/>
        <w:bottom w:val="none" w:sz="0" w:space="0" w:color="auto"/>
        <w:right w:val="none" w:sz="0" w:space="0" w:color="auto"/>
      </w:divBdr>
    </w:div>
    <w:div w:id="1020468079">
      <w:bodyDiv w:val="1"/>
      <w:marLeft w:val="0"/>
      <w:marRight w:val="0"/>
      <w:marTop w:val="0"/>
      <w:marBottom w:val="0"/>
      <w:divBdr>
        <w:top w:val="none" w:sz="0" w:space="0" w:color="auto"/>
        <w:left w:val="none" w:sz="0" w:space="0" w:color="auto"/>
        <w:bottom w:val="none" w:sz="0" w:space="0" w:color="auto"/>
        <w:right w:val="none" w:sz="0" w:space="0" w:color="auto"/>
      </w:divBdr>
    </w:div>
    <w:div w:id="1022778789">
      <w:bodyDiv w:val="1"/>
      <w:marLeft w:val="0"/>
      <w:marRight w:val="0"/>
      <w:marTop w:val="0"/>
      <w:marBottom w:val="0"/>
      <w:divBdr>
        <w:top w:val="none" w:sz="0" w:space="0" w:color="auto"/>
        <w:left w:val="none" w:sz="0" w:space="0" w:color="auto"/>
        <w:bottom w:val="none" w:sz="0" w:space="0" w:color="auto"/>
        <w:right w:val="none" w:sz="0" w:space="0" w:color="auto"/>
      </w:divBdr>
    </w:div>
    <w:div w:id="1023357808">
      <w:bodyDiv w:val="1"/>
      <w:marLeft w:val="0"/>
      <w:marRight w:val="0"/>
      <w:marTop w:val="0"/>
      <w:marBottom w:val="0"/>
      <w:divBdr>
        <w:top w:val="none" w:sz="0" w:space="0" w:color="auto"/>
        <w:left w:val="none" w:sz="0" w:space="0" w:color="auto"/>
        <w:bottom w:val="none" w:sz="0" w:space="0" w:color="auto"/>
        <w:right w:val="none" w:sz="0" w:space="0" w:color="auto"/>
      </w:divBdr>
    </w:div>
    <w:div w:id="1039624669">
      <w:bodyDiv w:val="1"/>
      <w:marLeft w:val="0"/>
      <w:marRight w:val="0"/>
      <w:marTop w:val="0"/>
      <w:marBottom w:val="0"/>
      <w:divBdr>
        <w:top w:val="none" w:sz="0" w:space="0" w:color="auto"/>
        <w:left w:val="none" w:sz="0" w:space="0" w:color="auto"/>
        <w:bottom w:val="none" w:sz="0" w:space="0" w:color="auto"/>
        <w:right w:val="none" w:sz="0" w:space="0" w:color="auto"/>
      </w:divBdr>
    </w:div>
    <w:div w:id="1041131284">
      <w:bodyDiv w:val="1"/>
      <w:marLeft w:val="0"/>
      <w:marRight w:val="0"/>
      <w:marTop w:val="0"/>
      <w:marBottom w:val="0"/>
      <w:divBdr>
        <w:top w:val="none" w:sz="0" w:space="0" w:color="auto"/>
        <w:left w:val="none" w:sz="0" w:space="0" w:color="auto"/>
        <w:bottom w:val="none" w:sz="0" w:space="0" w:color="auto"/>
        <w:right w:val="none" w:sz="0" w:space="0" w:color="auto"/>
      </w:divBdr>
    </w:div>
    <w:div w:id="1063332339">
      <w:bodyDiv w:val="1"/>
      <w:marLeft w:val="0"/>
      <w:marRight w:val="0"/>
      <w:marTop w:val="0"/>
      <w:marBottom w:val="0"/>
      <w:divBdr>
        <w:top w:val="none" w:sz="0" w:space="0" w:color="auto"/>
        <w:left w:val="none" w:sz="0" w:space="0" w:color="auto"/>
        <w:bottom w:val="none" w:sz="0" w:space="0" w:color="auto"/>
        <w:right w:val="none" w:sz="0" w:space="0" w:color="auto"/>
      </w:divBdr>
    </w:div>
    <w:div w:id="1075205284">
      <w:bodyDiv w:val="1"/>
      <w:marLeft w:val="0"/>
      <w:marRight w:val="0"/>
      <w:marTop w:val="0"/>
      <w:marBottom w:val="0"/>
      <w:divBdr>
        <w:top w:val="none" w:sz="0" w:space="0" w:color="auto"/>
        <w:left w:val="none" w:sz="0" w:space="0" w:color="auto"/>
        <w:bottom w:val="none" w:sz="0" w:space="0" w:color="auto"/>
        <w:right w:val="none" w:sz="0" w:space="0" w:color="auto"/>
      </w:divBdr>
    </w:div>
    <w:div w:id="1075980625">
      <w:bodyDiv w:val="1"/>
      <w:marLeft w:val="0"/>
      <w:marRight w:val="0"/>
      <w:marTop w:val="0"/>
      <w:marBottom w:val="0"/>
      <w:divBdr>
        <w:top w:val="none" w:sz="0" w:space="0" w:color="auto"/>
        <w:left w:val="none" w:sz="0" w:space="0" w:color="auto"/>
        <w:bottom w:val="none" w:sz="0" w:space="0" w:color="auto"/>
        <w:right w:val="none" w:sz="0" w:space="0" w:color="auto"/>
      </w:divBdr>
    </w:div>
    <w:div w:id="1089277315">
      <w:bodyDiv w:val="1"/>
      <w:marLeft w:val="0"/>
      <w:marRight w:val="0"/>
      <w:marTop w:val="0"/>
      <w:marBottom w:val="0"/>
      <w:divBdr>
        <w:top w:val="none" w:sz="0" w:space="0" w:color="auto"/>
        <w:left w:val="none" w:sz="0" w:space="0" w:color="auto"/>
        <w:bottom w:val="none" w:sz="0" w:space="0" w:color="auto"/>
        <w:right w:val="none" w:sz="0" w:space="0" w:color="auto"/>
      </w:divBdr>
    </w:div>
    <w:div w:id="1106729375">
      <w:bodyDiv w:val="1"/>
      <w:marLeft w:val="0"/>
      <w:marRight w:val="0"/>
      <w:marTop w:val="0"/>
      <w:marBottom w:val="0"/>
      <w:divBdr>
        <w:top w:val="none" w:sz="0" w:space="0" w:color="auto"/>
        <w:left w:val="none" w:sz="0" w:space="0" w:color="auto"/>
        <w:bottom w:val="none" w:sz="0" w:space="0" w:color="auto"/>
        <w:right w:val="none" w:sz="0" w:space="0" w:color="auto"/>
      </w:divBdr>
    </w:div>
    <w:div w:id="1114522532">
      <w:bodyDiv w:val="1"/>
      <w:marLeft w:val="0"/>
      <w:marRight w:val="0"/>
      <w:marTop w:val="0"/>
      <w:marBottom w:val="0"/>
      <w:divBdr>
        <w:top w:val="none" w:sz="0" w:space="0" w:color="auto"/>
        <w:left w:val="none" w:sz="0" w:space="0" w:color="auto"/>
        <w:bottom w:val="none" w:sz="0" w:space="0" w:color="auto"/>
        <w:right w:val="none" w:sz="0" w:space="0" w:color="auto"/>
      </w:divBdr>
    </w:div>
    <w:div w:id="1120804831">
      <w:bodyDiv w:val="1"/>
      <w:marLeft w:val="0"/>
      <w:marRight w:val="0"/>
      <w:marTop w:val="0"/>
      <w:marBottom w:val="0"/>
      <w:divBdr>
        <w:top w:val="none" w:sz="0" w:space="0" w:color="auto"/>
        <w:left w:val="none" w:sz="0" w:space="0" w:color="auto"/>
        <w:bottom w:val="none" w:sz="0" w:space="0" w:color="auto"/>
        <w:right w:val="none" w:sz="0" w:space="0" w:color="auto"/>
      </w:divBdr>
    </w:div>
    <w:div w:id="1148087304">
      <w:bodyDiv w:val="1"/>
      <w:marLeft w:val="0"/>
      <w:marRight w:val="0"/>
      <w:marTop w:val="0"/>
      <w:marBottom w:val="0"/>
      <w:divBdr>
        <w:top w:val="none" w:sz="0" w:space="0" w:color="auto"/>
        <w:left w:val="none" w:sz="0" w:space="0" w:color="auto"/>
        <w:bottom w:val="none" w:sz="0" w:space="0" w:color="auto"/>
        <w:right w:val="none" w:sz="0" w:space="0" w:color="auto"/>
      </w:divBdr>
    </w:div>
    <w:div w:id="1156803966">
      <w:bodyDiv w:val="1"/>
      <w:marLeft w:val="0"/>
      <w:marRight w:val="0"/>
      <w:marTop w:val="0"/>
      <w:marBottom w:val="0"/>
      <w:divBdr>
        <w:top w:val="none" w:sz="0" w:space="0" w:color="auto"/>
        <w:left w:val="none" w:sz="0" w:space="0" w:color="auto"/>
        <w:bottom w:val="none" w:sz="0" w:space="0" w:color="auto"/>
        <w:right w:val="none" w:sz="0" w:space="0" w:color="auto"/>
      </w:divBdr>
    </w:div>
    <w:div w:id="1163617295">
      <w:bodyDiv w:val="1"/>
      <w:marLeft w:val="0"/>
      <w:marRight w:val="0"/>
      <w:marTop w:val="0"/>
      <w:marBottom w:val="0"/>
      <w:divBdr>
        <w:top w:val="none" w:sz="0" w:space="0" w:color="auto"/>
        <w:left w:val="none" w:sz="0" w:space="0" w:color="auto"/>
        <w:bottom w:val="none" w:sz="0" w:space="0" w:color="auto"/>
        <w:right w:val="none" w:sz="0" w:space="0" w:color="auto"/>
      </w:divBdr>
      <w:divsChild>
        <w:div w:id="2075347975">
          <w:marLeft w:val="0"/>
          <w:marRight w:val="0"/>
          <w:marTop w:val="0"/>
          <w:marBottom w:val="0"/>
          <w:divBdr>
            <w:top w:val="none" w:sz="0" w:space="0" w:color="auto"/>
            <w:left w:val="none" w:sz="0" w:space="0" w:color="auto"/>
            <w:bottom w:val="none" w:sz="0" w:space="0" w:color="auto"/>
            <w:right w:val="none" w:sz="0" w:space="0" w:color="auto"/>
          </w:divBdr>
          <w:divsChild>
            <w:div w:id="140196007">
              <w:marLeft w:val="0"/>
              <w:marRight w:val="0"/>
              <w:marTop w:val="0"/>
              <w:marBottom w:val="0"/>
              <w:divBdr>
                <w:top w:val="none" w:sz="0" w:space="0" w:color="auto"/>
                <w:left w:val="none" w:sz="0" w:space="0" w:color="auto"/>
                <w:bottom w:val="none" w:sz="0" w:space="0" w:color="auto"/>
                <w:right w:val="none" w:sz="0" w:space="0" w:color="auto"/>
              </w:divBdr>
              <w:divsChild>
                <w:div w:id="1508444367">
                  <w:marLeft w:val="0"/>
                  <w:marRight w:val="0"/>
                  <w:marTop w:val="0"/>
                  <w:marBottom w:val="0"/>
                  <w:divBdr>
                    <w:top w:val="none" w:sz="0" w:space="0" w:color="auto"/>
                    <w:left w:val="none" w:sz="0" w:space="0" w:color="auto"/>
                    <w:bottom w:val="none" w:sz="0" w:space="0" w:color="auto"/>
                    <w:right w:val="none" w:sz="0" w:space="0" w:color="auto"/>
                  </w:divBdr>
                  <w:divsChild>
                    <w:div w:id="367726989">
                      <w:marLeft w:val="0"/>
                      <w:marRight w:val="0"/>
                      <w:marTop w:val="0"/>
                      <w:marBottom w:val="0"/>
                      <w:divBdr>
                        <w:top w:val="none" w:sz="0" w:space="0" w:color="auto"/>
                        <w:left w:val="none" w:sz="0" w:space="0" w:color="auto"/>
                        <w:bottom w:val="none" w:sz="0" w:space="0" w:color="auto"/>
                        <w:right w:val="none" w:sz="0" w:space="0" w:color="auto"/>
                      </w:divBdr>
                      <w:divsChild>
                        <w:div w:id="1332414115">
                          <w:marLeft w:val="0"/>
                          <w:marRight w:val="0"/>
                          <w:marTop w:val="0"/>
                          <w:marBottom w:val="0"/>
                          <w:divBdr>
                            <w:top w:val="none" w:sz="0" w:space="0" w:color="auto"/>
                            <w:left w:val="none" w:sz="0" w:space="0" w:color="auto"/>
                            <w:bottom w:val="none" w:sz="0" w:space="0" w:color="auto"/>
                            <w:right w:val="none" w:sz="0" w:space="0" w:color="auto"/>
                          </w:divBdr>
                          <w:divsChild>
                            <w:div w:id="4386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082836">
      <w:bodyDiv w:val="1"/>
      <w:marLeft w:val="0"/>
      <w:marRight w:val="0"/>
      <w:marTop w:val="0"/>
      <w:marBottom w:val="0"/>
      <w:divBdr>
        <w:top w:val="none" w:sz="0" w:space="0" w:color="auto"/>
        <w:left w:val="none" w:sz="0" w:space="0" w:color="auto"/>
        <w:bottom w:val="none" w:sz="0" w:space="0" w:color="auto"/>
        <w:right w:val="none" w:sz="0" w:space="0" w:color="auto"/>
      </w:divBdr>
    </w:div>
    <w:div w:id="1165821487">
      <w:bodyDiv w:val="1"/>
      <w:marLeft w:val="0"/>
      <w:marRight w:val="0"/>
      <w:marTop w:val="0"/>
      <w:marBottom w:val="0"/>
      <w:divBdr>
        <w:top w:val="none" w:sz="0" w:space="0" w:color="auto"/>
        <w:left w:val="none" w:sz="0" w:space="0" w:color="auto"/>
        <w:bottom w:val="none" w:sz="0" w:space="0" w:color="auto"/>
        <w:right w:val="none" w:sz="0" w:space="0" w:color="auto"/>
      </w:divBdr>
    </w:div>
    <w:div w:id="1167790126">
      <w:bodyDiv w:val="1"/>
      <w:marLeft w:val="0"/>
      <w:marRight w:val="0"/>
      <w:marTop w:val="0"/>
      <w:marBottom w:val="0"/>
      <w:divBdr>
        <w:top w:val="none" w:sz="0" w:space="0" w:color="auto"/>
        <w:left w:val="none" w:sz="0" w:space="0" w:color="auto"/>
        <w:bottom w:val="none" w:sz="0" w:space="0" w:color="auto"/>
        <w:right w:val="none" w:sz="0" w:space="0" w:color="auto"/>
      </w:divBdr>
    </w:div>
    <w:div w:id="1168403215">
      <w:bodyDiv w:val="1"/>
      <w:marLeft w:val="0"/>
      <w:marRight w:val="0"/>
      <w:marTop w:val="0"/>
      <w:marBottom w:val="0"/>
      <w:divBdr>
        <w:top w:val="none" w:sz="0" w:space="0" w:color="auto"/>
        <w:left w:val="none" w:sz="0" w:space="0" w:color="auto"/>
        <w:bottom w:val="none" w:sz="0" w:space="0" w:color="auto"/>
        <w:right w:val="none" w:sz="0" w:space="0" w:color="auto"/>
      </w:divBdr>
    </w:div>
    <w:div w:id="1180705441">
      <w:bodyDiv w:val="1"/>
      <w:marLeft w:val="0"/>
      <w:marRight w:val="0"/>
      <w:marTop w:val="0"/>
      <w:marBottom w:val="0"/>
      <w:divBdr>
        <w:top w:val="none" w:sz="0" w:space="0" w:color="auto"/>
        <w:left w:val="none" w:sz="0" w:space="0" w:color="auto"/>
        <w:bottom w:val="none" w:sz="0" w:space="0" w:color="auto"/>
        <w:right w:val="none" w:sz="0" w:space="0" w:color="auto"/>
      </w:divBdr>
    </w:div>
    <w:div w:id="1181941798">
      <w:bodyDiv w:val="1"/>
      <w:marLeft w:val="0"/>
      <w:marRight w:val="0"/>
      <w:marTop w:val="0"/>
      <w:marBottom w:val="0"/>
      <w:divBdr>
        <w:top w:val="none" w:sz="0" w:space="0" w:color="auto"/>
        <w:left w:val="none" w:sz="0" w:space="0" w:color="auto"/>
        <w:bottom w:val="none" w:sz="0" w:space="0" w:color="auto"/>
        <w:right w:val="none" w:sz="0" w:space="0" w:color="auto"/>
      </w:divBdr>
    </w:div>
    <w:div w:id="1182280155">
      <w:bodyDiv w:val="1"/>
      <w:marLeft w:val="0"/>
      <w:marRight w:val="0"/>
      <w:marTop w:val="0"/>
      <w:marBottom w:val="0"/>
      <w:divBdr>
        <w:top w:val="none" w:sz="0" w:space="0" w:color="auto"/>
        <w:left w:val="none" w:sz="0" w:space="0" w:color="auto"/>
        <w:bottom w:val="none" w:sz="0" w:space="0" w:color="auto"/>
        <w:right w:val="none" w:sz="0" w:space="0" w:color="auto"/>
      </w:divBdr>
    </w:div>
    <w:div w:id="1188174186">
      <w:bodyDiv w:val="1"/>
      <w:marLeft w:val="0"/>
      <w:marRight w:val="0"/>
      <w:marTop w:val="0"/>
      <w:marBottom w:val="0"/>
      <w:divBdr>
        <w:top w:val="none" w:sz="0" w:space="0" w:color="auto"/>
        <w:left w:val="none" w:sz="0" w:space="0" w:color="auto"/>
        <w:bottom w:val="none" w:sz="0" w:space="0" w:color="auto"/>
        <w:right w:val="none" w:sz="0" w:space="0" w:color="auto"/>
      </w:divBdr>
    </w:div>
    <w:div w:id="1189566689">
      <w:bodyDiv w:val="1"/>
      <w:marLeft w:val="0"/>
      <w:marRight w:val="0"/>
      <w:marTop w:val="0"/>
      <w:marBottom w:val="0"/>
      <w:divBdr>
        <w:top w:val="none" w:sz="0" w:space="0" w:color="auto"/>
        <w:left w:val="none" w:sz="0" w:space="0" w:color="auto"/>
        <w:bottom w:val="none" w:sz="0" w:space="0" w:color="auto"/>
        <w:right w:val="none" w:sz="0" w:space="0" w:color="auto"/>
      </w:divBdr>
    </w:div>
    <w:div w:id="1196892203">
      <w:bodyDiv w:val="1"/>
      <w:marLeft w:val="0"/>
      <w:marRight w:val="0"/>
      <w:marTop w:val="0"/>
      <w:marBottom w:val="0"/>
      <w:divBdr>
        <w:top w:val="none" w:sz="0" w:space="0" w:color="auto"/>
        <w:left w:val="none" w:sz="0" w:space="0" w:color="auto"/>
        <w:bottom w:val="none" w:sz="0" w:space="0" w:color="auto"/>
        <w:right w:val="none" w:sz="0" w:space="0" w:color="auto"/>
      </w:divBdr>
    </w:div>
    <w:div w:id="1203127501">
      <w:bodyDiv w:val="1"/>
      <w:marLeft w:val="0"/>
      <w:marRight w:val="0"/>
      <w:marTop w:val="0"/>
      <w:marBottom w:val="0"/>
      <w:divBdr>
        <w:top w:val="none" w:sz="0" w:space="0" w:color="auto"/>
        <w:left w:val="none" w:sz="0" w:space="0" w:color="auto"/>
        <w:bottom w:val="none" w:sz="0" w:space="0" w:color="auto"/>
        <w:right w:val="none" w:sz="0" w:space="0" w:color="auto"/>
      </w:divBdr>
    </w:div>
    <w:div w:id="1210994611">
      <w:bodyDiv w:val="1"/>
      <w:marLeft w:val="0"/>
      <w:marRight w:val="0"/>
      <w:marTop w:val="0"/>
      <w:marBottom w:val="0"/>
      <w:divBdr>
        <w:top w:val="none" w:sz="0" w:space="0" w:color="auto"/>
        <w:left w:val="none" w:sz="0" w:space="0" w:color="auto"/>
        <w:bottom w:val="none" w:sz="0" w:space="0" w:color="auto"/>
        <w:right w:val="none" w:sz="0" w:space="0" w:color="auto"/>
      </w:divBdr>
    </w:div>
    <w:div w:id="1227375702">
      <w:bodyDiv w:val="1"/>
      <w:marLeft w:val="0"/>
      <w:marRight w:val="0"/>
      <w:marTop w:val="0"/>
      <w:marBottom w:val="0"/>
      <w:divBdr>
        <w:top w:val="none" w:sz="0" w:space="0" w:color="auto"/>
        <w:left w:val="none" w:sz="0" w:space="0" w:color="auto"/>
        <w:bottom w:val="none" w:sz="0" w:space="0" w:color="auto"/>
        <w:right w:val="none" w:sz="0" w:space="0" w:color="auto"/>
      </w:divBdr>
    </w:div>
    <w:div w:id="1229877234">
      <w:bodyDiv w:val="1"/>
      <w:marLeft w:val="0"/>
      <w:marRight w:val="0"/>
      <w:marTop w:val="0"/>
      <w:marBottom w:val="0"/>
      <w:divBdr>
        <w:top w:val="none" w:sz="0" w:space="0" w:color="auto"/>
        <w:left w:val="none" w:sz="0" w:space="0" w:color="auto"/>
        <w:bottom w:val="none" w:sz="0" w:space="0" w:color="auto"/>
        <w:right w:val="none" w:sz="0" w:space="0" w:color="auto"/>
      </w:divBdr>
    </w:div>
    <w:div w:id="1230455780">
      <w:bodyDiv w:val="1"/>
      <w:marLeft w:val="0"/>
      <w:marRight w:val="0"/>
      <w:marTop w:val="0"/>
      <w:marBottom w:val="0"/>
      <w:divBdr>
        <w:top w:val="none" w:sz="0" w:space="0" w:color="auto"/>
        <w:left w:val="none" w:sz="0" w:space="0" w:color="auto"/>
        <w:bottom w:val="none" w:sz="0" w:space="0" w:color="auto"/>
        <w:right w:val="none" w:sz="0" w:space="0" w:color="auto"/>
      </w:divBdr>
    </w:div>
    <w:div w:id="1249001458">
      <w:bodyDiv w:val="1"/>
      <w:marLeft w:val="0"/>
      <w:marRight w:val="0"/>
      <w:marTop w:val="0"/>
      <w:marBottom w:val="0"/>
      <w:divBdr>
        <w:top w:val="none" w:sz="0" w:space="0" w:color="auto"/>
        <w:left w:val="none" w:sz="0" w:space="0" w:color="auto"/>
        <w:bottom w:val="none" w:sz="0" w:space="0" w:color="auto"/>
        <w:right w:val="none" w:sz="0" w:space="0" w:color="auto"/>
      </w:divBdr>
    </w:div>
    <w:div w:id="1249852377">
      <w:bodyDiv w:val="1"/>
      <w:marLeft w:val="0"/>
      <w:marRight w:val="0"/>
      <w:marTop w:val="0"/>
      <w:marBottom w:val="0"/>
      <w:divBdr>
        <w:top w:val="none" w:sz="0" w:space="0" w:color="auto"/>
        <w:left w:val="none" w:sz="0" w:space="0" w:color="auto"/>
        <w:bottom w:val="none" w:sz="0" w:space="0" w:color="auto"/>
        <w:right w:val="none" w:sz="0" w:space="0" w:color="auto"/>
      </w:divBdr>
    </w:div>
    <w:div w:id="1251893122">
      <w:bodyDiv w:val="1"/>
      <w:marLeft w:val="0"/>
      <w:marRight w:val="0"/>
      <w:marTop w:val="0"/>
      <w:marBottom w:val="0"/>
      <w:divBdr>
        <w:top w:val="none" w:sz="0" w:space="0" w:color="auto"/>
        <w:left w:val="none" w:sz="0" w:space="0" w:color="auto"/>
        <w:bottom w:val="none" w:sz="0" w:space="0" w:color="auto"/>
        <w:right w:val="none" w:sz="0" w:space="0" w:color="auto"/>
      </w:divBdr>
    </w:div>
    <w:div w:id="1271664862">
      <w:bodyDiv w:val="1"/>
      <w:marLeft w:val="0"/>
      <w:marRight w:val="0"/>
      <w:marTop w:val="0"/>
      <w:marBottom w:val="0"/>
      <w:divBdr>
        <w:top w:val="none" w:sz="0" w:space="0" w:color="auto"/>
        <w:left w:val="none" w:sz="0" w:space="0" w:color="auto"/>
        <w:bottom w:val="none" w:sz="0" w:space="0" w:color="auto"/>
        <w:right w:val="none" w:sz="0" w:space="0" w:color="auto"/>
      </w:divBdr>
    </w:div>
    <w:div w:id="1276714714">
      <w:bodyDiv w:val="1"/>
      <w:marLeft w:val="0"/>
      <w:marRight w:val="0"/>
      <w:marTop w:val="0"/>
      <w:marBottom w:val="0"/>
      <w:divBdr>
        <w:top w:val="none" w:sz="0" w:space="0" w:color="auto"/>
        <w:left w:val="none" w:sz="0" w:space="0" w:color="auto"/>
        <w:bottom w:val="none" w:sz="0" w:space="0" w:color="auto"/>
        <w:right w:val="none" w:sz="0" w:space="0" w:color="auto"/>
      </w:divBdr>
    </w:div>
    <w:div w:id="1287471872">
      <w:bodyDiv w:val="1"/>
      <w:marLeft w:val="0"/>
      <w:marRight w:val="0"/>
      <w:marTop w:val="0"/>
      <w:marBottom w:val="0"/>
      <w:divBdr>
        <w:top w:val="none" w:sz="0" w:space="0" w:color="auto"/>
        <w:left w:val="none" w:sz="0" w:space="0" w:color="auto"/>
        <w:bottom w:val="none" w:sz="0" w:space="0" w:color="auto"/>
        <w:right w:val="none" w:sz="0" w:space="0" w:color="auto"/>
      </w:divBdr>
    </w:div>
    <w:div w:id="1292440001">
      <w:bodyDiv w:val="1"/>
      <w:marLeft w:val="0"/>
      <w:marRight w:val="0"/>
      <w:marTop w:val="0"/>
      <w:marBottom w:val="0"/>
      <w:divBdr>
        <w:top w:val="none" w:sz="0" w:space="0" w:color="auto"/>
        <w:left w:val="none" w:sz="0" w:space="0" w:color="auto"/>
        <w:bottom w:val="none" w:sz="0" w:space="0" w:color="auto"/>
        <w:right w:val="none" w:sz="0" w:space="0" w:color="auto"/>
      </w:divBdr>
    </w:div>
    <w:div w:id="1296837451">
      <w:bodyDiv w:val="1"/>
      <w:marLeft w:val="0"/>
      <w:marRight w:val="0"/>
      <w:marTop w:val="0"/>
      <w:marBottom w:val="0"/>
      <w:divBdr>
        <w:top w:val="none" w:sz="0" w:space="0" w:color="auto"/>
        <w:left w:val="none" w:sz="0" w:space="0" w:color="auto"/>
        <w:bottom w:val="none" w:sz="0" w:space="0" w:color="auto"/>
        <w:right w:val="none" w:sz="0" w:space="0" w:color="auto"/>
      </w:divBdr>
    </w:div>
    <w:div w:id="1298603105">
      <w:bodyDiv w:val="1"/>
      <w:marLeft w:val="0"/>
      <w:marRight w:val="0"/>
      <w:marTop w:val="0"/>
      <w:marBottom w:val="0"/>
      <w:divBdr>
        <w:top w:val="none" w:sz="0" w:space="0" w:color="auto"/>
        <w:left w:val="none" w:sz="0" w:space="0" w:color="auto"/>
        <w:bottom w:val="none" w:sz="0" w:space="0" w:color="auto"/>
        <w:right w:val="none" w:sz="0" w:space="0" w:color="auto"/>
      </w:divBdr>
    </w:div>
    <w:div w:id="1320498044">
      <w:bodyDiv w:val="1"/>
      <w:marLeft w:val="0"/>
      <w:marRight w:val="0"/>
      <w:marTop w:val="0"/>
      <w:marBottom w:val="0"/>
      <w:divBdr>
        <w:top w:val="none" w:sz="0" w:space="0" w:color="auto"/>
        <w:left w:val="none" w:sz="0" w:space="0" w:color="auto"/>
        <w:bottom w:val="none" w:sz="0" w:space="0" w:color="auto"/>
        <w:right w:val="none" w:sz="0" w:space="0" w:color="auto"/>
      </w:divBdr>
    </w:div>
    <w:div w:id="1324774135">
      <w:bodyDiv w:val="1"/>
      <w:marLeft w:val="0"/>
      <w:marRight w:val="0"/>
      <w:marTop w:val="0"/>
      <w:marBottom w:val="0"/>
      <w:divBdr>
        <w:top w:val="none" w:sz="0" w:space="0" w:color="auto"/>
        <w:left w:val="none" w:sz="0" w:space="0" w:color="auto"/>
        <w:bottom w:val="none" w:sz="0" w:space="0" w:color="auto"/>
        <w:right w:val="none" w:sz="0" w:space="0" w:color="auto"/>
      </w:divBdr>
    </w:div>
    <w:div w:id="1327633949">
      <w:bodyDiv w:val="1"/>
      <w:marLeft w:val="0"/>
      <w:marRight w:val="0"/>
      <w:marTop w:val="0"/>
      <w:marBottom w:val="0"/>
      <w:divBdr>
        <w:top w:val="none" w:sz="0" w:space="0" w:color="auto"/>
        <w:left w:val="none" w:sz="0" w:space="0" w:color="auto"/>
        <w:bottom w:val="none" w:sz="0" w:space="0" w:color="auto"/>
        <w:right w:val="none" w:sz="0" w:space="0" w:color="auto"/>
      </w:divBdr>
    </w:div>
    <w:div w:id="1342002635">
      <w:bodyDiv w:val="1"/>
      <w:marLeft w:val="0"/>
      <w:marRight w:val="0"/>
      <w:marTop w:val="0"/>
      <w:marBottom w:val="0"/>
      <w:divBdr>
        <w:top w:val="none" w:sz="0" w:space="0" w:color="auto"/>
        <w:left w:val="none" w:sz="0" w:space="0" w:color="auto"/>
        <w:bottom w:val="none" w:sz="0" w:space="0" w:color="auto"/>
        <w:right w:val="none" w:sz="0" w:space="0" w:color="auto"/>
      </w:divBdr>
    </w:div>
    <w:div w:id="1362512886">
      <w:bodyDiv w:val="1"/>
      <w:marLeft w:val="0"/>
      <w:marRight w:val="0"/>
      <w:marTop w:val="0"/>
      <w:marBottom w:val="0"/>
      <w:divBdr>
        <w:top w:val="none" w:sz="0" w:space="0" w:color="auto"/>
        <w:left w:val="none" w:sz="0" w:space="0" w:color="auto"/>
        <w:bottom w:val="none" w:sz="0" w:space="0" w:color="auto"/>
        <w:right w:val="none" w:sz="0" w:space="0" w:color="auto"/>
      </w:divBdr>
    </w:div>
    <w:div w:id="1428111911">
      <w:bodyDiv w:val="1"/>
      <w:marLeft w:val="0"/>
      <w:marRight w:val="0"/>
      <w:marTop w:val="0"/>
      <w:marBottom w:val="0"/>
      <w:divBdr>
        <w:top w:val="none" w:sz="0" w:space="0" w:color="auto"/>
        <w:left w:val="none" w:sz="0" w:space="0" w:color="auto"/>
        <w:bottom w:val="none" w:sz="0" w:space="0" w:color="auto"/>
        <w:right w:val="none" w:sz="0" w:space="0" w:color="auto"/>
      </w:divBdr>
    </w:div>
    <w:div w:id="1433090926">
      <w:bodyDiv w:val="1"/>
      <w:marLeft w:val="0"/>
      <w:marRight w:val="0"/>
      <w:marTop w:val="0"/>
      <w:marBottom w:val="0"/>
      <w:divBdr>
        <w:top w:val="none" w:sz="0" w:space="0" w:color="auto"/>
        <w:left w:val="none" w:sz="0" w:space="0" w:color="auto"/>
        <w:bottom w:val="none" w:sz="0" w:space="0" w:color="auto"/>
        <w:right w:val="none" w:sz="0" w:space="0" w:color="auto"/>
      </w:divBdr>
    </w:div>
    <w:div w:id="1447581551">
      <w:bodyDiv w:val="1"/>
      <w:marLeft w:val="0"/>
      <w:marRight w:val="0"/>
      <w:marTop w:val="0"/>
      <w:marBottom w:val="0"/>
      <w:divBdr>
        <w:top w:val="none" w:sz="0" w:space="0" w:color="auto"/>
        <w:left w:val="none" w:sz="0" w:space="0" w:color="auto"/>
        <w:bottom w:val="none" w:sz="0" w:space="0" w:color="auto"/>
        <w:right w:val="none" w:sz="0" w:space="0" w:color="auto"/>
      </w:divBdr>
    </w:div>
    <w:div w:id="1454058840">
      <w:bodyDiv w:val="1"/>
      <w:marLeft w:val="0"/>
      <w:marRight w:val="0"/>
      <w:marTop w:val="0"/>
      <w:marBottom w:val="0"/>
      <w:divBdr>
        <w:top w:val="none" w:sz="0" w:space="0" w:color="auto"/>
        <w:left w:val="none" w:sz="0" w:space="0" w:color="auto"/>
        <w:bottom w:val="none" w:sz="0" w:space="0" w:color="auto"/>
        <w:right w:val="none" w:sz="0" w:space="0" w:color="auto"/>
      </w:divBdr>
    </w:div>
    <w:div w:id="1461532214">
      <w:bodyDiv w:val="1"/>
      <w:marLeft w:val="0"/>
      <w:marRight w:val="0"/>
      <w:marTop w:val="0"/>
      <w:marBottom w:val="0"/>
      <w:divBdr>
        <w:top w:val="none" w:sz="0" w:space="0" w:color="auto"/>
        <w:left w:val="none" w:sz="0" w:space="0" w:color="auto"/>
        <w:bottom w:val="none" w:sz="0" w:space="0" w:color="auto"/>
        <w:right w:val="none" w:sz="0" w:space="0" w:color="auto"/>
      </w:divBdr>
    </w:div>
    <w:div w:id="1463304147">
      <w:bodyDiv w:val="1"/>
      <w:marLeft w:val="0"/>
      <w:marRight w:val="0"/>
      <w:marTop w:val="0"/>
      <w:marBottom w:val="0"/>
      <w:divBdr>
        <w:top w:val="none" w:sz="0" w:space="0" w:color="auto"/>
        <w:left w:val="none" w:sz="0" w:space="0" w:color="auto"/>
        <w:bottom w:val="none" w:sz="0" w:space="0" w:color="auto"/>
        <w:right w:val="none" w:sz="0" w:space="0" w:color="auto"/>
      </w:divBdr>
    </w:div>
    <w:div w:id="1475369017">
      <w:bodyDiv w:val="1"/>
      <w:marLeft w:val="0"/>
      <w:marRight w:val="0"/>
      <w:marTop w:val="0"/>
      <w:marBottom w:val="0"/>
      <w:divBdr>
        <w:top w:val="none" w:sz="0" w:space="0" w:color="auto"/>
        <w:left w:val="none" w:sz="0" w:space="0" w:color="auto"/>
        <w:bottom w:val="none" w:sz="0" w:space="0" w:color="auto"/>
        <w:right w:val="none" w:sz="0" w:space="0" w:color="auto"/>
      </w:divBdr>
    </w:div>
    <w:div w:id="1478836563">
      <w:bodyDiv w:val="1"/>
      <w:marLeft w:val="0"/>
      <w:marRight w:val="0"/>
      <w:marTop w:val="0"/>
      <w:marBottom w:val="0"/>
      <w:divBdr>
        <w:top w:val="none" w:sz="0" w:space="0" w:color="auto"/>
        <w:left w:val="none" w:sz="0" w:space="0" w:color="auto"/>
        <w:bottom w:val="none" w:sz="0" w:space="0" w:color="auto"/>
        <w:right w:val="none" w:sz="0" w:space="0" w:color="auto"/>
      </w:divBdr>
    </w:div>
    <w:div w:id="1479956001">
      <w:bodyDiv w:val="1"/>
      <w:marLeft w:val="0"/>
      <w:marRight w:val="0"/>
      <w:marTop w:val="0"/>
      <w:marBottom w:val="0"/>
      <w:divBdr>
        <w:top w:val="none" w:sz="0" w:space="0" w:color="auto"/>
        <w:left w:val="none" w:sz="0" w:space="0" w:color="auto"/>
        <w:bottom w:val="none" w:sz="0" w:space="0" w:color="auto"/>
        <w:right w:val="none" w:sz="0" w:space="0" w:color="auto"/>
      </w:divBdr>
    </w:div>
    <w:div w:id="1524127883">
      <w:bodyDiv w:val="1"/>
      <w:marLeft w:val="0"/>
      <w:marRight w:val="0"/>
      <w:marTop w:val="0"/>
      <w:marBottom w:val="0"/>
      <w:divBdr>
        <w:top w:val="none" w:sz="0" w:space="0" w:color="auto"/>
        <w:left w:val="none" w:sz="0" w:space="0" w:color="auto"/>
        <w:bottom w:val="none" w:sz="0" w:space="0" w:color="auto"/>
        <w:right w:val="none" w:sz="0" w:space="0" w:color="auto"/>
      </w:divBdr>
    </w:div>
    <w:div w:id="1575163567">
      <w:bodyDiv w:val="1"/>
      <w:marLeft w:val="0"/>
      <w:marRight w:val="0"/>
      <w:marTop w:val="0"/>
      <w:marBottom w:val="0"/>
      <w:divBdr>
        <w:top w:val="none" w:sz="0" w:space="0" w:color="auto"/>
        <w:left w:val="none" w:sz="0" w:space="0" w:color="auto"/>
        <w:bottom w:val="none" w:sz="0" w:space="0" w:color="auto"/>
        <w:right w:val="none" w:sz="0" w:space="0" w:color="auto"/>
      </w:divBdr>
    </w:div>
    <w:div w:id="1591113677">
      <w:bodyDiv w:val="1"/>
      <w:marLeft w:val="0"/>
      <w:marRight w:val="0"/>
      <w:marTop w:val="0"/>
      <w:marBottom w:val="0"/>
      <w:divBdr>
        <w:top w:val="none" w:sz="0" w:space="0" w:color="auto"/>
        <w:left w:val="none" w:sz="0" w:space="0" w:color="auto"/>
        <w:bottom w:val="none" w:sz="0" w:space="0" w:color="auto"/>
        <w:right w:val="none" w:sz="0" w:space="0" w:color="auto"/>
      </w:divBdr>
    </w:div>
    <w:div w:id="1592667464">
      <w:bodyDiv w:val="1"/>
      <w:marLeft w:val="0"/>
      <w:marRight w:val="0"/>
      <w:marTop w:val="0"/>
      <w:marBottom w:val="0"/>
      <w:divBdr>
        <w:top w:val="none" w:sz="0" w:space="0" w:color="auto"/>
        <w:left w:val="none" w:sz="0" w:space="0" w:color="auto"/>
        <w:bottom w:val="none" w:sz="0" w:space="0" w:color="auto"/>
        <w:right w:val="none" w:sz="0" w:space="0" w:color="auto"/>
      </w:divBdr>
    </w:div>
    <w:div w:id="1597789120">
      <w:bodyDiv w:val="1"/>
      <w:marLeft w:val="0"/>
      <w:marRight w:val="0"/>
      <w:marTop w:val="0"/>
      <w:marBottom w:val="0"/>
      <w:divBdr>
        <w:top w:val="none" w:sz="0" w:space="0" w:color="auto"/>
        <w:left w:val="none" w:sz="0" w:space="0" w:color="auto"/>
        <w:bottom w:val="none" w:sz="0" w:space="0" w:color="auto"/>
        <w:right w:val="none" w:sz="0" w:space="0" w:color="auto"/>
      </w:divBdr>
    </w:div>
    <w:div w:id="1599827668">
      <w:bodyDiv w:val="1"/>
      <w:marLeft w:val="0"/>
      <w:marRight w:val="0"/>
      <w:marTop w:val="0"/>
      <w:marBottom w:val="0"/>
      <w:divBdr>
        <w:top w:val="none" w:sz="0" w:space="0" w:color="auto"/>
        <w:left w:val="none" w:sz="0" w:space="0" w:color="auto"/>
        <w:bottom w:val="none" w:sz="0" w:space="0" w:color="auto"/>
        <w:right w:val="none" w:sz="0" w:space="0" w:color="auto"/>
      </w:divBdr>
      <w:divsChild>
        <w:div w:id="59906159">
          <w:marLeft w:val="0"/>
          <w:marRight w:val="0"/>
          <w:marTop w:val="0"/>
          <w:marBottom w:val="0"/>
          <w:divBdr>
            <w:top w:val="none" w:sz="0" w:space="0" w:color="auto"/>
            <w:left w:val="none" w:sz="0" w:space="0" w:color="auto"/>
            <w:bottom w:val="none" w:sz="0" w:space="0" w:color="auto"/>
            <w:right w:val="none" w:sz="0" w:space="0" w:color="auto"/>
          </w:divBdr>
          <w:divsChild>
            <w:div w:id="330375737">
              <w:marLeft w:val="0"/>
              <w:marRight w:val="0"/>
              <w:marTop w:val="0"/>
              <w:marBottom w:val="0"/>
              <w:divBdr>
                <w:top w:val="none" w:sz="0" w:space="0" w:color="auto"/>
                <w:left w:val="none" w:sz="0" w:space="0" w:color="auto"/>
                <w:bottom w:val="none" w:sz="0" w:space="0" w:color="auto"/>
                <w:right w:val="none" w:sz="0" w:space="0" w:color="auto"/>
              </w:divBdr>
              <w:divsChild>
                <w:div w:id="1458766278">
                  <w:marLeft w:val="0"/>
                  <w:marRight w:val="0"/>
                  <w:marTop w:val="0"/>
                  <w:marBottom w:val="0"/>
                  <w:divBdr>
                    <w:top w:val="none" w:sz="0" w:space="0" w:color="auto"/>
                    <w:left w:val="none" w:sz="0" w:space="0" w:color="auto"/>
                    <w:bottom w:val="none" w:sz="0" w:space="0" w:color="auto"/>
                    <w:right w:val="none" w:sz="0" w:space="0" w:color="auto"/>
                  </w:divBdr>
                  <w:divsChild>
                    <w:div w:id="1014694371">
                      <w:marLeft w:val="0"/>
                      <w:marRight w:val="0"/>
                      <w:marTop w:val="0"/>
                      <w:marBottom w:val="0"/>
                      <w:divBdr>
                        <w:top w:val="none" w:sz="0" w:space="0" w:color="auto"/>
                        <w:left w:val="none" w:sz="0" w:space="0" w:color="auto"/>
                        <w:bottom w:val="none" w:sz="0" w:space="0" w:color="auto"/>
                        <w:right w:val="none" w:sz="0" w:space="0" w:color="auto"/>
                      </w:divBdr>
                      <w:divsChild>
                        <w:div w:id="200941802">
                          <w:marLeft w:val="0"/>
                          <w:marRight w:val="0"/>
                          <w:marTop w:val="0"/>
                          <w:marBottom w:val="0"/>
                          <w:divBdr>
                            <w:top w:val="none" w:sz="0" w:space="0" w:color="auto"/>
                            <w:left w:val="none" w:sz="0" w:space="0" w:color="auto"/>
                            <w:bottom w:val="none" w:sz="0" w:space="0" w:color="auto"/>
                            <w:right w:val="none" w:sz="0" w:space="0" w:color="auto"/>
                          </w:divBdr>
                          <w:divsChild>
                            <w:div w:id="19304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38042">
      <w:bodyDiv w:val="1"/>
      <w:marLeft w:val="0"/>
      <w:marRight w:val="0"/>
      <w:marTop w:val="0"/>
      <w:marBottom w:val="0"/>
      <w:divBdr>
        <w:top w:val="none" w:sz="0" w:space="0" w:color="auto"/>
        <w:left w:val="none" w:sz="0" w:space="0" w:color="auto"/>
        <w:bottom w:val="none" w:sz="0" w:space="0" w:color="auto"/>
        <w:right w:val="none" w:sz="0" w:space="0" w:color="auto"/>
      </w:divBdr>
    </w:div>
    <w:div w:id="1620527308">
      <w:bodyDiv w:val="1"/>
      <w:marLeft w:val="0"/>
      <w:marRight w:val="0"/>
      <w:marTop w:val="0"/>
      <w:marBottom w:val="0"/>
      <w:divBdr>
        <w:top w:val="none" w:sz="0" w:space="0" w:color="auto"/>
        <w:left w:val="none" w:sz="0" w:space="0" w:color="auto"/>
        <w:bottom w:val="none" w:sz="0" w:space="0" w:color="auto"/>
        <w:right w:val="none" w:sz="0" w:space="0" w:color="auto"/>
      </w:divBdr>
    </w:div>
    <w:div w:id="1629051119">
      <w:bodyDiv w:val="1"/>
      <w:marLeft w:val="0"/>
      <w:marRight w:val="0"/>
      <w:marTop w:val="0"/>
      <w:marBottom w:val="0"/>
      <w:divBdr>
        <w:top w:val="none" w:sz="0" w:space="0" w:color="auto"/>
        <w:left w:val="none" w:sz="0" w:space="0" w:color="auto"/>
        <w:bottom w:val="none" w:sz="0" w:space="0" w:color="auto"/>
        <w:right w:val="none" w:sz="0" w:space="0" w:color="auto"/>
      </w:divBdr>
    </w:div>
    <w:div w:id="1651179792">
      <w:bodyDiv w:val="1"/>
      <w:marLeft w:val="0"/>
      <w:marRight w:val="0"/>
      <w:marTop w:val="0"/>
      <w:marBottom w:val="0"/>
      <w:divBdr>
        <w:top w:val="none" w:sz="0" w:space="0" w:color="auto"/>
        <w:left w:val="none" w:sz="0" w:space="0" w:color="auto"/>
        <w:bottom w:val="none" w:sz="0" w:space="0" w:color="auto"/>
        <w:right w:val="none" w:sz="0" w:space="0" w:color="auto"/>
      </w:divBdr>
    </w:div>
    <w:div w:id="1652560423">
      <w:bodyDiv w:val="1"/>
      <w:marLeft w:val="0"/>
      <w:marRight w:val="0"/>
      <w:marTop w:val="0"/>
      <w:marBottom w:val="0"/>
      <w:divBdr>
        <w:top w:val="none" w:sz="0" w:space="0" w:color="auto"/>
        <w:left w:val="none" w:sz="0" w:space="0" w:color="auto"/>
        <w:bottom w:val="none" w:sz="0" w:space="0" w:color="auto"/>
        <w:right w:val="none" w:sz="0" w:space="0" w:color="auto"/>
      </w:divBdr>
    </w:div>
    <w:div w:id="1665741394">
      <w:bodyDiv w:val="1"/>
      <w:marLeft w:val="0"/>
      <w:marRight w:val="0"/>
      <w:marTop w:val="0"/>
      <w:marBottom w:val="0"/>
      <w:divBdr>
        <w:top w:val="none" w:sz="0" w:space="0" w:color="auto"/>
        <w:left w:val="none" w:sz="0" w:space="0" w:color="auto"/>
        <w:bottom w:val="none" w:sz="0" w:space="0" w:color="auto"/>
        <w:right w:val="none" w:sz="0" w:space="0" w:color="auto"/>
      </w:divBdr>
    </w:div>
    <w:div w:id="1666205989">
      <w:bodyDiv w:val="1"/>
      <w:marLeft w:val="0"/>
      <w:marRight w:val="0"/>
      <w:marTop w:val="0"/>
      <w:marBottom w:val="0"/>
      <w:divBdr>
        <w:top w:val="none" w:sz="0" w:space="0" w:color="auto"/>
        <w:left w:val="none" w:sz="0" w:space="0" w:color="auto"/>
        <w:bottom w:val="none" w:sz="0" w:space="0" w:color="auto"/>
        <w:right w:val="none" w:sz="0" w:space="0" w:color="auto"/>
      </w:divBdr>
    </w:div>
    <w:div w:id="1667828425">
      <w:bodyDiv w:val="1"/>
      <w:marLeft w:val="0"/>
      <w:marRight w:val="0"/>
      <w:marTop w:val="0"/>
      <w:marBottom w:val="0"/>
      <w:divBdr>
        <w:top w:val="none" w:sz="0" w:space="0" w:color="auto"/>
        <w:left w:val="none" w:sz="0" w:space="0" w:color="auto"/>
        <w:bottom w:val="none" w:sz="0" w:space="0" w:color="auto"/>
        <w:right w:val="none" w:sz="0" w:space="0" w:color="auto"/>
      </w:divBdr>
    </w:div>
    <w:div w:id="1670019396">
      <w:bodyDiv w:val="1"/>
      <w:marLeft w:val="0"/>
      <w:marRight w:val="0"/>
      <w:marTop w:val="0"/>
      <w:marBottom w:val="0"/>
      <w:divBdr>
        <w:top w:val="none" w:sz="0" w:space="0" w:color="auto"/>
        <w:left w:val="none" w:sz="0" w:space="0" w:color="auto"/>
        <w:bottom w:val="none" w:sz="0" w:space="0" w:color="auto"/>
        <w:right w:val="none" w:sz="0" w:space="0" w:color="auto"/>
      </w:divBdr>
    </w:div>
    <w:div w:id="1673600938">
      <w:bodyDiv w:val="1"/>
      <w:marLeft w:val="0"/>
      <w:marRight w:val="0"/>
      <w:marTop w:val="0"/>
      <w:marBottom w:val="0"/>
      <w:divBdr>
        <w:top w:val="none" w:sz="0" w:space="0" w:color="auto"/>
        <w:left w:val="none" w:sz="0" w:space="0" w:color="auto"/>
        <w:bottom w:val="none" w:sz="0" w:space="0" w:color="auto"/>
        <w:right w:val="none" w:sz="0" w:space="0" w:color="auto"/>
      </w:divBdr>
    </w:div>
    <w:div w:id="1698046850">
      <w:bodyDiv w:val="1"/>
      <w:marLeft w:val="0"/>
      <w:marRight w:val="0"/>
      <w:marTop w:val="0"/>
      <w:marBottom w:val="0"/>
      <w:divBdr>
        <w:top w:val="none" w:sz="0" w:space="0" w:color="auto"/>
        <w:left w:val="none" w:sz="0" w:space="0" w:color="auto"/>
        <w:bottom w:val="none" w:sz="0" w:space="0" w:color="auto"/>
        <w:right w:val="none" w:sz="0" w:space="0" w:color="auto"/>
      </w:divBdr>
    </w:div>
    <w:div w:id="1708262760">
      <w:bodyDiv w:val="1"/>
      <w:marLeft w:val="0"/>
      <w:marRight w:val="0"/>
      <w:marTop w:val="0"/>
      <w:marBottom w:val="0"/>
      <w:divBdr>
        <w:top w:val="none" w:sz="0" w:space="0" w:color="auto"/>
        <w:left w:val="none" w:sz="0" w:space="0" w:color="auto"/>
        <w:bottom w:val="none" w:sz="0" w:space="0" w:color="auto"/>
        <w:right w:val="none" w:sz="0" w:space="0" w:color="auto"/>
      </w:divBdr>
    </w:div>
    <w:div w:id="1712917588">
      <w:bodyDiv w:val="1"/>
      <w:marLeft w:val="0"/>
      <w:marRight w:val="0"/>
      <w:marTop w:val="0"/>
      <w:marBottom w:val="0"/>
      <w:divBdr>
        <w:top w:val="none" w:sz="0" w:space="0" w:color="auto"/>
        <w:left w:val="none" w:sz="0" w:space="0" w:color="auto"/>
        <w:bottom w:val="none" w:sz="0" w:space="0" w:color="auto"/>
        <w:right w:val="none" w:sz="0" w:space="0" w:color="auto"/>
      </w:divBdr>
    </w:div>
    <w:div w:id="1726492578">
      <w:bodyDiv w:val="1"/>
      <w:marLeft w:val="0"/>
      <w:marRight w:val="0"/>
      <w:marTop w:val="0"/>
      <w:marBottom w:val="0"/>
      <w:divBdr>
        <w:top w:val="none" w:sz="0" w:space="0" w:color="auto"/>
        <w:left w:val="none" w:sz="0" w:space="0" w:color="auto"/>
        <w:bottom w:val="none" w:sz="0" w:space="0" w:color="auto"/>
        <w:right w:val="none" w:sz="0" w:space="0" w:color="auto"/>
      </w:divBdr>
    </w:div>
    <w:div w:id="1727996341">
      <w:bodyDiv w:val="1"/>
      <w:marLeft w:val="0"/>
      <w:marRight w:val="0"/>
      <w:marTop w:val="0"/>
      <w:marBottom w:val="0"/>
      <w:divBdr>
        <w:top w:val="none" w:sz="0" w:space="0" w:color="auto"/>
        <w:left w:val="none" w:sz="0" w:space="0" w:color="auto"/>
        <w:bottom w:val="none" w:sz="0" w:space="0" w:color="auto"/>
        <w:right w:val="none" w:sz="0" w:space="0" w:color="auto"/>
      </w:divBdr>
    </w:div>
    <w:div w:id="1731726144">
      <w:bodyDiv w:val="1"/>
      <w:marLeft w:val="0"/>
      <w:marRight w:val="0"/>
      <w:marTop w:val="0"/>
      <w:marBottom w:val="0"/>
      <w:divBdr>
        <w:top w:val="none" w:sz="0" w:space="0" w:color="auto"/>
        <w:left w:val="none" w:sz="0" w:space="0" w:color="auto"/>
        <w:bottom w:val="none" w:sz="0" w:space="0" w:color="auto"/>
        <w:right w:val="none" w:sz="0" w:space="0" w:color="auto"/>
      </w:divBdr>
    </w:div>
    <w:div w:id="1745181460">
      <w:bodyDiv w:val="1"/>
      <w:marLeft w:val="0"/>
      <w:marRight w:val="0"/>
      <w:marTop w:val="0"/>
      <w:marBottom w:val="0"/>
      <w:divBdr>
        <w:top w:val="none" w:sz="0" w:space="0" w:color="auto"/>
        <w:left w:val="none" w:sz="0" w:space="0" w:color="auto"/>
        <w:bottom w:val="none" w:sz="0" w:space="0" w:color="auto"/>
        <w:right w:val="none" w:sz="0" w:space="0" w:color="auto"/>
      </w:divBdr>
    </w:div>
    <w:div w:id="1754814004">
      <w:bodyDiv w:val="1"/>
      <w:marLeft w:val="0"/>
      <w:marRight w:val="0"/>
      <w:marTop w:val="0"/>
      <w:marBottom w:val="0"/>
      <w:divBdr>
        <w:top w:val="none" w:sz="0" w:space="0" w:color="auto"/>
        <w:left w:val="none" w:sz="0" w:space="0" w:color="auto"/>
        <w:bottom w:val="none" w:sz="0" w:space="0" w:color="auto"/>
        <w:right w:val="none" w:sz="0" w:space="0" w:color="auto"/>
      </w:divBdr>
    </w:div>
    <w:div w:id="1759983838">
      <w:bodyDiv w:val="1"/>
      <w:marLeft w:val="0"/>
      <w:marRight w:val="0"/>
      <w:marTop w:val="0"/>
      <w:marBottom w:val="0"/>
      <w:divBdr>
        <w:top w:val="none" w:sz="0" w:space="0" w:color="auto"/>
        <w:left w:val="none" w:sz="0" w:space="0" w:color="auto"/>
        <w:bottom w:val="none" w:sz="0" w:space="0" w:color="auto"/>
        <w:right w:val="none" w:sz="0" w:space="0" w:color="auto"/>
      </w:divBdr>
    </w:div>
    <w:div w:id="1765343887">
      <w:bodyDiv w:val="1"/>
      <w:marLeft w:val="0"/>
      <w:marRight w:val="0"/>
      <w:marTop w:val="0"/>
      <w:marBottom w:val="0"/>
      <w:divBdr>
        <w:top w:val="none" w:sz="0" w:space="0" w:color="auto"/>
        <w:left w:val="none" w:sz="0" w:space="0" w:color="auto"/>
        <w:bottom w:val="none" w:sz="0" w:space="0" w:color="auto"/>
        <w:right w:val="none" w:sz="0" w:space="0" w:color="auto"/>
      </w:divBdr>
      <w:divsChild>
        <w:div w:id="145556343">
          <w:marLeft w:val="0"/>
          <w:marRight w:val="0"/>
          <w:marTop w:val="0"/>
          <w:marBottom w:val="0"/>
          <w:divBdr>
            <w:top w:val="none" w:sz="0" w:space="0" w:color="auto"/>
            <w:left w:val="none" w:sz="0" w:space="0" w:color="auto"/>
            <w:bottom w:val="none" w:sz="0" w:space="0" w:color="auto"/>
            <w:right w:val="none" w:sz="0" w:space="0" w:color="auto"/>
          </w:divBdr>
          <w:divsChild>
            <w:div w:id="1246839926">
              <w:marLeft w:val="0"/>
              <w:marRight w:val="0"/>
              <w:marTop w:val="0"/>
              <w:marBottom w:val="0"/>
              <w:divBdr>
                <w:top w:val="none" w:sz="0" w:space="0" w:color="auto"/>
                <w:left w:val="none" w:sz="0" w:space="0" w:color="auto"/>
                <w:bottom w:val="none" w:sz="0" w:space="0" w:color="auto"/>
                <w:right w:val="none" w:sz="0" w:space="0" w:color="auto"/>
              </w:divBdr>
              <w:divsChild>
                <w:div w:id="553006946">
                  <w:marLeft w:val="0"/>
                  <w:marRight w:val="0"/>
                  <w:marTop w:val="0"/>
                  <w:marBottom w:val="0"/>
                  <w:divBdr>
                    <w:top w:val="none" w:sz="0" w:space="0" w:color="auto"/>
                    <w:left w:val="none" w:sz="0" w:space="0" w:color="auto"/>
                    <w:bottom w:val="none" w:sz="0" w:space="0" w:color="auto"/>
                    <w:right w:val="none" w:sz="0" w:space="0" w:color="auto"/>
                  </w:divBdr>
                  <w:divsChild>
                    <w:div w:id="1237859833">
                      <w:marLeft w:val="0"/>
                      <w:marRight w:val="0"/>
                      <w:marTop w:val="0"/>
                      <w:marBottom w:val="0"/>
                      <w:divBdr>
                        <w:top w:val="none" w:sz="0" w:space="0" w:color="auto"/>
                        <w:left w:val="none" w:sz="0" w:space="0" w:color="auto"/>
                        <w:bottom w:val="none" w:sz="0" w:space="0" w:color="auto"/>
                        <w:right w:val="none" w:sz="0" w:space="0" w:color="auto"/>
                      </w:divBdr>
                      <w:divsChild>
                        <w:div w:id="1078987315">
                          <w:marLeft w:val="0"/>
                          <w:marRight w:val="0"/>
                          <w:marTop w:val="0"/>
                          <w:marBottom w:val="0"/>
                          <w:divBdr>
                            <w:top w:val="none" w:sz="0" w:space="0" w:color="auto"/>
                            <w:left w:val="none" w:sz="0" w:space="0" w:color="auto"/>
                            <w:bottom w:val="none" w:sz="0" w:space="0" w:color="auto"/>
                            <w:right w:val="none" w:sz="0" w:space="0" w:color="auto"/>
                          </w:divBdr>
                          <w:divsChild>
                            <w:div w:id="15766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76997">
      <w:bodyDiv w:val="1"/>
      <w:marLeft w:val="0"/>
      <w:marRight w:val="0"/>
      <w:marTop w:val="0"/>
      <w:marBottom w:val="0"/>
      <w:divBdr>
        <w:top w:val="none" w:sz="0" w:space="0" w:color="auto"/>
        <w:left w:val="none" w:sz="0" w:space="0" w:color="auto"/>
        <w:bottom w:val="none" w:sz="0" w:space="0" w:color="auto"/>
        <w:right w:val="none" w:sz="0" w:space="0" w:color="auto"/>
      </w:divBdr>
    </w:div>
    <w:div w:id="1794011106">
      <w:bodyDiv w:val="1"/>
      <w:marLeft w:val="0"/>
      <w:marRight w:val="0"/>
      <w:marTop w:val="0"/>
      <w:marBottom w:val="0"/>
      <w:divBdr>
        <w:top w:val="none" w:sz="0" w:space="0" w:color="auto"/>
        <w:left w:val="none" w:sz="0" w:space="0" w:color="auto"/>
        <w:bottom w:val="none" w:sz="0" w:space="0" w:color="auto"/>
        <w:right w:val="none" w:sz="0" w:space="0" w:color="auto"/>
      </w:divBdr>
    </w:div>
    <w:div w:id="1808357648">
      <w:bodyDiv w:val="1"/>
      <w:marLeft w:val="0"/>
      <w:marRight w:val="0"/>
      <w:marTop w:val="0"/>
      <w:marBottom w:val="0"/>
      <w:divBdr>
        <w:top w:val="none" w:sz="0" w:space="0" w:color="auto"/>
        <w:left w:val="none" w:sz="0" w:space="0" w:color="auto"/>
        <w:bottom w:val="none" w:sz="0" w:space="0" w:color="auto"/>
        <w:right w:val="none" w:sz="0" w:space="0" w:color="auto"/>
      </w:divBdr>
    </w:div>
    <w:div w:id="1827091928">
      <w:bodyDiv w:val="1"/>
      <w:marLeft w:val="0"/>
      <w:marRight w:val="0"/>
      <w:marTop w:val="0"/>
      <w:marBottom w:val="0"/>
      <w:divBdr>
        <w:top w:val="none" w:sz="0" w:space="0" w:color="auto"/>
        <w:left w:val="none" w:sz="0" w:space="0" w:color="auto"/>
        <w:bottom w:val="none" w:sz="0" w:space="0" w:color="auto"/>
        <w:right w:val="none" w:sz="0" w:space="0" w:color="auto"/>
      </w:divBdr>
    </w:div>
    <w:div w:id="1828355969">
      <w:bodyDiv w:val="1"/>
      <w:marLeft w:val="0"/>
      <w:marRight w:val="0"/>
      <w:marTop w:val="0"/>
      <w:marBottom w:val="0"/>
      <w:divBdr>
        <w:top w:val="none" w:sz="0" w:space="0" w:color="auto"/>
        <w:left w:val="none" w:sz="0" w:space="0" w:color="auto"/>
        <w:bottom w:val="none" w:sz="0" w:space="0" w:color="auto"/>
        <w:right w:val="none" w:sz="0" w:space="0" w:color="auto"/>
      </w:divBdr>
    </w:div>
    <w:div w:id="1842893102">
      <w:bodyDiv w:val="1"/>
      <w:marLeft w:val="0"/>
      <w:marRight w:val="0"/>
      <w:marTop w:val="0"/>
      <w:marBottom w:val="0"/>
      <w:divBdr>
        <w:top w:val="none" w:sz="0" w:space="0" w:color="auto"/>
        <w:left w:val="none" w:sz="0" w:space="0" w:color="auto"/>
        <w:bottom w:val="none" w:sz="0" w:space="0" w:color="auto"/>
        <w:right w:val="none" w:sz="0" w:space="0" w:color="auto"/>
      </w:divBdr>
    </w:div>
    <w:div w:id="1845700111">
      <w:bodyDiv w:val="1"/>
      <w:marLeft w:val="0"/>
      <w:marRight w:val="0"/>
      <w:marTop w:val="0"/>
      <w:marBottom w:val="0"/>
      <w:divBdr>
        <w:top w:val="none" w:sz="0" w:space="0" w:color="auto"/>
        <w:left w:val="none" w:sz="0" w:space="0" w:color="auto"/>
        <w:bottom w:val="none" w:sz="0" w:space="0" w:color="auto"/>
        <w:right w:val="none" w:sz="0" w:space="0" w:color="auto"/>
      </w:divBdr>
    </w:div>
    <w:div w:id="1848210714">
      <w:bodyDiv w:val="1"/>
      <w:marLeft w:val="0"/>
      <w:marRight w:val="0"/>
      <w:marTop w:val="0"/>
      <w:marBottom w:val="0"/>
      <w:divBdr>
        <w:top w:val="none" w:sz="0" w:space="0" w:color="auto"/>
        <w:left w:val="none" w:sz="0" w:space="0" w:color="auto"/>
        <w:bottom w:val="none" w:sz="0" w:space="0" w:color="auto"/>
        <w:right w:val="none" w:sz="0" w:space="0" w:color="auto"/>
      </w:divBdr>
    </w:div>
    <w:div w:id="1848326528">
      <w:bodyDiv w:val="1"/>
      <w:marLeft w:val="0"/>
      <w:marRight w:val="0"/>
      <w:marTop w:val="0"/>
      <w:marBottom w:val="0"/>
      <w:divBdr>
        <w:top w:val="none" w:sz="0" w:space="0" w:color="auto"/>
        <w:left w:val="none" w:sz="0" w:space="0" w:color="auto"/>
        <w:bottom w:val="none" w:sz="0" w:space="0" w:color="auto"/>
        <w:right w:val="none" w:sz="0" w:space="0" w:color="auto"/>
      </w:divBdr>
      <w:divsChild>
        <w:div w:id="626744760">
          <w:marLeft w:val="0"/>
          <w:marRight w:val="0"/>
          <w:marTop w:val="0"/>
          <w:marBottom w:val="0"/>
          <w:divBdr>
            <w:top w:val="none" w:sz="0" w:space="0" w:color="auto"/>
            <w:left w:val="none" w:sz="0" w:space="0" w:color="auto"/>
            <w:bottom w:val="none" w:sz="0" w:space="0" w:color="auto"/>
            <w:right w:val="none" w:sz="0" w:space="0" w:color="auto"/>
          </w:divBdr>
          <w:divsChild>
            <w:div w:id="1163230931">
              <w:marLeft w:val="0"/>
              <w:marRight w:val="0"/>
              <w:marTop w:val="0"/>
              <w:marBottom w:val="0"/>
              <w:divBdr>
                <w:top w:val="none" w:sz="0" w:space="0" w:color="auto"/>
                <w:left w:val="none" w:sz="0" w:space="0" w:color="auto"/>
                <w:bottom w:val="none" w:sz="0" w:space="0" w:color="auto"/>
                <w:right w:val="none" w:sz="0" w:space="0" w:color="auto"/>
              </w:divBdr>
              <w:divsChild>
                <w:div w:id="455367808">
                  <w:marLeft w:val="0"/>
                  <w:marRight w:val="0"/>
                  <w:marTop w:val="0"/>
                  <w:marBottom w:val="0"/>
                  <w:divBdr>
                    <w:top w:val="none" w:sz="0" w:space="0" w:color="auto"/>
                    <w:left w:val="none" w:sz="0" w:space="0" w:color="auto"/>
                    <w:bottom w:val="none" w:sz="0" w:space="0" w:color="auto"/>
                    <w:right w:val="none" w:sz="0" w:space="0" w:color="auto"/>
                  </w:divBdr>
                  <w:divsChild>
                    <w:div w:id="129520076">
                      <w:marLeft w:val="0"/>
                      <w:marRight w:val="0"/>
                      <w:marTop w:val="0"/>
                      <w:marBottom w:val="0"/>
                      <w:divBdr>
                        <w:top w:val="none" w:sz="0" w:space="0" w:color="auto"/>
                        <w:left w:val="none" w:sz="0" w:space="0" w:color="auto"/>
                        <w:bottom w:val="none" w:sz="0" w:space="0" w:color="auto"/>
                        <w:right w:val="none" w:sz="0" w:space="0" w:color="auto"/>
                      </w:divBdr>
                      <w:divsChild>
                        <w:div w:id="2041279967">
                          <w:marLeft w:val="0"/>
                          <w:marRight w:val="0"/>
                          <w:marTop w:val="0"/>
                          <w:marBottom w:val="0"/>
                          <w:divBdr>
                            <w:top w:val="none" w:sz="0" w:space="0" w:color="auto"/>
                            <w:left w:val="none" w:sz="0" w:space="0" w:color="auto"/>
                            <w:bottom w:val="none" w:sz="0" w:space="0" w:color="auto"/>
                            <w:right w:val="none" w:sz="0" w:space="0" w:color="auto"/>
                          </w:divBdr>
                          <w:divsChild>
                            <w:div w:id="5636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74098">
      <w:bodyDiv w:val="1"/>
      <w:marLeft w:val="0"/>
      <w:marRight w:val="0"/>
      <w:marTop w:val="0"/>
      <w:marBottom w:val="0"/>
      <w:divBdr>
        <w:top w:val="none" w:sz="0" w:space="0" w:color="auto"/>
        <w:left w:val="none" w:sz="0" w:space="0" w:color="auto"/>
        <w:bottom w:val="none" w:sz="0" w:space="0" w:color="auto"/>
        <w:right w:val="none" w:sz="0" w:space="0" w:color="auto"/>
      </w:divBdr>
    </w:div>
    <w:div w:id="1906643003">
      <w:bodyDiv w:val="1"/>
      <w:marLeft w:val="0"/>
      <w:marRight w:val="0"/>
      <w:marTop w:val="0"/>
      <w:marBottom w:val="0"/>
      <w:divBdr>
        <w:top w:val="none" w:sz="0" w:space="0" w:color="auto"/>
        <w:left w:val="none" w:sz="0" w:space="0" w:color="auto"/>
        <w:bottom w:val="none" w:sz="0" w:space="0" w:color="auto"/>
        <w:right w:val="none" w:sz="0" w:space="0" w:color="auto"/>
      </w:divBdr>
    </w:div>
    <w:div w:id="1907640166">
      <w:bodyDiv w:val="1"/>
      <w:marLeft w:val="0"/>
      <w:marRight w:val="0"/>
      <w:marTop w:val="0"/>
      <w:marBottom w:val="0"/>
      <w:divBdr>
        <w:top w:val="none" w:sz="0" w:space="0" w:color="auto"/>
        <w:left w:val="none" w:sz="0" w:space="0" w:color="auto"/>
        <w:bottom w:val="none" w:sz="0" w:space="0" w:color="auto"/>
        <w:right w:val="none" w:sz="0" w:space="0" w:color="auto"/>
      </w:divBdr>
      <w:divsChild>
        <w:div w:id="276916621">
          <w:marLeft w:val="0"/>
          <w:marRight w:val="0"/>
          <w:marTop w:val="0"/>
          <w:marBottom w:val="0"/>
          <w:divBdr>
            <w:top w:val="none" w:sz="0" w:space="0" w:color="auto"/>
            <w:left w:val="none" w:sz="0" w:space="0" w:color="auto"/>
            <w:bottom w:val="none" w:sz="0" w:space="0" w:color="auto"/>
            <w:right w:val="none" w:sz="0" w:space="0" w:color="auto"/>
          </w:divBdr>
          <w:divsChild>
            <w:div w:id="894925813">
              <w:marLeft w:val="0"/>
              <w:marRight w:val="0"/>
              <w:marTop w:val="0"/>
              <w:marBottom w:val="0"/>
              <w:divBdr>
                <w:top w:val="none" w:sz="0" w:space="0" w:color="auto"/>
                <w:left w:val="none" w:sz="0" w:space="0" w:color="auto"/>
                <w:bottom w:val="none" w:sz="0" w:space="0" w:color="auto"/>
                <w:right w:val="none" w:sz="0" w:space="0" w:color="auto"/>
              </w:divBdr>
              <w:divsChild>
                <w:div w:id="2052151680">
                  <w:marLeft w:val="0"/>
                  <w:marRight w:val="0"/>
                  <w:marTop w:val="0"/>
                  <w:marBottom w:val="0"/>
                  <w:divBdr>
                    <w:top w:val="none" w:sz="0" w:space="0" w:color="auto"/>
                    <w:left w:val="none" w:sz="0" w:space="0" w:color="auto"/>
                    <w:bottom w:val="none" w:sz="0" w:space="0" w:color="auto"/>
                    <w:right w:val="none" w:sz="0" w:space="0" w:color="auto"/>
                  </w:divBdr>
                  <w:divsChild>
                    <w:div w:id="364907894">
                      <w:marLeft w:val="0"/>
                      <w:marRight w:val="0"/>
                      <w:marTop w:val="0"/>
                      <w:marBottom w:val="0"/>
                      <w:divBdr>
                        <w:top w:val="none" w:sz="0" w:space="0" w:color="auto"/>
                        <w:left w:val="none" w:sz="0" w:space="0" w:color="auto"/>
                        <w:bottom w:val="none" w:sz="0" w:space="0" w:color="auto"/>
                        <w:right w:val="none" w:sz="0" w:space="0" w:color="auto"/>
                      </w:divBdr>
                      <w:divsChild>
                        <w:div w:id="396249260">
                          <w:marLeft w:val="0"/>
                          <w:marRight w:val="0"/>
                          <w:marTop w:val="0"/>
                          <w:marBottom w:val="0"/>
                          <w:divBdr>
                            <w:top w:val="none" w:sz="0" w:space="0" w:color="auto"/>
                            <w:left w:val="none" w:sz="0" w:space="0" w:color="auto"/>
                            <w:bottom w:val="none" w:sz="0" w:space="0" w:color="auto"/>
                            <w:right w:val="none" w:sz="0" w:space="0" w:color="auto"/>
                          </w:divBdr>
                          <w:divsChild>
                            <w:div w:id="13945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871292">
      <w:bodyDiv w:val="1"/>
      <w:marLeft w:val="0"/>
      <w:marRight w:val="0"/>
      <w:marTop w:val="0"/>
      <w:marBottom w:val="0"/>
      <w:divBdr>
        <w:top w:val="none" w:sz="0" w:space="0" w:color="auto"/>
        <w:left w:val="none" w:sz="0" w:space="0" w:color="auto"/>
        <w:bottom w:val="none" w:sz="0" w:space="0" w:color="auto"/>
        <w:right w:val="none" w:sz="0" w:space="0" w:color="auto"/>
      </w:divBdr>
    </w:div>
    <w:div w:id="1948152988">
      <w:bodyDiv w:val="1"/>
      <w:marLeft w:val="0"/>
      <w:marRight w:val="0"/>
      <w:marTop w:val="0"/>
      <w:marBottom w:val="0"/>
      <w:divBdr>
        <w:top w:val="none" w:sz="0" w:space="0" w:color="auto"/>
        <w:left w:val="none" w:sz="0" w:space="0" w:color="auto"/>
        <w:bottom w:val="none" w:sz="0" w:space="0" w:color="auto"/>
        <w:right w:val="none" w:sz="0" w:space="0" w:color="auto"/>
      </w:divBdr>
    </w:div>
    <w:div w:id="1956059454">
      <w:bodyDiv w:val="1"/>
      <w:marLeft w:val="0"/>
      <w:marRight w:val="0"/>
      <w:marTop w:val="0"/>
      <w:marBottom w:val="0"/>
      <w:divBdr>
        <w:top w:val="none" w:sz="0" w:space="0" w:color="auto"/>
        <w:left w:val="none" w:sz="0" w:space="0" w:color="auto"/>
        <w:bottom w:val="none" w:sz="0" w:space="0" w:color="auto"/>
        <w:right w:val="none" w:sz="0" w:space="0" w:color="auto"/>
      </w:divBdr>
    </w:div>
    <w:div w:id="1958290899">
      <w:bodyDiv w:val="1"/>
      <w:marLeft w:val="0"/>
      <w:marRight w:val="0"/>
      <w:marTop w:val="0"/>
      <w:marBottom w:val="0"/>
      <w:divBdr>
        <w:top w:val="none" w:sz="0" w:space="0" w:color="auto"/>
        <w:left w:val="none" w:sz="0" w:space="0" w:color="auto"/>
        <w:bottom w:val="none" w:sz="0" w:space="0" w:color="auto"/>
        <w:right w:val="none" w:sz="0" w:space="0" w:color="auto"/>
      </w:divBdr>
    </w:div>
    <w:div w:id="1965456889">
      <w:bodyDiv w:val="1"/>
      <w:marLeft w:val="0"/>
      <w:marRight w:val="0"/>
      <w:marTop w:val="0"/>
      <w:marBottom w:val="0"/>
      <w:divBdr>
        <w:top w:val="none" w:sz="0" w:space="0" w:color="auto"/>
        <w:left w:val="none" w:sz="0" w:space="0" w:color="auto"/>
        <w:bottom w:val="none" w:sz="0" w:space="0" w:color="auto"/>
        <w:right w:val="none" w:sz="0" w:space="0" w:color="auto"/>
      </w:divBdr>
    </w:div>
    <w:div w:id="1979529950">
      <w:bodyDiv w:val="1"/>
      <w:marLeft w:val="0"/>
      <w:marRight w:val="0"/>
      <w:marTop w:val="0"/>
      <w:marBottom w:val="0"/>
      <w:divBdr>
        <w:top w:val="none" w:sz="0" w:space="0" w:color="auto"/>
        <w:left w:val="none" w:sz="0" w:space="0" w:color="auto"/>
        <w:bottom w:val="none" w:sz="0" w:space="0" w:color="auto"/>
        <w:right w:val="none" w:sz="0" w:space="0" w:color="auto"/>
      </w:divBdr>
    </w:div>
    <w:div w:id="2000845725">
      <w:bodyDiv w:val="1"/>
      <w:marLeft w:val="0"/>
      <w:marRight w:val="0"/>
      <w:marTop w:val="0"/>
      <w:marBottom w:val="0"/>
      <w:divBdr>
        <w:top w:val="none" w:sz="0" w:space="0" w:color="auto"/>
        <w:left w:val="none" w:sz="0" w:space="0" w:color="auto"/>
        <w:bottom w:val="none" w:sz="0" w:space="0" w:color="auto"/>
        <w:right w:val="none" w:sz="0" w:space="0" w:color="auto"/>
      </w:divBdr>
    </w:div>
    <w:div w:id="2020034764">
      <w:bodyDiv w:val="1"/>
      <w:marLeft w:val="0"/>
      <w:marRight w:val="0"/>
      <w:marTop w:val="0"/>
      <w:marBottom w:val="0"/>
      <w:divBdr>
        <w:top w:val="none" w:sz="0" w:space="0" w:color="auto"/>
        <w:left w:val="none" w:sz="0" w:space="0" w:color="auto"/>
        <w:bottom w:val="none" w:sz="0" w:space="0" w:color="auto"/>
        <w:right w:val="none" w:sz="0" w:space="0" w:color="auto"/>
      </w:divBdr>
    </w:div>
    <w:div w:id="2026863464">
      <w:bodyDiv w:val="1"/>
      <w:marLeft w:val="0"/>
      <w:marRight w:val="0"/>
      <w:marTop w:val="0"/>
      <w:marBottom w:val="0"/>
      <w:divBdr>
        <w:top w:val="none" w:sz="0" w:space="0" w:color="auto"/>
        <w:left w:val="none" w:sz="0" w:space="0" w:color="auto"/>
        <w:bottom w:val="none" w:sz="0" w:space="0" w:color="auto"/>
        <w:right w:val="none" w:sz="0" w:space="0" w:color="auto"/>
      </w:divBdr>
    </w:div>
    <w:div w:id="2028216819">
      <w:bodyDiv w:val="1"/>
      <w:marLeft w:val="0"/>
      <w:marRight w:val="0"/>
      <w:marTop w:val="0"/>
      <w:marBottom w:val="0"/>
      <w:divBdr>
        <w:top w:val="none" w:sz="0" w:space="0" w:color="auto"/>
        <w:left w:val="none" w:sz="0" w:space="0" w:color="auto"/>
        <w:bottom w:val="none" w:sz="0" w:space="0" w:color="auto"/>
        <w:right w:val="none" w:sz="0" w:space="0" w:color="auto"/>
      </w:divBdr>
    </w:div>
    <w:div w:id="2032024470">
      <w:bodyDiv w:val="1"/>
      <w:marLeft w:val="0"/>
      <w:marRight w:val="0"/>
      <w:marTop w:val="0"/>
      <w:marBottom w:val="0"/>
      <w:divBdr>
        <w:top w:val="none" w:sz="0" w:space="0" w:color="auto"/>
        <w:left w:val="none" w:sz="0" w:space="0" w:color="auto"/>
        <w:bottom w:val="none" w:sz="0" w:space="0" w:color="auto"/>
        <w:right w:val="none" w:sz="0" w:space="0" w:color="auto"/>
      </w:divBdr>
    </w:div>
    <w:div w:id="2037581466">
      <w:bodyDiv w:val="1"/>
      <w:marLeft w:val="0"/>
      <w:marRight w:val="0"/>
      <w:marTop w:val="0"/>
      <w:marBottom w:val="0"/>
      <w:divBdr>
        <w:top w:val="none" w:sz="0" w:space="0" w:color="auto"/>
        <w:left w:val="none" w:sz="0" w:space="0" w:color="auto"/>
        <w:bottom w:val="none" w:sz="0" w:space="0" w:color="auto"/>
        <w:right w:val="none" w:sz="0" w:space="0" w:color="auto"/>
      </w:divBdr>
    </w:div>
    <w:div w:id="2044165313">
      <w:bodyDiv w:val="1"/>
      <w:marLeft w:val="0"/>
      <w:marRight w:val="0"/>
      <w:marTop w:val="0"/>
      <w:marBottom w:val="0"/>
      <w:divBdr>
        <w:top w:val="none" w:sz="0" w:space="0" w:color="auto"/>
        <w:left w:val="none" w:sz="0" w:space="0" w:color="auto"/>
        <w:bottom w:val="none" w:sz="0" w:space="0" w:color="auto"/>
        <w:right w:val="none" w:sz="0" w:space="0" w:color="auto"/>
      </w:divBdr>
      <w:divsChild>
        <w:div w:id="847017002">
          <w:marLeft w:val="0"/>
          <w:marRight w:val="0"/>
          <w:marTop w:val="0"/>
          <w:marBottom w:val="0"/>
          <w:divBdr>
            <w:top w:val="none" w:sz="0" w:space="0" w:color="auto"/>
            <w:left w:val="none" w:sz="0" w:space="0" w:color="auto"/>
            <w:bottom w:val="none" w:sz="0" w:space="0" w:color="auto"/>
            <w:right w:val="none" w:sz="0" w:space="0" w:color="auto"/>
          </w:divBdr>
          <w:divsChild>
            <w:div w:id="1437094505">
              <w:marLeft w:val="0"/>
              <w:marRight w:val="0"/>
              <w:marTop w:val="0"/>
              <w:marBottom w:val="0"/>
              <w:divBdr>
                <w:top w:val="none" w:sz="0" w:space="0" w:color="auto"/>
                <w:left w:val="none" w:sz="0" w:space="0" w:color="auto"/>
                <w:bottom w:val="none" w:sz="0" w:space="0" w:color="auto"/>
                <w:right w:val="none" w:sz="0" w:space="0" w:color="auto"/>
              </w:divBdr>
              <w:divsChild>
                <w:div w:id="74860461">
                  <w:marLeft w:val="0"/>
                  <w:marRight w:val="0"/>
                  <w:marTop w:val="0"/>
                  <w:marBottom w:val="0"/>
                  <w:divBdr>
                    <w:top w:val="none" w:sz="0" w:space="0" w:color="auto"/>
                    <w:left w:val="none" w:sz="0" w:space="0" w:color="auto"/>
                    <w:bottom w:val="none" w:sz="0" w:space="0" w:color="auto"/>
                    <w:right w:val="none" w:sz="0" w:space="0" w:color="auto"/>
                  </w:divBdr>
                  <w:divsChild>
                    <w:div w:id="1578712842">
                      <w:marLeft w:val="0"/>
                      <w:marRight w:val="0"/>
                      <w:marTop w:val="0"/>
                      <w:marBottom w:val="0"/>
                      <w:divBdr>
                        <w:top w:val="none" w:sz="0" w:space="0" w:color="auto"/>
                        <w:left w:val="none" w:sz="0" w:space="0" w:color="auto"/>
                        <w:bottom w:val="none" w:sz="0" w:space="0" w:color="auto"/>
                        <w:right w:val="none" w:sz="0" w:space="0" w:color="auto"/>
                      </w:divBdr>
                      <w:divsChild>
                        <w:div w:id="1737699674">
                          <w:marLeft w:val="0"/>
                          <w:marRight w:val="0"/>
                          <w:marTop w:val="0"/>
                          <w:marBottom w:val="0"/>
                          <w:divBdr>
                            <w:top w:val="none" w:sz="0" w:space="0" w:color="auto"/>
                            <w:left w:val="none" w:sz="0" w:space="0" w:color="auto"/>
                            <w:bottom w:val="none" w:sz="0" w:space="0" w:color="auto"/>
                            <w:right w:val="none" w:sz="0" w:space="0" w:color="auto"/>
                          </w:divBdr>
                          <w:divsChild>
                            <w:div w:id="1981495329">
                              <w:marLeft w:val="0"/>
                              <w:marRight w:val="0"/>
                              <w:marTop w:val="0"/>
                              <w:marBottom w:val="0"/>
                              <w:divBdr>
                                <w:top w:val="none" w:sz="0" w:space="0" w:color="auto"/>
                                <w:left w:val="none" w:sz="0" w:space="0" w:color="auto"/>
                                <w:bottom w:val="none" w:sz="0" w:space="0" w:color="auto"/>
                                <w:right w:val="none" w:sz="0" w:space="0" w:color="auto"/>
                              </w:divBdr>
                              <w:divsChild>
                                <w:div w:id="1911768212">
                                  <w:marLeft w:val="0"/>
                                  <w:marRight w:val="0"/>
                                  <w:marTop w:val="0"/>
                                  <w:marBottom w:val="0"/>
                                  <w:divBdr>
                                    <w:top w:val="none" w:sz="0" w:space="0" w:color="auto"/>
                                    <w:left w:val="none" w:sz="0" w:space="0" w:color="auto"/>
                                    <w:bottom w:val="none" w:sz="0" w:space="0" w:color="auto"/>
                                    <w:right w:val="none" w:sz="0" w:space="0" w:color="auto"/>
                                  </w:divBdr>
                                  <w:divsChild>
                                    <w:div w:id="1788700806">
                                      <w:marLeft w:val="0"/>
                                      <w:marRight w:val="0"/>
                                      <w:marTop w:val="0"/>
                                      <w:marBottom w:val="0"/>
                                      <w:divBdr>
                                        <w:top w:val="none" w:sz="0" w:space="0" w:color="auto"/>
                                        <w:left w:val="none" w:sz="0" w:space="0" w:color="auto"/>
                                        <w:bottom w:val="none" w:sz="0" w:space="0" w:color="auto"/>
                                        <w:right w:val="none" w:sz="0" w:space="0" w:color="auto"/>
                                      </w:divBdr>
                                      <w:divsChild>
                                        <w:div w:id="922035008">
                                          <w:marLeft w:val="0"/>
                                          <w:marRight w:val="0"/>
                                          <w:marTop w:val="0"/>
                                          <w:marBottom w:val="0"/>
                                          <w:divBdr>
                                            <w:top w:val="none" w:sz="0" w:space="0" w:color="auto"/>
                                            <w:left w:val="none" w:sz="0" w:space="0" w:color="auto"/>
                                            <w:bottom w:val="none" w:sz="0" w:space="0" w:color="auto"/>
                                            <w:right w:val="none" w:sz="0" w:space="0" w:color="auto"/>
                                          </w:divBdr>
                                          <w:divsChild>
                                            <w:div w:id="2070033136">
                                              <w:marLeft w:val="0"/>
                                              <w:marRight w:val="0"/>
                                              <w:marTop w:val="0"/>
                                              <w:marBottom w:val="0"/>
                                              <w:divBdr>
                                                <w:top w:val="none" w:sz="0" w:space="0" w:color="auto"/>
                                                <w:left w:val="none" w:sz="0" w:space="0" w:color="auto"/>
                                                <w:bottom w:val="none" w:sz="0" w:space="0" w:color="auto"/>
                                                <w:right w:val="none" w:sz="0" w:space="0" w:color="auto"/>
                                              </w:divBdr>
                                              <w:divsChild>
                                                <w:div w:id="1986928225">
                                                  <w:marLeft w:val="0"/>
                                                  <w:marRight w:val="0"/>
                                                  <w:marTop w:val="0"/>
                                                  <w:marBottom w:val="0"/>
                                                  <w:divBdr>
                                                    <w:top w:val="none" w:sz="0" w:space="0" w:color="auto"/>
                                                    <w:left w:val="none" w:sz="0" w:space="0" w:color="auto"/>
                                                    <w:bottom w:val="none" w:sz="0" w:space="0" w:color="auto"/>
                                                    <w:right w:val="none" w:sz="0" w:space="0" w:color="auto"/>
                                                  </w:divBdr>
                                                  <w:divsChild>
                                                    <w:div w:id="750615971">
                                                      <w:marLeft w:val="0"/>
                                                      <w:marRight w:val="0"/>
                                                      <w:marTop w:val="0"/>
                                                      <w:marBottom w:val="0"/>
                                                      <w:divBdr>
                                                        <w:top w:val="none" w:sz="0" w:space="0" w:color="auto"/>
                                                        <w:left w:val="none" w:sz="0" w:space="0" w:color="auto"/>
                                                        <w:bottom w:val="none" w:sz="0" w:space="0" w:color="auto"/>
                                                        <w:right w:val="none" w:sz="0" w:space="0" w:color="auto"/>
                                                      </w:divBdr>
                                                      <w:divsChild>
                                                        <w:div w:id="3425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4488">
                                              <w:marLeft w:val="0"/>
                                              <w:marRight w:val="0"/>
                                              <w:marTop w:val="0"/>
                                              <w:marBottom w:val="0"/>
                                              <w:divBdr>
                                                <w:top w:val="none" w:sz="0" w:space="0" w:color="auto"/>
                                                <w:left w:val="none" w:sz="0" w:space="0" w:color="auto"/>
                                                <w:bottom w:val="none" w:sz="0" w:space="0" w:color="auto"/>
                                                <w:right w:val="none" w:sz="0" w:space="0" w:color="auto"/>
                                              </w:divBdr>
                                              <w:divsChild>
                                                <w:div w:id="1234119486">
                                                  <w:marLeft w:val="0"/>
                                                  <w:marRight w:val="0"/>
                                                  <w:marTop w:val="0"/>
                                                  <w:marBottom w:val="0"/>
                                                  <w:divBdr>
                                                    <w:top w:val="none" w:sz="0" w:space="0" w:color="auto"/>
                                                    <w:left w:val="none" w:sz="0" w:space="0" w:color="auto"/>
                                                    <w:bottom w:val="none" w:sz="0" w:space="0" w:color="auto"/>
                                                    <w:right w:val="none" w:sz="0" w:space="0" w:color="auto"/>
                                                  </w:divBdr>
                                                  <w:divsChild>
                                                    <w:div w:id="806512919">
                                                      <w:marLeft w:val="0"/>
                                                      <w:marRight w:val="0"/>
                                                      <w:marTop w:val="0"/>
                                                      <w:marBottom w:val="0"/>
                                                      <w:divBdr>
                                                        <w:top w:val="none" w:sz="0" w:space="0" w:color="auto"/>
                                                        <w:left w:val="none" w:sz="0" w:space="0" w:color="auto"/>
                                                        <w:bottom w:val="none" w:sz="0" w:space="0" w:color="auto"/>
                                                        <w:right w:val="none" w:sz="0" w:space="0" w:color="auto"/>
                                                      </w:divBdr>
                                                      <w:divsChild>
                                                        <w:div w:id="6462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8544881">
          <w:marLeft w:val="0"/>
          <w:marRight w:val="0"/>
          <w:marTop w:val="0"/>
          <w:marBottom w:val="0"/>
          <w:divBdr>
            <w:top w:val="none" w:sz="0" w:space="0" w:color="auto"/>
            <w:left w:val="none" w:sz="0" w:space="0" w:color="auto"/>
            <w:bottom w:val="none" w:sz="0" w:space="0" w:color="auto"/>
            <w:right w:val="none" w:sz="0" w:space="0" w:color="auto"/>
          </w:divBdr>
          <w:divsChild>
            <w:div w:id="407195913">
              <w:marLeft w:val="0"/>
              <w:marRight w:val="0"/>
              <w:marTop w:val="0"/>
              <w:marBottom w:val="0"/>
              <w:divBdr>
                <w:top w:val="none" w:sz="0" w:space="0" w:color="auto"/>
                <w:left w:val="none" w:sz="0" w:space="0" w:color="auto"/>
                <w:bottom w:val="none" w:sz="0" w:space="0" w:color="auto"/>
                <w:right w:val="none" w:sz="0" w:space="0" w:color="auto"/>
              </w:divBdr>
              <w:divsChild>
                <w:div w:id="1056390265">
                  <w:marLeft w:val="0"/>
                  <w:marRight w:val="0"/>
                  <w:marTop w:val="0"/>
                  <w:marBottom w:val="0"/>
                  <w:divBdr>
                    <w:top w:val="none" w:sz="0" w:space="0" w:color="auto"/>
                    <w:left w:val="none" w:sz="0" w:space="0" w:color="auto"/>
                    <w:bottom w:val="none" w:sz="0" w:space="0" w:color="auto"/>
                    <w:right w:val="none" w:sz="0" w:space="0" w:color="auto"/>
                  </w:divBdr>
                  <w:divsChild>
                    <w:div w:id="644972521">
                      <w:marLeft w:val="0"/>
                      <w:marRight w:val="0"/>
                      <w:marTop w:val="0"/>
                      <w:marBottom w:val="0"/>
                      <w:divBdr>
                        <w:top w:val="none" w:sz="0" w:space="0" w:color="auto"/>
                        <w:left w:val="none" w:sz="0" w:space="0" w:color="auto"/>
                        <w:bottom w:val="none" w:sz="0" w:space="0" w:color="auto"/>
                        <w:right w:val="none" w:sz="0" w:space="0" w:color="auto"/>
                      </w:divBdr>
                      <w:divsChild>
                        <w:div w:id="1834181823">
                          <w:marLeft w:val="0"/>
                          <w:marRight w:val="0"/>
                          <w:marTop w:val="0"/>
                          <w:marBottom w:val="0"/>
                          <w:divBdr>
                            <w:top w:val="none" w:sz="0" w:space="0" w:color="auto"/>
                            <w:left w:val="none" w:sz="0" w:space="0" w:color="auto"/>
                            <w:bottom w:val="none" w:sz="0" w:space="0" w:color="auto"/>
                            <w:right w:val="none" w:sz="0" w:space="0" w:color="auto"/>
                          </w:divBdr>
                          <w:divsChild>
                            <w:div w:id="1808744122">
                              <w:marLeft w:val="0"/>
                              <w:marRight w:val="0"/>
                              <w:marTop w:val="0"/>
                              <w:marBottom w:val="0"/>
                              <w:divBdr>
                                <w:top w:val="none" w:sz="0" w:space="0" w:color="auto"/>
                                <w:left w:val="none" w:sz="0" w:space="0" w:color="auto"/>
                                <w:bottom w:val="none" w:sz="0" w:space="0" w:color="auto"/>
                                <w:right w:val="none" w:sz="0" w:space="0" w:color="auto"/>
                              </w:divBdr>
                              <w:divsChild>
                                <w:div w:id="1894928319">
                                  <w:marLeft w:val="0"/>
                                  <w:marRight w:val="0"/>
                                  <w:marTop w:val="0"/>
                                  <w:marBottom w:val="0"/>
                                  <w:divBdr>
                                    <w:top w:val="none" w:sz="0" w:space="0" w:color="auto"/>
                                    <w:left w:val="none" w:sz="0" w:space="0" w:color="auto"/>
                                    <w:bottom w:val="none" w:sz="0" w:space="0" w:color="auto"/>
                                    <w:right w:val="none" w:sz="0" w:space="0" w:color="auto"/>
                                  </w:divBdr>
                                  <w:divsChild>
                                    <w:div w:id="1267808693">
                                      <w:marLeft w:val="0"/>
                                      <w:marRight w:val="0"/>
                                      <w:marTop w:val="0"/>
                                      <w:marBottom w:val="0"/>
                                      <w:divBdr>
                                        <w:top w:val="none" w:sz="0" w:space="0" w:color="auto"/>
                                        <w:left w:val="none" w:sz="0" w:space="0" w:color="auto"/>
                                        <w:bottom w:val="none" w:sz="0" w:space="0" w:color="auto"/>
                                        <w:right w:val="none" w:sz="0" w:space="0" w:color="auto"/>
                                      </w:divBdr>
                                      <w:divsChild>
                                        <w:div w:id="1874462916">
                                          <w:marLeft w:val="0"/>
                                          <w:marRight w:val="0"/>
                                          <w:marTop w:val="0"/>
                                          <w:marBottom w:val="0"/>
                                          <w:divBdr>
                                            <w:top w:val="none" w:sz="0" w:space="0" w:color="auto"/>
                                            <w:left w:val="none" w:sz="0" w:space="0" w:color="auto"/>
                                            <w:bottom w:val="none" w:sz="0" w:space="0" w:color="auto"/>
                                            <w:right w:val="none" w:sz="0" w:space="0" w:color="auto"/>
                                          </w:divBdr>
                                          <w:divsChild>
                                            <w:div w:id="2054889346">
                                              <w:marLeft w:val="0"/>
                                              <w:marRight w:val="0"/>
                                              <w:marTop w:val="0"/>
                                              <w:marBottom w:val="0"/>
                                              <w:divBdr>
                                                <w:top w:val="none" w:sz="0" w:space="0" w:color="auto"/>
                                                <w:left w:val="none" w:sz="0" w:space="0" w:color="auto"/>
                                                <w:bottom w:val="none" w:sz="0" w:space="0" w:color="auto"/>
                                                <w:right w:val="none" w:sz="0" w:space="0" w:color="auto"/>
                                              </w:divBdr>
                                              <w:divsChild>
                                                <w:div w:id="183247904">
                                                  <w:marLeft w:val="0"/>
                                                  <w:marRight w:val="0"/>
                                                  <w:marTop w:val="0"/>
                                                  <w:marBottom w:val="0"/>
                                                  <w:divBdr>
                                                    <w:top w:val="none" w:sz="0" w:space="0" w:color="auto"/>
                                                    <w:left w:val="none" w:sz="0" w:space="0" w:color="auto"/>
                                                    <w:bottom w:val="none" w:sz="0" w:space="0" w:color="auto"/>
                                                    <w:right w:val="none" w:sz="0" w:space="0" w:color="auto"/>
                                                  </w:divBdr>
                                                  <w:divsChild>
                                                    <w:div w:id="2919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154844">
      <w:bodyDiv w:val="1"/>
      <w:marLeft w:val="0"/>
      <w:marRight w:val="0"/>
      <w:marTop w:val="0"/>
      <w:marBottom w:val="0"/>
      <w:divBdr>
        <w:top w:val="none" w:sz="0" w:space="0" w:color="auto"/>
        <w:left w:val="none" w:sz="0" w:space="0" w:color="auto"/>
        <w:bottom w:val="none" w:sz="0" w:space="0" w:color="auto"/>
        <w:right w:val="none" w:sz="0" w:space="0" w:color="auto"/>
      </w:divBdr>
    </w:div>
    <w:div w:id="2056855282">
      <w:bodyDiv w:val="1"/>
      <w:marLeft w:val="0"/>
      <w:marRight w:val="0"/>
      <w:marTop w:val="0"/>
      <w:marBottom w:val="0"/>
      <w:divBdr>
        <w:top w:val="none" w:sz="0" w:space="0" w:color="auto"/>
        <w:left w:val="none" w:sz="0" w:space="0" w:color="auto"/>
        <w:bottom w:val="none" w:sz="0" w:space="0" w:color="auto"/>
        <w:right w:val="none" w:sz="0" w:space="0" w:color="auto"/>
      </w:divBdr>
    </w:div>
    <w:div w:id="2072342362">
      <w:bodyDiv w:val="1"/>
      <w:marLeft w:val="0"/>
      <w:marRight w:val="0"/>
      <w:marTop w:val="0"/>
      <w:marBottom w:val="0"/>
      <w:divBdr>
        <w:top w:val="none" w:sz="0" w:space="0" w:color="auto"/>
        <w:left w:val="none" w:sz="0" w:space="0" w:color="auto"/>
        <w:bottom w:val="none" w:sz="0" w:space="0" w:color="auto"/>
        <w:right w:val="none" w:sz="0" w:space="0" w:color="auto"/>
      </w:divBdr>
    </w:div>
    <w:div w:id="2093811263">
      <w:bodyDiv w:val="1"/>
      <w:marLeft w:val="0"/>
      <w:marRight w:val="0"/>
      <w:marTop w:val="0"/>
      <w:marBottom w:val="0"/>
      <w:divBdr>
        <w:top w:val="none" w:sz="0" w:space="0" w:color="auto"/>
        <w:left w:val="none" w:sz="0" w:space="0" w:color="auto"/>
        <w:bottom w:val="none" w:sz="0" w:space="0" w:color="auto"/>
        <w:right w:val="none" w:sz="0" w:space="0" w:color="auto"/>
      </w:divBdr>
    </w:div>
    <w:div w:id="2110664049">
      <w:bodyDiv w:val="1"/>
      <w:marLeft w:val="0"/>
      <w:marRight w:val="0"/>
      <w:marTop w:val="0"/>
      <w:marBottom w:val="0"/>
      <w:divBdr>
        <w:top w:val="none" w:sz="0" w:space="0" w:color="auto"/>
        <w:left w:val="none" w:sz="0" w:space="0" w:color="auto"/>
        <w:bottom w:val="none" w:sz="0" w:space="0" w:color="auto"/>
        <w:right w:val="none" w:sz="0" w:space="0" w:color="auto"/>
      </w:divBdr>
    </w:div>
    <w:div w:id="2131362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ctoryattorneys.co.tz/2024/03/28/it-is-mandatory-for-a-unit-property-to-be-managed-by-a-registered-associ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victoryattorneys.co.tz/2024/03/28/it-is-mandatory-for-a-unit-property-to-be-managed-by-a-registered-association/" TargetMode="External"/><Relationship Id="rId2" Type="http://schemas.openxmlformats.org/officeDocument/2006/relationships/hyperlink" Target="https://victoryattorneys.co.tz/2024/03/28/it-is-mandatory-for-a-unit-property-to-be-managed-by-a-registered-association/" TargetMode="External"/><Relationship Id="rId1" Type="http://schemas.openxmlformats.org/officeDocument/2006/relationships/hyperlink" Target="https://victoryattorneys.co.tz/2024/03/28/it-is-mandatory-for-a-unit-property-to-be-managed-by-a-registered-assoc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A244-97A9-464F-8EBA-C121710C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121</Pages>
  <Words>25943</Words>
  <Characters>147876</Characters>
  <Application>Microsoft Office Word</Application>
  <DocSecurity>0</DocSecurity>
  <Lines>1232</Lines>
  <Paragraphs>346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NZIGE</dc:creator>
  <cp:lastModifiedBy>DOUBLE M</cp:lastModifiedBy>
  <cp:revision>42</cp:revision>
  <cp:lastPrinted>2025-11-10T06:22:00Z</cp:lastPrinted>
  <dcterms:created xsi:type="dcterms:W3CDTF">2025-11-07T12:01:00Z</dcterms:created>
  <dcterms:modified xsi:type="dcterms:W3CDTF">2025-11-10T06:22:00Z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57811ce8-e6b5-4dbc-a4b4-11c051ab960b</vt:lpwstr>
  </property>
  <property fmtid="{D5CDD505-2E9C-101B-9397-08002B2CF9AE}" pid="3" name="KSOProductBuildVer">
    <vt:lpwstr>1033-12.2.0.17119</vt:lpwstr>
  </property>
  <property fmtid="{D5CDD505-2E9C-101B-9397-08002B2CF9AE}" pid="4" name="ICV">
    <vt:lpwstr>467AC320B9F948F4A1E210A9D6CF0123_12</vt:lpwstr>
  </property>
</Properties>
</file>